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64C5" w14:textId="09CD9CD4" w:rsidR="00433044" w:rsidRPr="006D075E" w:rsidRDefault="000D3B14" w:rsidP="00CB068B">
      <w:pPr>
        <w:pStyle w:val="COMexecsummheadings"/>
      </w:pPr>
      <w:r w:rsidRPr="006D075E">
        <w:t>6.01</w:t>
      </w:r>
      <w:r w:rsidR="00163F66" w:rsidRPr="006D075E">
        <w:tab/>
      </w:r>
      <w:r w:rsidR="00391DBB" w:rsidRPr="006D075E">
        <w:t>ACALABRUTINIB</w:t>
      </w:r>
      <w:r w:rsidR="00163F66" w:rsidRPr="006D075E">
        <w:t>,</w:t>
      </w:r>
      <w:r w:rsidR="00163F66" w:rsidRPr="006D075E">
        <w:br/>
      </w:r>
      <w:r w:rsidR="00EF759B" w:rsidRPr="006D075E">
        <w:t>T</w:t>
      </w:r>
      <w:r w:rsidR="00391DBB" w:rsidRPr="006D075E">
        <w:t>ablet</w:t>
      </w:r>
      <w:r w:rsidR="00FF0377" w:rsidRPr="006D075E">
        <w:t xml:space="preserve"> </w:t>
      </w:r>
      <w:r w:rsidR="00391DBB" w:rsidRPr="006D075E">
        <w:t>100 mg</w:t>
      </w:r>
      <w:r w:rsidR="00163F66" w:rsidRPr="006D075E">
        <w:t>,</w:t>
      </w:r>
      <w:r w:rsidR="00163F66" w:rsidRPr="006D075E">
        <w:br/>
      </w:r>
      <w:proofErr w:type="spellStart"/>
      <w:r w:rsidR="00391DBB" w:rsidRPr="006D075E">
        <w:t>Calquence</w:t>
      </w:r>
      <w:proofErr w:type="spellEnd"/>
      <w:r w:rsidR="00B60939" w:rsidRPr="006D075E">
        <w:rPr>
          <w:vertAlign w:val="superscript"/>
        </w:rPr>
        <w:t>®</w:t>
      </w:r>
      <w:r w:rsidR="004A6040" w:rsidRPr="006D075E">
        <w:t>,</w:t>
      </w:r>
      <w:r w:rsidR="004A6040" w:rsidRPr="006D075E">
        <w:br/>
      </w:r>
      <w:r w:rsidR="00391DBB" w:rsidRPr="006D075E">
        <w:t>AstraZeneca Pty Ltd</w:t>
      </w:r>
      <w:r w:rsidR="00B60939" w:rsidRPr="006D075E">
        <w:t>.</w:t>
      </w:r>
    </w:p>
    <w:p w14:paraId="11C00795" w14:textId="3DFB6D23" w:rsidR="00B50DB8" w:rsidRPr="006D075E" w:rsidRDefault="00B50DB8" w:rsidP="004A6040">
      <w:pPr>
        <w:pStyle w:val="COMH1-numbered"/>
      </w:pPr>
      <w:bookmarkStart w:id="0" w:name="_Toc198649026"/>
      <w:r w:rsidRPr="006D075E">
        <w:t xml:space="preserve">Purpose of </w:t>
      </w:r>
      <w:r w:rsidR="00CD7193" w:rsidRPr="006D075E">
        <w:t>s</w:t>
      </w:r>
      <w:r w:rsidR="00BB3A45" w:rsidRPr="006D075E">
        <w:t>ubmission</w:t>
      </w:r>
      <w:bookmarkEnd w:id="0"/>
    </w:p>
    <w:p w14:paraId="0ED70CBD" w14:textId="0CACC45B" w:rsidR="00A0461C" w:rsidRPr="006D075E" w:rsidRDefault="00A0461C" w:rsidP="00AF0057">
      <w:pPr>
        <w:pStyle w:val="COMexecsummnumbered"/>
      </w:pPr>
      <w:r w:rsidRPr="006D075E">
        <w:t xml:space="preserve">The Category 2 submission requested a General Schedule Authority Required (Telephone/Online) listing for acalabrutinib in combination with </w:t>
      </w:r>
      <w:proofErr w:type="spellStart"/>
      <w:r w:rsidRPr="006D075E">
        <w:t>bendamustine</w:t>
      </w:r>
      <w:proofErr w:type="spellEnd"/>
      <w:r w:rsidRPr="006D075E">
        <w:t xml:space="preserve"> and rituximab for patients with previously untreated Stage III or IV mantle cell lymphoma</w:t>
      </w:r>
      <w:r w:rsidR="008B591E">
        <w:t xml:space="preserve"> (MCL</w:t>
      </w:r>
      <w:r w:rsidR="00C82EEA">
        <w:t>)</w:t>
      </w:r>
      <w:r w:rsidRPr="006D075E">
        <w:t xml:space="preserve"> who are ineligible for stem cell transplantation.</w:t>
      </w:r>
    </w:p>
    <w:p w14:paraId="6B106C2D" w14:textId="77777777" w:rsidR="00A0461C" w:rsidRPr="006D075E" w:rsidRDefault="00A0461C" w:rsidP="00AF0057">
      <w:pPr>
        <w:pStyle w:val="COMexecsummnumbered"/>
      </w:pPr>
      <w:r w:rsidRPr="006D075E">
        <w:t xml:space="preserve">Listing was requested </w:t>
      </w:r>
      <w:proofErr w:type="gramStart"/>
      <w:r w:rsidRPr="006D075E">
        <w:t>on the basis of</w:t>
      </w:r>
      <w:proofErr w:type="gramEnd"/>
      <w:r w:rsidRPr="006D075E">
        <w:t xml:space="preserve"> a cost-effectiveness analysis versus </w:t>
      </w:r>
      <w:proofErr w:type="spellStart"/>
      <w:r w:rsidRPr="006D075E">
        <w:t>bendamustine</w:t>
      </w:r>
      <w:proofErr w:type="spellEnd"/>
      <w:r w:rsidRPr="006D075E">
        <w:t xml:space="preserve"> and rituximab treatment alone.</w:t>
      </w:r>
    </w:p>
    <w:p w14:paraId="7012D90E" w14:textId="0119D436" w:rsidR="00A0461C" w:rsidRPr="006D075E" w:rsidRDefault="00A0461C" w:rsidP="00AF0057">
      <w:pPr>
        <w:pStyle w:val="COMtablefigcaption"/>
      </w:pPr>
      <w:r w:rsidRPr="006D075E">
        <w:t xml:space="preserve">Table </w:t>
      </w:r>
      <w:r w:rsidR="00370FC7" w:rsidRPr="006D075E">
        <w:fldChar w:fldCharType="begin"/>
      </w:r>
      <w:r w:rsidR="00370FC7" w:rsidRPr="006D075E">
        <w:instrText xml:space="preserve"> SEQ Table \* ARABIC </w:instrText>
      </w:r>
      <w:r w:rsidR="00370FC7" w:rsidRPr="006D075E">
        <w:fldChar w:fldCharType="separate"/>
      </w:r>
      <w:r w:rsidR="00A542E9">
        <w:rPr>
          <w:noProof/>
        </w:rPr>
        <w:t>1</w:t>
      </w:r>
      <w:r w:rsidR="00370FC7" w:rsidRPr="006D075E">
        <w:fldChar w:fldCharType="end"/>
      </w:r>
      <w:r w:rsidRPr="006D075E">
        <w:t>: Key components of the clinical issue addressed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in the submission"/>
      </w:tblPr>
      <w:tblGrid>
        <w:gridCol w:w="1668"/>
        <w:gridCol w:w="7488"/>
      </w:tblGrid>
      <w:tr w:rsidR="00A0461C" w:rsidRPr="006D075E" w14:paraId="36441D97" w14:textId="77777777" w:rsidTr="00A0461C">
        <w:tc>
          <w:tcPr>
            <w:tcW w:w="1668" w:type="dxa"/>
            <w:tcBorders>
              <w:top w:val="single" w:sz="4" w:space="0" w:color="auto"/>
              <w:left w:val="single" w:sz="4" w:space="0" w:color="auto"/>
              <w:bottom w:val="single" w:sz="4" w:space="0" w:color="auto"/>
              <w:right w:val="single" w:sz="4" w:space="0" w:color="auto"/>
            </w:tcBorders>
            <w:vAlign w:val="center"/>
            <w:hideMark/>
          </w:tcPr>
          <w:p w14:paraId="1E1DDEB5" w14:textId="77777777" w:rsidR="00A0461C" w:rsidRPr="006D075E" w:rsidRDefault="00A0461C" w:rsidP="005323D4">
            <w:pPr>
              <w:pStyle w:val="COMTableheadingrow"/>
              <w:rPr>
                <w:lang w:val="en-AU"/>
              </w:rPr>
            </w:pPr>
            <w:r w:rsidRPr="006D075E">
              <w:rPr>
                <w:lang w:val="en-AU"/>
              </w:rPr>
              <w:t>Component</w:t>
            </w:r>
          </w:p>
        </w:tc>
        <w:tc>
          <w:tcPr>
            <w:tcW w:w="7488" w:type="dxa"/>
            <w:tcBorders>
              <w:top w:val="single" w:sz="4" w:space="0" w:color="auto"/>
              <w:left w:val="single" w:sz="4" w:space="0" w:color="auto"/>
              <w:bottom w:val="single" w:sz="4" w:space="0" w:color="auto"/>
              <w:right w:val="single" w:sz="4" w:space="0" w:color="auto"/>
            </w:tcBorders>
            <w:vAlign w:val="center"/>
            <w:hideMark/>
          </w:tcPr>
          <w:p w14:paraId="7AF57987" w14:textId="77777777" w:rsidR="00A0461C" w:rsidRPr="006D075E" w:rsidRDefault="00A0461C" w:rsidP="005323D4">
            <w:pPr>
              <w:pStyle w:val="COMTableheadingrow"/>
              <w:rPr>
                <w:lang w:val="en-AU"/>
              </w:rPr>
            </w:pPr>
            <w:r w:rsidRPr="006D075E">
              <w:rPr>
                <w:lang w:val="en-AU"/>
              </w:rPr>
              <w:t>Description</w:t>
            </w:r>
          </w:p>
        </w:tc>
      </w:tr>
      <w:tr w:rsidR="00A0461C" w:rsidRPr="006D075E" w14:paraId="0A733647" w14:textId="77777777" w:rsidTr="00A0461C">
        <w:tc>
          <w:tcPr>
            <w:tcW w:w="1668" w:type="dxa"/>
            <w:tcBorders>
              <w:top w:val="single" w:sz="4" w:space="0" w:color="auto"/>
              <w:left w:val="single" w:sz="4" w:space="0" w:color="auto"/>
              <w:bottom w:val="single" w:sz="4" w:space="0" w:color="auto"/>
              <w:right w:val="single" w:sz="4" w:space="0" w:color="auto"/>
            </w:tcBorders>
            <w:vAlign w:val="center"/>
            <w:hideMark/>
          </w:tcPr>
          <w:p w14:paraId="6E2FF2E8" w14:textId="77777777" w:rsidR="00A0461C" w:rsidRPr="006D075E" w:rsidRDefault="00A0461C" w:rsidP="005323D4">
            <w:pPr>
              <w:pStyle w:val="COMTabletext"/>
            </w:pPr>
            <w:r w:rsidRPr="006D075E">
              <w:t>Population</w:t>
            </w:r>
          </w:p>
        </w:tc>
        <w:tc>
          <w:tcPr>
            <w:tcW w:w="7488" w:type="dxa"/>
            <w:tcBorders>
              <w:top w:val="single" w:sz="4" w:space="0" w:color="auto"/>
              <w:left w:val="single" w:sz="4" w:space="0" w:color="auto"/>
              <w:bottom w:val="single" w:sz="4" w:space="0" w:color="auto"/>
              <w:right w:val="single" w:sz="4" w:space="0" w:color="auto"/>
            </w:tcBorders>
            <w:vAlign w:val="center"/>
            <w:hideMark/>
          </w:tcPr>
          <w:p w14:paraId="4086B24E" w14:textId="2523781B" w:rsidR="00A0461C" w:rsidRPr="006D075E" w:rsidRDefault="00A0461C" w:rsidP="005323D4">
            <w:pPr>
              <w:pStyle w:val="COMTabletext"/>
            </w:pPr>
            <w:r w:rsidRPr="006D075E">
              <w:t>Patients with previously untreated Stage III or IV mantle cell lymphoma who are ineligible for ASCT</w:t>
            </w:r>
            <w:r w:rsidR="00FF0377" w:rsidRPr="006D075E">
              <w:t>.</w:t>
            </w:r>
          </w:p>
        </w:tc>
      </w:tr>
      <w:tr w:rsidR="00A0461C" w:rsidRPr="006D075E" w14:paraId="10179C4F" w14:textId="77777777" w:rsidTr="00A0461C">
        <w:tc>
          <w:tcPr>
            <w:tcW w:w="1668" w:type="dxa"/>
            <w:tcBorders>
              <w:top w:val="single" w:sz="4" w:space="0" w:color="auto"/>
              <w:left w:val="single" w:sz="4" w:space="0" w:color="auto"/>
              <w:bottom w:val="single" w:sz="4" w:space="0" w:color="auto"/>
              <w:right w:val="single" w:sz="4" w:space="0" w:color="auto"/>
            </w:tcBorders>
            <w:vAlign w:val="center"/>
            <w:hideMark/>
          </w:tcPr>
          <w:p w14:paraId="00F5F067" w14:textId="77777777" w:rsidR="00A0461C" w:rsidRPr="006D075E" w:rsidRDefault="00A0461C" w:rsidP="005323D4">
            <w:pPr>
              <w:pStyle w:val="COMTabletext"/>
            </w:pPr>
            <w:r w:rsidRPr="006D075E">
              <w:t>Intervention</w:t>
            </w:r>
          </w:p>
        </w:tc>
        <w:tc>
          <w:tcPr>
            <w:tcW w:w="7488" w:type="dxa"/>
            <w:tcBorders>
              <w:top w:val="single" w:sz="4" w:space="0" w:color="auto"/>
              <w:left w:val="single" w:sz="4" w:space="0" w:color="auto"/>
              <w:bottom w:val="single" w:sz="4" w:space="0" w:color="auto"/>
              <w:right w:val="single" w:sz="4" w:space="0" w:color="auto"/>
            </w:tcBorders>
            <w:vAlign w:val="center"/>
            <w:hideMark/>
          </w:tcPr>
          <w:p w14:paraId="76145224" w14:textId="26FD22E3" w:rsidR="00A0461C" w:rsidRPr="006D075E" w:rsidRDefault="00A0461C" w:rsidP="005323D4">
            <w:pPr>
              <w:pStyle w:val="COMTabletext"/>
            </w:pPr>
            <w:r w:rsidRPr="006D075E">
              <w:t>Induction (Cycle</w:t>
            </w:r>
            <w:r w:rsidR="005A7E7D" w:rsidRPr="006D075E">
              <w:t>s</w:t>
            </w:r>
            <w:r w:rsidRPr="006D075E">
              <w:t xml:space="preserve"> 1–6): acalabrutinib 100 mg orally twice daily for 6 cycles, </w:t>
            </w:r>
            <w:proofErr w:type="spellStart"/>
            <w:r w:rsidRPr="006D075E">
              <w:t>bendamustine</w:t>
            </w:r>
            <w:proofErr w:type="spellEnd"/>
            <w:r w:rsidRPr="006D075E">
              <w:t xml:space="preserve"> 90 mg/m</w:t>
            </w:r>
            <w:r w:rsidRPr="006D075E">
              <w:rPr>
                <w:vertAlign w:val="superscript"/>
              </w:rPr>
              <w:t>2</w:t>
            </w:r>
            <w:r w:rsidRPr="006D075E">
              <w:t xml:space="preserve"> IV on </w:t>
            </w:r>
            <w:r w:rsidR="007C4C25" w:rsidRPr="006D075E">
              <w:t>D</w:t>
            </w:r>
            <w:r w:rsidRPr="006D075E">
              <w:t>ays 1 and 2 for 6 cycles, and rituximab 375 mg/m</w:t>
            </w:r>
            <w:r w:rsidRPr="006D075E">
              <w:rPr>
                <w:vertAlign w:val="superscript"/>
              </w:rPr>
              <w:t>2</w:t>
            </w:r>
            <w:r w:rsidRPr="006D075E">
              <w:t> on Day 1 for 6 cycles.</w:t>
            </w:r>
          </w:p>
          <w:p w14:paraId="04A02E29" w14:textId="593831C9" w:rsidR="00A0461C" w:rsidRPr="006D075E" w:rsidRDefault="00A0461C" w:rsidP="005323D4">
            <w:pPr>
              <w:pStyle w:val="COMTabletext"/>
            </w:pPr>
            <w:r w:rsidRPr="006D075E">
              <w:t>Continuing therapy (Cycle 7 onwards): Patients achieving partial response or better after induction continue to receive acalabrutinib 100 mg orally twice daily, and up to 12 doses of rituximab 375</w:t>
            </w:r>
            <w:r w:rsidR="00FF0377" w:rsidRPr="006D075E">
              <w:t> </w:t>
            </w:r>
            <w:r w:rsidRPr="006D075E">
              <w:t>mg/m</w:t>
            </w:r>
            <w:r w:rsidRPr="006D075E">
              <w:rPr>
                <w:vertAlign w:val="superscript"/>
              </w:rPr>
              <w:t>2</w:t>
            </w:r>
            <w:r w:rsidRPr="006D075E">
              <w:t> once every 8 week</w:t>
            </w:r>
            <w:r w:rsidR="00FF0377" w:rsidRPr="006D075E">
              <w:t>s</w:t>
            </w:r>
            <w:r w:rsidRPr="006D075E">
              <w:t xml:space="preserve">, </w:t>
            </w:r>
            <w:r w:rsidR="00D4140E" w:rsidRPr="006D075E">
              <w:t>up to</w:t>
            </w:r>
            <w:r w:rsidRPr="006D075E">
              <w:t xml:space="preserve"> Cycle 30.</w:t>
            </w:r>
          </w:p>
        </w:tc>
      </w:tr>
      <w:tr w:rsidR="00A0461C" w:rsidRPr="006D075E" w14:paraId="72171DC2" w14:textId="77777777" w:rsidTr="00A0461C">
        <w:tc>
          <w:tcPr>
            <w:tcW w:w="1668" w:type="dxa"/>
            <w:tcBorders>
              <w:top w:val="single" w:sz="4" w:space="0" w:color="auto"/>
              <w:left w:val="single" w:sz="4" w:space="0" w:color="auto"/>
              <w:bottom w:val="single" w:sz="4" w:space="0" w:color="auto"/>
              <w:right w:val="single" w:sz="4" w:space="0" w:color="auto"/>
            </w:tcBorders>
            <w:vAlign w:val="center"/>
            <w:hideMark/>
          </w:tcPr>
          <w:p w14:paraId="74D44C20" w14:textId="77777777" w:rsidR="00A0461C" w:rsidRPr="006D075E" w:rsidRDefault="00A0461C" w:rsidP="005323D4">
            <w:pPr>
              <w:pStyle w:val="COMTabletext"/>
            </w:pPr>
            <w:r w:rsidRPr="006D075E">
              <w:t>Comparator</w:t>
            </w:r>
          </w:p>
        </w:tc>
        <w:tc>
          <w:tcPr>
            <w:tcW w:w="7488" w:type="dxa"/>
            <w:tcBorders>
              <w:top w:val="single" w:sz="4" w:space="0" w:color="auto"/>
              <w:left w:val="single" w:sz="4" w:space="0" w:color="auto"/>
              <w:bottom w:val="single" w:sz="4" w:space="0" w:color="auto"/>
              <w:right w:val="single" w:sz="4" w:space="0" w:color="auto"/>
            </w:tcBorders>
            <w:vAlign w:val="center"/>
            <w:hideMark/>
          </w:tcPr>
          <w:p w14:paraId="0F796821" w14:textId="41170D9C" w:rsidR="00A0461C" w:rsidRPr="006D075E" w:rsidRDefault="00A0461C" w:rsidP="005323D4">
            <w:pPr>
              <w:pStyle w:val="COMTabletext"/>
            </w:pPr>
            <w:r w:rsidRPr="006D075E">
              <w:t>Induction (Cycle</w:t>
            </w:r>
            <w:r w:rsidR="005A7E7D" w:rsidRPr="006D075E">
              <w:t>s</w:t>
            </w:r>
            <w:r w:rsidRPr="006D075E">
              <w:t xml:space="preserve"> 1–6): </w:t>
            </w:r>
            <w:proofErr w:type="spellStart"/>
            <w:r w:rsidRPr="006D075E">
              <w:t>bendamustine</w:t>
            </w:r>
            <w:proofErr w:type="spellEnd"/>
            <w:r w:rsidRPr="006D075E">
              <w:t xml:space="preserve"> 90 mg/m</w:t>
            </w:r>
            <w:r w:rsidRPr="006D075E">
              <w:rPr>
                <w:vertAlign w:val="superscript"/>
              </w:rPr>
              <w:t>2</w:t>
            </w:r>
            <w:r w:rsidRPr="006D075E">
              <w:t xml:space="preserve"> IV on </w:t>
            </w:r>
            <w:r w:rsidR="007C4C25" w:rsidRPr="006D075E">
              <w:t>D</w:t>
            </w:r>
            <w:r w:rsidRPr="006D075E">
              <w:t>ays 1 and 2 for 6 cycles, and rituximab 375</w:t>
            </w:r>
            <w:r w:rsidR="001A0197">
              <w:t> </w:t>
            </w:r>
            <w:r w:rsidRPr="006D075E">
              <w:t>mg/m</w:t>
            </w:r>
            <w:r w:rsidRPr="006D075E">
              <w:rPr>
                <w:vertAlign w:val="superscript"/>
              </w:rPr>
              <w:t>2</w:t>
            </w:r>
            <w:r w:rsidRPr="006D075E">
              <w:t> on Day 1 for 6 cycles.</w:t>
            </w:r>
          </w:p>
          <w:p w14:paraId="3F9C813F" w14:textId="73701653" w:rsidR="00A0461C" w:rsidRPr="006D075E" w:rsidRDefault="00A0461C" w:rsidP="005323D4">
            <w:pPr>
              <w:pStyle w:val="COMTabletext"/>
            </w:pPr>
            <w:r w:rsidRPr="006D075E">
              <w:t xml:space="preserve">Continuing therapy (Cycle 7 onwards): Patients achieving partial response or better after induction </w:t>
            </w:r>
            <w:r w:rsidR="00ED0D2F" w:rsidRPr="006D075E">
              <w:t>receive</w:t>
            </w:r>
            <w:r w:rsidRPr="006D075E">
              <w:t xml:space="preserve"> up to 12 doses of rituximab 375 mg/m</w:t>
            </w:r>
            <w:r w:rsidRPr="006D075E">
              <w:rPr>
                <w:vertAlign w:val="superscript"/>
              </w:rPr>
              <w:t>2</w:t>
            </w:r>
            <w:r w:rsidRPr="006D075E">
              <w:t> once every 8 week</w:t>
            </w:r>
            <w:r w:rsidR="00FF0377" w:rsidRPr="006D075E">
              <w:t>s</w:t>
            </w:r>
            <w:r w:rsidRPr="006D075E">
              <w:t>, through no later than Cycle 30.</w:t>
            </w:r>
          </w:p>
        </w:tc>
      </w:tr>
      <w:tr w:rsidR="00A0461C" w:rsidRPr="006D075E" w14:paraId="67558735" w14:textId="77777777" w:rsidTr="00A0461C">
        <w:tc>
          <w:tcPr>
            <w:tcW w:w="1668" w:type="dxa"/>
            <w:tcBorders>
              <w:top w:val="single" w:sz="4" w:space="0" w:color="auto"/>
              <w:left w:val="single" w:sz="4" w:space="0" w:color="auto"/>
              <w:bottom w:val="single" w:sz="4" w:space="0" w:color="auto"/>
              <w:right w:val="single" w:sz="4" w:space="0" w:color="auto"/>
            </w:tcBorders>
            <w:vAlign w:val="center"/>
            <w:hideMark/>
          </w:tcPr>
          <w:p w14:paraId="7BDD8D70" w14:textId="77777777" w:rsidR="00A0461C" w:rsidRPr="006D075E" w:rsidRDefault="00A0461C" w:rsidP="005323D4">
            <w:pPr>
              <w:pStyle w:val="COMTabletext"/>
            </w:pPr>
            <w:r w:rsidRPr="006D075E">
              <w:t>Outcomes</w:t>
            </w:r>
          </w:p>
        </w:tc>
        <w:tc>
          <w:tcPr>
            <w:tcW w:w="7488" w:type="dxa"/>
            <w:tcBorders>
              <w:top w:val="single" w:sz="4" w:space="0" w:color="auto"/>
              <w:left w:val="single" w:sz="4" w:space="0" w:color="auto"/>
              <w:bottom w:val="single" w:sz="4" w:space="0" w:color="auto"/>
              <w:right w:val="single" w:sz="4" w:space="0" w:color="auto"/>
            </w:tcBorders>
            <w:vAlign w:val="center"/>
            <w:hideMark/>
          </w:tcPr>
          <w:p w14:paraId="7D880C87" w14:textId="77777777" w:rsidR="00A0461C" w:rsidRPr="006D075E" w:rsidRDefault="00A0461C" w:rsidP="005323D4">
            <w:pPr>
              <w:pStyle w:val="COMTabletext"/>
            </w:pPr>
            <w:r w:rsidRPr="006D075E">
              <w:t>Progression free survival, overall response rate, overall survival, duration of response, time to response, patient reported outcomes, safety.</w:t>
            </w:r>
          </w:p>
        </w:tc>
      </w:tr>
      <w:tr w:rsidR="00A0461C" w:rsidRPr="006D075E" w14:paraId="026AC655" w14:textId="77777777" w:rsidTr="00A0461C">
        <w:tc>
          <w:tcPr>
            <w:tcW w:w="1668" w:type="dxa"/>
            <w:tcBorders>
              <w:top w:val="single" w:sz="4" w:space="0" w:color="auto"/>
              <w:left w:val="single" w:sz="4" w:space="0" w:color="auto"/>
              <w:bottom w:val="single" w:sz="4" w:space="0" w:color="auto"/>
              <w:right w:val="single" w:sz="4" w:space="0" w:color="auto"/>
            </w:tcBorders>
            <w:vAlign w:val="center"/>
            <w:hideMark/>
          </w:tcPr>
          <w:p w14:paraId="5730F94F" w14:textId="77777777" w:rsidR="00A0461C" w:rsidRPr="006D075E" w:rsidRDefault="00A0461C" w:rsidP="005323D4">
            <w:pPr>
              <w:pStyle w:val="COMTabletext"/>
            </w:pPr>
            <w:r w:rsidRPr="006D075E">
              <w:t>Clinical claim</w:t>
            </w:r>
          </w:p>
        </w:tc>
        <w:tc>
          <w:tcPr>
            <w:tcW w:w="7488" w:type="dxa"/>
            <w:tcBorders>
              <w:top w:val="single" w:sz="4" w:space="0" w:color="auto"/>
              <w:left w:val="single" w:sz="4" w:space="0" w:color="auto"/>
              <w:bottom w:val="single" w:sz="4" w:space="0" w:color="auto"/>
              <w:right w:val="single" w:sz="4" w:space="0" w:color="auto"/>
            </w:tcBorders>
            <w:vAlign w:val="center"/>
            <w:hideMark/>
          </w:tcPr>
          <w:p w14:paraId="0CD92B9C" w14:textId="34A99FD9" w:rsidR="00A0461C" w:rsidRPr="006D075E" w:rsidRDefault="00A0461C" w:rsidP="005323D4">
            <w:pPr>
              <w:pStyle w:val="COMTabletext"/>
            </w:pPr>
            <w:r w:rsidRPr="006D075E">
              <w:t xml:space="preserve">In patients with previously untreated Stage III or IV mantle cell lymphoma, acalabrutinib in combination with </w:t>
            </w:r>
            <w:proofErr w:type="spellStart"/>
            <w:r w:rsidRPr="006D075E">
              <w:t>bendamustine</w:t>
            </w:r>
            <w:proofErr w:type="spellEnd"/>
            <w:r w:rsidRPr="006D075E">
              <w:t xml:space="preserve"> and rituximab is superior in terms of efficacy and inferior in terms of safety when compared to </w:t>
            </w:r>
            <w:proofErr w:type="spellStart"/>
            <w:r w:rsidRPr="006D075E">
              <w:t>bendamustine</w:t>
            </w:r>
            <w:proofErr w:type="spellEnd"/>
            <w:r w:rsidRPr="006D075E">
              <w:t xml:space="preserve"> and rituximab.</w:t>
            </w:r>
          </w:p>
        </w:tc>
      </w:tr>
    </w:tbl>
    <w:p w14:paraId="5547695E" w14:textId="77777777" w:rsidR="00A0461C" w:rsidRPr="006D075E" w:rsidRDefault="00A0461C" w:rsidP="005323D4">
      <w:pPr>
        <w:pStyle w:val="COMTablefooter"/>
        <w:rPr>
          <w:rFonts w:eastAsiaTheme="minorHAnsi"/>
        </w:rPr>
      </w:pPr>
      <w:r w:rsidRPr="006D075E">
        <w:rPr>
          <w:rFonts w:eastAsiaTheme="minorHAnsi"/>
        </w:rPr>
        <w:t>Source: Table 1-1, p5 of the submission.</w:t>
      </w:r>
    </w:p>
    <w:p w14:paraId="2FA227B9" w14:textId="34DEAFA9" w:rsidR="00A0461C" w:rsidRPr="006D075E" w:rsidRDefault="00A0461C" w:rsidP="005323D4">
      <w:pPr>
        <w:pStyle w:val="COMTablefooter"/>
        <w:rPr>
          <w:rFonts w:eastAsiaTheme="minorHAnsi"/>
        </w:rPr>
      </w:pPr>
      <w:r w:rsidRPr="006D075E">
        <w:rPr>
          <w:rFonts w:eastAsiaTheme="minorHAnsi"/>
        </w:rPr>
        <w:t>Abbreviations: ASCT, autologous stem cell transplant</w:t>
      </w:r>
      <w:r w:rsidR="00FF0377" w:rsidRPr="006D075E">
        <w:rPr>
          <w:rFonts w:eastAsiaTheme="minorHAnsi"/>
        </w:rPr>
        <w:t>; IV, intravenous.</w:t>
      </w:r>
    </w:p>
    <w:p w14:paraId="7ADAB640" w14:textId="77777777" w:rsidR="00A0461C" w:rsidRPr="006D075E" w:rsidRDefault="00A0461C" w:rsidP="005323D4">
      <w:pPr>
        <w:pStyle w:val="COMTablefooter"/>
        <w:rPr>
          <w:rFonts w:eastAsiaTheme="minorHAnsi"/>
        </w:rPr>
      </w:pPr>
      <w:r w:rsidRPr="006D075E">
        <w:rPr>
          <w:rFonts w:eastAsiaTheme="minorHAnsi"/>
        </w:rPr>
        <w:t>Note: Cycle length is 28 days. Patients receive acalabrutinib/placebo until disease progression or unacceptable toxicity.</w:t>
      </w:r>
    </w:p>
    <w:p w14:paraId="338EB17B" w14:textId="77777777" w:rsidR="00A0461C" w:rsidRPr="006D075E" w:rsidRDefault="00A0461C" w:rsidP="00A0461C">
      <w:pPr>
        <w:pStyle w:val="COMH1-numbered"/>
        <w:rPr>
          <w:rFonts w:eastAsiaTheme="minorHAnsi" w:cstheme="minorBidi"/>
          <w:szCs w:val="22"/>
        </w:rPr>
      </w:pPr>
      <w:bookmarkStart w:id="1" w:name="_Toc198649027"/>
      <w:r w:rsidRPr="006D075E">
        <w:rPr>
          <w:rFonts w:eastAsiaTheme="minorHAnsi" w:cstheme="minorBidi"/>
          <w:szCs w:val="22"/>
        </w:rPr>
        <w:t>Background</w:t>
      </w:r>
      <w:bookmarkEnd w:id="1"/>
    </w:p>
    <w:p w14:paraId="043B9BD2" w14:textId="77777777" w:rsidR="00A0461C" w:rsidRPr="006D075E" w:rsidRDefault="00A0461C" w:rsidP="005323D4">
      <w:pPr>
        <w:pStyle w:val="COMH2-non-numbered"/>
      </w:pPr>
      <w:bookmarkStart w:id="2" w:name="_Toc198649028"/>
      <w:r w:rsidRPr="006D075E">
        <w:t>Registration status</w:t>
      </w:r>
      <w:bookmarkEnd w:id="2"/>
    </w:p>
    <w:p w14:paraId="7DD57C7C" w14:textId="3C5A5091" w:rsidR="00A0461C" w:rsidRPr="006617D6" w:rsidRDefault="00A0461C">
      <w:pPr>
        <w:pStyle w:val="COMexecsummnumbered"/>
      </w:pPr>
      <w:bookmarkStart w:id="3" w:name="_Ref204334131"/>
      <w:r w:rsidRPr="006617D6">
        <w:t xml:space="preserve">The submission was made under the TGA/PBAC Parallel Process. The application for acalabrutinib in combination with </w:t>
      </w:r>
      <w:proofErr w:type="spellStart"/>
      <w:r w:rsidRPr="006617D6">
        <w:t>bendamustine</w:t>
      </w:r>
      <w:proofErr w:type="spellEnd"/>
      <w:r w:rsidRPr="006617D6">
        <w:t xml:space="preserve"> and rituximab </w:t>
      </w:r>
      <w:r w:rsidR="00034810" w:rsidRPr="006617D6">
        <w:t>was evaluated</w:t>
      </w:r>
      <w:r w:rsidRPr="006617D6">
        <w:t xml:space="preserve"> through Project Orbis, with the proposed indication for the treatment of adult patients with previously untreated </w:t>
      </w:r>
      <w:r w:rsidR="008B591E" w:rsidRPr="006617D6">
        <w:t>MCL</w:t>
      </w:r>
      <w:r w:rsidRPr="006617D6">
        <w:t xml:space="preserve">. No </w:t>
      </w:r>
      <w:r w:rsidR="00AF0761" w:rsidRPr="006617D6">
        <w:t xml:space="preserve">TGA </w:t>
      </w:r>
      <w:r w:rsidRPr="006617D6">
        <w:t>regulatory documents were available at the time of the evaluation. The TGA Delegate’s Overview</w:t>
      </w:r>
      <w:r w:rsidR="00C95410">
        <w:t xml:space="preserve">, </w:t>
      </w:r>
      <w:r w:rsidR="00E55380">
        <w:t>received prior to the PBAC meeting</w:t>
      </w:r>
      <w:r w:rsidRPr="006617D6">
        <w:t>,</w:t>
      </w:r>
      <w:r w:rsidR="001A2729" w:rsidRPr="006617D6">
        <w:t xml:space="preserve"> </w:t>
      </w:r>
      <w:r w:rsidR="00C95410">
        <w:t>stated</w:t>
      </w:r>
      <w:r w:rsidR="001A2729" w:rsidRPr="006617D6">
        <w:t xml:space="preserve"> that </w:t>
      </w:r>
      <w:r w:rsidR="001D39D6">
        <w:t xml:space="preserve">the Delegate proposed to approve registration for the following indication: acalabrutinib ‘in combination with </w:t>
      </w:r>
      <w:proofErr w:type="spellStart"/>
      <w:r w:rsidR="001D39D6">
        <w:t>bendamustine</w:t>
      </w:r>
      <w:proofErr w:type="spellEnd"/>
      <w:r w:rsidR="001D39D6">
        <w:t xml:space="preserve"> and rituximab is indicated for the treatment of adult patients with previously untreated MCL who are </w:t>
      </w:r>
      <w:r w:rsidR="001D39D6">
        <w:lastRenderedPageBreak/>
        <w:t>not eligible for autologous haematopoietic stem cell transplantation’.</w:t>
      </w:r>
      <w:r w:rsidR="001D39D6" w:rsidRPr="006617D6">
        <w:t xml:space="preserve"> </w:t>
      </w:r>
      <w:r w:rsidR="001D39D6">
        <w:t xml:space="preserve">The </w:t>
      </w:r>
      <w:r w:rsidR="001D39D6" w:rsidRPr="006617D6">
        <w:t>Delegate</w:t>
      </w:r>
      <w:r w:rsidR="00C67286">
        <w:t xml:space="preserve"> proposed </w:t>
      </w:r>
      <w:r w:rsidR="00A2770E">
        <w:t>‘</w:t>
      </w:r>
      <w:r w:rsidR="00C67286" w:rsidRPr="00C67286">
        <w:t>to impose a condition of registration that requires submission of subsequent pre-planned and final OS analyses from ECHO</w:t>
      </w:r>
      <w:r w:rsidR="00A2770E">
        <w:t>.</w:t>
      </w:r>
      <w:r w:rsidR="00C67286" w:rsidRPr="00C67286">
        <w:t xml:space="preserve"> These should be assessed to ensure continuing absence of evidence of survival detriment at final analysis</w:t>
      </w:r>
      <w:r w:rsidR="00A2770E">
        <w:t xml:space="preserve">.’ </w:t>
      </w:r>
      <w:bookmarkEnd w:id="3"/>
    </w:p>
    <w:p w14:paraId="12A42854" w14:textId="3862BDB2" w:rsidR="00A0461C" w:rsidRPr="006D075E" w:rsidRDefault="00A0461C" w:rsidP="005323D4">
      <w:pPr>
        <w:pStyle w:val="COMH2-non-numbered"/>
      </w:pPr>
      <w:bookmarkStart w:id="4" w:name="_Toc198649029"/>
      <w:r w:rsidRPr="006D075E">
        <w:t>Previous PBAC consideration</w:t>
      </w:r>
      <w:r w:rsidR="00E01D60" w:rsidRPr="006D075E">
        <w:t>s</w:t>
      </w:r>
      <w:bookmarkEnd w:id="4"/>
    </w:p>
    <w:p w14:paraId="3EABD5F7" w14:textId="633C8F62" w:rsidR="00A0461C" w:rsidRPr="006D075E" w:rsidRDefault="00A0461C" w:rsidP="005323D4">
      <w:pPr>
        <w:pStyle w:val="COMexecsummnumbered"/>
      </w:pPr>
      <w:r w:rsidRPr="006D075E">
        <w:t xml:space="preserve">The PBAC has not previously considered </w:t>
      </w:r>
      <w:r w:rsidR="0069566E" w:rsidRPr="006D075E">
        <w:t>acalabrutinib</w:t>
      </w:r>
      <w:r w:rsidRPr="006D075E">
        <w:t xml:space="preserve"> for the treatment of patients with previously untreated Stage III or IV </w:t>
      </w:r>
      <w:r w:rsidR="008B591E">
        <w:t>MCL</w:t>
      </w:r>
      <w:r w:rsidRPr="006D075E">
        <w:t xml:space="preserve">. </w:t>
      </w:r>
    </w:p>
    <w:p w14:paraId="613C3F18" w14:textId="25558ECD" w:rsidR="00A0461C" w:rsidRPr="006D075E" w:rsidRDefault="00A0461C" w:rsidP="005323D4">
      <w:pPr>
        <w:pStyle w:val="COMexecsummnumbered"/>
      </w:pPr>
      <w:r w:rsidRPr="006D075E">
        <w:t xml:space="preserve">There have been 7 previous submissions to the PBAC for acalabrutinib for </w:t>
      </w:r>
      <w:r w:rsidR="00E01D60" w:rsidRPr="006D075E">
        <w:t>3</w:t>
      </w:r>
      <w:r w:rsidRPr="006D075E">
        <w:t xml:space="preserve"> different indications: relapsed/refractory chronic lymphocytic leukaemia/small lymphocytic leukaemia (CLL/SLL; recommended March 2020 PBAC meeting, PBS listed September 2020; change to Deed of Agreement not recommended March 2023), relapsed/refractory </w:t>
      </w:r>
      <w:r w:rsidR="008B591E">
        <w:t>MCL</w:t>
      </w:r>
      <w:r w:rsidRPr="006D075E">
        <w:t xml:space="preserve"> (recommended July 2021 PBAC meeting, PBS listed February 2022), and </w:t>
      </w:r>
      <w:r w:rsidR="00E94014" w:rsidRPr="006D075E">
        <w:t>first line</w:t>
      </w:r>
      <w:r w:rsidRPr="006D075E">
        <w:t xml:space="preserve"> CLL/SLL (not recommended July 2020, November 2021, December 2022, recommended July 2024, PBS listed January 2024).</w:t>
      </w:r>
    </w:p>
    <w:p w14:paraId="08527870" w14:textId="53CAD896" w:rsidR="00C93018" w:rsidRPr="006D075E" w:rsidRDefault="00C93018" w:rsidP="00C93018">
      <w:pPr>
        <w:pStyle w:val="COMexecsummnumbered"/>
        <w:numPr>
          <w:ilvl w:val="0"/>
          <w:numId w:val="0"/>
        </w:numPr>
        <w:rPr>
          <w:i/>
          <w:iCs/>
        </w:rPr>
      </w:pPr>
      <w:r w:rsidRPr="006D075E">
        <w:rPr>
          <w:i/>
          <w:iCs/>
        </w:rPr>
        <w:t>For more detail on PBAC’s view, see section 7 PBAC outcome.</w:t>
      </w:r>
    </w:p>
    <w:p w14:paraId="5F4D57CE" w14:textId="77777777" w:rsidR="00A0461C" w:rsidRPr="006D075E" w:rsidRDefault="00A0461C" w:rsidP="00A0461C">
      <w:pPr>
        <w:pStyle w:val="COMH1-numbered"/>
        <w:rPr>
          <w:rFonts w:eastAsiaTheme="minorHAnsi" w:cstheme="minorBidi"/>
          <w:szCs w:val="22"/>
        </w:rPr>
      </w:pPr>
      <w:bookmarkStart w:id="5" w:name="_Toc198649030"/>
      <w:r w:rsidRPr="006D075E">
        <w:rPr>
          <w:rFonts w:eastAsiaTheme="minorHAnsi" w:cstheme="minorBidi"/>
          <w:szCs w:val="22"/>
        </w:rPr>
        <w:lastRenderedPageBreak/>
        <w:t>Requested listing</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quested listing"/>
      </w:tblPr>
      <w:tblGrid>
        <w:gridCol w:w="2405"/>
        <w:gridCol w:w="2346"/>
        <w:gridCol w:w="812"/>
        <w:gridCol w:w="811"/>
        <w:gridCol w:w="812"/>
        <w:gridCol w:w="1831"/>
      </w:tblGrid>
      <w:tr w:rsidR="00A0461C" w:rsidRPr="006D075E" w14:paraId="04D4F9C5" w14:textId="77777777" w:rsidTr="00A0461C">
        <w:trPr>
          <w:cantSplit/>
          <w:trHeight w:val="20"/>
        </w:trPr>
        <w:tc>
          <w:tcPr>
            <w:tcW w:w="2405" w:type="dxa"/>
            <w:tcBorders>
              <w:top w:val="single" w:sz="4" w:space="0" w:color="auto"/>
              <w:left w:val="single" w:sz="4" w:space="0" w:color="auto"/>
              <w:bottom w:val="single" w:sz="4" w:space="0" w:color="auto"/>
              <w:right w:val="single" w:sz="4" w:space="0" w:color="auto"/>
            </w:tcBorders>
            <w:vAlign w:val="center"/>
            <w:hideMark/>
          </w:tcPr>
          <w:p w14:paraId="352E5CBE" w14:textId="77777777" w:rsidR="00A0461C" w:rsidRPr="006D075E" w:rsidRDefault="00A0461C" w:rsidP="00AB2279">
            <w:pPr>
              <w:pStyle w:val="COMTableheadingrow"/>
              <w:rPr>
                <w:lang w:val="en-AU"/>
              </w:rPr>
            </w:pPr>
            <w:r w:rsidRPr="006D075E">
              <w:rPr>
                <w:lang w:val="en-AU"/>
              </w:rPr>
              <w:t>MEDICINAL PRODUCT</w:t>
            </w:r>
          </w:p>
          <w:p w14:paraId="4EA8B5DF" w14:textId="77777777" w:rsidR="00A0461C" w:rsidRPr="006D075E" w:rsidRDefault="00A0461C" w:rsidP="00AB2279">
            <w:pPr>
              <w:pStyle w:val="COMTableheadingrow"/>
              <w:rPr>
                <w:lang w:val="en-AU"/>
              </w:rPr>
            </w:pPr>
            <w:r w:rsidRPr="006D075E">
              <w:rPr>
                <w:lang w:val="en-AU"/>
              </w:rPr>
              <w:t>medicinal product pack</w:t>
            </w:r>
          </w:p>
        </w:tc>
        <w:tc>
          <w:tcPr>
            <w:tcW w:w="2346" w:type="dxa"/>
            <w:tcBorders>
              <w:top w:val="single" w:sz="4" w:space="0" w:color="auto"/>
              <w:left w:val="single" w:sz="4" w:space="0" w:color="auto"/>
              <w:bottom w:val="single" w:sz="4" w:space="0" w:color="auto"/>
              <w:right w:val="single" w:sz="4" w:space="0" w:color="auto"/>
            </w:tcBorders>
            <w:vAlign w:val="center"/>
            <w:hideMark/>
          </w:tcPr>
          <w:p w14:paraId="3956057A" w14:textId="77777777" w:rsidR="00A0461C" w:rsidRPr="006D075E" w:rsidRDefault="00A0461C" w:rsidP="00AB2279">
            <w:pPr>
              <w:pStyle w:val="COMTableheadingrow"/>
              <w:rPr>
                <w:lang w:val="en-AU"/>
              </w:rPr>
            </w:pPr>
            <w:r w:rsidRPr="006D075E">
              <w:rPr>
                <w:lang w:val="en-AU"/>
              </w:rPr>
              <w:t xml:space="preserve">Dispensed Price for Max. Qty </w:t>
            </w:r>
          </w:p>
        </w:tc>
        <w:tc>
          <w:tcPr>
            <w:tcW w:w="812" w:type="dxa"/>
            <w:tcBorders>
              <w:top w:val="single" w:sz="4" w:space="0" w:color="auto"/>
              <w:left w:val="single" w:sz="4" w:space="0" w:color="auto"/>
              <w:bottom w:val="single" w:sz="4" w:space="0" w:color="auto"/>
              <w:right w:val="single" w:sz="4" w:space="0" w:color="auto"/>
            </w:tcBorders>
            <w:vAlign w:val="center"/>
            <w:hideMark/>
          </w:tcPr>
          <w:p w14:paraId="341CEE84" w14:textId="77777777" w:rsidR="00A0461C" w:rsidRPr="006D075E" w:rsidRDefault="00A0461C" w:rsidP="00AB2279">
            <w:pPr>
              <w:pStyle w:val="COMTableheadingrow"/>
              <w:jc w:val="center"/>
              <w:rPr>
                <w:lang w:val="en-AU"/>
              </w:rPr>
            </w:pPr>
            <w:r w:rsidRPr="006D075E">
              <w:rPr>
                <w:lang w:val="en-AU"/>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54F70595" w14:textId="77777777" w:rsidR="00A0461C" w:rsidRPr="006D075E" w:rsidRDefault="00A0461C" w:rsidP="00AB2279">
            <w:pPr>
              <w:pStyle w:val="COMTableheadingrow"/>
              <w:jc w:val="center"/>
              <w:rPr>
                <w:lang w:val="en-AU"/>
              </w:rPr>
            </w:pPr>
            <w:r w:rsidRPr="006D075E">
              <w:rPr>
                <w:lang w:val="en-AU"/>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239E17D9" w14:textId="77777777" w:rsidR="00A0461C" w:rsidRPr="006D075E" w:rsidRDefault="00A0461C" w:rsidP="00AB2279">
            <w:pPr>
              <w:pStyle w:val="COMTableheadingrow"/>
              <w:jc w:val="center"/>
              <w:rPr>
                <w:lang w:val="en-AU"/>
              </w:rPr>
            </w:pPr>
            <w:r w:rsidRPr="006D075E">
              <w:rPr>
                <w:lang w:val="en-AU"/>
              </w:rPr>
              <w:t>№.of</w:t>
            </w:r>
          </w:p>
          <w:p w14:paraId="030596D5" w14:textId="77777777" w:rsidR="00A0461C" w:rsidRPr="006D075E" w:rsidRDefault="00A0461C" w:rsidP="00AB2279">
            <w:pPr>
              <w:pStyle w:val="COMTableheadingrow"/>
              <w:jc w:val="center"/>
              <w:rPr>
                <w:lang w:val="en-AU"/>
              </w:rPr>
            </w:pPr>
            <w:r w:rsidRPr="006D075E">
              <w:rPr>
                <w:lang w:val="en-AU"/>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0878294C" w14:textId="77777777" w:rsidR="00A0461C" w:rsidRPr="006D075E" w:rsidRDefault="00A0461C" w:rsidP="00AB2279">
            <w:pPr>
              <w:pStyle w:val="COMTableheadingrow"/>
              <w:rPr>
                <w:lang w:val="en-AU"/>
              </w:rPr>
            </w:pPr>
            <w:r w:rsidRPr="006D075E">
              <w:rPr>
                <w:lang w:val="en-AU"/>
              </w:rPr>
              <w:t>Available brands</w:t>
            </w:r>
          </w:p>
        </w:tc>
      </w:tr>
      <w:tr w:rsidR="00A0461C" w:rsidRPr="006D075E" w14:paraId="0A8001DA"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vAlign w:val="center"/>
            <w:hideMark/>
          </w:tcPr>
          <w:p w14:paraId="797EA4AA" w14:textId="77777777" w:rsidR="00A0461C" w:rsidRPr="006D075E" w:rsidRDefault="00A0461C" w:rsidP="009056AA">
            <w:pPr>
              <w:pStyle w:val="COMTabletext"/>
            </w:pPr>
            <w:r w:rsidRPr="006D075E">
              <w:t>ACALABRUTINIB</w:t>
            </w:r>
          </w:p>
        </w:tc>
      </w:tr>
      <w:tr w:rsidR="00A0461C" w:rsidRPr="006D075E" w14:paraId="4169027D" w14:textId="77777777" w:rsidTr="00A0461C">
        <w:trPr>
          <w:cantSplit/>
          <w:trHeight w:val="20"/>
        </w:trPr>
        <w:tc>
          <w:tcPr>
            <w:tcW w:w="2405" w:type="dxa"/>
            <w:tcBorders>
              <w:top w:val="single" w:sz="4" w:space="0" w:color="auto"/>
              <w:left w:val="single" w:sz="4" w:space="0" w:color="auto"/>
              <w:bottom w:val="single" w:sz="4" w:space="0" w:color="auto"/>
              <w:right w:val="single" w:sz="4" w:space="0" w:color="auto"/>
            </w:tcBorders>
            <w:vAlign w:val="center"/>
            <w:hideMark/>
          </w:tcPr>
          <w:p w14:paraId="6BD3D0F3" w14:textId="77777777" w:rsidR="00A0461C" w:rsidRPr="006D075E" w:rsidRDefault="00A0461C" w:rsidP="009056AA">
            <w:pPr>
              <w:pStyle w:val="COMTabletext"/>
            </w:pPr>
            <w:r w:rsidRPr="006D075E">
              <w:t xml:space="preserve">Acalabrutinib 100 mg tablet, 56 </w:t>
            </w:r>
          </w:p>
        </w:tc>
        <w:tc>
          <w:tcPr>
            <w:tcW w:w="2346" w:type="dxa"/>
            <w:tcBorders>
              <w:top w:val="single" w:sz="4" w:space="0" w:color="auto"/>
              <w:left w:val="single" w:sz="4" w:space="0" w:color="auto"/>
              <w:bottom w:val="single" w:sz="4" w:space="0" w:color="auto"/>
              <w:right w:val="single" w:sz="4" w:space="0" w:color="auto"/>
            </w:tcBorders>
            <w:hideMark/>
          </w:tcPr>
          <w:p w14:paraId="3803E26E" w14:textId="77777777" w:rsidR="00A0461C" w:rsidRPr="006D075E" w:rsidRDefault="00A0461C" w:rsidP="009056AA">
            <w:pPr>
              <w:pStyle w:val="COMTabletext"/>
            </w:pPr>
            <w:r w:rsidRPr="006D075E">
              <w:t>$7,414.57 published price</w:t>
            </w:r>
          </w:p>
          <w:p w14:paraId="08125C06" w14:textId="3593EA1F" w:rsidR="00A0461C" w:rsidRPr="006D075E" w:rsidRDefault="00A0461C" w:rsidP="009056AA">
            <w:pPr>
              <w:pStyle w:val="COMTabletext"/>
            </w:pPr>
            <w:r w:rsidRPr="006D075E">
              <w:t>$</w:t>
            </w:r>
            <w:r w:rsidR="00800963" w:rsidRPr="007542BF">
              <w:rPr>
                <w:color w:val="000000"/>
                <w:spacing w:val="51"/>
                <w:shd w:val="solid" w:color="000000" w:fill="000000"/>
                <w:fitText w:val="324" w:id="-629433344"/>
                <w14:textFill>
                  <w14:solidFill>
                    <w14:srgbClr w14:val="000000">
                      <w14:alpha w14:val="100000"/>
                    </w14:srgbClr>
                  </w14:solidFill>
                </w14:textFill>
              </w:rPr>
              <w:t>|||</w:t>
            </w:r>
            <w:r w:rsidR="00800963" w:rsidRPr="007542BF">
              <w:rPr>
                <w:color w:val="000000"/>
                <w:spacing w:val="1"/>
                <w:shd w:val="solid" w:color="000000" w:fill="000000"/>
                <w:fitText w:val="324" w:id="-629433344"/>
                <w14:textFill>
                  <w14:solidFill>
                    <w14:srgbClr w14:val="000000">
                      <w14:alpha w14:val="100000"/>
                    </w14:srgbClr>
                  </w14:solidFill>
                </w14:textFill>
              </w:rPr>
              <w:t>|</w:t>
            </w:r>
            <w:r w:rsidRPr="006D075E">
              <w:t xml:space="preserve"> effective price</w:t>
            </w:r>
          </w:p>
        </w:tc>
        <w:tc>
          <w:tcPr>
            <w:tcW w:w="812" w:type="dxa"/>
            <w:tcBorders>
              <w:top w:val="single" w:sz="4" w:space="0" w:color="auto"/>
              <w:left w:val="single" w:sz="4" w:space="0" w:color="auto"/>
              <w:bottom w:val="single" w:sz="4" w:space="0" w:color="auto"/>
              <w:right w:val="single" w:sz="4" w:space="0" w:color="auto"/>
            </w:tcBorders>
            <w:vAlign w:val="center"/>
            <w:hideMark/>
          </w:tcPr>
          <w:p w14:paraId="4360FF49" w14:textId="77777777" w:rsidR="00A0461C" w:rsidRPr="006D075E" w:rsidRDefault="00A0461C" w:rsidP="009056AA">
            <w:pPr>
              <w:pStyle w:val="COMTabletext"/>
              <w:jc w:val="center"/>
            </w:pPr>
            <w:r w:rsidRPr="006D075E">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7B2E7AB1" w14:textId="77777777" w:rsidR="00A0461C" w:rsidRPr="006D075E" w:rsidRDefault="00A0461C" w:rsidP="009056AA">
            <w:pPr>
              <w:pStyle w:val="COMTabletext"/>
              <w:jc w:val="center"/>
            </w:pPr>
            <w:r w:rsidRPr="006D075E">
              <w:t>56</w:t>
            </w:r>
          </w:p>
        </w:tc>
        <w:tc>
          <w:tcPr>
            <w:tcW w:w="812" w:type="dxa"/>
            <w:tcBorders>
              <w:top w:val="single" w:sz="4" w:space="0" w:color="auto"/>
              <w:left w:val="single" w:sz="4" w:space="0" w:color="auto"/>
              <w:bottom w:val="single" w:sz="4" w:space="0" w:color="auto"/>
              <w:right w:val="single" w:sz="4" w:space="0" w:color="auto"/>
            </w:tcBorders>
            <w:vAlign w:val="center"/>
            <w:hideMark/>
          </w:tcPr>
          <w:p w14:paraId="4125DD13" w14:textId="77777777" w:rsidR="00A0461C" w:rsidRPr="006D075E" w:rsidRDefault="00A0461C" w:rsidP="009056AA">
            <w:pPr>
              <w:pStyle w:val="COMTabletext"/>
              <w:jc w:val="center"/>
            </w:pPr>
            <w:r w:rsidRPr="006D075E">
              <w:t>5</w:t>
            </w:r>
          </w:p>
        </w:tc>
        <w:tc>
          <w:tcPr>
            <w:tcW w:w="1831" w:type="dxa"/>
            <w:tcBorders>
              <w:top w:val="single" w:sz="4" w:space="0" w:color="auto"/>
              <w:left w:val="single" w:sz="4" w:space="0" w:color="auto"/>
              <w:bottom w:val="single" w:sz="4" w:space="0" w:color="auto"/>
              <w:right w:val="single" w:sz="4" w:space="0" w:color="auto"/>
            </w:tcBorders>
            <w:vAlign w:val="center"/>
            <w:hideMark/>
          </w:tcPr>
          <w:p w14:paraId="649EF6A5" w14:textId="77777777" w:rsidR="00A0461C" w:rsidRPr="006D075E" w:rsidRDefault="00A0461C" w:rsidP="009056AA">
            <w:pPr>
              <w:pStyle w:val="COMTabletext"/>
            </w:pPr>
            <w:proofErr w:type="spellStart"/>
            <w:r w:rsidRPr="006D075E">
              <w:t>Calquence</w:t>
            </w:r>
            <w:proofErr w:type="spellEnd"/>
          </w:p>
        </w:tc>
      </w:tr>
      <w:tr w:rsidR="009056AA" w:rsidRPr="006D075E" w14:paraId="07494887"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4915A7C" w14:textId="161E658B" w:rsidR="009056AA" w:rsidRPr="006D075E" w:rsidRDefault="009056AA" w:rsidP="009056AA">
            <w:pPr>
              <w:pStyle w:val="COMTabletext"/>
            </w:pPr>
            <w:r w:rsidRPr="006D075E">
              <w:rPr>
                <w:b/>
              </w:rPr>
              <w:t xml:space="preserve">Category / Program: </w:t>
            </w:r>
            <w:r w:rsidRPr="006D075E">
              <w:t>General Schedule</w:t>
            </w:r>
          </w:p>
        </w:tc>
      </w:tr>
      <w:tr w:rsidR="009056AA" w:rsidRPr="006D075E" w14:paraId="6364C643"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17011BA" w14:textId="321311AC" w:rsidR="009056AA" w:rsidRPr="006D075E" w:rsidRDefault="009056AA" w:rsidP="009056AA">
            <w:pPr>
              <w:pStyle w:val="COMTabletext"/>
            </w:pPr>
            <w:r w:rsidRPr="006D075E">
              <w:rPr>
                <w:b/>
              </w:rPr>
              <w:t xml:space="preserve">Prescriber type: </w:t>
            </w:r>
            <w:r w:rsidRPr="006D075E">
              <w:fldChar w:fldCharType="begin">
                <w:ffData>
                  <w:name w:val=""/>
                  <w:enabled/>
                  <w:calcOnExit w:val="0"/>
                  <w:checkBox>
                    <w:sizeAuto/>
                    <w:default w:val="1"/>
                  </w:checkBox>
                </w:ffData>
              </w:fldChar>
            </w:r>
            <w:r w:rsidRPr="006D075E">
              <w:instrText xml:space="preserve"> FORMCHECKBOX </w:instrText>
            </w:r>
            <w:r w:rsidRPr="006D075E">
              <w:fldChar w:fldCharType="separate"/>
            </w:r>
            <w:r w:rsidRPr="006D075E">
              <w:fldChar w:fldCharType="end"/>
            </w:r>
            <w:r w:rsidRPr="006D075E">
              <w:t xml:space="preserve">Medical Practitioners </w:t>
            </w:r>
          </w:p>
        </w:tc>
      </w:tr>
      <w:tr w:rsidR="009056AA" w:rsidRPr="006D075E" w14:paraId="07808739"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C16F34C" w14:textId="760F6CB5" w:rsidR="009056AA" w:rsidRPr="006D075E" w:rsidRDefault="009056AA" w:rsidP="009056AA">
            <w:pPr>
              <w:pStyle w:val="COMTabletext"/>
            </w:pPr>
            <w:r w:rsidRPr="006D075E">
              <w:rPr>
                <w:b/>
              </w:rPr>
              <w:t xml:space="preserve">Restriction type: </w:t>
            </w:r>
            <w:r w:rsidRPr="006D075E">
              <w:fldChar w:fldCharType="begin">
                <w:ffData>
                  <w:name w:val=""/>
                  <w:enabled/>
                  <w:calcOnExit w:val="0"/>
                  <w:checkBox>
                    <w:sizeAuto/>
                    <w:default w:val="1"/>
                  </w:checkBox>
                </w:ffData>
              </w:fldChar>
            </w:r>
            <w:r w:rsidRPr="006D075E">
              <w:instrText xml:space="preserve"> FORMCHECKBOX </w:instrText>
            </w:r>
            <w:r w:rsidRPr="006D075E">
              <w:fldChar w:fldCharType="separate"/>
            </w:r>
            <w:r w:rsidRPr="006D075E">
              <w:fldChar w:fldCharType="end"/>
            </w:r>
            <w:r w:rsidRPr="006D075E">
              <w:t xml:space="preserve">Authority Required (telephone/online PBS Authorities system) </w:t>
            </w:r>
          </w:p>
        </w:tc>
      </w:tr>
      <w:tr w:rsidR="009056AA" w:rsidRPr="006D075E" w14:paraId="1C7FC020"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D05CA9" w14:textId="56C37ED8" w:rsidR="009056AA" w:rsidRPr="006D075E" w:rsidRDefault="009056AA" w:rsidP="009056AA">
            <w:pPr>
              <w:pStyle w:val="COMTabletext"/>
            </w:pPr>
            <w:r w:rsidRPr="006D075E">
              <w:rPr>
                <w:b/>
              </w:rPr>
              <w:t xml:space="preserve">Severity: </w:t>
            </w:r>
            <w:r w:rsidRPr="006D075E">
              <w:t>Stage III or IV mantle cell lymphoma</w:t>
            </w:r>
          </w:p>
        </w:tc>
      </w:tr>
      <w:tr w:rsidR="009056AA" w:rsidRPr="006D075E" w14:paraId="7AA9D63C"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FA4159" w14:textId="127A37A0" w:rsidR="009056AA" w:rsidRPr="006D075E" w:rsidRDefault="009056AA" w:rsidP="009056AA">
            <w:pPr>
              <w:pStyle w:val="COMTabletext"/>
            </w:pPr>
            <w:r w:rsidRPr="006D075E">
              <w:rPr>
                <w:b/>
              </w:rPr>
              <w:t xml:space="preserve">Condition: </w:t>
            </w:r>
            <w:r w:rsidRPr="006D075E">
              <w:t xml:space="preserve">Mantle cell lymphoma </w:t>
            </w:r>
          </w:p>
        </w:tc>
      </w:tr>
      <w:tr w:rsidR="009056AA" w:rsidRPr="006D075E" w14:paraId="10BC2D45"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8CB302" w14:textId="539B6707" w:rsidR="009056AA" w:rsidRPr="006D075E" w:rsidRDefault="009056AA" w:rsidP="009056AA">
            <w:pPr>
              <w:pStyle w:val="COMTabletext"/>
            </w:pPr>
            <w:r w:rsidRPr="006D075E">
              <w:rPr>
                <w:b/>
              </w:rPr>
              <w:t>Indication:</w:t>
            </w:r>
            <w:r w:rsidRPr="006D075E">
              <w:t xml:space="preserve"> Previously untreated Stage III or IV mantle cell lymphoma</w:t>
            </w:r>
          </w:p>
        </w:tc>
      </w:tr>
      <w:tr w:rsidR="009056AA" w:rsidRPr="006D075E" w14:paraId="024DB92A"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2165DE" w14:textId="5CE21D6D" w:rsidR="009056AA" w:rsidRPr="006D075E" w:rsidRDefault="009056AA" w:rsidP="009056AA">
            <w:pPr>
              <w:pStyle w:val="COMTabletext"/>
            </w:pPr>
            <w:r w:rsidRPr="006D075E">
              <w:rPr>
                <w:b/>
              </w:rPr>
              <w:t>Treatment Phase:</w:t>
            </w:r>
            <w:r w:rsidRPr="006D075E">
              <w:t xml:space="preserve"> First line drug treatment of this indication</w:t>
            </w:r>
          </w:p>
        </w:tc>
      </w:tr>
      <w:tr w:rsidR="009056AA" w:rsidRPr="006D075E" w14:paraId="78677B9A"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AC5269E" w14:textId="698FBCA1" w:rsidR="009056AA" w:rsidRPr="006D075E" w:rsidRDefault="009056AA" w:rsidP="009056AA">
            <w:pPr>
              <w:pStyle w:val="COMTabletext"/>
            </w:pPr>
            <w:r w:rsidRPr="006D075E">
              <w:rPr>
                <w:b/>
                <w:bCs w:val="0"/>
              </w:rPr>
              <w:t>Clinical criteria:</w:t>
            </w:r>
          </w:p>
        </w:tc>
      </w:tr>
      <w:tr w:rsidR="009056AA" w:rsidRPr="006D075E" w14:paraId="02ADC32A"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FDAB9F" w14:textId="3DCE36B0" w:rsidR="009056AA" w:rsidRPr="006D075E" w:rsidRDefault="009056AA" w:rsidP="009056AA">
            <w:pPr>
              <w:pStyle w:val="COMTabletext"/>
            </w:pPr>
            <w:r w:rsidRPr="006D075E">
              <w:t>The condition must be untreated with drug treatment at the time of the first dose of this drug</w:t>
            </w:r>
          </w:p>
        </w:tc>
      </w:tr>
      <w:tr w:rsidR="009056AA" w:rsidRPr="006D075E" w14:paraId="2295C592"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24D1E9" w14:textId="2B14E125" w:rsidR="009056AA" w:rsidRPr="006D075E" w:rsidRDefault="009056AA" w:rsidP="009056AA">
            <w:pPr>
              <w:pStyle w:val="COMTabletext"/>
            </w:pPr>
            <w:r w:rsidRPr="006D075E">
              <w:rPr>
                <w:b/>
                <w:bCs w:val="0"/>
              </w:rPr>
              <w:t>AND</w:t>
            </w:r>
          </w:p>
        </w:tc>
      </w:tr>
      <w:tr w:rsidR="009056AA" w:rsidRPr="006D075E" w14:paraId="4E12C63A"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C9280F" w14:textId="5B0E0ECC" w:rsidR="009056AA" w:rsidRPr="006D075E" w:rsidRDefault="009056AA" w:rsidP="009056AA">
            <w:pPr>
              <w:pStyle w:val="COMTabletext"/>
            </w:pPr>
            <w:r w:rsidRPr="006D075E">
              <w:rPr>
                <w:b/>
                <w:bCs w:val="0"/>
              </w:rPr>
              <w:t>Clinical criteria:</w:t>
            </w:r>
          </w:p>
        </w:tc>
      </w:tr>
      <w:tr w:rsidR="009056AA" w:rsidRPr="006D075E" w14:paraId="0958BE13"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4B85CC" w14:textId="0D07FF33" w:rsidR="009056AA" w:rsidRPr="006D075E" w:rsidRDefault="009056AA" w:rsidP="009056AA">
            <w:pPr>
              <w:pStyle w:val="COMTabletext"/>
            </w:pPr>
            <w:r w:rsidRPr="006D075E">
              <w:t>Patients must have a WHO performance status of 2 or less</w:t>
            </w:r>
          </w:p>
        </w:tc>
      </w:tr>
      <w:tr w:rsidR="009056AA" w:rsidRPr="006D075E" w14:paraId="5E6D8306"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80A603" w14:textId="06D6007A" w:rsidR="009056AA" w:rsidRPr="006D075E" w:rsidRDefault="009056AA" w:rsidP="009056AA">
            <w:pPr>
              <w:pStyle w:val="COMTabletext"/>
            </w:pPr>
            <w:r w:rsidRPr="006D075E">
              <w:rPr>
                <w:b/>
                <w:bCs w:val="0"/>
              </w:rPr>
              <w:t>AND</w:t>
            </w:r>
          </w:p>
        </w:tc>
      </w:tr>
      <w:tr w:rsidR="009056AA" w:rsidRPr="006D075E" w14:paraId="3918F49F"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A487764" w14:textId="09AA2B61" w:rsidR="009056AA" w:rsidRPr="006D075E" w:rsidRDefault="009056AA" w:rsidP="009056AA">
            <w:pPr>
              <w:pStyle w:val="COMTabletext"/>
              <w:rPr>
                <w:i/>
                <w:iCs/>
              </w:rPr>
            </w:pPr>
            <w:r w:rsidRPr="006D075E">
              <w:rPr>
                <w:b/>
                <w:bCs w:val="0"/>
              </w:rPr>
              <w:t>Clinical criteria:</w:t>
            </w:r>
          </w:p>
        </w:tc>
      </w:tr>
      <w:tr w:rsidR="009056AA" w:rsidRPr="006D075E" w14:paraId="33792E4B"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D6D4192" w14:textId="4B081BE5" w:rsidR="009056AA" w:rsidRPr="006D075E" w:rsidRDefault="009056AA" w:rsidP="009056AA">
            <w:pPr>
              <w:pStyle w:val="COMTabletext"/>
            </w:pPr>
            <w:r w:rsidRPr="006D075E">
              <w:t>Patient must not be eligible for stem cell transplantation</w:t>
            </w:r>
          </w:p>
        </w:tc>
      </w:tr>
      <w:tr w:rsidR="009056AA" w:rsidRPr="006D075E" w14:paraId="39331837"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F1CC30" w14:textId="11230306" w:rsidR="009056AA" w:rsidRPr="006D075E" w:rsidRDefault="009056AA" w:rsidP="009056AA">
            <w:pPr>
              <w:pStyle w:val="COMTabletext"/>
            </w:pPr>
            <w:r w:rsidRPr="006D075E">
              <w:rPr>
                <w:b/>
                <w:bCs w:val="0"/>
              </w:rPr>
              <w:t>Treatment criteria:</w:t>
            </w:r>
          </w:p>
        </w:tc>
      </w:tr>
      <w:tr w:rsidR="009056AA" w:rsidRPr="006D075E" w14:paraId="1EADAA99"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834DA75" w14:textId="0737C710" w:rsidR="009056AA" w:rsidRPr="006D075E" w:rsidRDefault="009056AA" w:rsidP="009056AA">
            <w:pPr>
              <w:pStyle w:val="COMTabletext"/>
            </w:pPr>
            <w:r w:rsidRPr="006D075E">
              <w:t xml:space="preserve">Patient must be undergoing induction treatment with this drug, in combination with </w:t>
            </w:r>
            <w:proofErr w:type="spellStart"/>
            <w:r w:rsidRPr="006D075E">
              <w:t>bendamustine</w:t>
            </w:r>
            <w:proofErr w:type="spellEnd"/>
            <w:r w:rsidRPr="006D075E">
              <w:t xml:space="preserve"> and rituximab for six cycles</w:t>
            </w:r>
          </w:p>
        </w:tc>
      </w:tr>
      <w:tr w:rsidR="009056AA" w:rsidRPr="006D075E" w14:paraId="67FBD77E"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7767F3C" w14:textId="7CD8A971" w:rsidR="009056AA" w:rsidRPr="006D075E" w:rsidRDefault="009056AA" w:rsidP="009056AA">
            <w:pPr>
              <w:pStyle w:val="COMTabletext"/>
            </w:pPr>
            <w:r w:rsidRPr="006D075E">
              <w:rPr>
                <w:b/>
                <w:bCs w:val="0"/>
              </w:rPr>
              <w:t>OR</w:t>
            </w:r>
          </w:p>
        </w:tc>
      </w:tr>
      <w:tr w:rsidR="009056AA" w:rsidRPr="006D075E" w14:paraId="2A53AF23"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86ED8A" w14:textId="460CC042" w:rsidR="009056AA" w:rsidRPr="006D075E" w:rsidRDefault="009056AA" w:rsidP="009056AA">
            <w:pPr>
              <w:pStyle w:val="COMTabletext"/>
            </w:pPr>
            <w:r w:rsidRPr="006D075E">
              <w:rPr>
                <w:b/>
                <w:bCs w:val="0"/>
              </w:rPr>
              <w:t>Treatment criteria:</w:t>
            </w:r>
          </w:p>
        </w:tc>
      </w:tr>
      <w:tr w:rsidR="009056AA" w:rsidRPr="006D075E" w14:paraId="3018F2B7" w14:textId="77777777" w:rsidTr="00A0461C">
        <w:trPr>
          <w:cantSplit/>
          <w:trHeight w:val="20"/>
        </w:trPr>
        <w:tc>
          <w:tcPr>
            <w:tcW w:w="901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77289AF" w14:textId="6DFD2B6F" w:rsidR="009056AA" w:rsidRPr="006D075E" w:rsidRDefault="009056AA" w:rsidP="009056AA">
            <w:pPr>
              <w:pStyle w:val="COMTabletext"/>
            </w:pPr>
            <w:r w:rsidRPr="006D075E">
              <w:t>Patient must be undergoing continuing treatment with this drug - the condition has not progressed while the patient has actively been on this drug</w:t>
            </w:r>
          </w:p>
        </w:tc>
      </w:tr>
    </w:tbl>
    <w:p w14:paraId="369BC0D0" w14:textId="026370C9" w:rsidR="00A0461C" w:rsidRPr="006D075E" w:rsidRDefault="00A0461C" w:rsidP="00D63C13">
      <w:pPr>
        <w:pStyle w:val="COMexecsummnumbered"/>
      </w:pPr>
      <w:r w:rsidRPr="006D075E">
        <w:t xml:space="preserve">The proposed published AEMP ($7,251.97) and DPMQ ($7,414.57) </w:t>
      </w:r>
      <w:r w:rsidR="00000999">
        <w:t>were</w:t>
      </w:r>
      <w:r w:rsidR="00000999" w:rsidRPr="006D075E">
        <w:t xml:space="preserve"> </w:t>
      </w:r>
      <w:r w:rsidRPr="006D075E">
        <w:t>consistent with other PBS-listed indications for acalabrutinib. The submission proposed a special pricing arrangement for the proposed indication, with an effective AEMP of $</w:t>
      </w:r>
      <w:r w:rsidR="00800963" w:rsidRPr="007542BF">
        <w:rPr>
          <w:color w:val="000000"/>
          <w:w w:val="61"/>
          <w:shd w:val="solid" w:color="000000" w:fill="000000"/>
          <w:fitText w:val="472" w:id="-629433343"/>
          <w14:textFill>
            <w14:solidFill>
              <w14:srgbClr w14:val="000000">
                <w14:alpha w14:val="100000"/>
              </w14:srgbClr>
            </w14:solidFill>
          </w14:textFill>
        </w:rPr>
        <w:t>|||  |||</w:t>
      </w:r>
      <w:r w:rsidRPr="006D075E">
        <w:t xml:space="preserve"> and DPMQ of $</w:t>
      </w:r>
      <w:r w:rsidR="00800963" w:rsidRPr="007542BF">
        <w:rPr>
          <w:color w:val="000000"/>
          <w:w w:val="61"/>
          <w:shd w:val="solid" w:color="000000" w:fill="000000"/>
          <w:fitText w:val="472" w:id="-629433342"/>
          <w14:textFill>
            <w14:solidFill>
              <w14:srgbClr w14:val="000000">
                <w14:alpha w14:val="100000"/>
              </w14:srgbClr>
            </w14:solidFill>
          </w14:textFill>
        </w:rPr>
        <w:t>|||  |||</w:t>
      </w:r>
      <w:r w:rsidRPr="006D075E">
        <w:t xml:space="preserve">. </w:t>
      </w:r>
    </w:p>
    <w:p w14:paraId="2A0D4DD3" w14:textId="1F8EFFCB" w:rsidR="00717EE4" w:rsidRPr="002C4651" w:rsidRDefault="00A0461C" w:rsidP="00717EE4">
      <w:pPr>
        <w:pStyle w:val="COMexecsummnumbered"/>
      </w:pPr>
      <w:r w:rsidRPr="002C4651">
        <w:t xml:space="preserve">The requested restriction </w:t>
      </w:r>
      <w:r w:rsidR="00E07A60">
        <w:t>was</w:t>
      </w:r>
      <w:r w:rsidRPr="002C4651">
        <w:t xml:space="preserve"> narrower than the </w:t>
      </w:r>
      <w:r w:rsidR="00EF5D54">
        <w:t>submission</w:t>
      </w:r>
      <w:r w:rsidR="00164A36">
        <w:t xml:space="preserve">’s </w:t>
      </w:r>
      <w:r w:rsidRPr="002C4651">
        <w:t xml:space="preserve">proposed TGA indication, with additional requirements for patients to be ineligible for stem cell transplantation </w:t>
      </w:r>
      <w:r w:rsidR="00A56E5A">
        <w:t xml:space="preserve">(refer to paragraph </w:t>
      </w:r>
      <w:r w:rsidR="00A56E5A">
        <w:fldChar w:fldCharType="begin"/>
      </w:r>
      <w:r w:rsidR="00A56E5A">
        <w:instrText xml:space="preserve"> REF _Ref204334131 \r \h </w:instrText>
      </w:r>
      <w:r w:rsidR="00A56E5A">
        <w:fldChar w:fldCharType="separate"/>
      </w:r>
      <w:r w:rsidR="00A542E9">
        <w:t>2.1</w:t>
      </w:r>
      <w:r w:rsidR="00A56E5A">
        <w:fldChar w:fldCharType="end"/>
      </w:r>
      <w:r w:rsidR="00A56E5A">
        <w:t xml:space="preserve"> for the indication proposed for registration by the TGA Delegate) </w:t>
      </w:r>
      <w:r w:rsidRPr="002C4651">
        <w:t xml:space="preserve">and with a WHO performance score of 2 or less. The requested restriction </w:t>
      </w:r>
      <w:r w:rsidR="00E07A60">
        <w:t>was</w:t>
      </w:r>
      <w:r w:rsidRPr="002C4651">
        <w:t xml:space="preserve"> generally consistent with the clinical evidence presented in the submission, however the ECHO trial excluded patients under </w:t>
      </w:r>
      <w:r w:rsidR="00435EDE" w:rsidRPr="002C4651">
        <w:t xml:space="preserve">the </w:t>
      </w:r>
      <w:r w:rsidRPr="002C4651">
        <w:t>age</w:t>
      </w:r>
      <w:r w:rsidR="00435EDE" w:rsidRPr="002C4651">
        <w:t xml:space="preserve"> of</w:t>
      </w:r>
      <w:r w:rsidRPr="002C4651">
        <w:t xml:space="preserve"> </w:t>
      </w:r>
      <w:proofErr w:type="gramStart"/>
      <w:r w:rsidRPr="002C4651">
        <w:t>65, and</w:t>
      </w:r>
      <w:proofErr w:type="gramEnd"/>
      <w:r w:rsidRPr="002C4651">
        <w:t xml:space="preserve"> did not explicitly require patients to be ineligible for stem cell transplantation</w:t>
      </w:r>
      <w:r w:rsidR="001A4046" w:rsidRPr="002C4651">
        <w:t>. T</w:t>
      </w:r>
      <w:r w:rsidR="001C078F" w:rsidRPr="002C4651">
        <w:t xml:space="preserve">he ESC noted that </w:t>
      </w:r>
      <w:proofErr w:type="gramStart"/>
      <w:r w:rsidR="009E53A5" w:rsidRPr="002C4651">
        <w:t>overall</w:t>
      </w:r>
      <w:proofErr w:type="gramEnd"/>
      <w:r w:rsidR="009E53A5" w:rsidRPr="002C4651">
        <w:t xml:space="preserve"> the </w:t>
      </w:r>
      <w:r w:rsidR="005B3DA9" w:rsidRPr="002C4651">
        <w:t>restriction was l</w:t>
      </w:r>
      <w:r w:rsidR="009E53A5" w:rsidRPr="002C4651">
        <w:t>oosely</w:t>
      </w:r>
      <w:r w:rsidR="005B3DA9" w:rsidRPr="002C4651">
        <w:t xml:space="preserve"> </w:t>
      </w:r>
      <w:r w:rsidR="00D40C71" w:rsidRPr="002C4651">
        <w:t>consistent</w:t>
      </w:r>
      <w:r w:rsidR="005B3DA9" w:rsidRPr="002C4651">
        <w:t xml:space="preserve"> with </w:t>
      </w:r>
      <w:r w:rsidR="00D40C71" w:rsidRPr="002C4651">
        <w:t>the trial population</w:t>
      </w:r>
      <w:r w:rsidR="0060725F" w:rsidRPr="002C4651">
        <w:t>, which exclude</w:t>
      </w:r>
      <w:r w:rsidR="000A2A71" w:rsidRPr="002C4651">
        <w:t>d</w:t>
      </w:r>
      <w:r w:rsidR="0060725F" w:rsidRPr="002C4651">
        <w:t xml:space="preserve"> patients for whom the goal of therapy was tumour debulking before stem cell transplant.</w:t>
      </w:r>
      <w:r w:rsidR="00D40C71" w:rsidRPr="002C4651">
        <w:t xml:space="preserve"> </w:t>
      </w:r>
      <w:r w:rsidR="00C3787D" w:rsidRPr="002C4651">
        <w:t xml:space="preserve">The ESC </w:t>
      </w:r>
      <w:r w:rsidR="003D0F47" w:rsidRPr="002C4651">
        <w:t>also</w:t>
      </w:r>
      <w:r w:rsidR="00C3787D" w:rsidRPr="002C4651">
        <w:t xml:space="preserve"> </w:t>
      </w:r>
      <w:r w:rsidR="00200AFE" w:rsidRPr="002C4651">
        <w:t xml:space="preserve">considered that </w:t>
      </w:r>
      <w:r w:rsidR="00D6729B" w:rsidRPr="002C4651">
        <w:t>a</w:t>
      </w:r>
      <w:r w:rsidR="00A61163" w:rsidRPr="002C4651">
        <w:t xml:space="preserve"> clinical criterion should be added</w:t>
      </w:r>
      <w:r w:rsidR="00D6729B" w:rsidRPr="002C4651">
        <w:t xml:space="preserve"> to the restriction</w:t>
      </w:r>
      <w:r w:rsidR="00A61163" w:rsidRPr="002C4651">
        <w:t xml:space="preserve"> that the condition must be symptomatic, as patients with indolent </w:t>
      </w:r>
      <w:r w:rsidR="00A61163" w:rsidRPr="002C4651">
        <w:lastRenderedPageBreak/>
        <w:t>disease may not have symptoms</w:t>
      </w:r>
      <w:r w:rsidR="00B112C8" w:rsidRPr="002C4651">
        <w:t>.</w:t>
      </w:r>
      <w:r w:rsidR="00717EE4" w:rsidRPr="002C4651">
        <w:t xml:space="preserve"> The </w:t>
      </w:r>
      <w:r w:rsidR="000E6058">
        <w:t>Pre-Sub-Committee Response (</w:t>
      </w:r>
      <w:r w:rsidR="00717EE4" w:rsidRPr="002C4651">
        <w:t>PSCR</w:t>
      </w:r>
      <w:r w:rsidR="000E6058">
        <w:t>)</w:t>
      </w:r>
      <w:r w:rsidR="00717EE4" w:rsidRPr="002C4651">
        <w:t xml:space="preserve"> indicated no objections to the addition of this criterion. </w:t>
      </w:r>
    </w:p>
    <w:p w14:paraId="1E7D6221" w14:textId="70E0532F" w:rsidR="00A0461C" w:rsidRPr="002C4651" w:rsidRDefault="00A0461C" w:rsidP="0041001B">
      <w:pPr>
        <w:pStyle w:val="COMexecsummnumbered"/>
      </w:pPr>
      <w:r w:rsidRPr="002C4651">
        <w:t xml:space="preserve">The proposed treatment criteria state that acalabrutinib must initially be in combination with </w:t>
      </w:r>
      <w:proofErr w:type="spellStart"/>
      <w:r w:rsidRPr="002C4651">
        <w:t>bendamustine</w:t>
      </w:r>
      <w:proofErr w:type="spellEnd"/>
      <w:r w:rsidRPr="002C4651">
        <w:t xml:space="preserve"> and rituximab for a six-cycle induction phase, followed by continuing treatment with acalabrutinib until disease progression, consistent with the ECHO trial. The submission stated that continuing treatment could consist of acalabrutinib monotherapy or combination therapy with rituximab, however </w:t>
      </w:r>
      <w:r w:rsidR="002855FB" w:rsidRPr="002C4651">
        <w:t xml:space="preserve">the evaluation noted </w:t>
      </w:r>
      <w:r w:rsidR="007C50F9" w:rsidRPr="002C4651">
        <w:t xml:space="preserve">that </w:t>
      </w:r>
      <w:r w:rsidRPr="002C4651">
        <w:t xml:space="preserve">rituximab maintenance treatment is not specified in the proposed continuing treatment criterion. </w:t>
      </w:r>
      <w:r w:rsidR="005012D0" w:rsidRPr="002C4651">
        <w:t xml:space="preserve">The </w:t>
      </w:r>
      <w:r w:rsidR="00973D48" w:rsidRPr="002C4651">
        <w:t xml:space="preserve">ESC considered this was </w:t>
      </w:r>
      <w:r w:rsidR="000554A1" w:rsidRPr="002C4651">
        <w:t>appropriate and</w:t>
      </w:r>
      <w:r w:rsidR="00973D48" w:rsidRPr="002C4651">
        <w:t xml:space="preserve"> gives clinicians flexib</w:t>
      </w:r>
      <w:r w:rsidR="00B55DCA" w:rsidRPr="002C4651">
        <w:t>ility</w:t>
      </w:r>
      <w:r w:rsidR="00973D48" w:rsidRPr="002C4651">
        <w:t xml:space="preserve"> in the choice of maintenance therapy.</w:t>
      </w:r>
      <w:r w:rsidR="00D6729B" w:rsidRPr="002C4651">
        <w:t xml:space="preserve"> The ESC also considered </w:t>
      </w:r>
      <w:r w:rsidR="002D528A" w:rsidRPr="002C4651">
        <w:t>it</w:t>
      </w:r>
      <w:r w:rsidR="003D0F47" w:rsidRPr="002C4651">
        <w:t xml:space="preserve"> would be appropriate for the</w:t>
      </w:r>
      <w:r w:rsidR="00D6729B" w:rsidRPr="002C4651">
        <w:t xml:space="preserve"> acalabrutinib restriction </w:t>
      </w:r>
      <w:r w:rsidR="003D0F47" w:rsidRPr="002C4651">
        <w:t>to</w:t>
      </w:r>
      <w:r w:rsidR="00D6729B" w:rsidRPr="002C4651">
        <w:t xml:space="preserve"> align with the restriction for </w:t>
      </w:r>
      <w:proofErr w:type="spellStart"/>
      <w:r w:rsidR="00D6729B" w:rsidRPr="002C4651">
        <w:t>bendamustine</w:t>
      </w:r>
      <w:proofErr w:type="spellEnd"/>
      <w:r w:rsidR="00D6729B" w:rsidRPr="002C4651">
        <w:t>.</w:t>
      </w:r>
    </w:p>
    <w:p w14:paraId="00DB9035" w14:textId="6C04321B" w:rsidR="00CD2FA1" w:rsidRPr="003753F2" w:rsidRDefault="00A0461C">
      <w:pPr>
        <w:pStyle w:val="COMexecsummnumbered"/>
        <w:rPr>
          <w:i/>
          <w:iCs/>
        </w:rPr>
      </w:pPr>
      <w:r w:rsidRPr="002C4651">
        <w:t xml:space="preserve">The submission indicated that flow-on changes would be required to the </w:t>
      </w:r>
      <w:proofErr w:type="spellStart"/>
      <w:r w:rsidRPr="002C4651">
        <w:t>bendamustine</w:t>
      </w:r>
      <w:proofErr w:type="spellEnd"/>
      <w:r w:rsidRPr="002C4651">
        <w:t xml:space="preserve"> PBS restriction</w:t>
      </w:r>
      <w:r w:rsidR="00CD2FA1" w:rsidRPr="002C4651">
        <w:t xml:space="preserve"> (PBS item codes: 10760H and 10763L)</w:t>
      </w:r>
      <w:r w:rsidRPr="002C4651">
        <w:t xml:space="preserve">, suggesting that the relevant clinical criterion be amended from ‘The treatment must be in combination with rituximab’ to ‘The treatment must be in combination with rituximab, or in combination with rituximab and acalabrutinib’. There will be no flow on changes required for rituximab as it has an unrestricted PBS listing. </w:t>
      </w:r>
    </w:p>
    <w:p w14:paraId="3097B578" w14:textId="22F824C8" w:rsidR="00A0461C" w:rsidRPr="006D075E" w:rsidRDefault="00A0461C">
      <w:pPr>
        <w:pStyle w:val="COMexecsummnumbered"/>
      </w:pPr>
      <w:bookmarkStart w:id="6" w:name="_Ref204083407"/>
      <w:r w:rsidRPr="006D075E">
        <w:t xml:space="preserve">The current PBS restrictions for </w:t>
      </w:r>
      <w:r w:rsidR="00480255" w:rsidRPr="006D075E">
        <w:t>Bruton tyrosine kinase (</w:t>
      </w:r>
      <w:r w:rsidRPr="006D075E">
        <w:t>BTK</w:t>
      </w:r>
      <w:r w:rsidR="00480255" w:rsidRPr="006D075E">
        <w:t>)</w:t>
      </w:r>
      <w:r w:rsidRPr="006D075E">
        <w:t xml:space="preserve"> inhibitors in the relapsed/refractory </w:t>
      </w:r>
      <w:r w:rsidR="008B591E">
        <w:t>MCL</w:t>
      </w:r>
      <w:r w:rsidRPr="006D075E">
        <w:t xml:space="preserve"> setting stipulate that patients must be untreated with BTK inhibitors (acalabrutinib, ibrutinib or </w:t>
      </w:r>
      <w:proofErr w:type="spellStart"/>
      <w:r w:rsidRPr="006D075E">
        <w:t>zanubrutinib</w:t>
      </w:r>
      <w:proofErr w:type="spellEnd"/>
      <w:r w:rsidRPr="006D075E">
        <w:t xml:space="preserve">) or must have developed intolerance to another BTK inhibitor of a severity necessitating permanent treatment withdrawal, when treated for this PBS indication. This means that patients receiving acalabrutinib as </w:t>
      </w:r>
      <w:r w:rsidR="00E94014" w:rsidRPr="006D075E">
        <w:t>first line</w:t>
      </w:r>
      <w:r w:rsidRPr="006D075E">
        <w:t xml:space="preserve"> therapy for </w:t>
      </w:r>
      <w:r w:rsidR="008B591E">
        <w:t>MCL</w:t>
      </w:r>
      <w:r w:rsidRPr="006D075E">
        <w:t xml:space="preserve"> will not be eligible to receive treatment with BTK inhibitors in the relapsed/refractory setting. The submission stated that this is consistent with clinical practice, especially since acalabrutinib is used until disease progression</w:t>
      </w:r>
      <w:r w:rsidR="00326540" w:rsidRPr="006D075E">
        <w:t xml:space="preserve">. </w:t>
      </w:r>
      <w:r w:rsidR="00FC2D8B" w:rsidRPr="006D075E">
        <w:t xml:space="preserve">The </w:t>
      </w:r>
      <w:r w:rsidR="0016093C" w:rsidRPr="006D075E">
        <w:t>evaluation noted that the</w:t>
      </w:r>
      <w:r w:rsidR="00FC2D8B" w:rsidRPr="006D075E">
        <w:t xml:space="preserve"> ECHO trial permitted subsequent BTK inhibitor use after patients ceased their study treatment, including those in the acalabrutinib arm of the trial. The</w:t>
      </w:r>
      <w:r w:rsidR="00C83185" w:rsidRPr="006D075E">
        <w:t xml:space="preserve"> evaluation considered that the</w:t>
      </w:r>
      <w:r w:rsidR="00FC2D8B" w:rsidRPr="006D075E">
        <w:t xml:space="preserve"> management of patients with mantle cell lymphoma </w:t>
      </w:r>
      <w:r w:rsidR="007125E4" w:rsidRPr="006D075E">
        <w:t>wa</w:t>
      </w:r>
      <w:r w:rsidR="00FC2D8B" w:rsidRPr="006D075E">
        <w:t xml:space="preserve">s evolving, and the role of BTK inhibitors in patients relapsed/refractory to a BTK inhibitor in the </w:t>
      </w:r>
      <w:r w:rsidR="00E94014" w:rsidRPr="006D075E">
        <w:t>first line</w:t>
      </w:r>
      <w:r w:rsidR="00FC2D8B" w:rsidRPr="006D075E">
        <w:t xml:space="preserve"> setting is unclear.</w:t>
      </w:r>
      <w:r w:rsidR="00F90411" w:rsidRPr="006D075E">
        <w:t xml:space="preserve"> </w:t>
      </w:r>
      <w:r w:rsidR="008C20DC">
        <w:t>However, t</w:t>
      </w:r>
      <w:r w:rsidR="000E61EE" w:rsidRPr="006D075E">
        <w:t xml:space="preserve">he </w:t>
      </w:r>
      <w:r w:rsidR="005A1CFC" w:rsidRPr="006D075E">
        <w:t>ESC considered it was reasonable to restrict BTK inhibitor listings to once in a lifetime as there was no evidence of benefit with repeated use</w:t>
      </w:r>
      <w:r w:rsidR="003E7B21">
        <w:t xml:space="preserve">. </w:t>
      </w:r>
      <w:r w:rsidR="00BE3145">
        <w:t>T</w:t>
      </w:r>
      <w:r w:rsidR="00D17152" w:rsidRPr="006D075E">
        <w:t xml:space="preserve">he </w:t>
      </w:r>
      <w:r w:rsidR="00A772A2">
        <w:t xml:space="preserve">ESC </w:t>
      </w:r>
      <w:r w:rsidR="00BE3145">
        <w:t>considered</w:t>
      </w:r>
      <w:r w:rsidR="00D17152" w:rsidRPr="006D075E">
        <w:t xml:space="preserve"> that</w:t>
      </w:r>
      <w:r w:rsidR="00BE3145">
        <w:t xml:space="preserve"> the</w:t>
      </w:r>
      <w:r w:rsidR="00D17152" w:rsidRPr="006D075E">
        <w:t xml:space="preserve"> </w:t>
      </w:r>
      <w:r w:rsidR="00F90411" w:rsidRPr="006D075E">
        <w:t xml:space="preserve">4.3% of patients in the ECHO trial </w:t>
      </w:r>
      <w:r w:rsidR="00BE3145">
        <w:t xml:space="preserve">who </w:t>
      </w:r>
      <w:r w:rsidR="00F90411" w:rsidRPr="006D075E">
        <w:t>use</w:t>
      </w:r>
      <w:r w:rsidR="00341301" w:rsidRPr="006D075E">
        <w:t>d</w:t>
      </w:r>
      <w:r w:rsidR="00F90411" w:rsidRPr="006D075E">
        <w:t xml:space="preserve"> </w:t>
      </w:r>
      <w:r w:rsidR="00CF066E">
        <w:t>BTK</w:t>
      </w:r>
      <w:r w:rsidR="002A37B0">
        <w:t xml:space="preserve"> inhibitors</w:t>
      </w:r>
      <w:r w:rsidR="00F90411" w:rsidRPr="006D075E">
        <w:t xml:space="preserve"> post progression</w:t>
      </w:r>
      <w:r w:rsidR="00BE3145">
        <w:t>,</w:t>
      </w:r>
      <w:r w:rsidR="002D12D5">
        <w:t xml:space="preserve"> </w:t>
      </w:r>
      <w:r w:rsidR="00D34F29">
        <w:t xml:space="preserve">was </w:t>
      </w:r>
      <w:r w:rsidR="00F90411" w:rsidRPr="006D075E">
        <w:t xml:space="preserve">likely </w:t>
      </w:r>
      <w:r w:rsidR="00D724D4" w:rsidRPr="006D075E">
        <w:t xml:space="preserve">similar </w:t>
      </w:r>
      <w:r w:rsidR="0015134A" w:rsidRPr="006D075E">
        <w:t xml:space="preserve">to the </w:t>
      </w:r>
      <w:r w:rsidR="00D724D4" w:rsidRPr="006D075E">
        <w:t>proportion</w:t>
      </w:r>
      <w:r w:rsidR="00BC7FAE" w:rsidRPr="006D075E">
        <w:t xml:space="preserve"> </w:t>
      </w:r>
      <w:r w:rsidR="0015134A" w:rsidRPr="006D075E">
        <w:t>of patients in clinical practice</w:t>
      </w:r>
      <w:r w:rsidR="00F90411" w:rsidRPr="006D075E">
        <w:t xml:space="preserve"> that may, despite the restriction, continue use of acalabrutinib post progression with some perceived clinical benefit</w:t>
      </w:r>
      <w:r w:rsidR="00BE3145">
        <w:t xml:space="preserve"> (discussed in paragraph </w:t>
      </w:r>
      <w:r w:rsidR="007D4633">
        <w:fldChar w:fldCharType="begin"/>
      </w:r>
      <w:r w:rsidR="007D4633">
        <w:instrText xml:space="preserve"> REF _Ref204084749 \r \h </w:instrText>
      </w:r>
      <w:r w:rsidR="007D4633">
        <w:fldChar w:fldCharType="separate"/>
      </w:r>
      <w:r w:rsidR="00A542E9">
        <w:t>6.43</w:t>
      </w:r>
      <w:r w:rsidR="007D4633">
        <w:fldChar w:fldCharType="end"/>
      </w:r>
      <w:r w:rsidR="00BE3145">
        <w:t>)</w:t>
      </w:r>
      <w:r w:rsidR="00F90411" w:rsidRPr="006D075E">
        <w:t>.</w:t>
      </w:r>
      <w:bookmarkEnd w:id="6"/>
    </w:p>
    <w:p w14:paraId="5775FF9B" w14:textId="12D2794B" w:rsidR="0096478C" w:rsidRPr="006D075E" w:rsidRDefault="0096478C" w:rsidP="00856CEA">
      <w:pPr>
        <w:pStyle w:val="COMexecsummnumbered"/>
      </w:pPr>
      <w:r w:rsidRPr="006D075E">
        <w:t xml:space="preserve">The PSCR requested PBAC </w:t>
      </w:r>
      <w:r w:rsidR="007B1FD9" w:rsidRPr="006D075E">
        <w:t>to</w:t>
      </w:r>
      <w:r w:rsidRPr="006D075E">
        <w:t xml:space="preserve"> advise whether acalabrutinib should be permitted in patients who develop a contraindication or intolerance necessitating permanent treatment withdrawal of </w:t>
      </w:r>
      <w:proofErr w:type="spellStart"/>
      <w:r w:rsidRPr="006D075E">
        <w:t>bendamustine</w:t>
      </w:r>
      <w:proofErr w:type="spellEnd"/>
      <w:r w:rsidRPr="006D075E">
        <w:t xml:space="preserve"> and/or rituximab during the induction phase. The ESC considered that this was appropriate if the intention and commencement of treatment is with ABR. Only a small number of patients would be intolerant. </w:t>
      </w:r>
    </w:p>
    <w:p w14:paraId="47199708" w14:textId="45A49A83" w:rsidR="00A0461C" w:rsidRPr="002C4651" w:rsidRDefault="00A0461C" w:rsidP="00856CEA">
      <w:pPr>
        <w:pStyle w:val="COMexecsummnumbered"/>
      </w:pPr>
      <w:r w:rsidRPr="006D075E">
        <w:lastRenderedPageBreak/>
        <w:t xml:space="preserve">The submission stated that a patient access program for acalabrutinib in patients with previously untreated </w:t>
      </w:r>
      <w:r w:rsidR="008B591E">
        <w:t>MCL</w:t>
      </w:r>
      <w:r w:rsidRPr="006D075E">
        <w:t xml:space="preserve"> is planned to commence upon TGA registration. The submission </w:t>
      </w:r>
      <w:r w:rsidRPr="002C4651">
        <w:t xml:space="preserve">estimated approximately </w:t>
      </w:r>
      <w:r w:rsidR="003418D3" w:rsidRPr="003418D3">
        <w:t>&lt; 500</w:t>
      </w:r>
      <w:r w:rsidRPr="002C4651">
        <w:t xml:space="preserve"> patients will join the patient access program, and these patients would be able to </w:t>
      </w:r>
      <w:bookmarkStart w:id="7" w:name="_Hlk196722182"/>
      <w:r w:rsidRPr="002C4651">
        <w:t>transition to PBS</w:t>
      </w:r>
      <w:r w:rsidR="005D5FC1">
        <w:t>-</w:t>
      </w:r>
      <w:r w:rsidRPr="002C4651">
        <w:t>listed acalabrutinib</w:t>
      </w:r>
      <w:bookmarkEnd w:id="7"/>
      <w:r w:rsidRPr="002C4651">
        <w:t xml:space="preserve"> under the proposed restriction.</w:t>
      </w:r>
    </w:p>
    <w:p w14:paraId="5CA4C160" w14:textId="79667C16" w:rsidR="00997C14" w:rsidRPr="00FC50D9" w:rsidRDefault="00997C14" w:rsidP="00997C14">
      <w:pPr>
        <w:pStyle w:val="COMexecsummnumbered"/>
        <w:numPr>
          <w:ilvl w:val="0"/>
          <w:numId w:val="0"/>
        </w:numPr>
        <w:rPr>
          <w:i/>
          <w:iCs/>
        </w:rPr>
      </w:pPr>
      <w:r w:rsidRPr="00FC50D9">
        <w:rPr>
          <w:i/>
          <w:iCs/>
        </w:rPr>
        <w:t>For more detail on PBAC’s view, see section 7 PBAC outcome.</w:t>
      </w:r>
    </w:p>
    <w:p w14:paraId="3BC3F0F6" w14:textId="77777777" w:rsidR="00A0461C" w:rsidRPr="006D075E" w:rsidRDefault="00A0461C" w:rsidP="00A0461C">
      <w:pPr>
        <w:pStyle w:val="COMH1-numbered"/>
        <w:rPr>
          <w:rFonts w:eastAsiaTheme="minorHAnsi" w:cstheme="minorBidi"/>
          <w:szCs w:val="22"/>
        </w:rPr>
      </w:pPr>
      <w:bookmarkStart w:id="8" w:name="_Toc198649031"/>
      <w:r w:rsidRPr="006D075E">
        <w:rPr>
          <w:rFonts w:eastAsiaTheme="minorHAnsi" w:cstheme="minorBidi"/>
          <w:szCs w:val="22"/>
        </w:rPr>
        <w:t>Population and disease</w:t>
      </w:r>
      <w:bookmarkEnd w:id="8"/>
    </w:p>
    <w:p w14:paraId="66FFEC26" w14:textId="1EE993C0" w:rsidR="00A0461C" w:rsidRPr="006D075E" w:rsidRDefault="008B591E" w:rsidP="00C62F57">
      <w:pPr>
        <w:pStyle w:val="COMexecsummnumbered"/>
      </w:pPr>
      <w:r>
        <w:t>MCL</w:t>
      </w:r>
      <w:r w:rsidR="00A0461C" w:rsidRPr="006D075E">
        <w:t xml:space="preserve"> is a rare and often aggressive type of B cell non-Hodgkin lymphoma that comprises approximately 5% of all newly diagnosed non-Hodgkin lymphomas (Xie 2022, Barraclough 2025). It is 3 times more common in men than women, and occurs more commonly in older people, with 62% of patients aged 65 years or older at initial presentation (median age 72 years; </w:t>
      </w:r>
      <w:proofErr w:type="spellStart"/>
      <w:r w:rsidR="00A0461C" w:rsidRPr="006D075E">
        <w:t>Epperla</w:t>
      </w:r>
      <w:proofErr w:type="spellEnd"/>
      <w:r w:rsidR="00A0461C" w:rsidRPr="006D075E">
        <w:t xml:space="preserve"> 2018, Hess 2022</w:t>
      </w:r>
      <w:proofErr w:type="gramStart"/>
      <w:r w:rsidR="00A0461C" w:rsidRPr="006D075E">
        <w:t>), and</w:t>
      </w:r>
      <w:proofErr w:type="gramEnd"/>
      <w:r w:rsidR="00A0461C" w:rsidRPr="006D075E">
        <w:t xml:space="preserve"> is typically aggressive (in 85</w:t>
      </w:r>
      <w:r w:rsidR="00036F99" w:rsidRPr="006D075E">
        <w:t>%</w:t>
      </w:r>
      <w:r w:rsidR="00A0461C" w:rsidRPr="006D075E">
        <w:t xml:space="preserve"> to 90% of patients) while the remainder have indolent disease (</w:t>
      </w:r>
      <w:proofErr w:type="spellStart"/>
      <w:r w:rsidR="00A0461C" w:rsidRPr="006D075E">
        <w:t>Silkenstedt</w:t>
      </w:r>
      <w:proofErr w:type="spellEnd"/>
      <w:r w:rsidR="00A0461C" w:rsidRPr="006D075E">
        <w:t xml:space="preserve"> and Dreyling 2023). In Australia, 330 patients were diagnosed with </w:t>
      </w:r>
      <w:r>
        <w:t>MCL</w:t>
      </w:r>
      <w:r w:rsidR="00A0461C" w:rsidRPr="006D075E">
        <w:t xml:space="preserve"> in 2020 (Australian Institute of Health and Welfare 2024).</w:t>
      </w:r>
      <w:r w:rsidR="00850ECA" w:rsidRPr="006D075E">
        <w:t xml:space="preserve"> The ESC noted that although </w:t>
      </w:r>
      <w:proofErr w:type="gramStart"/>
      <w:r w:rsidR="00850ECA" w:rsidRPr="006D075E">
        <w:t>the majority of</w:t>
      </w:r>
      <w:proofErr w:type="gramEnd"/>
      <w:r w:rsidR="00850ECA" w:rsidRPr="006D075E">
        <w:t xml:space="preserve"> cases are aggressive, some are indolent</w:t>
      </w:r>
      <w:r w:rsidR="004F2217" w:rsidRPr="006D075E">
        <w:t xml:space="preserve">. </w:t>
      </w:r>
    </w:p>
    <w:p w14:paraId="03136565" w14:textId="77777777" w:rsidR="00A0461C" w:rsidRPr="006D075E" w:rsidRDefault="00A0461C" w:rsidP="00C62F57">
      <w:pPr>
        <w:pStyle w:val="COMexecsummnumbered"/>
      </w:pPr>
      <w:r w:rsidRPr="006D075E">
        <w:t>Because patients tend to be asymptomatic in early stages, over 80% have advanced disease (i.e. Stage III or IV) at diagnosis. However, persistent swelling of lymph nodes, especially in the neck and throat region, or in the armpits and groin may lead patients to seek medical attention. Patients may also report non-specific symptoms including lack of appetite, nausea, vomiting, indigestion, satiety, abdominal swelling or bloating, and abdominal pain or discomfort (Leukaemia Foundation 2024). At advanced stages when the disease has spread to the gastrointestinal tract, bone marrow or liver, patients may present with fever, night sweats, unexplained weight loss and fatigue (Leukaemia and Lymphoma Society 2024).</w:t>
      </w:r>
    </w:p>
    <w:p w14:paraId="1A258346" w14:textId="060060BF" w:rsidR="00A0461C" w:rsidRPr="006D075E" w:rsidRDefault="008B591E" w:rsidP="00C62F57">
      <w:pPr>
        <w:pStyle w:val="COMexecsummnumbered"/>
      </w:pPr>
      <w:r>
        <w:t>MCL</w:t>
      </w:r>
      <w:r w:rsidR="00A0461C" w:rsidRPr="006D075E">
        <w:t xml:space="preserve"> is considered incurable. The aim of first line treatment is to achieve remission and remove the risk of relapse, with the current choice of </w:t>
      </w:r>
      <w:r w:rsidR="00E94014" w:rsidRPr="006D075E">
        <w:t>first line</w:t>
      </w:r>
      <w:r w:rsidR="00A0461C" w:rsidRPr="006D075E">
        <w:t xml:space="preserve"> treatments dependent on symptoms and the patient’s ability to tolerate aggressive induction therapy and/or autologous stem cell transplant (ASCT). Patients diagnosed at the early stages of disease may be treated with radiotherapy alone or chemotherapy with or without radiotherapy. For advanced-stage patients suitable for intensive therapy and ASCT, rituximab and cytarabine containing chemo-immunotherapy induction followed by ASCT consolidation and maintenance rituximab remains the current standard of care (Barraclough 2025, Dreyling 2017, McKay 2018). For older patients, or those who are transplant-ineligible, the standard of care induction therapy is </w:t>
      </w:r>
      <w:proofErr w:type="spellStart"/>
      <w:r w:rsidR="00A0461C" w:rsidRPr="006D075E">
        <w:t>bendamustine</w:t>
      </w:r>
      <w:proofErr w:type="spellEnd"/>
      <w:r w:rsidR="00A0461C" w:rsidRPr="006D075E">
        <w:t xml:space="preserve"> in combination with rituximab, which was PBS listed for first line treatment of </w:t>
      </w:r>
      <w:r>
        <w:t>MCL</w:t>
      </w:r>
      <w:r w:rsidR="00A0461C" w:rsidRPr="006D075E">
        <w:t xml:space="preserve"> in May 2016. Barraclough (2025) notes that evidence for the use of maintenance rituximab therapy for transplant ineligible patients is less clear. </w:t>
      </w:r>
      <w:r w:rsidR="00CC283E" w:rsidRPr="006D075E">
        <w:t>The evaluation noted that u</w:t>
      </w:r>
      <w:r w:rsidR="00A0461C" w:rsidRPr="006D075E">
        <w:t xml:space="preserve">se of maintenance rituximab after induction with </w:t>
      </w:r>
      <w:proofErr w:type="spellStart"/>
      <w:r w:rsidR="00A0461C" w:rsidRPr="006D075E">
        <w:t>bendamustine</w:t>
      </w:r>
      <w:proofErr w:type="spellEnd"/>
      <w:r w:rsidR="00A0461C" w:rsidRPr="006D075E">
        <w:t xml:space="preserve"> and rituximab is included in </w:t>
      </w:r>
      <w:proofErr w:type="spellStart"/>
      <w:r w:rsidR="00A0461C" w:rsidRPr="006D075E">
        <w:t>eviQ</w:t>
      </w:r>
      <w:proofErr w:type="spellEnd"/>
      <w:r w:rsidR="00A0461C" w:rsidRPr="006D075E">
        <w:t xml:space="preserve"> treatment recommendations for transplant-ineligible patients.</w:t>
      </w:r>
    </w:p>
    <w:p w14:paraId="23994418" w14:textId="578C42BF" w:rsidR="00500215" w:rsidRPr="006D075E" w:rsidRDefault="00500215" w:rsidP="00691E77">
      <w:pPr>
        <w:pStyle w:val="COMexecsummnumbered"/>
      </w:pPr>
      <w:r w:rsidRPr="006D075E">
        <w:lastRenderedPageBreak/>
        <w:t xml:space="preserve">The submission positioned acalabrutinib with </w:t>
      </w:r>
      <w:proofErr w:type="spellStart"/>
      <w:r w:rsidRPr="006D075E">
        <w:t>bendamustine</w:t>
      </w:r>
      <w:proofErr w:type="spellEnd"/>
      <w:r w:rsidRPr="006D075E">
        <w:t xml:space="preserve"> and rituximab as an alternative to </w:t>
      </w:r>
      <w:proofErr w:type="spellStart"/>
      <w:r w:rsidRPr="006D075E">
        <w:t>bendamustine</w:t>
      </w:r>
      <w:proofErr w:type="spellEnd"/>
      <w:r w:rsidRPr="006D075E">
        <w:t xml:space="preserve"> and rituximab induction in previously untreated patients with Stage III or IV </w:t>
      </w:r>
      <w:r w:rsidR="008B591E">
        <w:t>MCL</w:t>
      </w:r>
      <w:r w:rsidRPr="006D075E">
        <w:t xml:space="preserve"> who are ineligible for ASCT.</w:t>
      </w:r>
      <w:r w:rsidR="0012300F" w:rsidRPr="006D075E">
        <w:t xml:space="preserve"> </w:t>
      </w:r>
    </w:p>
    <w:p w14:paraId="2C29D506" w14:textId="3B7F4AFE" w:rsidR="00A0461C" w:rsidRPr="003B0005" w:rsidRDefault="00A0461C" w:rsidP="00C62F57">
      <w:pPr>
        <w:pStyle w:val="COMexecsummnumbered"/>
      </w:pPr>
      <w:r w:rsidRPr="003B0005">
        <w:t>The submission</w:t>
      </w:r>
      <w:r w:rsidR="00D61BAF" w:rsidRPr="003B0005">
        <w:t xml:space="preserve"> and the ESC</w:t>
      </w:r>
      <w:r w:rsidRPr="003B0005">
        <w:t xml:space="preserve"> noted that the treatment landscape for </w:t>
      </w:r>
      <w:r w:rsidR="008B591E">
        <w:t>MCL</w:t>
      </w:r>
      <w:r w:rsidRPr="003B0005">
        <w:t xml:space="preserve"> is rapidly changing, particularly </w:t>
      </w:r>
      <w:proofErr w:type="gramStart"/>
      <w:r w:rsidRPr="003B0005">
        <w:t>with regard to</w:t>
      </w:r>
      <w:proofErr w:type="gramEnd"/>
      <w:r w:rsidRPr="003B0005">
        <w:t xml:space="preserve"> the diminishing role of ASCT in younger patients, and growing evidence of </w:t>
      </w:r>
      <w:r w:rsidR="00CF066E" w:rsidRPr="003B0005">
        <w:t>BTK</w:t>
      </w:r>
      <w:r w:rsidR="002A37B0">
        <w:t xml:space="preserve"> </w:t>
      </w:r>
      <w:r w:rsidR="00CF066E" w:rsidRPr="003B0005">
        <w:t>i</w:t>
      </w:r>
      <w:r w:rsidR="002A37B0">
        <w:t>nhibitor</w:t>
      </w:r>
      <w:r w:rsidR="00CF066E" w:rsidRPr="003B0005">
        <w:t xml:space="preserve">s </w:t>
      </w:r>
      <w:r w:rsidRPr="003B0005">
        <w:t>as an effective first</w:t>
      </w:r>
      <w:r w:rsidR="00E94014" w:rsidRPr="003B0005">
        <w:t xml:space="preserve"> </w:t>
      </w:r>
      <w:r w:rsidRPr="003B0005">
        <w:t xml:space="preserve">line treatment, either in combination with rituximab or with chemo-immunotherapy. The submission argued that the criterion of ‘transplant eligibility’ may eventually be less important, and more patients will be eligible for acalabrutinib with </w:t>
      </w:r>
      <w:proofErr w:type="spellStart"/>
      <w:r w:rsidRPr="003B0005">
        <w:t>bendamustine</w:t>
      </w:r>
      <w:proofErr w:type="spellEnd"/>
      <w:r w:rsidRPr="003B0005">
        <w:t xml:space="preserve"> and rituximab if ASCT is no longer considered standard of care. The</w:t>
      </w:r>
      <w:r w:rsidR="00BA2F49" w:rsidRPr="003B0005">
        <w:t xml:space="preserve"> evaluation considered that the</w:t>
      </w:r>
      <w:r w:rsidRPr="003B0005">
        <w:t xml:space="preserve"> potential for </w:t>
      </w:r>
      <w:r w:rsidR="001570C5" w:rsidRPr="003B0005">
        <w:t>use</w:t>
      </w:r>
      <w:r w:rsidR="00DC2D31" w:rsidRPr="003B0005">
        <w:t xml:space="preserve"> outside the proposed PBS restriction</w:t>
      </w:r>
      <w:r w:rsidR="001570C5" w:rsidRPr="003B0005">
        <w:t xml:space="preserve"> in</w:t>
      </w:r>
      <w:r w:rsidRPr="003B0005">
        <w:t xml:space="preserve"> the ASCT-eligible population may increase if </w:t>
      </w:r>
      <w:r w:rsidR="00CF066E" w:rsidRPr="003B0005">
        <w:t>BTK</w:t>
      </w:r>
      <w:r w:rsidR="002A37B0" w:rsidRPr="002A37B0">
        <w:t xml:space="preserve"> </w:t>
      </w:r>
      <w:r w:rsidR="002A37B0" w:rsidRPr="003B0005">
        <w:t>i</w:t>
      </w:r>
      <w:r w:rsidR="002A37B0">
        <w:t>nhibitor</w:t>
      </w:r>
      <w:r w:rsidR="002A37B0" w:rsidRPr="003B0005">
        <w:t xml:space="preserve">s </w:t>
      </w:r>
      <w:r w:rsidRPr="003B0005">
        <w:t>become a preferred first line treatment for these patients</w:t>
      </w:r>
      <w:r w:rsidR="00691E77" w:rsidRPr="003B0005">
        <w:t>.</w:t>
      </w:r>
    </w:p>
    <w:p w14:paraId="6EE5A531" w14:textId="6894C13E" w:rsidR="00A0461C" w:rsidRPr="003B0005" w:rsidRDefault="00A0461C" w:rsidP="00C62F57">
      <w:pPr>
        <w:pStyle w:val="COMexecsummnumbered"/>
      </w:pPr>
      <w:r w:rsidRPr="003B0005">
        <w:t>Acalabrutinib is a small-molecule BTK</w:t>
      </w:r>
      <w:r w:rsidR="002A37B0">
        <w:t xml:space="preserve"> </w:t>
      </w:r>
      <w:r w:rsidR="002A37B0" w:rsidRPr="003B0005">
        <w:t>i</w:t>
      </w:r>
      <w:r w:rsidR="002A37B0">
        <w:t>nhibitor</w:t>
      </w:r>
      <w:r w:rsidRPr="003B0005">
        <w:t xml:space="preserve">. In B cells, BTK signalling results in activation of pathways necessary for B-cell proliferation, trafficking, chemotaxis, and adhesion. </w:t>
      </w:r>
    </w:p>
    <w:p w14:paraId="6F9AEA44" w14:textId="0634C2BD" w:rsidR="00997C14" w:rsidRPr="00FC50D9" w:rsidRDefault="00997C14" w:rsidP="00856C37">
      <w:pPr>
        <w:pStyle w:val="COMexecsummnumbered"/>
        <w:numPr>
          <w:ilvl w:val="0"/>
          <w:numId w:val="0"/>
        </w:numPr>
        <w:rPr>
          <w:i/>
          <w:iCs/>
        </w:rPr>
      </w:pPr>
      <w:r w:rsidRPr="00FC50D9">
        <w:rPr>
          <w:i/>
          <w:iCs/>
        </w:rPr>
        <w:t>For more detail on PBAC’s view, see section 7 PBAC outcome.</w:t>
      </w:r>
    </w:p>
    <w:p w14:paraId="7AFF330C" w14:textId="77777777" w:rsidR="00A0461C" w:rsidRPr="006D075E" w:rsidRDefault="00A0461C" w:rsidP="00A0461C">
      <w:pPr>
        <w:pStyle w:val="COMH1-numbered"/>
        <w:rPr>
          <w:rFonts w:eastAsiaTheme="minorHAnsi" w:cstheme="minorBidi"/>
          <w:szCs w:val="22"/>
        </w:rPr>
      </w:pPr>
      <w:bookmarkStart w:id="9" w:name="_Toc198649032"/>
      <w:r w:rsidRPr="006D075E">
        <w:rPr>
          <w:rFonts w:eastAsiaTheme="minorHAnsi" w:cstheme="minorBidi"/>
          <w:szCs w:val="22"/>
        </w:rPr>
        <w:t>Comparator</w:t>
      </w:r>
      <w:bookmarkEnd w:id="9"/>
    </w:p>
    <w:p w14:paraId="2B564314" w14:textId="5978F943" w:rsidR="00A0461C" w:rsidRPr="006D075E" w:rsidRDefault="00A0461C" w:rsidP="00C62F57">
      <w:pPr>
        <w:pStyle w:val="COMexecsummnumbered"/>
      </w:pPr>
      <w:r w:rsidRPr="006D075E">
        <w:t xml:space="preserve">The submission nominated placebo in combination with </w:t>
      </w:r>
      <w:proofErr w:type="spellStart"/>
      <w:proofErr w:type="gramStart"/>
      <w:r w:rsidRPr="006D075E">
        <w:t>bendamustine</w:t>
      </w:r>
      <w:proofErr w:type="spellEnd"/>
      <w:proofErr w:type="gramEnd"/>
      <w:r w:rsidRPr="006D075E">
        <w:t xml:space="preserve"> and rituximab induction followed by rituximab maintenance as the main comparator. The main arguments provided in support of this nomination were that this treatment</w:t>
      </w:r>
      <w:r w:rsidR="008325D9">
        <w:t>:</w:t>
      </w:r>
      <w:r w:rsidRPr="006D075E">
        <w:t xml:space="preserve"> is the standard of care in Stage III or IV </w:t>
      </w:r>
      <w:r w:rsidR="008B591E">
        <w:t>MCL</w:t>
      </w:r>
      <w:r w:rsidRPr="006D075E">
        <w:t xml:space="preserve"> patients who are transplant ineligible</w:t>
      </w:r>
      <w:r w:rsidR="008325D9">
        <w:t>;</w:t>
      </w:r>
      <w:r w:rsidRPr="006D075E">
        <w:t xml:space="preserve"> is the most widely used regimen in Australian clinical practice</w:t>
      </w:r>
      <w:r w:rsidR="008325D9">
        <w:t>;</w:t>
      </w:r>
      <w:r w:rsidRPr="006D075E">
        <w:t xml:space="preserve"> and is consistent with the comparator arm in the ECHO trial. </w:t>
      </w:r>
      <w:r w:rsidR="00BA2F49" w:rsidRPr="006D075E">
        <w:t xml:space="preserve">The evaluation considered that </w:t>
      </w:r>
      <w:proofErr w:type="spellStart"/>
      <w:r w:rsidR="00BA2F49" w:rsidRPr="006D075E">
        <w:t>b</w:t>
      </w:r>
      <w:r w:rsidRPr="006D075E">
        <w:t>endamustine</w:t>
      </w:r>
      <w:proofErr w:type="spellEnd"/>
      <w:r w:rsidRPr="006D075E">
        <w:t xml:space="preserve"> and rituximab induction followed by rituximab maintenance is an appropriate comparator. </w:t>
      </w:r>
    </w:p>
    <w:p w14:paraId="261C7F93" w14:textId="54B610AD" w:rsidR="0034334D" w:rsidRPr="007B26E7" w:rsidRDefault="00A0461C" w:rsidP="00FE78FE">
      <w:pPr>
        <w:pStyle w:val="COMexecsummnumbered"/>
      </w:pPr>
      <w:r w:rsidRPr="006D075E">
        <w:t xml:space="preserve">In addition, based on the current restriction wording for </w:t>
      </w:r>
      <w:r w:rsidR="00CF066E">
        <w:t>BTK</w:t>
      </w:r>
      <w:r w:rsidR="0046432E">
        <w:t xml:space="preserve"> </w:t>
      </w:r>
      <w:r w:rsidR="0046432E" w:rsidRPr="003B0005">
        <w:t>i</w:t>
      </w:r>
      <w:r w:rsidR="0046432E">
        <w:t>nhibitor</w:t>
      </w:r>
      <w:r w:rsidR="0046432E" w:rsidRPr="003B0005">
        <w:t>s</w:t>
      </w:r>
      <w:r w:rsidR="00CF066E">
        <w:t xml:space="preserve"> </w:t>
      </w:r>
      <w:r w:rsidRPr="006D075E">
        <w:t xml:space="preserve">for relapsed/refractory </w:t>
      </w:r>
      <w:r w:rsidR="008B591E">
        <w:t>MCL</w:t>
      </w:r>
      <w:r w:rsidRPr="006D075E">
        <w:t xml:space="preserve">, use of </w:t>
      </w:r>
      <w:r w:rsidR="00936E90">
        <w:t>a</w:t>
      </w:r>
      <w:r w:rsidRPr="006D075E">
        <w:t xml:space="preserve"> PBS-listed </w:t>
      </w:r>
      <w:r w:rsidR="00CF066E">
        <w:t>BTK</w:t>
      </w:r>
      <w:r w:rsidR="00423F2A">
        <w:t xml:space="preserve"> </w:t>
      </w:r>
      <w:r w:rsidR="00CF066E">
        <w:t>i</w:t>
      </w:r>
      <w:r w:rsidR="00423F2A">
        <w:t>nhibitor</w:t>
      </w:r>
      <w:r w:rsidRPr="006D075E">
        <w:t xml:space="preserve"> would not be permitted after first line use of acalabrutinib</w:t>
      </w:r>
      <w:r w:rsidR="009666B4">
        <w:t xml:space="preserve"> (as discussed in paragraph </w:t>
      </w:r>
      <w:r w:rsidR="009666B4">
        <w:fldChar w:fldCharType="begin"/>
      </w:r>
      <w:r w:rsidR="009666B4">
        <w:instrText xml:space="preserve"> REF _Ref204083407 \r \h </w:instrText>
      </w:r>
      <w:r w:rsidR="00F53378">
        <w:instrText xml:space="preserve"> \* MERGEFORMAT </w:instrText>
      </w:r>
      <w:r w:rsidR="009666B4">
        <w:fldChar w:fldCharType="separate"/>
      </w:r>
      <w:r w:rsidR="00A542E9">
        <w:t>3.5</w:t>
      </w:r>
      <w:r w:rsidR="009666B4">
        <w:fldChar w:fldCharType="end"/>
      </w:r>
      <w:r w:rsidR="009666B4">
        <w:t>)</w:t>
      </w:r>
      <w:r w:rsidRPr="006D075E">
        <w:t xml:space="preserve">. </w:t>
      </w:r>
      <w:r w:rsidR="000178BC" w:rsidRPr="006D075E" w:rsidDel="009D4972">
        <w:t>A</w:t>
      </w:r>
      <w:r w:rsidR="000178BC" w:rsidRPr="006D075E">
        <w:t xml:space="preserve"> reduction in subsequent treatment with a </w:t>
      </w:r>
      <w:r w:rsidR="00CF066E">
        <w:t>BTK</w:t>
      </w:r>
      <w:r w:rsidR="0046432E">
        <w:t xml:space="preserve"> </w:t>
      </w:r>
      <w:r w:rsidR="0046432E" w:rsidRPr="003B0005">
        <w:t>i</w:t>
      </w:r>
      <w:r w:rsidR="0046432E">
        <w:t>nhibitor</w:t>
      </w:r>
      <w:r w:rsidR="0046432E" w:rsidRPr="003B0005">
        <w:t xml:space="preserve">s </w:t>
      </w:r>
      <w:r w:rsidR="000178BC" w:rsidRPr="006D075E">
        <w:t xml:space="preserve">after </w:t>
      </w:r>
      <w:r w:rsidR="00E94014" w:rsidRPr="006D075E">
        <w:t>first line</w:t>
      </w:r>
      <w:r w:rsidR="000178BC" w:rsidRPr="006D075E">
        <w:t xml:space="preserve"> acalabrutinib use was incorporated into the economic analysis (</w:t>
      </w:r>
      <w:r w:rsidR="00475A67" w:rsidRPr="006D075E">
        <w:t xml:space="preserve">applied to </w:t>
      </w:r>
      <w:r w:rsidR="000178BC" w:rsidRPr="006D075E">
        <w:t>costs only</w:t>
      </w:r>
      <w:r w:rsidR="00475A67" w:rsidRPr="006D075E">
        <w:t>, with</w:t>
      </w:r>
      <w:r w:rsidR="000178BC" w:rsidRPr="006D075E">
        <w:t xml:space="preserve"> no impact on clinical outcomes) and financial estimates</w:t>
      </w:r>
      <w:r w:rsidRPr="006D075E">
        <w:t xml:space="preserve">. </w:t>
      </w:r>
      <w:r w:rsidR="00537AC8" w:rsidRPr="006D075E">
        <w:t xml:space="preserve">The ESC </w:t>
      </w:r>
      <w:r w:rsidR="00622057" w:rsidRPr="006D075E">
        <w:t>not</w:t>
      </w:r>
      <w:r w:rsidR="00537AC8" w:rsidRPr="006D075E">
        <w:t xml:space="preserve">ed that post progression treatment </w:t>
      </w:r>
      <w:r w:rsidR="001F3357" w:rsidRPr="006D075E">
        <w:t>will be</w:t>
      </w:r>
      <w:r w:rsidR="00537AC8" w:rsidRPr="006D075E">
        <w:t xml:space="preserve"> different for acalabrutinib with </w:t>
      </w:r>
      <w:proofErr w:type="spellStart"/>
      <w:r w:rsidR="00537AC8" w:rsidRPr="006D075E">
        <w:t>bendamustine</w:t>
      </w:r>
      <w:proofErr w:type="spellEnd"/>
      <w:r w:rsidR="00537AC8" w:rsidRPr="006D075E">
        <w:t xml:space="preserve"> and rituximab</w:t>
      </w:r>
      <w:r w:rsidR="00452AEE">
        <w:t>,</w:t>
      </w:r>
      <w:r w:rsidR="00537AC8" w:rsidRPr="006D075E">
        <w:t xml:space="preserve"> versus </w:t>
      </w:r>
      <w:proofErr w:type="spellStart"/>
      <w:r w:rsidR="00537AC8" w:rsidRPr="006D075E">
        <w:t>bendamustine</w:t>
      </w:r>
      <w:proofErr w:type="spellEnd"/>
      <w:r w:rsidR="00537AC8" w:rsidRPr="006D075E">
        <w:t xml:space="preserve"> and rituximab only, as patients who received acalabrutinib in the first line setting would not be able to receive a </w:t>
      </w:r>
      <w:r w:rsidR="00CF066E">
        <w:t>BTK</w:t>
      </w:r>
      <w:r w:rsidR="0046432E">
        <w:t xml:space="preserve"> </w:t>
      </w:r>
      <w:r w:rsidR="0046432E" w:rsidRPr="003B0005">
        <w:t>i</w:t>
      </w:r>
      <w:r w:rsidR="0046432E">
        <w:t>nhibitor</w:t>
      </w:r>
      <w:r w:rsidR="0046432E" w:rsidRPr="003B0005">
        <w:t xml:space="preserve">s </w:t>
      </w:r>
      <w:r w:rsidR="00537AC8" w:rsidRPr="006D075E">
        <w:t xml:space="preserve">in the </w:t>
      </w:r>
      <w:r w:rsidR="00537AC8" w:rsidRPr="007B26E7">
        <w:t xml:space="preserve">second line setting. </w:t>
      </w:r>
    </w:p>
    <w:p w14:paraId="0C724AC0" w14:textId="40C65A7B" w:rsidR="00856C37" w:rsidRPr="00FC50D9" w:rsidRDefault="00856C37" w:rsidP="00856C37">
      <w:pPr>
        <w:pStyle w:val="COMexecsummnumbered"/>
        <w:numPr>
          <w:ilvl w:val="0"/>
          <w:numId w:val="0"/>
        </w:numPr>
        <w:rPr>
          <w:i/>
          <w:iCs/>
        </w:rPr>
      </w:pPr>
      <w:r w:rsidRPr="00FC50D9">
        <w:rPr>
          <w:i/>
          <w:iCs/>
        </w:rPr>
        <w:t>For more detail on PBAC’s view, see section 7 PBAC outcome.</w:t>
      </w:r>
    </w:p>
    <w:p w14:paraId="7C3D58DC" w14:textId="77777777" w:rsidR="00A0461C" w:rsidRPr="006D075E" w:rsidRDefault="00A0461C" w:rsidP="00C62F57">
      <w:pPr>
        <w:pStyle w:val="COMH1-numbered"/>
        <w:rPr>
          <w:rFonts w:eastAsiaTheme="minorHAnsi"/>
        </w:rPr>
      </w:pPr>
      <w:bookmarkStart w:id="10" w:name="_Toc198649033"/>
      <w:r w:rsidRPr="006D075E">
        <w:rPr>
          <w:rFonts w:eastAsiaTheme="minorHAnsi"/>
        </w:rPr>
        <w:t>Consideration of the evidence</w:t>
      </w:r>
      <w:bookmarkEnd w:id="10"/>
    </w:p>
    <w:p w14:paraId="251C8111" w14:textId="77777777" w:rsidR="00A43F81" w:rsidRPr="006D075E" w:rsidRDefault="00A43F81" w:rsidP="00C517D2">
      <w:pPr>
        <w:pStyle w:val="COMH2-non-numbered"/>
      </w:pPr>
      <w:bookmarkStart w:id="11" w:name="_Hlk76375935"/>
      <w:bookmarkStart w:id="12" w:name="_Toc198649034"/>
      <w:r w:rsidRPr="006D075E">
        <w:t>Sponsor hearing</w:t>
      </w:r>
    </w:p>
    <w:p w14:paraId="51902378" w14:textId="580AF040" w:rsidR="00A43F81" w:rsidRPr="007B26E7" w:rsidRDefault="00A43F81" w:rsidP="00A43F81">
      <w:pPr>
        <w:widowControl w:val="0"/>
        <w:numPr>
          <w:ilvl w:val="1"/>
          <w:numId w:val="2"/>
        </w:numPr>
        <w:spacing w:after="120"/>
        <w:rPr>
          <w:rFonts w:asciiTheme="minorHAnsi" w:hAnsiTheme="minorHAnsi"/>
          <w:bCs/>
          <w:iCs/>
          <w:snapToGrid w:val="0"/>
        </w:rPr>
      </w:pPr>
      <w:bookmarkStart w:id="13" w:name="_Hlk76382586"/>
      <w:r w:rsidRPr="007B26E7">
        <w:rPr>
          <w:rFonts w:asciiTheme="minorHAnsi" w:hAnsiTheme="minorHAnsi"/>
          <w:bCs/>
          <w:iCs/>
          <w:snapToGrid w:val="0"/>
        </w:rPr>
        <w:t>The</w:t>
      </w:r>
      <w:r w:rsidR="00334C49" w:rsidRPr="007B26E7">
        <w:rPr>
          <w:rFonts w:asciiTheme="minorHAnsi" w:hAnsiTheme="minorHAnsi"/>
          <w:bCs/>
          <w:iCs/>
          <w:snapToGrid w:val="0"/>
        </w:rPr>
        <w:t xml:space="preserve">re was no hearing for this item. </w:t>
      </w:r>
      <w:r w:rsidRPr="007B26E7">
        <w:rPr>
          <w:rFonts w:asciiTheme="minorHAnsi" w:hAnsiTheme="minorHAnsi"/>
          <w:bCs/>
          <w:iCs/>
          <w:snapToGrid w:val="0"/>
        </w:rPr>
        <w:t xml:space="preserve"> </w:t>
      </w:r>
    </w:p>
    <w:bookmarkEnd w:id="13"/>
    <w:p w14:paraId="2225C551" w14:textId="77777777" w:rsidR="00A43F81" w:rsidRPr="006D075E" w:rsidRDefault="00A43F81" w:rsidP="00C517D2">
      <w:pPr>
        <w:pStyle w:val="COMH2-non-numbered"/>
      </w:pPr>
      <w:r w:rsidRPr="006D075E">
        <w:lastRenderedPageBreak/>
        <w:t>Consumer comments</w:t>
      </w:r>
    </w:p>
    <w:p w14:paraId="03013D14" w14:textId="64125984" w:rsidR="00BD3EB7" w:rsidRDefault="00A43F81">
      <w:pPr>
        <w:widowControl w:val="0"/>
        <w:numPr>
          <w:ilvl w:val="1"/>
          <w:numId w:val="2"/>
        </w:numPr>
        <w:spacing w:after="120"/>
        <w:rPr>
          <w:rFonts w:asciiTheme="minorHAnsi" w:hAnsiTheme="minorHAnsi"/>
          <w:bCs/>
          <w:iCs/>
          <w:snapToGrid w:val="0"/>
        </w:rPr>
      </w:pPr>
      <w:bookmarkStart w:id="14" w:name="_Hlk76382618"/>
      <w:r w:rsidRPr="007B26E7">
        <w:rPr>
          <w:rFonts w:asciiTheme="minorHAnsi" w:hAnsiTheme="minorHAnsi"/>
          <w:bCs/>
          <w:iCs/>
          <w:snapToGrid w:val="0"/>
        </w:rPr>
        <w:t>The PBAC noted and welcomed the input from health care professionals (1) and organisations (</w:t>
      </w:r>
      <w:r w:rsidR="00801CD8" w:rsidRPr="007B26E7">
        <w:rPr>
          <w:rFonts w:asciiTheme="minorHAnsi" w:hAnsiTheme="minorHAnsi"/>
          <w:bCs/>
          <w:iCs/>
          <w:snapToGrid w:val="0"/>
        </w:rPr>
        <w:t>3</w:t>
      </w:r>
      <w:r w:rsidRPr="007B26E7">
        <w:rPr>
          <w:rFonts w:asciiTheme="minorHAnsi" w:hAnsiTheme="minorHAnsi"/>
          <w:bCs/>
          <w:iCs/>
          <w:snapToGrid w:val="0"/>
        </w:rPr>
        <w:t xml:space="preserve">) via the Consumer Comments facility on the PBS website. The comments described a range of benefits of treatment with </w:t>
      </w:r>
      <w:r w:rsidR="00BF428A">
        <w:rPr>
          <w:rFonts w:asciiTheme="minorHAnsi" w:hAnsiTheme="minorHAnsi"/>
          <w:bCs/>
          <w:iCs/>
          <w:snapToGrid w:val="0"/>
        </w:rPr>
        <w:t>acalabrutinib</w:t>
      </w:r>
      <w:r w:rsidR="009B10F3">
        <w:rPr>
          <w:rFonts w:asciiTheme="minorHAnsi" w:hAnsiTheme="minorHAnsi"/>
          <w:bCs/>
          <w:iCs/>
          <w:snapToGrid w:val="0"/>
        </w:rPr>
        <w:t xml:space="preserve"> including that it p</w:t>
      </w:r>
      <w:r w:rsidR="006710A4" w:rsidRPr="007B26E7">
        <w:rPr>
          <w:rFonts w:asciiTheme="minorHAnsi" w:hAnsiTheme="minorHAnsi"/>
          <w:bCs/>
          <w:iCs/>
          <w:snapToGrid w:val="0"/>
        </w:rPr>
        <w:t>rolong</w:t>
      </w:r>
      <w:r w:rsidR="009B10F3">
        <w:rPr>
          <w:rFonts w:asciiTheme="minorHAnsi" w:hAnsiTheme="minorHAnsi"/>
          <w:bCs/>
          <w:iCs/>
          <w:snapToGrid w:val="0"/>
        </w:rPr>
        <w:t>s</w:t>
      </w:r>
      <w:r w:rsidR="006710A4" w:rsidRPr="007B26E7">
        <w:rPr>
          <w:rFonts w:asciiTheme="minorHAnsi" w:hAnsiTheme="minorHAnsi"/>
          <w:bCs/>
          <w:iCs/>
          <w:snapToGrid w:val="0"/>
        </w:rPr>
        <w:t xml:space="preserve"> response to first line therapy</w:t>
      </w:r>
      <w:r w:rsidR="00417331">
        <w:rPr>
          <w:rFonts w:asciiTheme="minorHAnsi" w:hAnsiTheme="minorHAnsi"/>
          <w:bCs/>
          <w:iCs/>
          <w:snapToGrid w:val="0"/>
        </w:rPr>
        <w:t>,</w:t>
      </w:r>
      <w:r w:rsidR="006710A4" w:rsidRPr="007B26E7">
        <w:rPr>
          <w:rFonts w:asciiTheme="minorHAnsi" w:hAnsiTheme="minorHAnsi"/>
          <w:bCs/>
          <w:iCs/>
          <w:snapToGrid w:val="0"/>
        </w:rPr>
        <w:t xml:space="preserve"> and </w:t>
      </w:r>
      <w:r w:rsidR="009B10F3">
        <w:rPr>
          <w:rFonts w:asciiTheme="minorHAnsi" w:hAnsiTheme="minorHAnsi"/>
          <w:bCs/>
          <w:iCs/>
          <w:snapToGrid w:val="0"/>
        </w:rPr>
        <w:t xml:space="preserve">is a </w:t>
      </w:r>
      <w:r w:rsidR="006710A4" w:rsidRPr="007B26E7">
        <w:rPr>
          <w:rFonts w:asciiTheme="minorHAnsi" w:hAnsiTheme="minorHAnsi"/>
          <w:bCs/>
          <w:iCs/>
          <w:snapToGrid w:val="0"/>
        </w:rPr>
        <w:t>tolerable</w:t>
      </w:r>
      <w:r w:rsidR="00E41229">
        <w:rPr>
          <w:rFonts w:asciiTheme="minorHAnsi" w:hAnsiTheme="minorHAnsi"/>
          <w:bCs/>
          <w:iCs/>
          <w:snapToGrid w:val="0"/>
        </w:rPr>
        <w:t>,</w:t>
      </w:r>
      <w:r w:rsidR="006710A4" w:rsidRPr="007B26E7">
        <w:rPr>
          <w:rFonts w:asciiTheme="minorHAnsi" w:hAnsiTheme="minorHAnsi"/>
          <w:bCs/>
          <w:iCs/>
          <w:snapToGrid w:val="0"/>
        </w:rPr>
        <w:t xml:space="preserve"> oral therapy for </w:t>
      </w:r>
      <w:r w:rsidR="00691C17" w:rsidRPr="007B26E7">
        <w:rPr>
          <w:rFonts w:asciiTheme="minorHAnsi" w:hAnsiTheme="minorHAnsi"/>
          <w:bCs/>
          <w:iCs/>
          <w:snapToGrid w:val="0"/>
        </w:rPr>
        <w:t>transplant ineligible</w:t>
      </w:r>
      <w:r w:rsidR="006710A4" w:rsidRPr="007B26E7">
        <w:rPr>
          <w:rFonts w:asciiTheme="minorHAnsi" w:hAnsiTheme="minorHAnsi"/>
          <w:bCs/>
          <w:iCs/>
          <w:snapToGrid w:val="0"/>
        </w:rPr>
        <w:t xml:space="preserve"> patients, including those in rural and regional locations</w:t>
      </w:r>
      <w:r w:rsidR="00D97906" w:rsidRPr="007B26E7">
        <w:rPr>
          <w:rFonts w:asciiTheme="minorHAnsi" w:hAnsiTheme="minorHAnsi"/>
          <w:bCs/>
          <w:iCs/>
          <w:snapToGrid w:val="0"/>
        </w:rPr>
        <w:t>.</w:t>
      </w:r>
      <w:r w:rsidR="002908D9" w:rsidRPr="007B26E7">
        <w:rPr>
          <w:rFonts w:asciiTheme="minorHAnsi" w:hAnsiTheme="minorHAnsi"/>
          <w:bCs/>
          <w:iCs/>
          <w:snapToGrid w:val="0"/>
        </w:rPr>
        <w:t xml:space="preserve"> The PBAC</w:t>
      </w:r>
      <w:r w:rsidR="00D55CB7">
        <w:rPr>
          <w:rFonts w:asciiTheme="minorHAnsi" w:hAnsiTheme="minorHAnsi"/>
          <w:bCs/>
          <w:iCs/>
          <w:snapToGrid w:val="0"/>
        </w:rPr>
        <w:t xml:space="preserve"> comments outlined that</w:t>
      </w:r>
      <w:r w:rsidR="00F232BB" w:rsidRPr="007B26E7">
        <w:rPr>
          <w:rFonts w:asciiTheme="minorHAnsi" w:hAnsiTheme="minorHAnsi"/>
          <w:bCs/>
          <w:iCs/>
          <w:snapToGrid w:val="0"/>
        </w:rPr>
        <w:t xml:space="preserve"> </w:t>
      </w:r>
      <w:r w:rsidR="00F232BB" w:rsidRPr="00F232BB">
        <w:rPr>
          <w:rFonts w:asciiTheme="minorHAnsi" w:hAnsiTheme="minorHAnsi"/>
          <w:bCs/>
          <w:iCs/>
          <w:snapToGrid w:val="0"/>
        </w:rPr>
        <w:t>MCL</w:t>
      </w:r>
      <w:r w:rsidR="00F232BB" w:rsidRPr="007B26E7">
        <w:rPr>
          <w:rFonts w:asciiTheme="minorHAnsi" w:hAnsiTheme="minorHAnsi"/>
          <w:bCs/>
          <w:iCs/>
          <w:snapToGrid w:val="0"/>
        </w:rPr>
        <w:t xml:space="preserve"> is </w:t>
      </w:r>
      <w:r w:rsidR="00F232BB" w:rsidRPr="00F232BB">
        <w:rPr>
          <w:rFonts w:asciiTheme="minorHAnsi" w:hAnsiTheme="minorHAnsi"/>
          <w:bCs/>
          <w:iCs/>
          <w:snapToGrid w:val="0"/>
        </w:rPr>
        <w:t>incurable</w:t>
      </w:r>
      <w:r w:rsidR="00D55CB7">
        <w:rPr>
          <w:rFonts w:asciiTheme="minorHAnsi" w:hAnsiTheme="minorHAnsi"/>
          <w:bCs/>
          <w:iCs/>
          <w:snapToGrid w:val="0"/>
        </w:rPr>
        <w:t xml:space="preserve"> and that there was a need for more effective treatment options </w:t>
      </w:r>
      <w:r w:rsidR="00B550FA" w:rsidRPr="00F232BB">
        <w:rPr>
          <w:rFonts w:asciiTheme="minorHAnsi" w:hAnsiTheme="minorHAnsi"/>
          <w:bCs/>
          <w:iCs/>
          <w:snapToGrid w:val="0"/>
        </w:rPr>
        <w:t>for transplant ineligible patients</w:t>
      </w:r>
      <w:r w:rsidR="00B550FA">
        <w:rPr>
          <w:rFonts w:asciiTheme="minorHAnsi" w:hAnsiTheme="minorHAnsi"/>
          <w:bCs/>
          <w:iCs/>
          <w:snapToGrid w:val="0"/>
        </w:rPr>
        <w:t xml:space="preserve"> </w:t>
      </w:r>
      <w:r w:rsidR="00D55CB7">
        <w:rPr>
          <w:rFonts w:asciiTheme="minorHAnsi" w:hAnsiTheme="minorHAnsi"/>
          <w:bCs/>
          <w:iCs/>
          <w:snapToGrid w:val="0"/>
        </w:rPr>
        <w:t>in the</w:t>
      </w:r>
      <w:r w:rsidR="00F232BB" w:rsidRPr="00F232BB">
        <w:rPr>
          <w:rFonts w:asciiTheme="minorHAnsi" w:hAnsiTheme="minorHAnsi"/>
          <w:bCs/>
          <w:iCs/>
          <w:snapToGrid w:val="0"/>
        </w:rPr>
        <w:t xml:space="preserve"> first line </w:t>
      </w:r>
      <w:r w:rsidR="00D55CB7">
        <w:rPr>
          <w:rFonts w:asciiTheme="minorHAnsi" w:hAnsiTheme="minorHAnsi"/>
          <w:bCs/>
          <w:iCs/>
          <w:snapToGrid w:val="0"/>
        </w:rPr>
        <w:t>setting</w:t>
      </w:r>
      <w:r w:rsidR="00B550FA">
        <w:rPr>
          <w:rFonts w:asciiTheme="minorHAnsi" w:hAnsiTheme="minorHAnsi"/>
          <w:bCs/>
          <w:iCs/>
          <w:snapToGrid w:val="0"/>
        </w:rPr>
        <w:t xml:space="preserve">.  </w:t>
      </w:r>
    </w:p>
    <w:p w14:paraId="1E0F729E" w14:textId="1C06CB52" w:rsidR="00A43F81" w:rsidRPr="007B26E7" w:rsidRDefault="005E4689">
      <w:pPr>
        <w:widowControl w:val="0"/>
        <w:numPr>
          <w:ilvl w:val="1"/>
          <w:numId w:val="2"/>
        </w:numPr>
        <w:spacing w:after="120"/>
        <w:rPr>
          <w:rFonts w:asciiTheme="minorHAnsi" w:hAnsiTheme="minorHAnsi"/>
          <w:bCs/>
          <w:iCs/>
          <w:snapToGrid w:val="0"/>
        </w:rPr>
      </w:pPr>
      <w:r w:rsidRPr="007B26E7">
        <w:rPr>
          <w:rFonts w:asciiTheme="minorHAnsi" w:hAnsiTheme="minorHAnsi"/>
          <w:bCs/>
          <w:iCs/>
          <w:snapToGrid w:val="0"/>
        </w:rPr>
        <w:t xml:space="preserve">The </w:t>
      </w:r>
      <w:r w:rsidR="00C70C63">
        <w:rPr>
          <w:rFonts w:asciiTheme="minorHAnsi" w:hAnsiTheme="minorHAnsi"/>
          <w:bCs/>
          <w:iCs/>
          <w:snapToGrid w:val="0"/>
        </w:rPr>
        <w:t xml:space="preserve">PBAC noted that </w:t>
      </w:r>
      <w:r w:rsidR="00B550FA">
        <w:rPr>
          <w:rFonts w:asciiTheme="minorHAnsi" w:hAnsiTheme="minorHAnsi"/>
          <w:bCs/>
          <w:iCs/>
          <w:snapToGrid w:val="0"/>
        </w:rPr>
        <w:t xml:space="preserve">some of the comments </w:t>
      </w:r>
      <w:r w:rsidR="00FA2A21">
        <w:rPr>
          <w:rFonts w:asciiTheme="minorHAnsi" w:hAnsiTheme="minorHAnsi"/>
          <w:bCs/>
          <w:iCs/>
          <w:snapToGrid w:val="0"/>
        </w:rPr>
        <w:t xml:space="preserve">outlined </w:t>
      </w:r>
      <w:r w:rsidR="00EB6D72">
        <w:rPr>
          <w:rFonts w:asciiTheme="minorHAnsi" w:hAnsiTheme="minorHAnsi"/>
          <w:bCs/>
          <w:iCs/>
          <w:snapToGrid w:val="0"/>
        </w:rPr>
        <w:t xml:space="preserve">potential uses for acalabrutinib which were outside the submission’s proposed restriction including </w:t>
      </w:r>
      <w:r w:rsidRPr="007B26E7">
        <w:rPr>
          <w:rFonts w:asciiTheme="minorHAnsi" w:hAnsiTheme="minorHAnsi"/>
          <w:bCs/>
          <w:iCs/>
          <w:snapToGrid w:val="0"/>
        </w:rPr>
        <w:t xml:space="preserve">as </w:t>
      </w:r>
      <w:r w:rsidR="00C178D2" w:rsidRPr="007B26E7">
        <w:rPr>
          <w:rFonts w:asciiTheme="minorHAnsi" w:hAnsiTheme="minorHAnsi"/>
          <w:bCs/>
          <w:iCs/>
          <w:snapToGrid w:val="0"/>
        </w:rPr>
        <w:t xml:space="preserve">initial </w:t>
      </w:r>
      <w:r w:rsidRPr="007B26E7">
        <w:rPr>
          <w:rFonts w:asciiTheme="minorHAnsi" w:hAnsiTheme="minorHAnsi"/>
          <w:bCs/>
          <w:iCs/>
          <w:snapToGrid w:val="0"/>
        </w:rPr>
        <w:t xml:space="preserve">monotherapy </w:t>
      </w:r>
      <w:r w:rsidR="00B123D8" w:rsidRPr="007B26E7">
        <w:rPr>
          <w:rFonts w:asciiTheme="minorHAnsi" w:hAnsiTheme="minorHAnsi"/>
          <w:bCs/>
          <w:iCs/>
          <w:snapToGrid w:val="0"/>
        </w:rPr>
        <w:t xml:space="preserve">in elderly </w:t>
      </w:r>
      <w:r w:rsidR="00756AF0" w:rsidRPr="007B26E7">
        <w:rPr>
          <w:rFonts w:asciiTheme="minorHAnsi" w:hAnsiTheme="minorHAnsi"/>
          <w:bCs/>
          <w:iCs/>
          <w:snapToGrid w:val="0"/>
        </w:rPr>
        <w:t>patients</w:t>
      </w:r>
      <w:r w:rsidR="006A4DE2" w:rsidRPr="007B26E7">
        <w:rPr>
          <w:rFonts w:asciiTheme="minorHAnsi" w:hAnsiTheme="minorHAnsi"/>
          <w:bCs/>
          <w:iCs/>
          <w:snapToGrid w:val="0"/>
        </w:rPr>
        <w:t>,</w:t>
      </w:r>
      <w:r w:rsidRPr="007B26E7">
        <w:rPr>
          <w:rFonts w:asciiTheme="minorHAnsi" w:hAnsiTheme="minorHAnsi"/>
          <w:bCs/>
          <w:iCs/>
          <w:snapToGrid w:val="0"/>
        </w:rPr>
        <w:t xml:space="preserve"> and as part of induction in transplant eligible patients</w:t>
      </w:r>
      <w:r w:rsidR="00EB6D72">
        <w:rPr>
          <w:rFonts w:asciiTheme="minorHAnsi" w:hAnsiTheme="minorHAnsi"/>
          <w:bCs/>
          <w:iCs/>
          <w:snapToGrid w:val="0"/>
        </w:rPr>
        <w:t xml:space="preserve">. The PBAC noted that such uses were not </w:t>
      </w:r>
      <w:r w:rsidR="00E87F36">
        <w:rPr>
          <w:rFonts w:asciiTheme="minorHAnsi" w:hAnsiTheme="minorHAnsi"/>
          <w:bCs/>
          <w:iCs/>
          <w:snapToGrid w:val="0"/>
        </w:rPr>
        <w:t>supported by the trial</w:t>
      </w:r>
      <w:r w:rsidR="00EB6D72">
        <w:rPr>
          <w:rFonts w:asciiTheme="minorHAnsi" w:hAnsiTheme="minorHAnsi"/>
          <w:bCs/>
          <w:iCs/>
          <w:snapToGrid w:val="0"/>
        </w:rPr>
        <w:t xml:space="preserve"> data</w:t>
      </w:r>
      <w:r w:rsidR="00AC2ABC" w:rsidRPr="007B26E7">
        <w:rPr>
          <w:rFonts w:asciiTheme="minorHAnsi" w:hAnsiTheme="minorHAnsi"/>
          <w:bCs/>
          <w:iCs/>
          <w:snapToGrid w:val="0"/>
        </w:rPr>
        <w:t>.</w:t>
      </w:r>
    </w:p>
    <w:p w14:paraId="51ACE818" w14:textId="660A3C56" w:rsidR="00A43F81" w:rsidRPr="007B26E7" w:rsidRDefault="00A43F81">
      <w:pPr>
        <w:pStyle w:val="COMexecsummnumbered"/>
        <w:rPr>
          <w:iCs/>
          <w:snapToGrid w:val="0"/>
        </w:rPr>
      </w:pPr>
      <w:r w:rsidRPr="007B26E7">
        <w:rPr>
          <w:iCs/>
          <w:snapToGrid w:val="0"/>
        </w:rPr>
        <w:t xml:space="preserve">The PBAC noted the advice received from </w:t>
      </w:r>
      <w:r w:rsidR="00073277" w:rsidRPr="007B26E7">
        <w:rPr>
          <w:rFonts w:eastAsia="Times New Roman" w:cs="Arial"/>
          <w:bCs/>
          <w:iCs/>
          <w:snapToGrid w:val="0"/>
          <w:szCs w:val="24"/>
        </w:rPr>
        <w:t>Lymphoma Australia, Leukaemia Foundation, and Rare Cancers Australia</w:t>
      </w:r>
      <w:r w:rsidR="00DB2876" w:rsidRPr="007B26E7">
        <w:rPr>
          <w:rFonts w:eastAsia="Times New Roman" w:cs="Arial"/>
          <w:bCs/>
          <w:iCs/>
          <w:snapToGrid w:val="0"/>
          <w:szCs w:val="24"/>
        </w:rPr>
        <w:t xml:space="preserve"> describing</w:t>
      </w:r>
      <w:r w:rsidR="00D7096A">
        <w:rPr>
          <w:rFonts w:eastAsia="Times New Roman" w:cs="Arial"/>
          <w:bCs/>
          <w:iCs/>
          <w:snapToGrid w:val="0"/>
          <w:szCs w:val="24"/>
        </w:rPr>
        <w:t xml:space="preserve"> the</w:t>
      </w:r>
      <w:r w:rsidR="00DB2876" w:rsidRPr="007B26E7">
        <w:rPr>
          <w:rFonts w:eastAsia="Times New Roman" w:cs="Arial"/>
          <w:bCs/>
          <w:iCs/>
          <w:snapToGrid w:val="0"/>
          <w:szCs w:val="24"/>
        </w:rPr>
        <w:t xml:space="preserve"> </w:t>
      </w:r>
      <w:r w:rsidR="004F5A43" w:rsidRPr="007B26E7">
        <w:rPr>
          <w:rFonts w:eastAsia="Times New Roman" w:cs="Arial"/>
          <w:bCs/>
          <w:iCs/>
          <w:snapToGrid w:val="0"/>
          <w:szCs w:val="24"/>
        </w:rPr>
        <w:t xml:space="preserve">impacts of </w:t>
      </w:r>
      <w:r w:rsidR="00DB2876" w:rsidRPr="007B26E7">
        <w:rPr>
          <w:rFonts w:eastAsia="Times New Roman" w:cs="Arial"/>
          <w:bCs/>
          <w:iCs/>
          <w:snapToGrid w:val="0"/>
          <w:szCs w:val="24"/>
        </w:rPr>
        <w:t xml:space="preserve">MCL including </w:t>
      </w:r>
      <w:r w:rsidR="004F5A43" w:rsidRPr="007B26E7">
        <w:rPr>
          <w:rFonts w:eastAsia="Times New Roman" w:cs="Arial"/>
          <w:bCs/>
          <w:iCs/>
          <w:snapToGrid w:val="0"/>
          <w:szCs w:val="24"/>
        </w:rPr>
        <w:t xml:space="preserve">extreme fatigue, </w:t>
      </w:r>
      <w:r w:rsidR="000D00C8" w:rsidRPr="007B26E7">
        <w:rPr>
          <w:rFonts w:eastAsia="Times New Roman" w:cs="Arial"/>
          <w:bCs/>
          <w:iCs/>
          <w:snapToGrid w:val="0"/>
          <w:szCs w:val="24"/>
        </w:rPr>
        <w:t>swollen glands, chronic pain, stress</w:t>
      </w:r>
      <w:r w:rsidR="00314AEB" w:rsidRPr="007B26E7">
        <w:rPr>
          <w:rFonts w:eastAsia="Times New Roman" w:cs="Arial"/>
          <w:bCs/>
          <w:iCs/>
          <w:snapToGrid w:val="0"/>
          <w:szCs w:val="24"/>
        </w:rPr>
        <w:t xml:space="preserve">, </w:t>
      </w:r>
      <w:r w:rsidR="000D00C8" w:rsidRPr="007B26E7">
        <w:rPr>
          <w:rFonts w:eastAsia="Times New Roman" w:cs="Arial"/>
          <w:bCs/>
          <w:iCs/>
          <w:snapToGrid w:val="0"/>
          <w:szCs w:val="24"/>
        </w:rPr>
        <w:t xml:space="preserve">mental struggle, </w:t>
      </w:r>
      <w:r w:rsidR="00314AEB" w:rsidRPr="007B26E7">
        <w:rPr>
          <w:rFonts w:eastAsia="Times New Roman" w:cs="Arial"/>
          <w:bCs/>
          <w:iCs/>
          <w:snapToGrid w:val="0"/>
          <w:szCs w:val="24"/>
        </w:rPr>
        <w:t xml:space="preserve">and </w:t>
      </w:r>
      <w:r w:rsidR="000D00C8" w:rsidRPr="007B26E7">
        <w:rPr>
          <w:rFonts w:eastAsia="Times New Roman" w:cs="Arial"/>
          <w:bCs/>
          <w:iCs/>
          <w:snapToGrid w:val="0"/>
          <w:szCs w:val="24"/>
        </w:rPr>
        <w:t xml:space="preserve">reduced </w:t>
      </w:r>
      <w:r w:rsidR="00314AEB" w:rsidRPr="007B26E7">
        <w:rPr>
          <w:rFonts w:eastAsia="Times New Roman" w:cs="Arial"/>
          <w:bCs/>
          <w:iCs/>
          <w:snapToGrid w:val="0"/>
          <w:szCs w:val="24"/>
        </w:rPr>
        <w:t xml:space="preserve">capacity for </w:t>
      </w:r>
      <w:r w:rsidR="000D00C8" w:rsidRPr="007B26E7">
        <w:rPr>
          <w:rFonts w:eastAsia="Times New Roman" w:cs="Arial"/>
          <w:bCs/>
          <w:iCs/>
          <w:snapToGrid w:val="0"/>
          <w:szCs w:val="24"/>
        </w:rPr>
        <w:t xml:space="preserve">work </w:t>
      </w:r>
      <w:r w:rsidR="00314AEB" w:rsidRPr="007B26E7">
        <w:rPr>
          <w:rFonts w:eastAsia="Times New Roman" w:cs="Arial"/>
          <w:bCs/>
          <w:iCs/>
          <w:snapToGrid w:val="0"/>
          <w:szCs w:val="24"/>
        </w:rPr>
        <w:t>and daily living (e</w:t>
      </w:r>
      <w:r w:rsidR="00A104D3">
        <w:rPr>
          <w:rFonts w:eastAsia="Times New Roman" w:cs="Arial"/>
          <w:bCs/>
          <w:iCs/>
          <w:snapToGrid w:val="0"/>
          <w:szCs w:val="24"/>
        </w:rPr>
        <w:t>.</w:t>
      </w:r>
      <w:r w:rsidR="00314AEB" w:rsidRPr="007B26E7">
        <w:rPr>
          <w:rFonts w:eastAsia="Times New Roman" w:cs="Arial"/>
          <w:bCs/>
          <w:iCs/>
          <w:snapToGrid w:val="0"/>
          <w:szCs w:val="24"/>
        </w:rPr>
        <w:t>g</w:t>
      </w:r>
      <w:r w:rsidR="00A104D3">
        <w:rPr>
          <w:rFonts w:eastAsia="Times New Roman" w:cs="Arial"/>
          <w:bCs/>
          <w:iCs/>
          <w:snapToGrid w:val="0"/>
          <w:szCs w:val="24"/>
        </w:rPr>
        <w:t>.</w:t>
      </w:r>
      <w:r w:rsidR="00314AEB" w:rsidRPr="007B26E7">
        <w:rPr>
          <w:rFonts w:eastAsia="Times New Roman" w:cs="Arial"/>
          <w:bCs/>
          <w:iCs/>
          <w:snapToGrid w:val="0"/>
          <w:szCs w:val="24"/>
        </w:rPr>
        <w:t xml:space="preserve"> going to the shops)</w:t>
      </w:r>
      <w:r w:rsidR="000D00C8" w:rsidRPr="007B26E7">
        <w:rPr>
          <w:rFonts w:eastAsia="Times New Roman" w:cs="Arial"/>
          <w:bCs/>
          <w:iCs/>
          <w:snapToGrid w:val="0"/>
          <w:szCs w:val="24"/>
        </w:rPr>
        <w:t>.</w:t>
      </w:r>
      <w:r w:rsidR="00314AEB" w:rsidRPr="007B26E7">
        <w:rPr>
          <w:rFonts w:eastAsia="Times New Roman" w:cs="Arial"/>
          <w:bCs/>
          <w:iCs/>
          <w:snapToGrid w:val="0"/>
          <w:szCs w:val="24"/>
        </w:rPr>
        <w:t xml:space="preserve"> </w:t>
      </w:r>
      <w:r w:rsidR="00157CFD" w:rsidRPr="007B26E7">
        <w:rPr>
          <w:rFonts w:eastAsia="Times New Roman" w:cs="Arial"/>
          <w:bCs/>
          <w:iCs/>
          <w:snapToGrid w:val="0"/>
          <w:szCs w:val="24"/>
        </w:rPr>
        <w:t xml:space="preserve">Input also noted the impacts of current </w:t>
      </w:r>
      <w:r w:rsidR="00A4223E" w:rsidRPr="007B26E7">
        <w:rPr>
          <w:rFonts w:eastAsia="Times New Roman" w:cs="Arial"/>
          <w:bCs/>
          <w:iCs/>
          <w:snapToGrid w:val="0"/>
          <w:szCs w:val="24"/>
        </w:rPr>
        <w:t>chemotherapy</w:t>
      </w:r>
      <w:r w:rsidR="00157CFD" w:rsidRPr="007B26E7">
        <w:rPr>
          <w:rFonts w:eastAsia="Times New Roman" w:cs="Arial"/>
          <w:bCs/>
          <w:iCs/>
          <w:snapToGrid w:val="0"/>
          <w:szCs w:val="24"/>
        </w:rPr>
        <w:t xml:space="preserve"> regimens including </w:t>
      </w:r>
      <w:r w:rsidR="00A4223E" w:rsidRPr="007B26E7">
        <w:rPr>
          <w:rFonts w:eastAsia="Times New Roman" w:cs="Arial"/>
          <w:bCs/>
          <w:iCs/>
          <w:snapToGrid w:val="0"/>
          <w:szCs w:val="24"/>
        </w:rPr>
        <w:t>extreme nausea, vomiting, hair loss and "brain fog".</w:t>
      </w:r>
      <w:r w:rsidR="00D07A82" w:rsidRPr="007B26E7">
        <w:rPr>
          <w:rFonts w:eastAsia="Times New Roman" w:cs="Arial"/>
          <w:bCs/>
          <w:iCs/>
          <w:snapToGrid w:val="0"/>
          <w:szCs w:val="24"/>
        </w:rPr>
        <w:t xml:space="preserve"> </w:t>
      </w:r>
      <w:r w:rsidRPr="007B26E7">
        <w:rPr>
          <w:iCs/>
          <w:snapToGrid w:val="0"/>
        </w:rPr>
        <w:t>The PBAC noted that this advice was supportive of the evidence provided in the submission.</w:t>
      </w:r>
    </w:p>
    <w:bookmarkEnd w:id="11"/>
    <w:bookmarkEnd w:id="14"/>
    <w:p w14:paraId="5886DAB2" w14:textId="77777777" w:rsidR="00A0461C" w:rsidRPr="006D075E" w:rsidRDefault="00A0461C" w:rsidP="00C62F57">
      <w:pPr>
        <w:pStyle w:val="COMH2-non-numbered"/>
      </w:pPr>
      <w:r w:rsidRPr="006D075E">
        <w:t>Clinical trials</w:t>
      </w:r>
      <w:bookmarkEnd w:id="12"/>
    </w:p>
    <w:p w14:paraId="4880B25C" w14:textId="0A9C59A4" w:rsidR="00A0461C" w:rsidRPr="006D075E" w:rsidRDefault="00A0461C" w:rsidP="00C62F57">
      <w:pPr>
        <w:pStyle w:val="COMexecsummnumbered"/>
      </w:pPr>
      <w:r w:rsidRPr="006D075E">
        <w:t xml:space="preserve">The submission was based on one head-to-head trial comparing acalabrutinib in combination with </w:t>
      </w:r>
      <w:proofErr w:type="spellStart"/>
      <w:r w:rsidRPr="006D075E">
        <w:t>bendamustine</w:t>
      </w:r>
      <w:proofErr w:type="spellEnd"/>
      <w:r w:rsidRPr="006D075E">
        <w:t xml:space="preserve"> and rituximab to placebo with </w:t>
      </w:r>
      <w:proofErr w:type="spellStart"/>
      <w:r w:rsidRPr="006D075E">
        <w:t>bendamustine</w:t>
      </w:r>
      <w:proofErr w:type="spellEnd"/>
      <w:r w:rsidRPr="006D075E">
        <w:t xml:space="preserve"> and rituximab in patients with previously untreated </w:t>
      </w:r>
      <w:r w:rsidR="008B591E">
        <w:t>MCL</w:t>
      </w:r>
      <w:r w:rsidRPr="006D075E">
        <w:t xml:space="preserve"> (ECHO). </w:t>
      </w:r>
    </w:p>
    <w:p w14:paraId="0C474925" w14:textId="065183FD" w:rsidR="00A0461C" w:rsidRPr="006D075E" w:rsidRDefault="00A0461C" w:rsidP="00C62F57">
      <w:pPr>
        <w:pStyle w:val="COMexecsummnumbered"/>
      </w:pPr>
      <w:r w:rsidRPr="006D075E">
        <w:t xml:space="preserve">Details of the </w:t>
      </w:r>
      <w:r w:rsidR="000E25C7" w:rsidRPr="006D075E">
        <w:t xml:space="preserve">ECHO </w:t>
      </w:r>
      <w:r w:rsidRPr="006D075E">
        <w:t>trial are provided in</w:t>
      </w:r>
      <w:r w:rsidR="00D07C6C" w:rsidRPr="006D075E">
        <w:t xml:space="preserve"> </w:t>
      </w:r>
      <w:r w:rsidR="00D07C6C" w:rsidRPr="006D075E">
        <w:fldChar w:fldCharType="begin"/>
      </w:r>
      <w:r w:rsidR="00D07C6C" w:rsidRPr="006D075E">
        <w:instrText xml:space="preserve"> REF _Ref198649896 \h </w:instrText>
      </w:r>
      <w:r w:rsidR="00D07C6C" w:rsidRPr="006D075E">
        <w:fldChar w:fldCharType="separate"/>
      </w:r>
      <w:r w:rsidR="00A542E9" w:rsidRPr="006D075E">
        <w:t xml:space="preserve">Table </w:t>
      </w:r>
      <w:r w:rsidR="00A542E9">
        <w:rPr>
          <w:noProof/>
        </w:rPr>
        <w:t>2</w:t>
      </w:r>
      <w:r w:rsidR="00D07C6C" w:rsidRPr="006D075E">
        <w:fldChar w:fldCharType="end"/>
      </w:r>
      <w:r w:rsidRPr="006D075E">
        <w:t xml:space="preserve">. </w:t>
      </w:r>
    </w:p>
    <w:p w14:paraId="25CDBC20" w14:textId="25290625" w:rsidR="00A0461C" w:rsidRPr="006D075E" w:rsidRDefault="00A0461C" w:rsidP="00C62F57">
      <w:pPr>
        <w:pStyle w:val="COMtablefigcaption"/>
      </w:pPr>
      <w:bookmarkStart w:id="15" w:name="_Ref198649896"/>
      <w:r w:rsidRPr="006D075E">
        <w:t xml:space="preserve">Table </w:t>
      </w:r>
      <w:r w:rsidR="00370FC7" w:rsidRPr="006D075E">
        <w:fldChar w:fldCharType="begin"/>
      </w:r>
      <w:r w:rsidR="00370FC7" w:rsidRPr="006D075E">
        <w:instrText xml:space="preserve"> SEQ Table \* ARABIC </w:instrText>
      </w:r>
      <w:r w:rsidR="00370FC7" w:rsidRPr="006D075E">
        <w:fldChar w:fldCharType="separate"/>
      </w:r>
      <w:r w:rsidR="00A542E9">
        <w:rPr>
          <w:noProof/>
        </w:rPr>
        <w:t>2</w:t>
      </w:r>
      <w:r w:rsidR="00370FC7" w:rsidRPr="006D075E">
        <w:fldChar w:fldCharType="end"/>
      </w:r>
      <w:bookmarkEnd w:id="15"/>
      <w:r w:rsidRPr="006D075E">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submission"/>
      </w:tblPr>
      <w:tblGrid>
        <w:gridCol w:w="1435"/>
        <w:gridCol w:w="5459"/>
        <w:gridCol w:w="2123"/>
      </w:tblGrid>
      <w:tr w:rsidR="00A0461C" w:rsidRPr="006D075E" w14:paraId="10AD502E" w14:textId="77777777" w:rsidTr="00A0461C">
        <w:trPr>
          <w:tblHeader/>
        </w:trPr>
        <w:tc>
          <w:tcPr>
            <w:tcW w:w="796" w:type="pct"/>
            <w:tcBorders>
              <w:top w:val="single" w:sz="4" w:space="0" w:color="auto"/>
              <w:left w:val="single" w:sz="4" w:space="0" w:color="auto"/>
              <w:bottom w:val="single" w:sz="4" w:space="0" w:color="auto"/>
              <w:right w:val="single" w:sz="4" w:space="0" w:color="auto"/>
            </w:tcBorders>
            <w:vAlign w:val="center"/>
            <w:hideMark/>
          </w:tcPr>
          <w:p w14:paraId="60B6ED7E" w14:textId="77777777" w:rsidR="00A0461C" w:rsidRPr="006D075E" w:rsidRDefault="00A0461C" w:rsidP="00382122">
            <w:pPr>
              <w:pStyle w:val="COMTableheadingrow"/>
              <w:rPr>
                <w:lang w:val="en-AU"/>
              </w:rPr>
            </w:pPr>
            <w:r w:rsidRPr="006D075E">
              <w:rPr>
                <w:lang w:val="en-AU"/>
              </w:rPr>
              <w:t>Trial ID</w:t>
            </w:r>
          </w:p>
        </w:tc>
        <w:tc>
          <w:tcPr>
            <w:tcW w:w="3027" w:type="pct"/>
            <w:tcBorders>
              <w:top w:val="single" w:sz="4" w:space="0" w:color="auto"/>
              <w:left w:val="single" w:sz="4" w:space="0" w:color="auto"/>
              <w:bottom w:val="single" w:sz="4" w:space="0" w:color="auto"/>
              <w:right w:val="single" w:sz="4" w:space="0" w:color="auto"/>
            </w:tcBorders>
            <w:vAlign w:val="center"/>
            <w:hideMark/>
          </w:tcPr>
          <w:p w14:paraId="64C1DAC1" w14:textId="77777777" w:rsidR="00A0461C" w:rsidRPr="006D075E" w:rsidRDefault="00A0461C" w:rsidP="00382122">
            <w:pPr>
              <w:pStyle w:val="COMTableheadingrow"/>
              <w:rPr>
                <w:lang w:val="en-AU"/>
              </w:rPr>
            </w:pPr>
            <w:r w:rsidRPr="006D075E">
              <w:rPr>
                <w:lang w:val="en-AU"/>
              </w:rPr>
              <w:t>Protocol title/ Publication title</w:t>
            </w:r>
          </w:p>
        </w:tc>
        <w:tc>
          <w:tcPr>
            <w:tcW w:w="1177" w:type="pct"/>
            <w:tcBorders>
              <w:top w:val="single" w:sz="4" w:space="0" w:color="auto"/>
              <w:left w:val="single" w:sz="4" w:space="0" w:color="auto"/>
              <w:bottom w:val="single" w:sz="4" w:space="0" w:color="auto"/>
              <w:right w:val="single" w:sz="4" w:space="0" w:color="auto"/>
            </w:tcBorders>
            <w:vAlign w:val="center"/>
            <w:hideMark/>
          </w:tcPr>
          <w:p w14:paraId="7BF21219" w14:textId="77777777" w:rsidR="00A0461C" w:rsidRPr="006D075E" w:rsidRDefault="00A0461C" w:rsidP="00382122">
            <w:pPr>
              <w:pStyle w:val="COMTableheadingrow"/>
              <w:rPr>
                <w:lang w:val="en-AU"/>
              </w:rPr>
            </w:pPr>
            <w:r w:rsidRPr="006D075E">
              <w:rPr>
                <w:lang w:val="en-AU"/>
              </w:rPr>
              <w:t>Publication citation</w:t>
            </w:r>
          </w:p>
        </w:tc>
      </w:tr>
      <w:tr w:rsidR="00A0461C" w:rsidRPr="006D075E" w14:paraId="73994C58" w14:textId="77777777" w:rsidTr="00A0461C">
        <w:tc>
          <w:tcPr>
            <w:tcW w:w="796" w:type="pct"/>
            <w:vMerge w:val="restart"/>
            <w:tcBorders>
              <w:top w:val="single" w:sz="4" w:space="0" w:color="auto"/>
              <w:left w:val="single" w:sz="4" w:space="0" w:color="auto"/>
              <w:bottom w:val="single" w:sz="4" w:space="0" w:color="auto"/>
              <w:right w:val="single" w:sz="4" w:space="0" w:color="auto"/>
            </w:tcBorders>
            <w:vAlign w:val="center"/>
            <w:hideMark/>
          </w:tcPr>
          <w:p w14:paraId="63E9BB5E" w14:textId="77777777" w:rsidR="00A0461C" w:rsidRPr="006D075E" w:rsidRDefault="00A0461C" w:rsidP="00382122">
            <w:pPr>
              <w:pStyle w:val="COMTabletext"/>
            </w:pPr>
            <w:r w:rsidRPr="006D075E">
              <w:t>ECHO</w:t>
            </w:r>
          </w:p>
        </w:tc>
        <w:tc>
          <w:tcPr>
            <w:tcW w:w="3027" w:type="pct"/>
            <w:tcBorders>
              <w:top w:val="single" w:sz="4" w:space="0" w:color="auto"/>
              <w:left w:val="single" w:sz="4" w:space="0" w:color="auto"/>
              <w:bottom w:val="nil"/>
              <w:right w:val="single" w:sz="4" w:space="0" w:color="auto"/>
            </w:tcBorders>
            <w:vAlign w:val="center"/>
            <w:hideMark/>
          </w:tcPr>
          <w:p w14:paraId="7BAEEE91" w14:textId="50C035CF" w:rsidR="00A0461C" w:rsidRPr="006D075E" w:rsidRDefault="00A0461C" w:rsidP="00615329">
            <w:pPr>
              <w:pStyle w:val="COMTabletext"/>
              <w:spacing w:after="60"/>
            </w:pPr>
            <w:r w:rsidRPr="006D075E">
              <w:t xml:space="preserve">A </w:t>
            </w:r>
            <w:r w:rsidR="00476C3D" w:rsidRPr="006D075E">
              <w:t>p</w:t>
            </w:r>
            <w:r w:rsidRPr="006D075E">
              <w:t xml:space="preserve">hase 3, </w:t>
            </w:r>
            <w:r w:rsidR="00476C3D" w:rsidRPr="006D075E">
              <w:t xml:space="preserve">randomised, double-blind, placebo-controlled, </w:t>
            </w:r>
            <w:proofErr w:type="spellStart"/>
            <w:r w:rsidR="00476C3D" w:rsidRPr="006D075E">
              <w:t>multicenter</w:t>
            </w:r>
            <w:proofErr w:type="spellEnd"/>
            <w:r w:rsidR="00476C3D" w:rsidRPr="006D075E">
              <w:t xml:space="preserve"> study of </w:t>
            </w:r>
            <w:proofErr w:type="spellStart"/>
            <w:r w:rsidR="00476C3D" w:rsidRPr="006D075E">
              <w:t>bendamustine</w:t>
            </w:r>
            <w:proofErr w:type="spellEnd"/>
            <w:r w:rsidR="00476C3D" w:rsidRPr="006D075E">
              <w:t xml:space="preserve"> and rituximab (</w:t>
            </w:r>
            <w:r w:rsidRPr="006D075E">
              <w:t>BR</w:t>
            </w:r>
            <w:r w:rsidR="00476C3D" w:rsidRPr="006D075E">
              <w:t>)</w:t>
            </w:r>
            <w:r w:rsidRPr="006D075E">
              <w:t xml:space="preserve"> alone </w:t>
            </w:r>
            <w:r w:rsidR="00476C3D" w:rsidRPr="006D075E">
              <w:t>v</w:t>
            </w:r>
            <w:r w:rsidRPr="006D075E">
              <w:t xml:space="preserve">ersus in </w:t>
            </w:r>
            <w:r w:rsidR="00476C3D" w:rsidRPr="006D075E">
              <w:t>c</w:t>
            </w:r>
            <w:r w:rsidRPr="006D075E">
              <w:t xml:space="preserve">ombination with </w:t>
            </w:r>
            <w:r w:rsidR="00476C3D" w:rsidRPr="006D075E">
              <w:t>a</w:t>
            </w:r>
            <w:r w:rsidRPr="006D075E">
              <w:t xml:space="preserve">calabrutinib (ACP-196) in </w:t>
            </w:r>
            <w:r w:rsidR="00476C3D" w:rsidRPr="006D075E">
              <w:t>s</w:t>
            </w:r>
            <w:r w:rsidRPr="006D075E">
              <w:t xml:space="preserve">ubjects with </w:t>
            </w:r>
            <w:r w:rsidR="00615329" w:rsidRPr="006D075E">
              <w:t xml:space="preserve">previously untreated mantle cell lymphoma </w:t>
            </w:r>
            <w:r w:rsidRPr="006D075E">
              <w:t>(ECHO</w:t>
            </w:r>
            <w:r w:rsidR="00615329" w:rsidRPr="006D075E">
              <w:t xml:space="preserve">; </w:t>
            </w:r>
            <w:r w:rsidRPr="006D075E">
              <w:t>ACE-LY308 / NCT02972840</w:t>
            </w:r>
            <w:r w:rsidR="00615329" w:rsidRPr="006D075E">
              <w:t>).</w:t>
            </w:r>
          </w:p>
        </w:tc>
        <w:tc>
          <w:tcPr>
            <w:tcW w:w="1177" w:type="pct"/>
            <w:tcBorders>
              <w:top w:val="single" w:sz="4" w:space="0" w:color="auto"/>
              <w:left w:val="single" w:sz="4" w:space="0" w:color="auto"/>
              <w:bottom w:val="nil"/>
              <w:right w:val="single" w:sz="4" w:space="0" w:color="auto"/>
            </w:tcBorders>
            <w:hideMark/>
          </w:tcPr>
          <w:p w14:paraId="01033873" w14:textId="77777777" w:rsidR="00A0461C" w:rsidRPr="006D075E" w:rsidRDefault="00A0461C" w:rsidP="00615329">
            <w:pPr>
              <w:pStyle w:val="COMTabletext"/>
              <w:spacing w:after="60"/>
            </w:pPr>
            <w:r w:rsidRPr="006D075E">
              <w:t>Clinical Study Report – Interim Analysis based on data cut-off of 15 February 2024</w:t>
            </w:r>
          </w:p>
        </w:tc>
      </w:tr>
      <w:tr w:rsidR="00A0461C" w:rsidRPr="006D075E" w14:paraId="65D78A2A" w14:textId="77777777" w:rsidTr="00A0461C">
        <w:tc>
          <w:tcPr>
            <w:tcW w:w="0" w:type="auto"/>
            <w:vMerge/>
            <w:tcBorders>
              <w:top w:val="single" w:sz="4" w:space="0" w:color="auto"/>
              <w:left w:val="single" w:sz="4" w:space="0" w:color="auto"/>
              <w:bottom w:val="single" w:sz="4" w:space="0" w:color="auto"/>
              <w:right w:val="single" w:sz="4" w:space="0" w:color="auto"/>
            </w:tcBorders>
            <w:vAlign w:val="center"/>
            <w:hideMark/>
          </w:tcPr>
          <w:p w14:paraId="5B12D17E" w14:textId="77777777" w:rsidR="00A0461C" w:rsidRPr="006D075E" w:rsidRDefault="00A0461C" w:rsidP="00382122">
            <w:pPr>
              <w:pStyle w:val="COMTabletext"/>
            </w:pPr>
          </w:p>
        </w:tc>
        <w:tc>
          <w:tcPr>
            <w:tcW w:w="3027" w:type="pct"/>
            <w:tcBorders>
              <w:top w:val="nil"/>
              <w:left w:val="single" w:sz="4" w:space="0" w:color="auto"/>
              <w:bottom w:val="single" w:sz="4" w:space="0" w:color="auto"/>
              <w:right w:val="single" w:sz="4" w:space="0" w:color="auto"/>
            </w:tcBorders>
            <w:vAlign w:val="center"/>
            <w:hideMark/>
          </w:tcPr>
          <w:p w14:paraId="7BFBA802" w14:textId="39E4E757" w:rsidR="00A0461C" w:rsidRPr="006D075E" w:rsidRDefault="00A0461C" w:rsidP="00382122">
            <w:pPr>
              <w:pStyle w:val="COMTabletext"/>
            </w:pPr>
            <w:r w:rsidRPr="006D075E">
              <w:t xml:space="preserve">Wang M, </w:t>
            </w:r>
            <w:r w:rsidRPr="006D075E">
              <w:rPr>
                <w:i/>
                <w:iCs/>
              </w:rPr>
              <w:t>et al</w:t>
            </w:r>
            <w:r w:rsidRPr="006D075E">
              <w:t xml:space="preserve">. A phase 3 study of acalabrutinib plus </w:t>
            </w:r>
            <w:proofErr w:type="spellStart"/>
            <w:r w:rsidRPr="006D075E">
              <w:t>bendamustine</w:t>
            </w:r>
            <w:proofErr w:type="spellEnd"/>
            <w:r w:rsidRPr="006D075E">
              <w:t xml:space="preserve"> and rituximab in elderly (aged ≥65 years) treatment-naïve patients with mantle cell lymphoma.</w:t>
            </w:r>
          </w:p>
        </w:tc>
        <w:tc>
          <w:tcPr>
            <w:tcW w:w="1177" w:type="pct"/>
            <w:tcBorders>
              <w:top w:val="nil"/>
              <w:left w:val="single" w:sz="4" w:space="0" w:color="auto"/>
              <w:bottom w:val="single" w:sz="4" w:space="0" w:color="auto"/>
              <w:right w:val="single" w:sz="4" w:space="0" w:color="auto"/>
            </w:tcBorders>
            <w:hideMark/>
          </w:tcPr>
          <w:p w14:paraId="006961BF" w14:textId="77777777" w:rsidR="00A0461C" w:rsidRPr="006D075E" w:rsidRDefault="00A0461C" w:rsidP="00382122">
            <w:pPr>
              <w:pStyle w:val="COMTabletext"/>
              <w:rPr>
                <w:iCs/>
              </w:rPr>
            </w:pPr>
            <w:proofErr w:type="spellStart"/>
            <w:r w:rsidRPr="006D075E">
              <w:rPr>
                <w:i/>
              </w:rPr>
              <w:t>Hematol</w:t>
            </w:r>
            <w:proofErr w:type="spellEnd"/>
            <w:r w:rsidRPr="006D075E">
              <w:rPr>
                <w:i/>
              </w:rPr>
              <w:t xml:space="preserve"> Oncol</w:t>
            </w:r>
            <w:r w:rsidRPr="006D075E">
              <w:rPr>
                <w:iCs/>
              </w:rPr>
              <w:t xml:space="preserve"> 2019; 37: 554-555. (conference abstract)</w:t>
            </w:r>
          </w:p>
        </w:tc>
      </w:tr>
    </w:tbl>
    <w:p w14:paraId="18DC6CCA" w14:textId="77777777" w:rsidR="00A0461C" w:rsidRPr="006D075E" w:rsidRDefault="00A0461C" w:rsidP="00382122">
      <w:pPr>
        <w:pStyle w:val="COMTablefooter"/>
        <w:rPr>
          <w:rFonts w:eastAsiaTheme="minorHAnsi"/>
        </w:rPr>
      </w:pPr>
      <w:r w:rsidRPr="006D075E">
        <w:rPr>
          <w:rFonts w:eastAsiaTheme="minorHAnsi"/>
        </w:rPr>
        <w:t>Source: Table 2-3, p31 of the submission.</w:t>
      </w:r>
    </w:p>
    <w:p w14:paraId="5B464916" w14:textId="53E93AFE" w:rsidR="00A0461C" w:rsidRPr="006D075E" w:rsidRDefault="00A0461C" w:rsidP="00382122">
      <w:pPr>
        <w:pStyle w:val="COMexecsummnumbered"/>
      </w:pPr>
      <w:r w:rsidRPr="006D075E">
        <w:t xml:space="preserve">The key features of the ECHO trial are summarised in </w:t>
      </w:r>
      <w:r w:rsidR="00AC7EEB" w:rsidRPr="006D075E">
        <w:fldChar w:fldCharType="begin"/>
      </w:r>
      <w:r w:rsidR="00AC7EEB" w:rsidRPr="006D075E">
        <w:instrText xml:space="preserve"> REF _Ref198649939 \h </w:instrText>
      </w:r>
      <w:r w:rsidR="00AC7EEB" w:rsidRPr="006D075E">
        <w:fldChar w:fldCharType="separate"/>
      </w:r>
      <w:r w:rsidR="00A542E9" w:rsidRPr="006D075E">
        <w:t xml:space="preserve">Table </w:t>
      </w:r>
      <w:r w:rsidR="00A542E9">
        <w:rPr>
          <w:noProof/>
        </w:rPr>
        <w:t>3</w:t>
      </w:r>
      <w:r w:rsidR="00AC7EEB" w:rsidRPr="006D075E">
        <w:fldChar w:fldCharType="end"/>
      </w:r>
      <w:r w:rsidRPr="006D075E">
        <w:t xml:space="preserve">. </w:t>
      </w:r>
    </w:p>
    <w:p w14:paraId="326ECAAD" w14:textId="2CF81891" w:rsidR="00A0461C" w:rsidRPr="006D075E" w:rsidRDefault="00A0461C" w:rsidP="00382122">
      <w:pPr>
        <w:pStyle w:val="COMtablefigcaption"/>
      </w:pPr>
      <w:bookmarkStart w:id="16" w:name="_Ref198649939"/>
      <w:r w:rsidRPr="006D075E">
        <w:lastRenderedPageBreak/>
        <w:t xml:space="preserve">Table </w:t>
      </w:r>
      <w:r w:rsidR="00370FC7" w:rsidRPr="006D075E">
        <w:fldChar w:fldCharType="begin"/>
      </w:r>
      <w:r w:rsidR="00370FC7" w:rsidRPr="006D075E">
        <w:instrText xml:space="preserve"> SEQ Table \* ARABIC </w:instrText>
      </w:r>
      <w:r w:rsidR="00370FC7" w:rsidRPr="006D075E">
        <w:fldChar w:fldCharType="separate"/>
      </w:r>
      <w:r w:rsidR="00A542E9">
        <w:rPr>
          <w:noProof/>
        </w:rPr>
        <w:t>3</w:t>
      </w:r>
      <w:r w:rsidR="00370FC7" w:rsidRPr="006D075E">
        <w:fldChar w:fldCharType="end"/>
      </w:r>
      <w:bookmarkEnd w:id="16"/>
      <w:r w:rsidRPr="006D075E">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704"/>
        <w:gridCol w:w="568"/>
        <w:gridCol w:w="1843"/>
        <w:gridCol w:w="709"/>
        <w:gridCol w:w="1841"/>
        <w:gridCol w:w="1659"/>
        <w:gridCol w:w="1693"/>
      </w:tblGrid>
      <w:tr w:rsidR="00382122" w:rsidRPr="006D075E" w14:paraId="270E6C76" w14:textId="77777777" w:rsidTr="00A0461C">
        <w:trPr>
          <w:cantSplit/>
          <w:tblHeader/>
        </w:trPr>
        <w:tc>
          <w:tcPr>
            <w:tcW w:w="390" w:type="pct"/>
            <w:tcBorders>
              <w:top w:val="single" w:sz="4" w:space="0" w:color="auto"/>
              <w:left w:val="single" w:sz="4" w:space="0" w:color="auto"/>
              <w:bottom w:val="single" w:sz="4" w:space="0" w:color="auto"/>
              <w:right w:val="single" w:sz="4" w:space="0" w:color="auto"/>
            </w:tcBorders>
            <w:vAlign w:val="center"/>
            <w:hideMark/>
          </w:tcPr>
          <w:p w14:paraId="5F622816" w14:textId="77777777" w:rsidR="00A0461C" w:rsidRPr="006D075E" w:rsidRDefault="00A0461C" w:rsidP="00382122">
            <w:pPr>
              <w:pStyle w:val="COMTableheadingrow"/>
              <w:jc w:val="center"/>
              <w:rPr>
                <w:lang w:val="en-AU"/>
              </w:rPr>
            </w:pPr>
            <w:r w:rsidRPr="006D075E">
              <w:rPr>
                <w:lang w:val="en-AU"/>
              </w:rPr>
              <w:t>Trial</w:t>
            </w:r>
          </w:p>
        </w:tc>
        <w:tc>
          <w:tcPr>
            <w:tcW w:w="315" w:type="pct"/>
            <w:tcBorders>
              <w:top w:val="single" w:sz="4" w:space="0" w:color="auto"/>
              <w:left w:val="single" w:sz="4" w:space="0" w:color="auto"/>
              <w:bottom w:val="single" w:sz="4" w:space="0" w:color="auto"/>
              <w:right w:val="single" w:sz="4" w:space="0" w:color="auto"/>
            </w:tcBorders>
            <w:vAlign w:val="center"/>
            <w:hideMark/>
          </w:tcPr>
          <w:p w14:paraId="53A8BAA5" w14:textId="77777777" w:rsidR="00A0461C" w:rsidRPr="006D075E" w:rsidRDefault="00A0461C" w:rsidP="00382122">
            <w:pPr>
              <w:pStyle w:val="COMTableheadingrow"/>
              <w:jc w:val="center"/>
              <w:rPr>
                <w:lang w:val="en-AU"/>
              </w:rPr>
            </w:pPr>
            <w:r w:rsidRPr="006D075E">
              <w:rPr>
                <w:lang w:val="en-AU"/>
              </w:rPr>
              <w:t>N</w:t>
            </w:r>
          </w:p>
        </w:tc>
        <w:tc>
          <w:tcPr>
            <w:tcW w:w="1022" w:type="pct"/>
            <w:tcBorders>
              <w:top w:val="single" w:sz="4" w:space="0" w:color="auto"/>
              <w:left w:val="single" w:sz="4" w:space="0" w:color="auto"/>
              <w:bottom w:val="single" w:sz="4" w:space="0" w:color="auto"/>
              <w:right w:val="single" w:sz="4" w:space="0" w:color="auto"/>
            </w:tcBorders>
            <w:vAlign w:val="center"/>
            <w:hideMark/>
          </w:tcPr>
          <w:p w14:paraId="0B0D1FF1" w14:textId="28388422" w:rsidR="00A0461C" w:rsidRPr="006D075E" w:rsidRDefault="00A0461C" w:rsidP="00382122">
            <w:pPr>
              <w:pStyle w:val="COMTableheadingrow"/>
              <w:jc w:val="center"/>
              <w:rPr>
                <w:lang w:val="en-AU"/>
              </w:rPr>
            </w:pPr>
            <w:r w:rsidRPr="006D075E">
              <w:rPr>
                <w:lang w:val="en-AU"/>
              </w:rPr>
              <w:t>Design/duration</w:t>
            </w:r>
          </w:p>
        </w:tc>
        <w:tc>
          <w:tcPr>
            <w:tcW w:w="393" w:type="pct"/>
            <w:tcBorders>
              <w:top w:val="single" w:sz="4" w:space="0" w:color="auto"/>
              <w:left w:val="single" w:sz="4" w:space="0" w:color="auto"/>
              <w:bottom w:val="single" w:sz="4" w:space="0" w:color="auto"/>
              <w:right w:val="single" w:sz="4" w:space="0" w:color="auto"/>
            </w:tcBorders>
            <w:vAlign w:val="center"/>
            <w:hideMark/>
          </w:tcPr>
          <w:p w14:paraId="118F056B" w14:textId="77777777" w:rsidR="00A0461C" w:rsidRPr="006D075E" w:rsidRDefault="00A0461C" w:rsidP="00382122">
            <w:pPr>
              <w:pStyle w:val="COMTableheadingrow"/>
              <w:jc w:val="center"/>
              <w:rPr>
                <w:lang w:val="en-AU"/>
              </w:rPr>
            </w:pPr>
            <w:r w:rsidRPr="006D075E">
              <w:rPr>
                <w:lang w:val="en-AU"/>
              </w:rPr>
              <w:t>Risk of bias</w:t>
            </w:r>
          </w:p>
        </w:tc>
        <w:tc>
          <w:tcPr>
            <w:tcW w:w="1021" w:type="pct"/>
            <w:tcBorders>
              <w:top w:val="single" w:sz="4" w:space="0" w:color="auto"/>
              <w:left w:val="single" w:sz="4" w:space="0" w:color="auto"/>
              <w:bottom w:val="single" w:sz="4" w:space="0" w:color="auto"/>
              <w:right w:val="single" w:sz="4" w:space="0" w:color="auto"/>
            </w:tcBorders>
            <w:vAlign w:val="center"/>
            <w:hideMark/>
          </w:tcPr>
          <w:p w14:paraId="36CF9B6F" w14:textId="77777777" w:rsidR="00A0461C" w:rsidRPr="006D075E" w:rsidRDefault="00A0461C" w:rsidP="00382122">
            <w:pPr>
              <w:pStyle w:val="COMTableheadingrow"/>
              <w:jc w:val="center"/>
              <w:rPr>
                <w:lang w:val="en-AU"/>
              </w:rPr>
            </w:pPr>
            <w:r w:rsidRPr="006D075E">
              <w:rPr>
                <w:lang w:val="en-AU"/>
              </w:rPr>
              <w:t>Patient population</w:t>
            </w:r>
          </w:p>
        </w:tc>
        <w:tc>
          <w:tcPr>
            <w:tcW w:w="920" w:type="pct"/>
            <w:tcBorders>
              <w:top w:val="single" w:sz="4" w:space="0" w:color="auto"/>
              <w:left w:val="single" w:sz="4" w:space="0" w:color="auto"/>
              <w:bottom w:val="single" w:sz="4" w:space="0" w:color="auto"/>
              <w:right w:val="single" w:sz="4" w:space="0" w:color="auto"/>
            </w:tcBorders>
            <w:vAlign w:val="center"/>
            <w:hideMark/>
          </w:tcPr>
          <w:p w14:paraId="558AC8B1" w14:textId="767EC13D" w:rsidR="00A0461C" w:rsidRPr="006D075E" w:rsidRDefault="00A0461C" w:rsidP="00382122">
            <w:pPr>
              <w:pStyle w:val="COMTableheadingrow"/>
              <w:jc w:val="center"/>
              <w:rPr>
                <w:lang w:val="en-AU"/>
              </w:rPr>
            </w:pPr>
            <w:r w:rsidRPr="006D075E">
              <w:rPr>
                <w:lang w:val="en-AU"/>
              </w:rPr>
              <w:t>Outcomes</w:t>
            </w:r>
          </w:p>
        </w:tc>
        <w:tc>
          <w:tcPr>
            <w:tcW w:w="939" w:type="pct"/>
            <w:tcBorders>
              <w:top w:val="single" w:sz="4" w:space="0" w:color="auto"/>
              <w:left w:val="single" w:sz="4" w:space="0" w:color="auto"/>
              <w:bottom w:val="single" w:sz="4" w:space="0" w:color="auto"/>
              <w:right w:val="single" w:sz="4" w:space="0" w:color="auto"/>
            </w:tcBorders>
            <w:vAlign w:val="center"/>
            <w:hideMark/>
          </w:tcPr>
          <w:p w14:paraId="48420032" w14:textId="77777777" w:rsidR="00A0461C" w:rsidRPr="006D075E" w:rsidRDefault="00A0461C" w:rsidP="00382122">
            <w:pPr>
              <w:pStyle w:val="COMTableheadingrow"/>
              <w:jc w:val="center"/>
              <w:rPr>
                <w:lang w:val="en-AU"/>
              </w:rPr>
            </w:pPr>
            <w:r w:rsidRPr="006D075E">
              <w:rPr>
                <w:lang w:val="en-AU"/>
              </w:rPr>
              <w:t>Use in modelled evaluation</w:t>
            </w:r>
          </w:p>
        </w:tc>
      </w:tr>
      <w:tr w:rsidR="00382122" w:rsidRPr="006D075E" w14:paraId="7D05C376" w14:textId="77777777" w:rsidTr="00A0461C">
        <w:trPr>
          <w:cantSplit/>
        </w:trPr>
        <w:tc>
          <w:tcPr>
            <w:tcW w:w="390" w:type="pct"/>
            <w:tcBorders>
              <w:top w:val="single" w:sz="4" w:space="0" w:color="auto"/>
              <w:left w:val="single" w:sz="4" w:space="0" w:color="auto"/>
              <w:bottom w:val="single" w:sz="4" w:space="0" w:color="auto"/>
              <w:right w:val="single" w:sz="4" w:space="0" w:color="auto"/>
            </w:tcBorders>
            <w:vAlign w:val="center"/>
            <w:hideMark/>
          </w:tcPr>
          <w:p w14:paraId="6F63ACBA" w14:textId="77777777" w:rsidR="00A0461C" w:rsidRPr="006D075E" w:rsidRDefault="00A0461C" w:rsidP="00382122">
            <w:pPr>
              <w:pStyle w:val="COMTabletext"/>
            </w:pPr>
            <w:r w:rsidRPr="006D075E">
              <w:t>ECHO</w:t>
            </w:r>
          </w:p>
        </w:tc>
        <w:tc>
          <w:tcPr>
            <w:tcW w:w="315" w:type="pct"/>
            <w:tcBorders>
              <w:top w:val="single" w:sz="4" w:space="0" w:color="auto"/>
              <w:left w:val="single" w:sz="4" w:space="0" w:color="auto"/>
              <w:bottom w:val="single" w:sz="4" w:space="0" w:color="auto"/>
              <w:right w:val="single" w:sz="4" w:space="0" w:color="auto"/>
            </w:tcBorders>
            <w:vAlign w:val="center"/>
            <w:hideMark/>
          </w:tcPr>
          <w:p w14:paraId="5DE64ECF" w14:textId="77777777" w:rsidR="00A0461C" w:rsidRPr="006D075E" w:rsidRDefault="00A0461C" w:rsidP="00382122">
            <w:pPr>
              <w:pStyle w:val="COMTabletext"/>
            </w:pPr>
            <w:r w:rsidRPr="006D075E">
              <w:t>598</w:t>
            </w:r>
          </w:p>
        </w:tc>
        <w:tc>
          <w:tcPr>
            <w:tcW w:w="1022" w:type="pct"/>
            <w:tcBorders>
              <w:top w:val="single" w:sz="4" w:space="0" w:color="auto"/>
              <w:left w:val="single" w:sz="4" w:space="0" w:color="auto"/>
              <w:bottom w:val="single" w:sz="4" w:space="0" w:color="auto"/>
              <w:right w:val="single" w:sz="4" w:space="0" w:color="auto"/>
            </w:tcBorders>
            <w:vAlign w:val="center"/>
            <w:hideMark/>
          </w:tcPr>
          <w:p w14:paraId="676A431F" w14:textId="18F08C36" w:rsidR="00A0461C" w:rsidRPr="006D075E" w:rsidRDefault="00A0461C" w:rsidP="00382122">
            <w:pPr>
              <w:pStyle w:val="COMTabletext"/>
            </w:pPr>
            <w:r w:rsidRPr="006D075E">
              <w:t>R</w:t>
            </w:r>
            <w:r w:rsidR="0095353D" w:rsidRPr="006D075E">
              <w:t>andomised</w:t>
            </w:r>
            <w:r w:rsidRPr="006D075E">
              <w:t xml:space="preserve">, </w:t>
            </w:r>
            <w:r w:rsidR="0033560A" w:rsidRPr="006D075E">
              <w:t xml:space="preserve">placebo-controlled, </w:t>
            </w:r>
            <w:r w:rsidR="0095353D" w:rsidRPr="006D075E">
              <w:t>double blind</w:t>
            </w:r>
            <w:r w:rsidRPr="006D075E">
              <w:t xml:space="preserve">, </w:t>
            </w:r>
            <w:r w:rsidR="0095353D" w:rsidRPr="006D075E">
              <w:t>multicentre</w:t>
            </w:r>
            <w:r w:rsidR="00022AE0" w:rsidRPr="006D075E">
              <w:t xml:space="preserve"> trial</w:t>
            </w:r>
            <w:r w:rsidR="0095353D" w:rsidRPr="006D075E">
              <w:t>.</w:t>
            </w:r>
          </w:p>
          <w:p w14:paraId="729DF9FD" w14:textId="77777777" w:rsidR="00A0461C" w:rsidRPr="006D075E" w:rsidRDefault="00A0461C" w:rsidP="00382122">
            <w:pPr>
              <w:pStyle w:val="COMTabletext"/>
            </w:pPr>
            <w:r w:rsidRPr="006D075E">
              <w:t>5.52 months induction followed by maintenance until disease progression</w:t>
            </w:r>
          </w:p>
        </w:tc>
        <w:tc>
          <w:tcPr>
            <w:tcW w:w="393" w:type="pct"/>
            <w:tcBorders>
              <w:top w:val="single" w:sz="4" w:space="0" w:color="auto"/>
              <w:left w:val="single" w:sz="4" w:space="0" w:color="auto"/>
              <w:bottom w:val="single" w:sz="4" w:space="0" w:color="auto"/>
              <w:right w:val="single" w:sz="4" w:space="0" w:color="auto"/>
            </w:tcBorders>
            <w:vAlign w:val="center"/>
            <w:hideMark/>
          </w:tcPr>
          <w:p w14:paraId="318C572C" w14:textId="77777777" w:rsidR="00A0461C" w:rsidRPr="00227508" w:rsidRDefault="00A0461C" w:rsidP="00382122">
            <w:pPr>
              <w:pStyle w:val="COMTabletext"/>
            </w:pPr>
            <w:r w:rsidRPr="00227508">
              <w:t>Unclear</w:t>
            </w:r>
          </w:p>
        </w:tc>
        <w:tc>
          <w:tcPr>
            <w:tcW w:w="1021" w:type="pct"/>
            <w:tcBorders>
              <w:top w:val="single" w:sz="4" w:space="0" w:color="auto"/>
              <w:left w:val="single" w:sz="4" w:space="0" w:color="auto"/>
              <w:bottom w:val="single" w:sz="4" w:space="0" w:color="auto"/>
              <w:right w:val="single" w:sz="4" w:space="0" w:color="auto"/>
            </w:tcBorders>
            <w:vAlign w:val="center"/>
            <w:hideMark/>
          </w:tcPr>
          <w:p w14:paraId="6FF8FAFD" w14:textId="6BD2C5E9" w:rsidR="00A0461C" w:rsidRPr="00227508" w:rsidRDefault="00A0461C" w:rsidP="00382122">
            <w:pPr>
              <w:pStyle w:val="COMTabletext"/>
            </w:pPr>
            <w:r w:rsidRPr="00227508">
              <w:t>Patients aged ≥65 with previously untreated mantle cell lymphoma, ECOG status ≤2</w:t>
            </w:r>
          </w:p>
        </w:tc>
        <w:tc>
          <w:tcPr>
            <w:tcW w:w="920" w:type="pct"/>
            <w:tcBorders>
              <w:top w:val="single" w:sz="4" w:space="0" w:color="auto"/>
              <w:left w:val="single" w:sz="4" w:space="0" w:color="auto"/>
              <w:bottom w:val="single" w:sz="4" w:space="0" w:color="auto"/>
              <w:right w:val="single" w:sz="4" w:space="0" w:color="auto"/>
            </w:tcBorders>
            <w:vAlign w:val="center"/>
            <w:hideMark/>
          </w:tcPr>
          <w:p w14:paraId="3DC1AB1B" w14:textId="77777777" w:rsidR="00A0461C" w:rsidRPr="006D075E" w:rsidRDefault="00A0461C" w:rsidP="00382122">
            <w:pPr>
              <w:pStyle w:val="COMTabletext"/>
            </w:pPr>
            <w:r w:rsidRPr="006D075E">
              <w:t>PFS, OS, best ORR, duration of response, time to response, EQ-5D-5L, safety</w:t>
            </w:r>
          </w:p>
        </w:tc>
        <w:tc>
          <w:tcPr>
            <w:tcW w:w="939" w:type="pct"/>
            <w:tcBorders>
              <w:top w:val="single" w:sz="4" w:space="0" w:color="auto"/>
              <w:left w:val="single" w:sz="4" w:space="0" w:color="auto"/>
              <w:bottom w:val="single" w:sz="4" w:space="0" w:color="auto"/>
              <w:right w:val="single" w:sz="4" w:space="0" w:color="auto"/>
            </w:tcBorders>
            <w:vAlign w:val="center"/>
            <w:hideMark/>
          </w:tcPr>
          <w:p w14:paraId="49CDF390" w14:textId="6BCCBB40" w:rsidR="00A0461C" w:rsidRPr="006D075E" w:rsidRDefault="00A0461C" w:rsidP="00382122">
            <w:pPr>
              <w:pStyle w:val="COMTabletext"/>
            </w:pPr>
            <w:r w:rsidRPr="006D075E">
              <w:t xml:space="preserve">PFS, OS, </w:t>
            </w:r>
            <w:r w:rsidR="006965A8" w:rsidRPr="006D075E">
              <w:t>time on treatment, time to first subsequent therapy</w:t>
            </w:r>
            <w:r w:rsidR="000A0ED2" w:rsidRPr="006D075E">
              <w:t xml:space="preserve">, </w:t>
            </w:r>
            <w:r w:rsidR="00952BC0" w:rsidRPr="006D075E">
              <w:t xml:space="preserve">use of subsequent </w:t>
            </w:r>
            <w:r w:rsidR="0095353D" w:rsidRPr="006D075E">
              <w:t>treatments</w:t>
            </w:r>
            <w:r w:rsidR="00952BC0" w:rsidRPr="006D075E">
              <w:t xml:space="preserve">, </w:t>
            </w:r>
            <w:r w:rsidR="000A0ED2" w:rsidRPr="006D075E">
              <w:t>EQ-5D-5L</w:t>
            </w:r>
            <w:r w:rsidR="00952BC0" w:rsidRPr="006D075E">
              <w:t>, adverse event</w:t>
            </w:r>
            <w:r w:rsidR="0021202C" w:rsidRPr="006D075E">
              <w:t>s</w:t>
            </w:r>
          </w:p>
        </w:tc>
      </w:tr>
    </w:tbl>
    <w:p w14:paraId="61287223" w14:textId="2D82D0E9" w:rsidR="00A0461C" w:rsidRPr="006D075E" w:rsidRDefault="00A0461C" w:rsidP="00382122">
      <w:pPr>
        <w:pStyle w:val="COMTablefooter"/>
        <w:rPr>
          <w:rFonts w:eastAsiaTheme="minorHAnsi"/>
        </w:rPr>
      </w:pPr>
      <w:r w:rsidRPr="006D075E">
        <w:rPr>
          <w:rFonts w:eastAsiaTheme="minorHAnsi"/>
        </w:rPr>
        <w:t xml:space="preserve">Source: </w:t>
      </w:r>
      <w:r w:rsidR="00022AE0" w:rsidRPr="006D075E">
        <w:rPr>
          <w:rFonts w:eastAsiaTheme="minorHAnsi"/>
        </w:rPr>
        <w:t>Section 2.3</w:t>
      </w:r>
      <w:r w:rsidRPr="006D075E">
        <w:rPr>
          <w:rFonts w:eastAsiaTheme="minorHAnsi"/>
        </w:rPr>
        <w:t>, p</w:t>
      </w:r>
      <w:r w:rsidR="00022AE0" w:rsidRPr="006D075E">
        <w:rPr>
          <w:rFonts w:eastAsiaTheme="minorHAnsi"/>
        </w:rPr>
        <w:t>p</w:t>
      </w:r>
      <w:r w:rsidR="001F7DB8" w:rsidRPr="006D075E">
        <w:rPr>
          <w:rFonts w:eastAsiaTheme="minorHAnsi"/>
        </w:rPr>
        <w:t>33-38</w:t>
      </w:r>
      <w:r w:rsidRPr="006D075E">
        <w:rPr>
          <w:rFonts w:eastAsiaTheme="minorHAnsi"/>
        </w:rPr>
        <w:t xml:space="preserve"> of the submission.</w:t>
      </w:r>
    </w:p>
    <w:p w14:paraId="67AF94AF" w14:textId="374407B2" w:rsidR="00A0461C" w:rsidRPr="006D075E" w:rsidRDefault="00A0461C" w:rsidP="00382122">
      <w:pPr>
        <w:pStyle w:val="COMTablefooter"/>
        <w:rPr>
          <w:rFonts w:eastAsiaTheme="minorHAnsi"/>
        </w:rPr>
      </w:pPr>
      <w:r w:rsidRPr="006D075E">
        <w:rPr>
          <w:rFonts w:eastAsiaTheme="minorHAnsi"/>
        </w:rPr>
        <w:t>Abbreviations: European Cooperative Oncology Group; ORR, overall response rate; OS, overall survival; PFS, progression-free survival.</w:t>
      </w:r>
    </w:p>
    <w:p w14:paraId="55E7F3F6" w14:textId="211EA8C4" w:rsidR="00A0461C" w:rsidRPr="006D075E" w:rsidRDefault="00A0461C">
      <w:pPr>
        <w:pStyle w:val="COMexecsummnumbered"/>
      </w:pPr>
      <w:r w:rsidRPr="006D075E">
        <w:t xml:space="preserve">The ECHO trial (N=598) is a multicentre, randomised, placebo-controlled trial to evaluate the efficacy and safety of acalabrutinib in combination with </w:t>
      </w:r>
      <w:proofErr w:type="spellStart"/>
      <w:r w:rsidRPr="006D075E">
        <w:t>bendamustine</w:t>
      </w:r>
      <w:proofErr w:type="spellEnd"/>
      <w:r w:rsidRPr="006D075E">
        <w:t xml:space="preserve"> and rituximab compared to placebo in combination with </w:t>
      </w:r>
      <w:proofErr w:type="spellStart"/>
      <w:r w:rsidRPr="006D075E">
        <w:t>bendamustine</w:t>
      </w:r>
      <w:proofErr w:type="spellEnd"/>
      <w:r w:rsidRPr="006D075E">
        <w:t xml:space="preserve"> and rituximab in patients aged ≥65 with previously untreated </w:t>
      </w:r>
      <w:r w:rsidR="008B591E">
        <w:t>MCL</w:t>
      </w:r>
      <w:r w:rsidRPr="006D075E">
        <w:t>. The submission noted that the ECHO trial is ongoing, with study completion estimated to be October 2025</w:t>
      </w:r>
      <w:r w:rsidR="00AA45C0" w:rsidRPr="006D075E">
        <w:t xml:space="preserve">, though the PSCR advised that </w:t>
      </w:r>
      <w:proofErr w:type="gramStart"/>
      <w:r w:rsidR="00AA45C0" w:rsidRPr="006D075E">
        <w:t>final results</w:t>
      </w:r>
      <w:proofErr w:type="gramEnd"/>
      <w:r w:rsidR="00AA45C0" w:rsidRPr="006D075E">
        <w:t xml:space="preserve"> are now expected in 2027</w:t>
      </w:r>
      <w:r w:rsidRPr="006D075E">
        <w:t>. The results presented in the submission were from an interim analysis with a data cut-off of 15 February 2024.</w:t>
      </w:r>
    </w:p>
    <w:p w14:paraId="3E86FDE8" w14:textId="61F8682F" w:rsidR="00A0461C" w:rsidRPr="006D075E" w:rsidRDefault="00A0461C" w:rsidP="00382122">
      <w:pPr>
        <w:pStyle w:val="COMexecsummnumbered"/>
      </w:pPr>
      <w:r w:rsidRPr="006D075E">
        <w:t>The submission noted that 635 patients were originally randomised in the trial. However, only 598 (94.2%) of the randomised patients were included in the interim analysis</w:t>
      </w:r>
      <w:r w:rsidR="00ED6CF2" w:rsidRPr="006D075E">
        <w:t>,</w:t>
      </w:r>
      <w:r w:rsidRPr="006D075E">
        <w:t xml:space="preserve"> as 37 patients (all from China) were excluded due to having less than 2 years of follow-up at the time of the data cut-off</w:t>
      </w:r>
      <w:r w:rsidR="00A31200" w:rsidRPr="006D075E">
        <w:t>. However, t</w:t>
      </w:r>
      <w:r w:rsidRPr="006D075E">
        <w:t xml:space="preserve">he </w:t>
      </w:r>
      <w:r w:rsidR="009D4972" w:rsidRPr="006D075E">
        <w:t xml:space="preserve">evaluation noted that the </w:t>
      </w:r>
      <w:r w:rsidRPr="006D075E">
        <w:t xml:space="preserve">full analysis set in the ECHO clinical study report, defined as all randomised patients who received at least one dose of the study drug, was </w:t>
      </w:r>
      <w:r w:rsidR="00A31200" w:rsidRPr="006D075E">
        <w:t xml:space="preserve">also </w:t>
      </w:r>
      <w:r w:rsidRPr="006D075E">
        <w:t>based on 598 randomised patients (n=299 in each treatment arm). No further details of the excluded patients were provided in the submission</w:t>
      </w:r>
      <w:r w:rsidR="00F72960" w:rsidRPr="006D075E">
        <w:t xml:space="preserve">. The ECHO trial </w:t>
      </w:r>
      <w:r w:rsidR="001B4063" w:rsidRPr="006D075E">
        <w:t>S</w:t>
      </w:r>
      <w:r w:rsidR="00F72960" w:rsidRPr="006D075E">
        <w:t xml:space="preserve">tatistical </w:t>
      </w:r>
      <w:r w:rsidR="001B4063" w:rsidRPr="006D075E">
        <w:t>A</w:t>
      </w:r>
      <w:r w:rsidR="00F72960" w:rsidRPr="006D075E">
        <w:t xml:space="preserve">nalysis </w:t>
      </w:r>
      <w:r w:rsidR="001B4063" w:rsidRPr="006D075E">
        <w:t>P</w:t>
      </w:r>
      <w:r w:rsidR="00F72960" w:rsidRPr="006D075E">
        <w:t xml:space="preserve">lan </w:t>
      </w:r>
      <w:r w:rsidR="00027EA6" w:rsidRPr="006D075E">
        <w:t>stated that patients from the China cohort who ha</w:t>
      </w:r>
      <w:r w:rsidR="002F0257" w:rsidRPr="006D075E">
        <w:t>d</w:t>
      </w:r>
      <w:r w:rsidR="00027EA6" w:rsidRPr="006D075E">
        <w:t xml:space="preserve"> been randomised for at least 24 months prior to the data cutoff for the interim analysis would be unblinded and included in the full analysis set</w:t>
      </w:r>
      <w:r w:rsidR="002F0257" w:rsidRPr="006D075E">
        <w:t>.</w:t>
      </w:r>
      <w:r w:rsidR="00AA1094" w:rsidRPr="006D075E">
        <w:t xml:space="preserve"> Analysis of the full cohort of Chinese patients was planned </w:t>
      </w:r>
      <w:r w:rsidR="00BB0B6D" w:rsidRPr="006D075E">
        <w:t>after all patients in this cohort had completed their enrolment, with results summarised in a separate clinical study report</w:t>
      </w:r>
      <w:r w:rsidRPr="006D075E">
        <w:t xml:space="preserve">. </w:t>
      </w:r>
      <w:r w:rsidR="009E6B69" w:rsidRPr="006D075E">
        <w:t>Consequently, t</w:t>
      </w:r>
      <w:r w:rsidRPr="006D075E">
        <w:t xml:space="preserve">he </w:t>
      </w:r>
      <w:r w:rsidR="001600EF" w:rsidRPr="006D075E">
        <w:t xml:space="preserve">evaluation considered that the </w:t>
      </w:r>
      <w:r w:rsidRPr="006D075E">
        <w:t>ECHO trial had an overall unclear risk of bias.</w:t>
      </w:r>
      <w:r w:rsidR="00A31200" w:rsidRPr="006D075E">
        <w:t xml:space="preserve"> The PSCR</w:t>
      </w:r>
      <w:r w:rsidR="00B963FE" w:rsidRPr="006D075E">
        <w:t xml:space="preserve"> </w:t>
      </w:r>
      <w:r w:rsidR="00A31200" w:rsidRPr="006D075E">
        <w:t>stated that these patients were still receiving rituximab, with or without acalabrutinib, and had not completed their treatment regimen, making it premature to unblind them.</w:t>
      </w:r>
    </w:p>
    <w:p w14:paraId="5BC78971" w14:textId="65E674E9" w:rsidR="00A0461C" w:rsidRPr="006D075E" w:rsidRDefault="00A0461C" w:rsidP="00382122">
      <w:pPr>
        <w:pStyle w:val="COMexecsummnumbered"/>
      </w:pPr>
      <w:r w:rsidRPr="006D075E">
        <w:t xml:space="preserve">The ECHO trial enrolled patients aged ≥65 years with pathologically confirmed </w:t>
      </w:r>
      <w:r w:rsidR="008B591E">
        <w:t>MCL</w:t>
      </w:r>
      <w:r w:rsidRPr="006D075E">
        <w:t xml:space="preserve"> and ECOG performance status of ≤2 who had not received prior treatment with systemic anticancer therapies. Patients were excluded if the goal of their treatment was tumour debulking before stem cell transplant. The trial inclusion/exclusion criteria did not specify that patients must be ineligible for stem cell transplant, which was inconsistent with the submission’s proposed restriction for acalabrutinib. While it is likely that many patients in the trial would be ineligible for stem cell transplant given their age and exclusion criteria for tumour debulking prior to transplant, </w:t>
      </w:r>
      <w:r w:rsidR="001D4623" w:rsidRPr="006D075E">
        <w:t xml:space="preserve">the evaluation considered </w:t>
      </w:r>
      <w:r w:rsidRPr="006D075E">
        <w:t>it possible that not all patients in the trial were transplant ineligible.</w:t>
      </w:r>
      <w:r w:rsidR="00412A94" w:rsidRPr="006D075E">
        <w:t xml:space="preserve"> </w:t>
      </w:r>
      <w:r w:rsidR="00380E9F" w:rsidRPr="006D075E">
        <w:t xml:space="preserve">The </w:t>
      </w:r>
      <w:r w:rsidR="00412A94" w:rsidRPr="006D075E">
        <w:t xml:space="preserve">ESC considered that the intent of the clinical trial was effectively the </w:t>
      </w:r>
      <w:r w:rsidR="00412A94" w:rsidRPr="006D075E">
        <w:lastRenderedPageBreak/>
        <w:t>same as the PBS population, noting that plan</w:t>
      </w:r>
      <w:r w:rsidR="00596B73" w:rsidRPr="006D075E">
        <w:t>s</w:t>
      </w:r>
      <w:r w:rsidR="00412A94" w:rsidRPr="006D075E">
        <w:t xml:space="preserve"> </w:t>
      </w:r>
      <w:r w:rsidR="00C701D7" w:rsidRPr="006D075E">
        <w:t>regarding</w:t>
      </w:r>
      <w:r w:rsidR="00412A94" w:rsidRPr="006D075E">
        <w:t xml:space="preserve"> ASCT can change during treatment, and that the definition of ASCT eligibility is </w:t>
      </w:r>
      <w:r w:rsidR="000554A1" w:rsidRPr="006D075E">
        <w:t>at clinician discretion</w:t>
      </w:r>
      <w:r w:rsidR="00412A94" w:rsidRPr="006D075E">
        <w:t>.</w:t>
      </w:r>
    </w:p>
    <w:p w14:paraId="10F09DED" w14:textId="5486A1B9" w:rsidR="00A0461C" w:rsidRPr="006D075E" w:rsidRDefault="00A0461C" w:rsidP="00382122">
      <w:pPr>
        <w:pStyle w:val="COMexecsummnumbered"/>
      </w:pPr>
      <w:proofErr w:type="gramStart"/>
      <w:r w:rsidRPr="006D075E">
        <w:t>The majority of</w:t>
      </w:r>
      <w:proofErr w:type="gramEnd"/>
      <w:r w:rsidRPr="006D075E">
        <w:t xml:space="preserve"> enrolled patients were White (78.3%) </w:t>
      </w:r>
      <w:r w:rsidR="006A049E" w:rsidRPr="006D075E">
        <w:t xml:space="preserve">or Asian (15.6%) </w:t>
      </w:r>
      <w:r w:rsidRPr="006D075E">
        <w:t xml:space="preserve">and male (70.7%) with an average age of 71.6 years and an ECOG performance status of 0 (49.5%) or 1 (43.6%). </w:t>
      </w:r>
      <w:proofErr w:type="gramStart"/>
      <w:r w:rsidRPr="006D075E">
        <w:t>The majority of</w:t>
      </w:r>
      <w:proofErr w:type="gramEnd"/>
      <w:r w:rsidRPr="006D075E">
        <w:t xml:space="preserve"> patients (</w:t>
      </w:r>
      <w:r w:rsidR="00ED6E64" w:rsidRPr="006D075E">
        <w:t>95.2</w:t>
      </w:r>
      <w:r w:rsidRPr="006D075E">
        <w:t xml:space="preserve">%) had Stage </w:t>
      </w:r>
      <w:r w:rsidR="00ED6E64" w:rsidRPr="006D075E">
        <w:t>III/</w:t>
      </w:r>
      <w:r w:rsidRPr="006D075E">
        <w:t>IV disease, with a small number of patients classed as having Stage I</w:t>
      </w:r>
      <w:r w:rsidR="00ED6E64" w:rsidRPr="006D075E">
        <w:t>/II disease</w:t>
      </w:r>
      <w:r w:rsidRPr="006D075E">
        <w:t xml:space="preserve"> (</w:t>
      </w:r>
      <w:r w:rsidR="00ED6E64" w:rsidRPr="006D075E">
        <w:t>4.8</w:t>
      </w:r>
      <w:r w:rsidRPr="006D075E">
        <w:t xml:space="preserve">%). Patients with Stage I or II disease would not be eligible for treatment with acalabrutinib under the submission’s proposed restriction. Simplified </w:t>
      </w:r>
      <w:r w:rsidR="008B591E">
        <w:t>MCL</w:t>
      </w:r>
      <w:r w:rsidR="008068B8" w:rsidRPr="006D075E">
        <w:t xml:space="preserve"> International Prognostic Index (</w:t>
      </w:r>
      <w:r w:rsidRPr="006D075E">
        <w:t>MIPI</w:t>
      </w:r>
      <w:r w:rsidR="008068B8" w:rsidRPr="006D075E">
        <w:t>)</w:t>
      </w:r>
      <w:r w:rsidRPr="006D075E">
        <w:t xml:space="preserve"> score classifications</w:t>
      </w:r>
      <w:r w:rsidR="006C6760" w:rsidRPr="006D075E">
        <w:t xml:space="preserve"> (a weighted summation of age, ECOG performance status, lactate dehydrogenase and white cell count)</w:t>
      </w:r>
      <w:r w:rsidRPr="006D075E">
        <w:t xml:space="preserve"> were low, medium or high risk in 33.4%, 42.3%, and 24.2% of patients, respectively. Mean time from diagnosis to randomisation in the trial was 4.1 months</w:t>
      </w:r>
      <w:r w:rsidR="00E71A48" w:rsidRPr="006D075E">
        <w:t xml:space="preserve"> and the mean time from randomisation to first dose was 2.2 months</w:t>
      </w:r>
      <w:r w:rsidRPr="006D075E">
        <w:t>. Baseline characteristics were well balanced between treatment arms.</w:t>
      </w:r>
      <w:r w:rsidR="00F52479" w:rsidRPr="006D075E">
        <w:t xml:space="preserve"> The ESC considered the clinical trial population generally representative of the proposed population.</w:t>
      </w:r>
    </w:p>
    <w:p w14:paraId="5DE89399" w14:textId="77777777" w:rsidR="005A1DE0" w:rsidRPr="006D075E" w:rsidRDefault="00A0461C" w:rsidP="00382122">
      <w:pPr>
        <w:pStyle w:val="COMexecsummnumbered"/>
      </w:pPr>
      <w:r w:rsidRPr="006D075E">
        <w:t xml:space="preserve">Patients in the ECHO trial received acalabrutinib 100 mg or placebo twice daily, both in combination with </w:t>
      </w:r>
      <w:proofErr w:type="spellStart"/>
      <w:r w:rsidRPr="006D075E">
        <w:t>bendamustine</w:t>
      </w:r>
      <w:proofErr w:type="spellEnd"/>
      <w:r w:rsidRPr="006D075E">
        <w:t xml:space="preserve"> and rituximab, for 6 </w:t>
      </w:r>
      <w:r w:rsidR="000E5845" w:rsidRPr="006D075E">
        <w:t>×</w:t>
      </w:r>
      <w:r w:rsidRPr="006D075E">
        <w:t xml:space="preserve"> </w:t>
      </w:r>
      <w:proofErr w:type="gramStart"/>
      <w:r w:rsidRPr="006D075E">
        <w:t>28 day</w:t>
      </w:r>
      <w:proofErr w:type="gramEnd"/>
      <w:r w:rsidRPr="006D075E">
        <w:t xml:space="preserve"> induction cycles. From Cycle 7, patients who were tolerating treatment and had not experienced disease progression continued to receive acalabrutinib or placebo monotherapy. In addition, patients who had achieved a partial response or better received rituximab on Day 1 of every other cycle (starting on the next even-numbered cycle after completion of induction therapy) up to Cycle 30. Beyond Cycle 30, patients continued to receive acalabrutinib or placebo monotherapy until progressive disease or unacceptable toxicity. </w:t>
      </w:r>
    </w:p>
    <w:p w14:paraId="79E759D2" w14:textId="20DA76FE" w:rsidR="00A0461C" w:rsidRPr="006D075E" w:rsidRDefault="00A0461C" w:rsidP="00382122">
      <w:pPr>
        <w:pStyle w:val="COMexecsummnumbered"/>
      </w:pPr>
      <w:bookmarkStart w:id="17" w:name="_Ref204083098"/>
      <w:r w:rsidRPr="006D075E">
        <w:t>Throughout the trial, any patients in the placebo arm who had progressive disease were allowed to cross over to receive acalabrutinib monotherapy.</w:t>
      </w:r>
      <w:r w:rsidR="005A1DE0" w:rsidRPr="006D075E">
        <w:t xml:space="preserve"> Patients in either treatment arm could receive subsequent treatment with other </w:t>
      </w:r>
      <w:r w:rsidR="008B591E">
        <w:t>MCL</w:t>
      </w:r>
      <w:r w:rsidR="005A1DE0" w:rsidRPr="006D075E">
        <w:t xml:space="preserve"> treatments (including BTK inhibitors) after study treatment completion or discontinuation. At least one subsequent </w:t>
      </w:r>
      <w:r w:rsidR="008B591E">
        <w:t>MCL</w:t>
      </w:r>
      <w:r w:rsidR="005A1DE0" w:rsidRPr="006D075E">
        <w:t xml:space="preserve"> treatment was received by 30 (10.0%) patients in the acalabrutinib arm and 88 (29.4%) patients in the placebo arm, of whom 13 patients (43%</w:t>
      </w:r>
      <w:r w:rsidR="005A2A2C">
        <w:t xml:space="preserve"> of subsequent therapy use</w:t>
      </w:r>
      <w:r w:rsidR="00646582">
        <w:t>, or 4.3% of</w:t>
      </w:r>
      <w:r w:rsidR="005A2A2C">
        <w:t xml:space="preserve"> total</w:t>
      </w:r>
      <w:r w:rsidR="005A1DE0" w:rsidRPr="006D075E">
        <w:t xml:space="preserve">) in the acalabrutinib arm and 76 (86.4%) in the placebo arm received a BTK inhibitor (inclusive of the 51 patients who crossed over from placebo to acalabrutinib after disease progression as specified in the trial protocol). </w:t>
      </w:r>
      <w:r w:rsidR="00543F4D" w:rsidRPr="006D075E">
        <w:t>The evaluation noted that b</w:t>
      </w:r>
      <w:r w:rsidR="00A672E1" w:rsidRPr="006D075E">
        <w:t xml:space="preserve">ased on the current restriction wording for BTK inhibitors for relapsed/refractory </w:t>
      </w:r>
      <w:r w:rsidR="008B591E">
        <w:t>MCL</w:t>
      </w:r>
      <w:r w:rsidR="00A672E1" w:rsidRPr="006D075E">
        <w:t xml:space="preserve">, </w:t>
      </w:r>
      <w:r w:rsidR="00040BA4" w:rsidRPr="006D075E">
        <w:t>use of any PBS-listed BTK inhibitor would not be permitted after first-line use of acalabrutinib</w:t>
      </w:r>
      <w:r w:rsidR="00356550" w:rsidRPr="006D075E">
        <w:t xml:space="preserve">, </w:t>
      </w:r>
      <w:r w:rsidR="005A1DE0" w:rsidRPr="006D075E">
        <w:t xml:space="preserve">and </w:t>
      </w:r>
      <w:r w:rsidR="00C83B52">
        <w:t xml:space="preserve">costs </w:t>
      </w:r>
      <w:r w:rsidR="00DA792D">
        <w:t>of subsequent BTK</w:t>
      </w:r>
      <w:r w:rsidR="00DA13AA">
        <w:t xml:space="preserve"> inhibitors</w:t>
      </w:r>
      <w:r w:rsidR="00DA792D">
        <w:t xml:space="preserve"> were</w:t>
      </w:r>
      <w:r w:rsidR="005A1DE0" w:rsidRPr="006D075E">
        <w:t xml:space="preserve"> not </w:t>
      </w:r>
      <w:r w:rsidR="008E496A" w:rsidRPr="006D075E">
        <w:t>included in</w:t>
      </w:r>
      <w:r w:rsidR="00356550" w:rsidRPr="006D075E">
        <w:t xml:space="preserve"> the acalabrutinib arm of</w:t>
      </w:r>
      <w:r w:rsidR="005A1DE0" w:rsidRPr="006D075E">
        <w:t xml:space="preserve"> the economic model.</w:t>
      </w:r>
      <w:bookmarkEnd w:id="17"/>
    </w:p>
    <w:p w14:paraId="1F90AB02" w14:textId="11C1B78E" w:rsidR="00052AA6" w:rsidRDefault="00A0461C" w:rsidP="00543F3C">
      <w:pPr>
        <w:pStyle w:val="COMexecsummnumbered"/>
      </w:pPr>
      <w:bookmarkStart w:id="18" w:name="_Ref201244023"/>
      <w:bookmarkStart w:id="19" w:name="_Ref201475286"/>
      <w:bookmarkStart w:id="20" w:name="_Ref204087985"/>
      <w:r w:rsidRPr="006D075E">
        <w:t xml:space="preserve">The submission noted that the ECHO trial was conducted during the COVID-19 pandemic, with the interim analysis inclusive of patients who received treatment between May 2017 and March 2023. During this time there were a total of 97 deaths in the acalabrutinib arm and 106 deaths in the placebo arm, with a cause of COVID-19 (confirmed or suspected) nominated for 33 (34%) and 26 (25%) of the deaths in the </w:t>
      </w:r>
      <w:r w:rsidRPr="006D075E">
        <w:lastRenderedPageBreak/>
        <w:t xml:space="preserve">acalabrutinib and placebo arms, respectively. The submission stated that the ECHO </w:t>
      </w:r>
      <w:r w:rsidR="004455B4" w:rsidRPr="006D075E">
        <w:t xml:space="preserve">trial </w:t>
      </w:r>
      <w:r w:rsidRPr="006D075E">
        <w:t xml:space="preserve">data were censored to adjust for excess COVID-19 deaths to more accurately represent the present-day situation. Results for progression free survival and overall survival from the ECHO trial were presented for both the full analysis set and the </w:t>
      </w:r>
      <w:r w:rsidR="00202DF7" w:rsidRPr="006D075E">
        <w:t xml:space="preserve">analysis </w:t>
      </w:r>
      <w:r w:rsidR="00202DF7">
        <w:t xml:space="preserve">that censored for </w:t>
      </w:r>
      <w:r w:rsidRPr="006D075E">
        <w:t xml:space="preserve">COVID-19 related deaths (excluding patients with death related to COVID-19, and without disease progression prior to death for the progression free survival endpoint). </w:t>
      </w:r>
      <w:r w:rsidR="00F46370" w:rsidRPr="006D075E">
        <w:t>Censoring patients with deaths related to COVID-19 result</w:t>
      </w:r>
      <w:r w:rsidR="00F6041D">
        <w:t>ed</w:t>
      </w:r>
      <w:r w:rsidR="00F46370" w:rsidRPr="006D075E">
        <w:t xml:space="preserve"> in more favourable outcomes for the acalabrutinib arm versus the placebo arm of the trial, given the higher proportion of deaths in the </w:t>
      </w:r>
      <w:r w:rsidR="0070599F" w:rsidRPr="006D075E">
        <w:t>acalabrutinib</w:t>
      </w:r>
      <w:r w:rsidR="00F46370" w:rsidRPr="006D075E">
        <w:t xml:space="preserve"> arm. </w:t>
      </w:r>
      <w:r w:rsidR="001F05A7" w:rsidRPr="006D075E">
        <w:t>The evaluation considered that t</w:t>
      </w:r>
      <w:r w:rsidR="00F46370" w:rsidRPr="006D075E">
        <w:t xml:space="preserve">his may be the result of acalabrutinib patients being at greater risk of infection, with greater immunosuppression associated with </w:t>
      </w:r>
      <w:r w:rsidR="00F071E9" w:rsidRPr="006D075E">
        <w:t>ongoing</w:t>
      </w:r>
      <w:r w:rsidR="00F46370" w:rsidRPr="006D075E">
        <w:t xml:space="preserve"> use of acalabrutinib. </w:t>
      </w:r>
      <w:r w:rsidR="0094286B" w:rsidRPr="006D075E">
        <w:t xml:space="preserve">The PSCR stated that the addition of acalabrutinib to </w:t>
      </w:r>
      <w:proofErr w:type="spellStart"/>
      <w:r w:rsidR="00963424" w:rsidRPr="006D075E">
        <w:t>bendamustine</w:t>
      </w:r>
      <w:proofErr w:type="spellEnd"/>
      <w:r w:rsidR="00963424" w:rsidRPr="006D075E">
        <w:t xml:space="preserve"> and rituximab </w:t>
      </w:r>
      <w:r w:rsidR="0094286B" w:rsidRPr="006D075E">
        <w:t>increases the extent of immunosuppression</w:t>
      </w:r>
      <w:r w:rsidR="00560584" w:rsidRPr="006D075E">
        <w:t>,</w:t>
      </w:r>
      <w:r w:rsidR="0094286B" w:rsidRPr="006D075E">
        <w:t xml:space="preserve"> as acalabrutinib interferes with normal B-cell function leading to additional cumulative toxicity compared to </w:t>
      </w:r>
      <w:proofErr w:type="spellStart"/>
      <w:r w:rsidR="00963424" w:rsidRPr="006D075E">
        <w:t>bendamustine</w:t>
      </w:r>
      <w:proofErr w:type="spellEnd"/>
      <w:r w:rsidR="00963424" w:rsidRPr="006D075E">
        <w:t xml:space="preserve"> and rituximab </w:t>
      </w:r>
      <w:r w:rsidR="0094286B" w:rsidRPr="006D075E">
        <w:t>alone</w:t>
      </w:r>
      <w:r w:rsidR="00E03060" w:rsidRPr="006D075E">
        <w:t xml:space="preserve">, and indicated that the </w:t>
      </w:r>
      <w:r w:rsidR="00835908" w:rsidRPr="006D075E">
        <w:t>more deadly strains of C</w:t>
      </w:r>
      <w:r w:rsidR="00EA3B9B" w:rsidRPr="006D075E">
        <w:t>OVID</w:t>
      </w:r>
      <w:r w:rsidR="00835908" w:rsidRPr="006D075E">
        <w:t xml:space="preserve">-19 viruses in a partially vaccinated patient population during the global pandemic </w:t>
      </w:r>
      <w:r w:rsidR="005E46D6" w:rsidRPr="006D075E">
        <w:t xml:space="preserve">had a greater impact on immunosuppressed </w:t>
      </w:r>
      <w:r w:rsidR="009E1AB2" w:rsidRPr="006D075E">
        <w:t>patients</w:t>
      </w:r>
      <w:r w:rsidR="005E46D6" w:rsidRPr="006D075E">
        <w:t xml:space="preserve"> than the </w:t>
      </w:r>
      <w:r w:rsidR="00F53984" w:rsidRPr="006D075E">
        <w:t>present</w:t>
      </w:r>
      <w:r w:rsidR="005E46D6" w:rsidRPr="006D075E">
        <w:t xml:space="preserve"> </w:t>
      </w:r>
      <w:r w:rsidR="00F53984" w:rsidRPr="006D075E">
        <w:t xml:space="preserve">environment. </w:t>
      </w:r>
    </w:p>
    <w:p w14:paraId="52E84220" w14:textId="72724261" w:rsidR="00670D68" w:rsidRPr="006D075E" w:rsidRDefault="001F05A7" w:rsidP="00543F3C">
      <w:pPr>
        <w:pStyle w:val="COMexecsummnumbered"/>
      </w:pPr>
      <w:bookmarkStart w:id="21" w:name="_Ref204604676"/>
      <w:r w:rsidRPr="006D075E" w:rsidDel="000D1FB3">
        <w:t xml:space="preserve">The </w:t>
      </w:r>
      <w:r w:rsidR="002500F0" w:rsidRPr="006D075E" w:rsidDel="000D1FB3">
        <w:t>evaluation</w:t>
      </w:r>
      <w:r w:rsidRPr="006D075E" w:rsidDel="000D1FB3">
        <w:t xml:space="preserve"> considered it</w:t>
      </w:r>
      <w:r w:rsidR="00F46370" w:rsidRPr="006D075E" w:rsidDel="000D1FB3">
        <w:t xml:space="preserve"> </w:t>
      </w:r>
      <w:r w:rsidR="00E42C7E" w:rsidRPr="006D075E" w:rsidDel="000D1FB3">
        <w:t>was</w:t>
      </w:r>
      <w:r w:rsidR="00F46370" w:rsidRPr="006D075E" w:rsidDel="000D1FB3">
        <w:t xml:space="preserve"> unclear whether the analyses censored for COVID-19 related deaths would be representative of outcomes in current clinical practice, given causes of death are a competing risk. </w:t>
      </w:r>
      <w:r w:rsidR="001F7630" w:rsidRPr="006D075E">
        <w:t xml:space="preserve">The </w:t>
      </w:r>
      <w:r w:rsidR="00426CBA" w:rsidRPr="006D075E">
        <w:t xml:space="preserve">ESC considered that the full analysis set </w:t>
      </w:r>
      <w:r w:rsidR="00A6429E">
        <w:t xml:space="preserve">(without censoring for COVID-19) </w:t>
      </w:r>
      <w:r w:rsidR="00426CBA" w:rsidRPr="006D075E">
        <w:t>should be used for both</w:t>
      </w:r>
      <w:r w:rsidR="00DE0E29">
        <w:t xml:space="preserve"> the</w:t>
      </w:r>
      <w:r w:rsidR="00426CBA" w:rsidRPr="006D075E">
        <w:t xml:space="preserve"> clinical and economic evaluations</w:t>
      </w:r>
      <w:r w:rsidR="00C167C5" w:rsidRPr="006D075E">
        <w:t>,</w:t>
      </w:r>
      <w:r w:rsidR="001F7630" w:rsidRPr="006D075E">
        <w:t xml:space="preserve"> as the analysis censoring for COVID-19 related deaths </w:t>
      </w:r>
      <w:r w:rsidR="00C167C5" w:rsidRPr="006D075E">
        <w:t xml:space="preserve">does not account for competing causes of death, and </w:t>
      </w:r>
      <w:r w:rsidR="001F7630" w:rsidRPr="006D075E">
        <w:t>favours acalabrutinib</w:t>
      </w:r>
      <w:r w:rsidR="00426CBA" w:rsidRPr="006D075E">
        <w:t>.</w:t>
      </w:r>
      <w:bookmarkEnd w:id="18"/>
      <w:bookmarkEnd w:id="19"/>
      <w:r w:rsidR="00734B87" w:rsidRPr="006D075E">
        <w:t xml:space="preserve"> The </w:t>
      </w:r>
      <w:proofErr w:type="gramStart"/>
      <w:r w:rsidR="00734B87" w:rsidRPr="006D075E">
        <w:t>Pre-PBAC</w:t>
      </w:r>
      <w:proofErr w:type="gramEnd"/>
      <w:r w:rsidR="00734B87" w:rsidRPr="006D075E">
        <w:t xml:space="preserve"> response </w:t>
      </w:r>
      <w:r w:rsidR="008A03CE" w:rsidRPr="006D075E">
        <w:t xml:space="preserve">contended </w:t>
      </w:r>
      <w:r w:rsidR="00734B87" w:rsidRPr="006D075E">
        <w:t xml:space="preserve">that </w:t>
      </w:r>
      <w:r w:rsidR="008A03CE">
        <w:t xml:space="preserve">the impact of </w:t>
      </w:r>
      <w:r w:rsidR="003E3502">
        <w:t xml:space="preserve">the </w:t>
      </w:r>
      <w:r w:rsidR="008A03CE">
        <w:t>COVID-19 censored analysis</w:t>
      </w:r>
      <w:r w:rsidR="003E3502">
        <w:t xml:space="preserve"> “</w:t>
      </w:r>
      <w:r w:rsidR="00326C6A" w:rsidRPr="006D075E">
        <w:t>is not necessarily confounded by the competing risks of other causes of death</w:t>
      </w:r>
      <w:r w:rsidR="00670D68">
        <w:t>. R</w:t>
      </w:r>
      <w:r w:rsidR="00326C6A" w:rsidRPr="006D075E">
        <w:t>ather</w:t>
      </w:r>
      <w:r w:rsidR="00670D68">
        <w:t>,</w:t>
      </w:r>
      <w:r w:rsidR="00A34D03" w:rsidRPr="006D075E">
        <w:t xml:space="preserve"> </w:t>
      </w:r>
      <w:r w:rsidR="00670D68">
        <w:t>the COVID</w:t>
      </w:r>
      <w:r w:rsidR="00DE0E29">
        <w:t>-19</w:t>
      </w:r>
      <w:r w:rsidR="00543F3C">
        <w:t xml:space="preserve"> analysis</w:t>
      </w:r>
      <w:r w:rsidR="00326C6A" w:rsidRPr="006D075E">
        <w:t xml:space="preserve"> seeks to account for the timing of those deaths given that deaths related to COVID-19 were brought forward in time from when they otherwise would have occurred in the absence of the pandemic</w:t>
      </w:r>
      <w:r w:rsidR="00827865">
        <w:t>.</w:t>
      </w:r>
      <w:r w:rsidR="003939EF">
        <w:t>”</w:t>
      </w:r>
      <w:bookmarkEnd w:id="20"/>
      <w:r w:rsidR="00777DBD">
        <w:t xml:space="preserve"> The </w:t>
      </w:r>
      <w:proofErr w:type="gramStart"/>
      <w:r w:rsidR="004325A3">
        <w:t>P</w:t>
      </w:r>
      <w:r w:rsidR="00777DBD">
        <w:t>re-PBAC</w:t>
      </w:r>
      <w:proofErr w:type="gramEnd"/>
      <w:r w:rsidR="00777DBD">
        <w:t xml:space="preserve"> response </w:t>
      </w:r>
      <w:r w:rsidR="008C7244">
        <w:t>includ</w:t>
      </w:r>
      <w:r w:rsidR="00777DBD">
        <w:t xml:space="preserve">ed </w:t>
      </w:r>
      <w:r w:rsidR="00777DBD" w:rsidRPr="00777DBD">
        <w:t xml:space="preserve">an inverse probability of censoring weights (IPCW) analysis to provide estimates of </w:t>
      </w:r>
      <w:r w:rsidR="00C96FBD">
        <w:t>the</w:t>
      </w:r>
      <w:r w:rsidR="00777DBD" w:rsidRPr="00777DBD">
        <w:t xml:space="preserve"> treatment effect in the presence of informative censoring</w:t>
      </w:r>
      <w:r w:rsidR="00B77494">
        <w:t>, which it claimed supported the simple censoring approach conducted in the submission.</w:t>
      </w:r>
      <w:bookmarkEnd w:id="21"/>
      <w:r w:rsidR="00B77494">
        <w:t xml:space="preserve"> </w:t>
      </w:r>
      <w:r w:rsidR="00803A4B">
        <w:t xml:space="preserve">Refer to paragraph </w:t>
      </w:r>
      <w:r w:rsidR="00803A4B">
        <w:fldChar w:fldCharType="begin"/>
      </w:r>
      <w:r w:rsidR="00803A4B">
        <w:instrText xml:space="preserve"> REF _Ref204695120 \r \h </w:instrText>
      </w:r>
      <w:r w:rsidR="00803A4B">
        <w:fldChar w:fldCharType="separate"/>
      </w:r>
      <w:r w:rsidR="00A542E9">
        <w:t>7.8</w:t>
      </w:r>
      <w:r w:rsidR="00803A4B">
        <w:fldChar w:fldCharType="end"/>
      </w:r>
      <w:r w:rsidR="00803A4B">
        <w:t xml:space="preserve"> for the PBAC’s consideration.</w:t>
      </w:r>
    </w:p>
    <w:p w14:paraId="7E712C84" w14:textId="77777777" w:rsidR="00A0461C" w:rsidRPr="006D075E" w:rsidRDefault="00A0461C" w:rsidP="00382122">
      <w:pPr>
        <w:pStyle w:val="COMH2-non-numbered"/>
      </w:pPr>
      <w:bookmarkStart w:id="22" w:name="_Toc198649035"/>
      <w:r w:rsidRPr="006D075E">
        <w:t>Comparative effectiveness</w:t>
      </w:r>
      <w:bookmarkEnd w:id="22"/>
    </w:p>
    <w:p w14:paraId="56C5CAAC" w14:textId="4490EFDF" w:rsidR="00A0461C" w:rsidRPr="006D075E" w:rsidRDefault="00A0461C" w:rsidP="00A0461C">
      <w:pPr>
        <w:pStyle w:val="COMexecsummnumbered"/>
      </w:pPr>
      <w:r w:rsidRPr="006D075E">
        <w:t xml:space="preserve">Results for the primary endpoint of the ECHO trial, progression free survival, are summarised in </w:t>
      </w:r>
      <w:r w:rsidR="0070599F" w:rsidRPr="006D075E">
        <w:fldChar w:fldCharType="begin"/>
      </w:r>
      <w:r w:rsidR="0070599F" w:rsidRPr="006D075E">
        <w:instrText xml:space="preserve"> REF _Ref196030734 \h </w:instrText>
      </w:r>
      <w:r w:rsidR="0070599F" w:rsidRPr="006D075E">
        <w:fldChar w:fldCharType="separate"/>
      </w:r>
      <w:r w:rsidR="00A542E9" w:rsidRPr="006D075E">
        <w:t xml:space="preserve">Table </w:t>
      </w:r>
      <w:r w:rsidR="00A542E9">
        <w:rPr>
          <w:noProof/>
        </w:rPr>
        <w:t>4</w:t>
      </w:r>
      <w:r w:rsidR="0070599F" w:rsidRPr="006D075E">
        <w:fldChar w:fldCharType="end"/>
      </w:r>
      <w:r w:rsidRPr="006D075E">
        <w:t>, with Kaplan-Meier curves for the full analysis set and for the analysis censoring for COVID-19 related deaths in</w:t>
      </w:r>
      <w:r w:rsidR="00C701D7" w:rsidRPr="006D075E">
        <w:t xml:space="preserve"> </w:t>
      </w:r>
      <w:r w:rsidR="00C701D7" w:rsidRPr="006D075E">
        <w:fldChar w:fldCharType="begin"/>
      </w:r>
      <w:r w:rsidR="00C701D7" w:rsidRPr="006D075E">
        <w:instrText xml:space="preserve"> REF _Ref195802779 \h  \* MERGEFORMAT </w:instrText>
      </w:r>
      <w:r w:rsidR="00C701D7" w:rsidRPr="006D075E">
        <w:fldChar w:fldCharType="separate"/>
      </w:r>
      <w:r w:rsidR="00A542E9" w:rsidRPr="006D075E">
        <w:t xml:space="preserve">Figure </w:t>
      </w:r>
      <w:r w:rsidR="00A542E9">
        <w:t>1</w:t>
      </w:r>
      <w:r w:rsidR="00C701D7" w:rsidRPr="006D075E">
        <w:fldChar w:fldCharType="end"/>
      </w:r>
      <w:r w:rsidR="00C701D7" w:rsidRPr="006D075E">
        <w:t xml:space="preserve"> and </w:t>
      </w:r>
      <w:r w:rsidR="00C701D7" w:rsidRPr="006D075E">
        <w:fldChar w:fldCharType="begin"/>
      </w:r>
      <w:r w:rsidR="00C701D7" w:rsidRPr="006D075E">
        <w:instrText xml:space="preserve"> REF _Ref195802825 \h  \* MERGEFORMAT </w:instrText>
      </w:r>
      <w:r w:rsidR="00C701D7" w:rsidRPr="006D075E">
        <w:fldChar w:fldCharType="separate"/>
      </w:r>
      <w:r w:rsidR="00A542E9" w:rsidRPr="006D075E">
        <w:t xml:space="preserve">Figure </w:t>
      </w:r>
      <w:r w:rsidR="00A542E9">
        <w:t>2</w:t>
      </w:r>
      <w:r w:rsidR="00C701D7" w:rsidRPr="006D075E">
        <w:fldChar w:fldCharType="end"/>
      </w:r>
      <w:r w:rsidRPr="006D075E">
        <w:t>.</w:t>
      </w:r>
    </w:p>
    <w:p w14:paraId="7CFD1919" w14:textId="6A822AC3" w:rsidR="00A0461C" w:rsidRPr="006D075E" w:rsidRDefault="00A0461C" w:rsidP="00F034FD">
      <w:pPr>
        <w:pStyle w:val="COMtablefigcaption"/>
        <w:keepLines/>
      </w:pPr>
      <w:bookmarkStart w:id="23" w:name="_Ref196030734"/>
      <w:r w:rsidRPr="006D075E">
        <w:lastRenderedPageBreak/>
        <w:t xml:space="preserve">Table </w:t>
      </w:r>
      <w:r w:rsidR="00370FC7" w:rsidRPr="006D075E">
        <w:fldChar w:fldCharType="begin"/>
      </w:r>
      <w:r w:rsidR="00370FC7" w:rsidRPr="006D075E">
        <w:instrText xml:space="preserve"> SEQ Table \* ARABIC </w:instrText>
      </w:r>
      <w:r w:rsidR="00370FC7" w:rsidRPr="006D075E">
        <w:fldChar w:fldCharType="separate"/>
      </w:r>
      <w:r w:rsidR="00A542E9">
        <w:rPr>
          <w:noProof/>
        </w:rPr>
        <w:t>4</w:t>
      </w:r>
      <w:r w:rsidR="00370FC7" w:rsidRPr="006D075E">
        <w:fldChar w:fldCharType="end"/>
      </w:r>
      <w:bookmarkEnd w:id="23"/>
      <w:r w:rsidRPr="006D075E">
        <w:t>: Progression free survival by IRC assessment, full analysis set excluding and including censoring for COVID-19 related deaths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gression free survival by IRC assessment, full analysis set excluding and including censoring for COVID-19 related deaths"/>
      </w:tblPr>
      <w:tblGrid>
        <w:gridCol w:w="2689"/>
        <w:gridCol w:w="1534"/>
        <w:gridCol w:w="1535"/>
        <w:gridCol w:w="1605"/>
        <w:gridCol w:w="1605"/>
      </w:tblGrid>
      <w:tr w:rsidR="00A0461C" w:rsidRPr="006D075E" w14:paraId="6E3F2D6A" w14:textId="77777777" w:rsidTr="00A0461C">
        <w:trPr>
          <w:tblHeader/>
        </w:trPr>
        <w:tc>
          <w:tcPr>
            <w:tcW w:w="1499" w:type="pct"/>
            <w:vMerge w:val="restart"/>
            <w:tcBorders>
              <w:top w:val="single" w:sz="4" w:space="0" w:color="auto"/>
              <w:left w:val="single" w:sz="4" w:space="0" w:color="auto"/>
              <w:bottom w:val="single" w:sz="4" w:space="0" w:color="auto"/>
              <w:right w:val="single" w:sz="4" w:space="0" w:color="auto"/>
            </w:tcBorders>
            <w:vAlign w:val="center"/>
          </w:tcPr>
          <w:p w14:paraId="14B8D483" w14:textId="77777777" w:rsidR="00A0461C" w:rsidRPr="006D075E" w:rsidRDefault="00A0461C" w:rsidP="00F034FD">
            <w:pPr>
              <w:pStyle w:val="COMTabletext"/>
              <w:keepLines/>
            </w:pPr>
          </w:p>
        </w:tc>
        <w:tc>
          <w:tcPr>
            <w:tcW w:w="1711" w:type="pct"/>
            <w:gridSpan w:val="2"/>
            <w:tcBorders>
              <w:top w:val="single" w:sz="4" w:space="0" w:color="auto"/>
              <w:left w:val="single" w:sz="4" w:space="0" w:color="auto"/>
              <w:bottom w:val="single" w:sz="4" w:space="0" w:color="auto"/>
              <w:right w:val="single" w:sz="4" w:space="0" w:color="auto"/>
            </w:tcBorders>
            <w:vAlign w:val="center"/>
            <w:hideMark/>
          </w:tcPr>
          <w:p w14:paraId="11BD65F5" w14:textId="77777777" w:rsidR="00A0461C" w:rsidRPr="006D075E" w:rsidRDefault="00A0461C" w:rsidP="00F034FD">
            <w:pPr>
              <w:pStyle w:val="COMTableheadingrow"/>
              <w:keepLines/>
              <w:jc w:val="center"/>
              <w:rPr>
                <w:lang w:val="en-AU"/>
              </w:rPr>
            </w:pPr>
            <w:r w:rsidRPr="006D075E">
              <w:rPr>
                <w:lang w:val="en-AU"/>
              </w:rPr>
              <w:t>Full analysis set</w:t>
            </w:r>
          </w:p>
        </w:tc>
        <w:tc>
          <w:tcPr>
            <w:tcW w:w="1790" w:type="pct"/>
            <w:gridSpan w:val="2"/>
            <w:tcBorders>
              <w:top w:val="single" w:sz="4" w:space="0" w:color="auto"/>
              <w:left w:val="single" w:sz="4" w:space="0" w:color="auto"/>
              <w:bottom w:val="single" w:sz="4" w:space="0" w:color="auto"/>
              <w:right w:val="single" w:sz="4" w:space="0" w:color="auto"/>
            </w:tcBorders>
            <w:vAlign w:val="center"/>
            <w:hideMark/>
          </w:tcPr>
          <w:p w14:paraId="29FD1C9B" w14:textId="40DA41B4" w:rsidR="00A0461C" w:rsidRPr="006D075E" w:rsidRDefault="00A0461C" w:rsidP="00F034FD">
            <w:pPr>
              <w:pStyle w:val="COMTableheadingrow"/>
              <w:keepLines/>
              <w:jc w:val="center"/>
              <w:rPr>
                <w:vertAlign w:val="superscript"/>
                <w:lang w:val="en-AU"/>
              </w:rPr>
            </w:pPr>
            <w:r w:rsidRPr="006D075E">
              <w:rPr>
                <w:lang w:val="en-AU"/>
              </w:rPr>
              <w:t xml:space="preserve">COVID-19 </w:t>
            </w:r>
            <w:r w:rsidR="009D56EA">
              <w:rPr>
                <w:lang w:val="en-AU"/>
              </w:rPr>
              <w:t xml:space="preserve">censored </w:t>
            </w:r>
            <w:r w:rsidRPr="006D075E">
              <w:rPr>
                <w:lang w:val="en-AU"/>
              </w:rPr>
              <w:t xml:space="preserve">analysis </w:t>
            </w:r>
            <w:r w:rsidRPr="006D075E">
              <w:rPr>
                <w:vertAlign w:val="superscript"/>
                <w:lang w:val="en-AU"/>
              </w:rPr>
              <w:t>a</w:t>
            </w:r>
          </w:p>
        </w:tc>
      </w:tr>
      <w:tr w:rsidR="00A0461C" w:rsidRPr="006D075E" w14:paraId="5C01BD92" w14:textId="77777777" w:rsidTr="00A0461C">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E23D0" w14:textId="77777777" w:rsidR="00A0461C" w:rsidRPr="006D075E" w:rsidRDefault="00A0461C" w:rsidP="00F034FD">
            <w:pPr>
              <w:pStyle w:val="COMTabletext"/>
              <w:keepLines/>
            </w:pPr>
          </w:p>
        </w:tc>
        <w:tc>
          <w:tcPr>
            <w:tcW w:w="855" w:type="pct"/>
            <w:tcBorders>
              <w:top w:val="single" w:sz="4" w:space="0" w:color="auto"/>
              <w:left w:val="single" w:sz="4" w:space="0" w:color="auto"/>
              <w:bottom w:val="single" w:sz="4" w:space="0" w:color="auto"/>
              <w:right w:val="single" w:sz="4" w:space="0" w:color="auto"/>
            </w:tcBorders>
            <w:vAlign w:val="center"/>
            <w:hideMark/>
          </w:tcPr>
          <w:p w14:paraId="0170900C" w14:textId="77777777" w:rsidR="00A0461C" w:rsidRPr="006D075E" w:rsidRDefault="00A0461C" w:rsidP="00F034FD">
            <w:pPr>
              <w:pStyle w:val="COMTableheadingrow"/>
              <w:keepLines/>
              <w:jc w:val="center"/>
              <w:rPr>
                <w:lang w:val="en-AU"/>
              </w:rPr>
            </w:pPr>
            <w:r w:rsidRPr="006D075E">
              <w:rPr>
                <w:lang w:val="en-AU"/>
              </w:rPr>
              <w:t>ABR</w:t>
            </w:r>
          </w:p>
          <w:p w14:paraId="5652D9A6" w14:textId="77777777" w:rsidR="00A0461C" w:rsidRPr="006D075E" w:rsidRDefault="00A0461C" w:rsidP="00F034FD">
            <w:pPr>
              <w:pStyle w:val="COMTableheadingrow"/>
              <w:keepLines/>
              <w:jc w:val="center"/>
              <w:rPr>
                <w:lang w:val="en-AU"/>
              </w:rPr>
            </w:pPr>
            <w:r w:rsidRPr="006D075E">
              <w:rPr>
                <w:lang w:val="en-AU"/>
              </w:rPr>
              <w:t>(N = 299)</w:t>
            </w:r>
          </w:p>
        </w:tc>
        <w:tc>
          <w:tcPr>
            <w:tcW w:w="856" w:type="pct"/>
            <w:tcBorders>
              <w:top w:val="single" w:sz="4" w:space="0" w:color="auto"/>
              <w:left w:val="single" w:sz="4" w:space="0" w:color="auto"/>
              <w:bottom w:val="single" w:sz="4" w:space="0" w:color="auto"/>
              <w:right w:val="single" w:sz="4" w:space="0" w:color="auto"/>
            </w:tcBorders>
            <w:vAlign w:val="center"/>
            <w:hideMark/>
          </w:tcPr>
          <w:p w14:paraId="4374A579" w14:textId="77777777" w:rsidR="00A0461C" w:rsidRPr="006D075E" w:rsidRDefault="00A0461C" w:rsidP="00F034FD">
            <w:pPr>
              <w:pStyle w:val="COMTableheadingrow"/>
              <w:keepLines/>
              <w:jc w:val="center"/>
              <w:rPr>
                <w:lang w:val="en-AU"/>
              </w:rPr>
            </w:pPr>
            <w:r w:rsidRPr="006D075E">
              <w:rPr>
                <w:lang w:val="en-AU"/>
              </w:rPr>
              <w:t>PBR</w:t>
            </w:r>
          </w:p>
          <w:p w14:paraId="6CFCF509" w14:textId="77777777" w:rsidR="00A0461C" w:rsidRPr="006D075E" w:rsidRDefault="00A0461C" w:rsidP="00F034FD">
            <w:pPr>
              <w:pStyle w:val="COMTableheadingrow"/>
              <w:keepLines/>
              <w:jc w:val="center"/>
              <w:rPr>
                <w:lang w:val="en-AU"/>
              </w:rPr>
            </w:pPr>
            <w:r w:rsidRPr="006D075E">
              <w:rPr>
                <w:lang w:val="en-AU"/>
              </w:rPr>
              <w:t>(N = 299)</w:t>
            </w:r>
          </w:p>
        </w:tc>
        <w:tc>
          <w:tcPr>
            <w:tcW w:w="895" w:type="pct"/>
            <w:tcBorders>
              <w:top w:val="single" w:sz="4" w:space="0" w:color="auto"/>
              <w:left w:val="single" w:sz="4" w:space="0" w:color="auto"/>
              <w:bottom w:val="single" w:sz="4" w:space="0" w:color="auto"/>
              <w:right w:val="single" w:sz="4" w:space="0" w:color="auto"/>
            </w:tcBorders>
            <w:vAlign w:val="center"/>
            <w:hideMark/>
          </w:tcPr>
          <w:p w14:paraId="3F51518E" w14:textId="77777777" w:rsidR="00A0461C" w:rsidRPr="006D075E" w:rsidRDefault="00A0461C" w:rsidP="00F034FD">
            <w:pPr>
              <w:pStyle w:val="COMTableheadingrow"/>
              <w:keepLines/>
              <w:jc w:val="center"/>
              <w:rPr>
                <w:lang w:val="en-AU"/>
              </w:rPr>
            </w:pPr>
            <w:r w:rsidRPr="006D075E">
              <w:rPr>
                <w:lang w:val="en-AU"/>
              </w:rPr>
              <w:t>ABR</w:t>
            </w:r>
          </w:p>
          <w:p w14:paraId="2DB29505" w14:textId="77777777" w:rsidR="00A0461C" w:rsidRPr="006D075E" w:rsidRDefault="00A0461C" w:rsidP="00F034FD">
            <w:pPr>
              <w:pStyle w:val="COMTableheadingrow"/>
              <w:keepLines/>
              <w:jc w:val="center"/>
              <w:rPr>
                <w:lang w:val="en-AU"/>
              </w:rPr>
            </w:pPr>
            <w:r w:rsidRPr="006D075E">
              <w:rPr>
                <w:lang w:val="en-AU"/>
              </w:rPr>
              <w:t>(N = 299)</w:t>
            </w:r>
          </w:p>
        </w:tc>
        <w:tc>
          <w:tcPr>
            <w:tcW w:w="895" w:type="pct"/>
            <w:tcBorders>
              <w:top w:val="single" w:sz="4" w:space="0" w:color="auto"/>
              <w:left w:val="single" w:sz="4" w:space="0" w:color="auto"/>
              <w:bottom w:val="single" w:sz="4" w:space="0" w:color="auto"/>
              <w:right w:val="single" w:sz="4" w:space="0" w:color="auto"/>
            </w:tcBorders>
            <w:vAlign w:val="center"/>
            <w:hideMark/>
          </w:tcPr>
          <w:p w14:paraId="370BB1E4" w14:textId="77777777" w:rsidR="00A0461C" w:rsidRPr="006D075E" w:rsidRDefault="00A0461C" w:rsidP="00F034FD">
            <w:pPr>
              <w:pStyle w:val="COMTableheadingrow"/>
              <w:keepLines/>
              <w:jc w:val="center"/>
              <w:rPr>
                <w:lang w:val="en-AU"/>
              </w:rPr>
            </w:pPr>
            <w:r w:rsidRPr="006D075E">
              <w:rPr>
                <w:lang w:val="en-AU"/>
              </w:rPr>
              <w:t>PBR</w:t>
            </w:r>
          </w:p>
          <w:p w14:paraId="56B43FD5" w14:textId="77777777" w:rsidR="00A0461C" w:rsidRPr="006D075E" w:rsidRDefault="00A0461C" w:rsidP="00F034FD">
            <w:pPr>
              <w:pStyle w:val="COMTableheadingrow"/>
              <w:keepLines/>
              <w:jc w:val="center"/>
              <w:rPr>
                <w:lang w:val="en-AU"/>
              </w:rPr>
            </w:pPr>
            <w:r w:rsidRPr="006D075E">
              <w:rPr>
                <w:lang w:val="en-AU"/>
              </w:rPr>
              <w:t>(N = 299)</w:t>
            </w:r>
          </w:p>
        </w:tc>
      </w:tr>
      <w:tr w:rsidR="00A0461C" w:rsidRPr="006D075E" w14:paraId="0BDBE1BD" w14:textId="77777777" w:rsidTr="00A0461C">
        <w:tc>
          <w:tcPr>
            <w:tcW w:w="1499" w:type="pct"/>
            <w:tcBorders>
              <w:top w:val="single" w:sz="4" w:space="0" w:color="auto"/>
              <w:left w:val="single" w:sz="4" w:space="0" w:color="auto"/>
              <w:bottom w:val="single" w:sz="4" w:space="0" w:color="auto"/>
              <w:right w:val="single" w:sz="4" w:space="0" w:color="auto"/>
            </w:tcBorders>
            <w:vAlign w:val="center"/>
            <w:hideMark/>
          </w:tcPr>
          <w:p w14:paraId="49D27928" w14:textId="77777777" w:rsidR="00A0461C" w:rsidRPr="006D075E" w:rsidRDefault="00A0461C" w:rsidP="00F034FD">
            <w:pPr>
              <w:pStyle w:val="COMTabletext"/>
              <w:keepLines/>
            </w:pPr>
            <w:r w:rsidRPr="006D075E">
              <w:t>Median follow up, months (range)</w:t>
            </w:r>
          </w:p>
        </w:tc>
        <w:tc>
          <w:tcPr>
            <w:tcW w:w="855" w:type="pct"/>
            <w:tcBorders>
              <w:top w:val="single" w:sz="4" w:space="0" w:color="auto"/>
              <w:left w:val="single" w:sz="4" w:space="0" w:color="auto"/>
              <w:bottom w:val="single" w:sz="4" w:space="0" w:color="auto"/>
              <w:right w:val="single" w:sz="4" w:space="0" w:color="auto"/>
            </w:tcBorders>
            <w:vAlign w:val="center"/>
            <w:hideMark/>
          </w:tcPr>
          <w:p w14:paraId="2A7EDBAF" w14:textId="77777777" w:rsidR="00A0461C" w:rsidRPr="006D075E" w:rsidRDefault="00A0461C" w:rsidP="00F034FD">
            <w:pPr>
              <w:pStyle w:val="COMTabletext"/>
              <w:keepLines/>
              <w:jc w:val="center"/>
            </w:pPr>
            <w:r w:rsidRPr="006D075E">
              <w:t>46.1 (0.03, 80.10)</w:t>
            </w:r>
          </w:p>
        </w:tc>
        <w:tc>
          <w:tcPr>
            <w:tcW w:w="856" w:type="pct"/>
            <w:tcBorders>
              <w:top w:val="single" w:sz="4" w:space="0" w:color="auto"/>
              <w:left w:val="single" w:sz="4" w:space="0" w:color="auto"/>
              <w:bottom w:val="single" w:sz="4" w:space="0" w:color="auto"/>
              <w:right w:val="single" w:sz="4" w:space="0" w:color="auto"/>
            </w:tcBorders>
            <w:vAlign w:val="center"/>
            <w:hideMark/>
          </w:tcPr>
          <w:p w14:paraId="5FBE8E7B" w14:textId="77777777" w:rsidR="00A0461C" w:rsidRPr="006D075E" w:rsidRDefault="00A0461C" w:rsidP="00F034FD">
            <w:pPr>
              <w:pStyle w:val="COMTabletext"/>
              <w:keepLines/>
              <w:jc w:val="center"/>
            </w:pPr>
            <w:r w:rsidRPr="006D075E">
              <w:t>44.4 (0.03, 81.31)</w:t>
            </w:r>
          </w:p>
        </w:tc>
        <w:tc>
          <w:tcPr>
            <w:tcW w:w="895" w:type="pct"/>
            <w:tcBorders>
              <w:top w:val="single" w:sz="4" w:space="0" w:color="auto"/>
              <w:left w:val="single" w:sz="4" w:space="0" w:color="auto"/>
              <w:bottom w:val="single" w:sz="4" w:space="0" w:color="auto"/>
              <w:right w:val="single" w:sz="4" w:space="0" w:color="auto"/>
            </w:tcBorders>
            <w:hideMark/>
          </w:tcPr>
          <w:p w14:paraId="2C6CF095" w14:textId="77777777" w:rsidR="00A0461C" w:rsidRPr="006D075E" w:rsidRDefault="00A0461C" w:rsidP="00F034FD">
            <w:pPr>
              <w:pStyle w:val="COMTabletext"/>
              <w:keepLines/>
              <w:jc w:val="center"/>
            </w:pPr>
            <w:r w:rsidRPr="006D075E">
              <w:t>NR</w:t>
            </w:r>
          </w:p>
        </w:tc>
        <w:tc>
          <w:tcPr>
            <w:tcW w:w="895" w:type="pct"/>
            <w:tcBorders>
              <w:top w:val="single" w:sz="4" w:space="0" w:color="auto"/>
              <w:left w:val="single" w:sz="4" w:space="0" w:color="auto"/>
              <w:bottom w:val="single" w:sz="4" w:space="0" w:color="auto"/>
              <w:right w:val="single" w:sz="4" w:space="0" w:color="auto"/>
            </w:tcBorders>
            <w:hideMark/>
          </w:tcPr>
          <w:p w14:paraId="6A564D2F" w14:textId="77777777" w:rsidR="00A0461C" w:rsidRPr="006D075E" w:rsidRDefault="00A0461C" w:rsidP="00F034FD">
            <w:pPr>
              <w:pStyle w:val="COMTabletext"/>
              <w:keepLines/>
              <w:jc w:val="center"/>
            </w:pPr>
            <w:r w:rsidRPr="006D075E">
              <w:t>NR</w:t>
            </w:r>
          </w:p>
        </w:tc>
      </w:tr>
      <w:tr w:rsidR="00A0461C" w:rsidRPr="006D075E" w14:paraId="404E1BFA" w14:textId="77777777" w:rsidTr="00A0461C">
        <w:tc>
          <w:tcPr>
            <w:tcW w:w="1499" w:type="pct"/>
            <w:tcBorders>
              <w:top w:val="single" w:sz="4" w:space="0" w:color="auto"/>
              <w:left w:val="single" w:sz="4" w:space="0" w:color="auto"/>
              <w:bottom w:val="single" w:sz="4" w:space="0" w:color="auto"/>
              <w:right w:val="single" w:sz="4" w:space="0" w:color="auto"/>
            </w:tcBorders>
            <w:vAlign w:val="center"/>
            <w:hideMark/>
          </w:tcPr>
          <w:p w14:paraId="0D6FC516" w14:textId="77777777" w:rsidR="00A0461C" w:rsidRPr="006D075E" w:rsidRDefault="00A0461C" w:rsidP="00F034FD">
            <w:pPr>
              <w:pStyle w:val="COMTabletext"/>
              <w:keepLines/>
            </w:pPr>
            <w:r w:rsidRPr="006D075E">
              <w:t>Events, n (%)</w:t>
            </w:r>
          </w:p>
        </w:tc>
        <w:tc>
          <w:tcPr>
            <w:tcW w:w="855" w:type="pct"/>
            <w:tcBorders>
              <w:top w:val="single" w:sz="4" w:space="0" w:color="auto"/>
              <w:left w:val="single" w:sz="4" w:space="0" w:color="auto"/>
              <w:bottom w:val="single" w:sz="4" w:space="0" w:color="auto"/>
              <w:right w:val="single" w:sz="4" w:space="0" w:color="auto"/>
            </w:tcBorders>
            <w:vAlign w:val="center"/>
            <w:hideMark/>
          </w:tcPr>
          <w:p w14:paraId="13E8A407" w14:textId="77777777" w:rsidR="00A0461C" w:rsidRPr="006D075E" w:rsidRDefault="00A0461C" w:rsidP="00F034FD">
            <w:pPr>
              <w:pStyle w:val="COMTabletext"/>
              <w:keepLines/>
              <w:jc w:val="center"/>
            </w:pPr>
            <w:r w:rsidRPr="006D075E">
              <w:t>110 (36.8)</w:t>
            </w:r>
          </w:p>
        </w:tc>
        <w:tc>
          <w:tcPr>
            <w:tcW w:w="856" w:type="pct"/>
            <w:tcBorders>
              <w:top w:val="single" w:sz="4" w:space="0" w:color="auto"/>
              <w:left w:val="single" w:sz="4" w:space="0" w:color="auto"/>
              <w:bottom w:val="single" w:sz="4" w:space="0" w:color="auto"/>
              <w:right w:val="single" w:sz="4" w:space="0" w:color="auto"/>
            </w:tcBorders>
            <w:vAlign w:val="center"/>
            <w:hideMark/>
          </w:tcPr>
          <w:p w14:paraId="5EE95B83" w14:textId="77777777" w:rsidR="00A0461C" w:rsidRPr="006D075E" w:rsidRDefault="00A0461C" w:rsidP="00F034FD">
            <w:pPr>
              <w:pStyle w:val="COMTabletext"/>
              <w:keepLines/>
              <w:jc w:val="center"/>
            </w:pPr>
            <w:r w:rsidRPr="006D075E">
              <w:t>137 (45.8)</w:t>
            </w:r>
          </w:p>
        </w:tc>
        <w:tc>
          <w:tcPr>
            <w:tcW w:w="895" w:type="pct"/>
            <w:tcBorders>
              <w:top w:val="single" w:sz="4" w:space="0" w:color="auto"/>
              <w:left w:val="single" w:sz="4" w:space="0" w:color="auto"/>
              <w:bottom w:val="single" w:sz="4" w:space="0" w:color="auto"/>
              <w:right w:val="single" w:sz="4" w:space="0" w:color="auto"/>
            </w:tcBorders>
            <w:hideMark/>
          </w:tcPr>
          <w:p w14:paraId="3968888E" w14:textId="2BE662BA" w:rsidR="00A0461C" w:rsidRPr="006D075E" w:rsidRDefault="00A0461C" w:rsidP="00F034FD">
            <w:pPr>
              <w:pStyle w:val="COMTabletext"/>
              <w:keepLines/>
              <w:jc w:val="center"/>
            </w:pPr>
            <w:r w:rsidRPr="006D075E">
              <w:t>83 (27.8)</w:t>
            </w:r>
          </w:p>
        </w:tc>
        <w:tc>
          <w:tcPr>
            <w:tcW w:w="895" w:type="pct"/>
            <w:tcBorders>
              <w:top w:val="single" w:sz="4" w:space="0" w:color="auto"/>
              <w:left w:val="single" w:sz="4" w:space="0" w:color="auto"/>
              <w:bottom w:val="single" w:sz="4" w:space="0" w:color="auto"/>
              <w:right w:val="single" w:sz="4" w:space="0" w:color="auto"/>
            </w:tcBorders>
            <w:hideMark/>
          </w:tcPr>
          <w:p w14:paraId="7A4B92DD" w14:textId="4066373D" w:rsidR="00A0461C" w:rsidRPr="006D075E" w:rsidRDefault="00A0461C" w:rsidP="00F034FD">
            <w:pPr>
              <w:pStyle w:val="COMTabletext"/>
              <w:keepLines/>
              <w:jc w:val="center"/>
            </w:pPr>
            <w:r w:rsidRPr="006D075E">
              <w:t>117 (39.1)</w:t>
            </w:r>
          </w:p>
        </w:tc>
      </w:tr>
      <w:tr w:rsidR="00A0461C" w:rsidRPr="006D075E" w14:paraId="4EC232A8" w14:textId="77777777" w:rsidTr="00A0461C">
        <w:tc>
          <w:tcPr>
            <w:tcW w:w="1499" w:type="pct"/>
            <w:tcBorders>
              <w:top w:val="single" w:sz="4" w:space="0" w:color="auto"/>
              <w:left w:val="single" w:sz="4" w:space="0" w:color="auto"/>
              <w:bottom w:val="single" w:sz="4" w:space="0" w:color="auto"/>
              <w:right w:val="single" w:sz="4" w:space="0" w:color="auto"/>
            </w:tcBorders>
            <w:vAlign w:val="center"/>
            <w:hideMark/>
          </w:tcPr>
          <w:p w14:paraId="0F940AAF" w14:textId="77777777" w:rsidR="00A0461C" w:rsidRPr="006D075E" w:rsidRDefault="00A0461C" w:rsidP="00F034FD">
            <w:pPr>
              <w:pStyle w:val="COMTabletext"/>
              <w:keepLines/>
            </w:pPr>
            <w:r w:rsidRPr="006D075E">
              <w:t>Death</w:t>
            </w:r>
          </w:p>
        </w:tc>
        <w:tc>
          <w:tcPr>
            <w:tcW w:w="855" w:type="pct"/>
            <w:tcBorders>
              <w:top w:val="single" w:sz="4" w:space="0" w:color="auto"/>
              <w:left w:val="single" w:sz="4" w:space="0" w:color="auto"/>
              <w:bottom w:val="single" w:sz="4" w:space="0" w:color="auto"/>
              <w:right w:val="single" w:sz="4" w:space="0" w:color="auto"/>
            </w:tcBorders>
            <w:vAlign w:val="center"/>
            <w:hideMark/>
          </w:tcPr>
          <w:p w14:paraId="3D6A8C47" w14:textId="77777777" w:rsidR="00A0461C" w:rsidRPr="006D075E" w:rsidRDefault="00A0461C" w:rsidP="00F034FD">
            <w:pPr>
              <w:pStyle w:val="COMTabletext"/>
              <w:keepLines/>
              <w:jc w:val="center"/>
            </w:pPr>
            <w:r w:rsidRPr="006D075E">
              <w:t>53 (17.7)</w:t>
            </w:r>
          </w:p>
        </w:tc>
        <w:tc>
          <w:tcPr>
            <w:tcW w:w="856" w:type="pct"/>
            <w:tcBorders>
              <w:top w:val="single" w:sz="4" w:space="0" w:color="auto"/>
              <w:left w:val="single" w:sz="4" w:space="0" w:color="auto"/>
              <w:bottom w:val="single" w:sz="4" w:space="0" w:color="auto"/>
              <w:right w:val="single" w:sz="4" w:space="0" w:color="auto"/>
            </w:tcBorders>
            <w:vAlign w:val="center"/>
            <w:hideMark/>
          </w:tcPr>
          <w:p w14:paraId="3B945C2E" w14:textId="77777777" w:rsidR="00A0461C" w:rsidRPr="006D075E" w:rsidRDefault="00A0461C" w:rsidP="00F034FD">
            <w:pPr>
              <w:pStyle w:val="COMTabletext"/>
              <w:keepLines/>
              <w:jc w:val="center"/>
            </w:pPr>
            <w:r w:rsidRPr="006D075E">
              <w:t>38 (12.7)</w:t>
            </w:r>
          </w:p>
        </w:tc>
        <w:tc>
          <w:tcPr>
            <w:tcW w:w="895" w:type="pct"/>
            <w:tcBorders>
              <w:top w:val="single" w:sz="4" w:space="0" w:color="auto"/>
              <w:left w:val="single" w:sz="4" w:space="0" w:color="auto"/>
              <w:bottom w:val="single" w:sz="4" w:space="0" w:color="auto"/>
              <w:right w:val="single" w:sz="4" w:space="0" w:color="auto"/>
            </w:tcBorders>
            <w:hideMark/>
          </w:tcPr>
          <w:p w14:paraId="45A12920" w14:textId="2C61E572" w:rsidR="00A0461C" w:rsidRPr="006D075E" w:rsidRDefault="00A0461C" w:rsidP="00F034FD">
            <w:pPr>
              <w:pStyle w:val="COMTabletext"/>
              <w:keepLines/>
              <w:jc w:val="center"/>
            </w:pPr>
            <w:r w:rsidRPr="006D075E">
              <w:t>26 (8.7)</w:t>
            </w:r>
          </w:p>
        </w:tc>
        <w:tc>
          <w:tcPr>
            <w:tcW w:w="895" w:type="pct"/>
            <w:tcBorders>
              <w:top w:val="single" w:sz="4" w:space="0" w:color="auto"/>
              <w:left w:val="single" w:sz="4" w:space="0" w:color="auto"/>
              <w:bottom w:val="single" w:sz="4" w:space="0" w:color="auto"/>
              <w:right w:val="single" w:sz="4" w:space="0" w:color="auto"/>
            </w:tcBorders>
            <w:hideMark/>
          </w:tcPr>
          <w:p w14:paraId="52B3975A" w14:textId="42AC086D" w:rsidR="00A0461C" w:rsidRPr="006D075E" w:rsidRDefault="00A0461C" w:rsidP="00F034FD">
            <w:pPr>
              <w:pStyle w:val="COMTabletext"/>
              <w:keepLines/>
              <w:jc w:val="center"/>
            </w:pPr>
            <w:r w:rsidRPr="006D075E">
              <w:t>18 (6.0)</w:t>
            </w:r>
          </w:p>
        </w:tc>
      </w:tr>
      <w:tr w:rsidR="00A0461C" w:rsidRPr="006D075E" w14:paraId="436D70F1" w14:textId="77777777" w:rsidTr="00A0461C">
        <w:tc>
          <w:tcPr>
            <w:tcW w:w="1499" w:type="pct"/>
            <w:tcBorders>
              <w:top w:val="single" w:sz="4" w:space="0" w:color="auto"/>
              <w:left w:val="single" w:sz="4" w:space="0" w:color="auto"/>
              <w:bottom w:val="single" w:sz="4" w:space="0" w:color="auto"/>
              <w:right w:val="single" w:sz="4" w:space="0" w:color="auto"/>
            </w:tcBorders>
            <w:vAlign w:val="center"/>
            <w:hideMark/>
          </w:tcPr>
          <w:p w14:paraId="0B1E4481" w14:textId="77777777" w:rsidR="00A0461C" w:rsidRPr="006D075E" w:rsidRDefault="00A0461C" w:rsidP="00F034FD">
            <w:pPr>
              <w:pStyle w:val="COMTabletext"/>
              <w:keepLines/>
            </w:pPr>
            <w:r w:rsidRPr="006D075E">
              <w:t>Disease progression</w:t>
            </w:r>
          </w:p>
        </w:tc>
        <w:tc>
          <w:tcPr>
            <w:tcW w:w="855" w:type="pct"/>
            <w:tcBorders>
              <w:top w:val="single" w:sz="4" w:space="0" w:color="auto"/>
              <w:left w:val="single" w:sz="4" w:space="0" w:color="auto"/>
              <w:bottom w:val="single" w:sz="4" w:space="0" w:color="auto"/>
              <w:right w:val="single" w:sz="4" w:space="0" w:color="auto"/>
            </w:tcBorders>
            <w:vAlign w:val="center"/>
            <w:hideMark/>
          </w:tcPr>
          <w:p w14:paraId="2336CACD" w14:textId="77777777" w:rsidR="00A0461C" w:rsidRPr="006D075E" w:rsidRDefault="00A0461C" w:rsidP="00F034FD">
            <w:pPr>
              <w:pStyle w:val="COMTabletext"/>
              <w:keepLines/>
              <w:jc w:val="center"/>
            </w:pPr>
            <w:r w:rsidRPr="006D075E">
              <w:t>57 (19.1)</w:t>
            </w:r>
          </w:p>
        </w:tc>
        <w:tc>
          <w:tcPr>
            <w:tcW w:w="856" w:type="pct"/>
            <w:tcBorders>
              <w:top w:val="single" w:sz="4" w:space="0" w:color="auto"/>
              <w:left w:val="single" w:sz="4" w:space="0" w:color="auto"/>
              <w:bottom w:val="single" w:sz="4" w:space="0" w:color="auto"/>
              <w:right w:val="single" w:sz="4" w:space="0" w:color="auto"/>
            </w:tcBorders>
            <w:vAlign w:val="center"/>
            <w:hideMark/>
          </w:tcPr>
          <w:p w14:paraId="080EEE52" w14:textId="77777777" w:rsidR="00A0461C" w:rsidRPr="006D075E" w:rsidRDefault="00A0461C" w:rsidP="00F034FD">
            <w:pPr>
              <w:pStyle w:val="COMTabletext"/>
              <w:keepLines/>
              <w:jc w:val="center"/>
            </w:pPr>
            <w:r w:rsidRPr="006D075E">
              <w:t>99 (33.1)</w:t>
            </w:r>
          </w:p>
        </w:tc>
        <w:tc>
          <w:tcPr>
            <w:tcW w:w="895" w:type="pct"/>
            <w:tcBorders>
              <w:top w:val="single" w:sz="4" w:space="0" w:color="auto"/>
              <w:left w:val="single" w:sz="4" w:space="0" w:color="auto"/>
              <w:bottom w:val="single" w:sz="4" w:space="0" w:color="auto"/>
              <w:right w:val="single" w:sz="4" w:space="0" w:color="auto"/>
            </w:tcBorders>
            <w:hideMark/>
          </w:tcPr>
          <w:p w14:paraId="3FD97D15" w14:textId="5CCC1869" w:rsidR="00A0461C" w:rsidRPr="006D075E" w:rsidRDefault="00A0461C" w:rsidP="00F034FD">
            <w:pPr>
              <w:pStyle w:val="COMTabletext"/>
              <w:keepLines/>
              <w:jc w:val="center"/>
            </w:pPr>
            <w:r w:rsidRPr="006D075E">
              <w:t>57 (19.1)</w:t>
            </w:r>
          </w:p>
        </w:tc>
        <w:tc>
          <w:tcPr>
            <w:tcW w:w="895" w:type="pct"/>
            <w:tcBorders>
              <w:top w:val="single" w:sz="4" w:space="0" w:color="auto"/>
              <w:left w:val="single" w:sz="4" w:space="0" w:color="auto"/>
              <w:bottom w:val="single" w:sz="4" w:space="0" w:color="auto"/>
              <w:right w:val="single" w:sz="4" w:space="0" w:color="auto"/>
            </w:tcBorders>
            <w:hideMark/>
          </w:tcPr>
          <w:p w14:paraId="15A05870" w14:textId="1CD153AE" w:rsidR="00A0461C" w:rsidRPr="006D075E" w:rsidRDefault="00A0461C" w:rsidP="00F034FD">
            <w:pPr>
              <w:pStyle w:val="COMTabletext"/>
              <w:keepLines/>
              <w:jc w:val="center"/>
            </w:pPr>
            <w:r w:rsidRPr="006D075E">
              <w:t>99 (33.1)</w:t>
            </w:r>
          </w:p>
        </w:tc>
      </w:tr>
      <w:tr w:rsidR="00A0461C" w:rsidRPr="006D075E" w14:paraId="553B39B4" w14:textId="77777777" w:rsidTr="00A0461C">
        <w:tc>
          <w:tcPr>
            <w:tcW w:w="1499" w:type="pct"/>
            <w:tcBorders>
              <w:top w:val="single" w:sz="4" w:space="0" w:color="auto"/>
              <w:left w:val="single" w:sz="4" w:space="0" w:color="auto"/>
              <w:bottom w:val="single" w:sz="4" w:space="0" w:color="auto"/>
              <w:right w:val="single" w:sz="4" w:space="0" w:color="auto"/>
            </w:tcBorders>
            <w:vAlign w:val="center"/>
            <w:hideMark/>
          </w:tcPr>
          <w:p w14:paraId="5892A67D" w14:textId="77777777" w:rsidR="00A0461C" w:rsidRPr="006D075E" w:rsidRDefault="00A0461C" w:rsidP="00F034FD">
            <w:pPr>
              <w:pStyle w:val="COMTabletext"/>
              <w:keepLines/>
            </w:pPr>
            <w:r w:rsidRPr="006D075E">
              <w:t>PFS (months), median (95% CI)</w:t>
            </w:r>
          </w:p>
        </w:tc>
        <w:tc>
          <w:tcPr>
            <w:tcW w:w="855" w:type="pct"/>
            <w:tcBorders>
              <w:top w:val="single" w:sz="4" w:space="0" w:color="auto"/>
              <w:left w:val="single" w:sz="4" w:space="0" w:color="auto"/>
              <w:bottom w:val="single" w:sz="4" w:space="0" w:color="auto"/>
              <w:right w:val="single" w:sz="4" w:space="0" w:color="auto"/>
            </w:tcBorders>
            <w:vAlign w:val="center"/>
            <w:hideMark/>
          </w:tcPr>
          <w:p w14:paraId="0D09FA8E" w14:textId="77777777" w:rsidR="00A0461C" w:rsidRPr="006D075E" w:rsidRDefault="00A0461C" w:rsidP="00F034FD">
            <w:pPr>
              <w:pStyle w:val="COMTabletext"/>
              <w:keepLines/>
              <w:jc w:val="center"/>
            </w:pPr>
            <w:r w:rsidRPr="006D075E">
              <w:t>66.4 (55.1, NE)</w:t>
            </w:r>
          </w:p>
        </w:tc>
        <w:tc>
          <w:tcPr>
            <w:tcW w:w="856" w:type="pct"/>
            <w:tcBorders>
              <w:top w:val="single" w:sz="4" w:space="0" w:color="auto"/>
              <w:left w:val="single" w:sz="4" w:space="0" w:color="auto"/>
              <w:bottom w:val="single" w:sz="4" w:space="0" w:color="auto"/>
              <w:right w:val="single" w:sz="4" w:space="0" w:color="auto"/>
            </w:tcBorders>
            <w:vAlign w:val="center"/>
            <w:hideMark/>
          </w:tcPr>
          <w:p w14:paraId="52DDD7B3" w14:textId="77777777" w:rsidR="00A0461C" w:rsidRPr="006D075E" w:rsidRDefault="00A0461C" w:rsidP="00F034FD">
            <w:pPr>
              <w:pStyle w:val="COMTabletext"/>
              <w:keepLines/>
              <w:jc w:val="center"/>
            </w:pPr>
            <w:r w:rsidRPr="006D075E">
              <w:t>49.6 (36.0, 64.1)</w:t>
            </w:r>
          </w:p>
        </w:tc>
        <w:tc>
          <w:tcPr>
            <w:tcW w:w="895" w:type="pct"/>
            <w:tcBorders>
              <w:top w:val="single" w:sz="4" w:space="0" w:color="auto"/>
              <w:left w:val="single" w:sz="4" w:space="0" w:color="auto"/>
              <w:bottom w:val="single" w:sz="4" w:space="0" w:color="auto"/>
              <w:right w:val="single" w:sz="4" w:space="0" w:color="auto"/>
            </w:tcBorders>
            <w:vAlign w:val="center"/>
            <w:hideMark/>
          </w:tcPr>
          <w:p w14:paraId="23A8DE1F" w14:textId="77777777" w:rsidR="00A0461C" w:rsidRPr="006D075E" w:rsidRDefault="00A0461C" w:rsidP="00F034FD">
            <w:pPr>
              <w:pStyle w:val="COMTabletext"/>
              <w:keepLines/>
              <w:jc w:val="center"/>
            </w:pPr>
            <w:r w:rsidRPr="006D075E">
              <w:t>NE (66.4, NE)</w:t>
            </w:r>
          </w:p>
        </w:tc>
        <w:tc>
          <w:tcPr>
            <w:tcW w:w="895" w:type="pct"/>
            <w:tcBorders>
              <w:top w:val="single" w:sz="4" w:space="0" w:color="auto"/>
              <w:left w:val="single" w:sz="4" w:space="0" w:color="auto"/>
              <w:bottom w:val="single" w:sz="4" w:space="0" w:color="auto"/>
              <w:right w:val="single" w:sz="4" w:space="0" w:color="auto"/>
            </w:tcBorders>
            <w:vAlign w:val="center"/>
            <w:hideMark/>
          </w:tcPr>
          <w:p w14:paraId="205E1AEA" w14:textId="77777777" w:rsidR="00A0461C" w:rsidRPr="006D075E" w:rsidRDefault="00A0461C" w:rsidP="00F034FD">
            <w:pPr>
              <w:pStyle w:val="COMTabletext"/>
              <w:keepLines/>
              <w:jc w:val="center"/>
            </w:pPr>
            <w:r w:rsidRPr="006D075E">
              <w:t>61.6 (49.6, 68.9)</w:t>
            </w:r>
          </w:p>
        </w:tc>
      </w:tr>
      <w:tr w:rsidR="00A0461C" w:rsidRPr="006D075E" w14:paraId="531BDACC" w14:textId="77777777" w:rsidTr="00A0461C">
        <w:tc>
          <w:tcPr>
            <w:tcW w:w="1499" w:type="pct"/>
            <w:tcBorders>
              <w:top w:val="single" w:sz="4" w:space="0" w:color="auto"/>
              <w:left w:val="single" w:sz="4" w:space="0" w:color="auto"/>
              <w:bottom w:val="single" w:sz="4" w:space="0" w:color="auto"/>
              <w:right w:val="single" w:sz="4" w:space="0" w:color="auto"/>
            </w:tcBorders>
            <w:vAlign w:val="center"/>
            <w:hideMark/>
          </w:tcPr>
          <w:p w14:paraId="5C219F28" w14:textId="77777777" w:rsidR="00A0461C" w:rsidRPr="006D075E" w:rsidRDefault="00A0461C" w:rsidP="00F034FD">
            <w:pPr>
              <w:pStyle w:val="COMTabletext"/>
              <w:keepLines/>
            </w:pPr>
            <w:r w:rsidRPr="006D075E">
              <w:t>HR (95% CI), stratified analysis</w:t>
            </w:r>
          </w:p>
        </w:tc>
        <w:tc>
          <w:tcPr>
            <w:tcW w:w="1711" w:type="pct"/>
            <w:gridSpan w:val="2"/>
            <w:tcBorders>
              <w:top w:val="single" w:sz="4" w:space="0" w:color="auto"/>
              <w:left w:val="single" w:sz="4" w:space="0" w:color="auto"/>
              <w:bottom w:val="single" w:sz="4" w:space="0" w:color="auto"/>
              <w:right w:val="single" w:sz="4" w:space="0" w:color="auto"/>
            </w:tcBorders>
            <w:vAlign w:val="center"/>
            <w:hideMark/>
          </w:tcPr>
          <w:p w14:paraId="10E3A989" w14:textId="77777777" w:rsidR="00A0461C" w:rsidRPr="006D075E" w:rsidRDefault="00A0461C" w:rsidP="00F034FD">
            <w:pPr>
              <w:pStyle w:val="COMTabletext"/>
              <w:keepLines/>
              <w:jc w:val="center"/>
              <w:rPr>
                <w:b/>
                <w:bCs w:val="0"/>
              </w:rPr>
            </w:pPr>
            <w:r w:rsidRPr="006D075E">
              <w:rPr>
                <w:b/>
                <w:bCs w:val="0"/>
              </w:rPr>
              <w:t>0.73 (0.57, 0.94)</w:t>
            </w:r>
          </w:p>
        </w:tc>
        <w:tc>
          <w:tcPr>
            <w:tcW w:w="1790" w:type="pct"/>
            <w:gridSpan w:val="2"/>
            <w:tcBorders>
              <w:top w:val="single" w:sz="4" w:space="0" w:color="auto"/>
              <w:left w:val="single" w:sz="4" w:space="0" w:color="auto"/>
              <w:bottom w:val="single" w:sz="4" w:space="0" w:color="auto"/>
              <w:right w:val="single" w:sz="4" w:space="0" w:color="auto"/>
            </w:tcBorders>
            <w:vAlign w:val="center"/>
            <w:hideMark/>
          </w:tcPr>
          <w:p w14:paraId="08EBA4BF" w14:textId="77777777" w:rsidR="00A0461C" w:rsidRPr="006D075E" w:rsidRDefault="00A0461C" w:rsidP="00F034FD">
            <w:pPr>
              <w:pStyle w:val="COMTabletext"/>
              <w:keepLines/>
              <w:jc w:val="center"/>
              <w:rPr>
                <w:b/>
                <w:bCs w:val="0"/>
              </w:rPr>
            </w:pPr>
            <w:r w:rsidRPr="006D075E">
              <w:rPr>
                <w:b/>
                <w:bCs w:val="0"/>
              </w:rPr>
              <w:t>0.64 (0.48, 0.84)</w:t>
            </w:r>
          </w:p>
        </w:tc>
      </w:tr>
      <w:tr w:rsidR="00A0461C" w:rsidRPr="006D075E" w14:paraId="65C860FF" w14:textId="77777777" w:rsidTr="00A0461C">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EA5B2C7" w14:textId="3DE8B83C" w:rsidR="00A0461C" w:rsidRPr="006D075E" w:rsidRDefault="00A0461C" w:rsidP="00F034FD">
            <w:pPr>
              <w:pStyle w:val="COMTabletext"/>
              <w:keepLines/>
              <w:rPr>
                <w:b/>
                <w:bCs w:val="0"/>
              </w:rPr>
            </w:pPr>
            <w:r w:rsidRPr="006D075E">
              <w:rPr>
                <w:b/>
                <w:bCs w:val="0"/>
              </w:rPr>
              <w:t>Kaplan-Meier estimates of progression free survival probability by timepoint (%)</w:t>
            </w:r>
          </w:p>
        </w:tc>
      </w:tr>
      <w:tr w:rsidR="00A0461C" w:rsidRPr="006D075E" w14:paraId="5625C891" w14:textId="77777777" w:rsidTr="00A0461C">
        <w:tc>
          <w:tcPr>
            <w:tcW w:w="1499" w:type="pct"/>
            <w:tcBorders>
              <w:top w:val="single" w:sz="4" w:space="0" w:color="auto"/>
              <w:left w:val="single" w:sz="4" w:space="0" w:color="auto"/>
              <w:bottom w:val="single" w:sz="4" w:space="0" w:color="auto"/>
              <w:right w:val="single" w:sz="4" w:space="0" w:color="auto"/>
            </w:tcBorders>
            <w:vAlign w:val="center"/>
            <w:hideMark/>
          </w:tcPr>
          <w:p w14:paraId="0AF741B8" w14:textId="2E9B392B" w:rsidR="00A0461C" w:rsidRPr="006D075E" w:rsidRDefault="00A0461C" w:rsidP="00F034FD">
            <w:pPr>
              <w:pStyle w:val="COMTabletext"/>
              <w:keepLines/>
            </w:pPr>
            <w:r w:rsidRPr="006D075E">
              <w:t>24 months (95% CI)</w:t>
            </w:r>
          </w:p>
        </w:tc>
        <w:tc>
          <w:tcPr>
            <w:tcW w:w="855" w:type="pct"/>
            <w:tcBorders>
              <w:top w:val="single" w:sz="4" w:space="0" w:color="auto"/>
              <w:left w:val="single" w:sz="4" w:space="0" w:color="auto"/>
              <w:bottom w:val="single" w:sz="4" w:space="0" w:color="auto"/>
              <w:right w:val="single" w:sz="4" w:space="0" w:color="auto"/>
            </w:tcBorders>
            <w:hideMark/>
          </w:tcPr>
          <w:p w14:paraId="4AA0E7AA" w14:textId="08D074D2" w:rsidR="00A0461C" w:rsidRPr="006D075E" w:rsidRDefault="00A0461C" w:rsidP="00F034FD">
            <w:pPr>
              <w:pStyle w:val="COMTabletext"/>
              <w:keepLines/>
              <w:jc w:val="center"/>
            </w:pPr>
            <w:r w:rsidRPr="006D075E">
              <w:t>76.7 (71.1, 81.3)</w:t>
            </w:r>
          </w:p>
        </w:tc>
        <w:tc>
          <w:tcPr>
            <w:tcW w:w="856" w:type="pct"/>
            <w:tcBorders>
              <w:top w:val="single" w:sz="4" w:space="0" w:color="auto"/>
              <w:left w:val="single" w:sz="4" w:space="0" w:color="auto"/>
              <w:bottom w:val="single" w:sz="4" w:space="0" w:color="auto"/>
              <w:right w:val="single" w:sz="4" w:space="0" w:color="auto"/>
            </w:tcBorders>
            <w:hideMark/>
          </w:tcPr>
          <w:p w14:paraId="661C8FEA" w14:textId="3A35B0DD" w:rsidR="00A0461C" w:rsidRPr="006D075E" w:rsidRDefault="00A0461C" w:rsidP="00F034FD">
            <w:pPr>
              <w:pStyle w:val="COMTabletext"/>
              <w:keepLines/>
              <w:jc w:val="center"/>
            </w:pPr>
            <w:r w:rsidRPr="006D075E">
              <w:t>66.2 (60.1, 71.6)</w:t>
            </w:r>
          </w:p>
        </w:tc>
        <w:tc>
          <w:tcPr>
            <w:tcW w:w="895" w:type="pct"/>
            <w:tcBorders>
              <w:top w:val="single" w:sz="4" w:space="0" w:color="auto"/>
              <w:left w:val="single" w:sz="4" w:space="0" w:color="auto"/>
              <w:bottom w:val="single" w:sz="4" w:space="0" w:color="auto"/>
              <w:right w:val="single" w:sz="4" w:space="0" w:color="auto"/>
            </w:tcBorders>
            <w:hideMark/>
          </w:tcPr>
          <w:p w14:paraId="70C9E7F6" w14:textId="3A7DDA6F" w:rsidR="00A0461C" w:rsidRPr="006D075E" w:rsidRDefault="00A0461C" w:rsidP="00F034FD">
            <w:pPr>
              <w:pStyle w:val="COMTabletext"/>
              <w:keepLines/>
              <w:jc w:val="center"/>
            </w:pPr>
            <w:r w:rsidRPr="006D075E">
              <w:t>80.3 (74.9, 84.6)</w:t>
            </w:r>
          </w:p>
        </w:tc>
        <w:tc>
          <w:tcPr>
            <w:tcW w:w="895" w:type="pct"/>
            <w:tcBorders>
              <w:top w:val="single" w:sz="4" w:space="0" w:color="auto"/>
              <w:left w:val="single" w:sz="4" w:space="0" w:color="auto"/>
              <w:bottom w:val="single" w:sz="4" w:space="0" w:color="auto"/>
              <w:right w:val="single" w:sz="4" w:space="0" w:color="auto"/>
            </w:tcBorders>
            <w:hideMark/>
          </w:tcPr>
          <w:p w14:paraId="0CD4AE0C" w14:textId="51514060" w:rsidR="00A0461C" w:rsidRPr="006D075E" w:rsidRDefault="00A0461C" w:rsidP="00F034FD">
            <w:pPr>
              <w:pStyle w:val="COMTabletext"/>
              <w:keepLines/>
              <w:jc w:val="center"/>
            </w:pPr>
            <w:r w:rsidRPr="006D075E">
              <w:t>69.2 (63.2, 74.4)</w:t>
            </w:r>
          </w:p>
        </w:tc>
      </w:tr>
      <w:tr w:rsidR="00A0461C" w:rsidRPr="006D075E" w14:paraId="4C351F7D" w14:textId="77777777" w:rsidTr="00D84D21">
        <w:trPr>
          <w:trHeight w:val="70"/>
        </w:trPr>
        <w:tc>
          <w:tcPr>
            <w:tcW w:w="1499" w:type="pct"/>
            <w:tcBorders>
              <w:top w:val="single" w:sz="4" w:space="0" w:color="auto"/>
              <w:left w:val="single" w:sz="4" w:space="0" w:color="auto"/>
              <w:bottom w:val="single" w:sz="4" w:space="0" w:color="auto"/>
              <w:right w:val="single" w:sz="4" w:space="0" w:color="auto"/>
            </w:tcBorders>
            <w:vAlign w:val="center"/>
            <w:hideMark/>
          </w:tcPr>
          <w:p w14:paraId="5A1CB890" w14:textId="564807C0" w:rsidR="00A0461C" w:rsidRPr="006D075E" w:rsidRDefault="00A0461C" w:rsidP="00F034FD">
            <w:pPr>
              <w:pStyle w:val="COMTabletext"/>
              <w:keepLines/>
            </w:pPr>
            <w:r w:rsidRPr="006D075E">
              <w:t>36 months (95% CI)</w:t>
            </w:r>
          </w:p>
        </w:tc>
        <w:tc>
          <w:tcPr>
            <w:tcW w:w="855" w:type="pct"/>
            <w:tcBorders>
              <w:top w:val="single" w:sz="4" w:space="0" w:color="auto"/>
              <w:left w:val="single" w:sz="4" w:space="0" w:color="auto"/>
              <w:bottom w:val="single" w:sz="4" w:space="0" w:color="auto"/>
              <w:right w:val="single" w:sz="4" w:space="0" w:color="auto"/>
            </w:tcBorders>
            <w:hideMark/>
          </w:tcPr>
          <w:p w14:paraId="1AE14B7A" w14:textId="5AE7C72A" w:rsidR="00A0461C" w:rsidRPr="006D075E" w:rsidRDefault="00A0461C" w:rsidP="00F034FD">
            <w:pPr>
              <w:pStyle w:val="COMTabletext"/>
              <w:keepLines/>
              <w:jc w:val="center"/>
            </w:pPr>
            <w:r w:rsidRPr="006D075E">
              <w:t>64.5 (58.1, 70.2)</w:t>
            </w:r>
          </w:p>
        </w:tc>
        <w:tc>
          <w:tcPr>
            <w:tcW w:w="856" w:type="pct"/>
            <w:tcBorders>
              <w:top w:val="single" w:sz="4" w:space="0" w:color="auto"/>
              <w:left w:val="single" w:sz="4" w:space="0" w:color="auto"/>
              <w:bottom w:val="single" w:sz="4" w:space="0" w:color="auto"/>
              <w:right w:val="single" w:sz="4" w:space="0" w:color="auto"/>
            </w:tcBorders>
            <w:hideMark/>
          </w:tcPr>
          <w:p w14:paraId="74924307" w14:textId="6BFCA49C" w:rsidR="00A0461C" w:rsidRPr="006D075E" w:rsidRDefault="00A0461C" w:rsidP="00F034FD">
            <w:pPr>
              <w:pStyle w:val="COMTabletext"/>
              <w:keepLines/>
              <w:jc w:val="center"/>
            </w:pPr>
            <w:r w:rsidRPr="006D075E">
              <w:t>56.1 (49.7, 62.0)</w:t>
            </w:r>
          </w:p>
        </w:tc>
        <w:tc>
          <w:tcPr>
            <w:tcW w:w="895" w:type="pct"/>
            <w:tcBorders>
              <w:top w:val="single" w:sz="4" w:space="0" w:color="auto"/>
              <w:left w:val="single" w:sz="4" w:space="0" w:color="auto"/>
              <w:bottom w:val="single" w:sz="4" w:space="0" w:color="auto"/>
              <w:right w:val="single" w:sz="4" w:space="0" w:color="auto"/>
            </w:tcBorders>
            <w:hideMark/>
          </w:tcPr>
          <w:p w14:paraId="2A224D32" w14:textId="0931A04F" w:rsidR="00A0461C" w:rsidRPr="006D075E" w:rsidRDefault="00A0461C" w:rsidP="00F034FD">
            <w:pPr>
              <w:pStyle w:val="COMTabletext"/>
              <w:keepLines/>
              <w:jc w:val="center"/>
            </w:pPr>
            <w:r w:rsidRPr="006D075E">
              <w:t>74.0 (68.0, 79.0)</w:t>
            </w:r>
          </w:p>
        </w:tc>
        <w:tc>
          <w:tcPr>
            <w:tcW w:w="895" w:type="pct"/>
            <w:tcBorders>
              <w:top w:val="single" w:sz="4" w:space="0" w:color="auto"/>
              <w:left w:val="single" w:sz="4" w:space="0" w:color="auto"/>
              <w:bottom w:val="single" w:sz="4" w:space="0" w:color="auto"/>
              <w:right w:val="single" w:sz="4" w:space="0" w:color="auto"/>
            </w:tcBorders>
            <w:hideMark/>
          </w:tcPr>
          <w:p w14:paraId="00F82F24" w14:textId="351F7958" w:rsidR="00A0461C" w:rsidRPr="006D075E" w:rsidRDefault="00A0461C" w:rsidP="00F034FD">
            <w:pPr>
              <w:pStyle w:val="COMTabletext"/>
              <w:keepLines/>
              <w:jc w:val="center"/>
            </w:pPr>
            <w:r w:rsidRPr="006D075E">
              <w:t>62.1 (55.7, 67.8)</w:t>
            </w:r>
          </w:p>
        </w:tc>
      </w:tr>
      <w:tr w:rsidR="00A0461C" w:rsidRPr="006D075E" w14:paraId="4F05C335" w14:textId="77777777" w:rsidTr="00A0461C">
        <w:tc>
          <w:tcPr>
            <w:tcW w:w="1499" w:type="pct"/>
            <w:tcBorders>
              <w:top w:val="single" w:sz="4" w:space="0" w:color="auto"/>
              <w:left w:val="single" w:sz="4" w:space="0" w:color="auto"/>
              <w:bottom w:val="single" w:sz="4" w:space="0" w:color="auto"/>
              <w:right w:val="single" w:sz="4" w:space="0" w:color="auto"/>
            </w:tcBorders>
            <w:vAlign w:val="center"/>
            <w:hideMark/>
          </w:tcPr>
          <w:p w14:paraId="5765086F" w14:textId="4446404A" w:rsidR="00A0461C" w:rsidRPr="006D075E" w:rsidRDefault="00A0461C" w:rsidP="00F034FD">
            <w:pPr>
              <w:pStyle w:val="COMTabletext"/>
              <w:keepLines/>
            </w:pPr>
            <w:r w:rsidRPr="006D075E">
              <w:t>48 months (95% CI)</w:t>
            </w:r>
          </w:p>
        </w:tc>
        <w:tc>
          <w:tcPr>
            <w:tcW w:w="855" w:type="pct"/>
            <w:tcBorders>
              <w:top w:val="single" w:sz="4" w:space="0" w:color="auto"/>
              <w:left w:val="single" w:sz="4" w:space="0" w:color="auto"/>
              <w:bottom w:val="single" w:sz="4" w:space="0" w:color="auto"/>
              <w:right w:val="single" w:sz="4" w:space="0" w:color="auto"/>
            </w:tcBorders>
            <w:hideMark/>
          </w:tcPr>
          <w:p w14:paraId="5A0160F1" w14:textId="3A86A7FF" w:rsidR="00A0461C" w:rsidRPr="006D075E" w:rsidRDefault="00A0461C" w:rsidP="00F034FD">
            <w:pPr>
              <w:pStyle w:val="COMTabletext"/>
              <w:keepLines/>
              <w:jc w:val="center"/>
            </w:pPr>
            <w:r w:rsidRPr="006D075E">
              <w:t>59.5 (52.8, 65.5)</w:t>
            </w:r>
          </w:p>
        </w:tc>
        <w:tc>
          <w:tcPr>
            <w:tcW w:w="856" w:type="pct"/>
            <w:tcBorders>
              <w:top w:val="single" w:sz="4" w:space="0" w:color="auto"/>
              <w:left w:val="single" w:sz="4" w:space="0" w:color="auto"/>
              <w:bottom w:val="single" w:sz="4" w:space="0" w:color="auto"/>
              <w:right w:val="single" w:sz="4" w:space="0" w:color="auto"/>
            </w:tcBorders>
            <w:hideMark/>
          </w:tcPr>
          <w:p w14:paraId="0F616A8E" w14:textId="5560E8BB" w:rsidR="00A0461C" w:rsidRPr="006D075E" w:rsidRDefault="00A0461C" w:rsidP="00F034FD">
            <w:pPr>
              <w:pStyle w:val="COMTabletext"/>
              <w:keepLines/>
              <w:jc w:val="center"/>
            </w:pPr>
            <w:r w:rsidRPr="006D075E">
              <w:t>50.4 (43.8, 56.6)</w:t>
            </w:r>
          </w:p>
        </w:tc>
        <w:tc>
          <w:tcPr>
            <w:tcW w:w="895" w:type="pct"/>
            <w:tcBorders>
              <w:top w:val="single" w:sz="4" w:space="0" w:color="auto"/>
              <w:left w:val="single" w:sz="4" w:space="0" w:color="auto"/>
              <w:bottom w:val="single" w:sz="4" w:space="0" w:color="auto"/>
              <w:right w:val="single" w:sz="4" w:space="0" w:color="auto"/>
            </w:tcBorders>
            <w:hideMark/>
          </w:tcPr>
          <w:p w14:paraId="274187B5" w14:textId="4FDFA1DB" w:rsidR="00A0461C" w:rsidRPr="006D075E" w:rsidRDefault="00A0461C" w:rsidP="00F034FD">
            <w:pPr>
              <w:pStyle w:val="COMTabletext"/>
              <w:keepLines/>
              <w:jc w:val="center"/>
            </w:pPr>
            <w:r w:rsidRPr="006D075E">
              <w:t>69.9 (63.5, 75.4)</w:t>
            </w:r>
          </w:p>
        </w:tc>
        <w:tc>
          <w:tcPr>
            <w:tcW w:w="895" w:type="pct"/>
            <w:tcBorders>
              <w:top w:val="single" w:sz="4" w:space="0" w:color="auto"/>
              <w:left w:val="single" w:sz="4" w:space="0" w:color="auto"/>
              <w:bottom w:val="single" w:sz="4" w:space="0" w:color="auto"/>
              <w:right w:val="single" w:sz="4" w:space="0" w:color="auto"/>
            </w:tcBorders>
            <w:hideMark/>
          </w:tcPr>
          <w:p w14:paraId="17FFE520" w14:textId="137EEFFA" w:rsidR="00A0461C" w:rsidRPr="006D075E" w:rsidRDefault="00A0461C" w:rsidP="00F034FD">
            <w:pPr>
              <w:pStyle w:val="COMTabletext"/>
              <w:keepLines/>
              <w:jc w:val="center"/>
            </w:pPr>
            <w:r w:rsidRPr="006D075E">
              <w:t>57.3 (50.5, 63.5)</w:t>
            </w:r>
          </w:p>
        </w:tc>
      </w:tr>
    </w:tbl>
    <w:p w14:paraId="2B1EA624" w14:textId="77777777" w:rsidR="00A0461C" w:rsidRPr="006D075E" w:rsidRDefault="00A0461C" w:rsidP="00F034FD">
      <w:pPr>
        <w:pStyle w:val="COMTablefooter"/>
        <w:keepNext/>
        <w:keepLines/>
        <w:rPr>
          <w:rFonts w:eastAsiaTheme="minorHAnsi"/>
        </w:rPr>
      </w:pPr>
      <w:r w:rsidRPr="006D075E">
        <w:rPr>
          <w:rFonts w:eastAsiaTheme="minorHAnsi"/>
        </w:rPr>
        <w:t>Source: Table 2-17, p56 of the submission; Table 14.1.1.3, ECHO clinical study report tables and figures.</w:t>
      </w:r>
    </w:p>
    <w:p w14:paraId="51D87D68" w14:textId="23F0B542" w:rsidR="00A0461C" w:rsidRPr="006D075E" w:rsidRDefault="00A0461C" w:rsidP="00F034FD">
      <w:pPr>
        <w:pStyle w:val="COMTablefooter"/>
        <w:keepNext/>
        <w:keepLines/>
        <w:rPr>
          <w:rFonts w:eastAsiaTheme="minorHAnsi"/>
        </w:rPr>
      </w:pPr>
      <w:r w:rsidRPr="006D075E">
        <w:rPr>
          <w:rFonts w:eastAsiaTheme="minorHAnsi"/>
        </w:rPr>
        <w:t xml:space="preserve">Abbreviations; ABR, acalabrutinib, </w:t>
      </w:r>
      <w:proofErr w:type="spellStart"/>
      <w:r w:rsidRPr="006D075E">
        <w:rPr>
          <w:rFonts w:eastAsiaTheme="minorHAnsi"/>
        </w:rPr>
        <w:t>bendamustine</w:t>
      </w:r>
      <w:proofErr w:type="spellEnd"/>
      <w:r w:rsidRPr="006D075E">
        <w:rPr>
          <w:rFonts w:eastAsiaTheme="minorHAnsi"/>
        </w:rPr>
        <w:t xml:space="preserve">, rituximab; CI, confidence interval; HR, Hazard ratio; IRC, Independent Review Committee; NE, not estimable; PBR, placebo, </w:t>
      </w:r>
      <w:proofErr w:type="spellStart"/>
      <w:r w:rsidRPr="006D075E">
        <w:rPr>
          <w:rFonts w:eastAsiaTheme="minorHAnsi"/>
        </w:rPr>
        <w:t>bendamustine</w:t>
      </w:r>
      <w:proofErr w:type="spellEnd"/>
      <w:r w:rsidRPr="006D075E">
        <w:rPr>
          <w:rFonts w:eastAsiaTheme="minorHAnsi"/>
        </w:rPr>
        <w:t>, rituximab; PFS, progression free survival</w:t>
      </w:r>
    </w:p>
    <w:p w14:paraId="794FDFCF" w14:textId="77777777" w:rsidR="00A0461C" w:rsidRPr="006D075E" w:rsidRDefault="00A0461C" w:rsidP="00F034FD">
      <w:pPr>
        <w:pStyle w:val="COMTablefooter"/>
        <w:keepNext/>
        <w:keepLines/>
        <w:rPr>
          <w:rFonts w:eastAsiaTheme="minorHAnsi"/>
        </w:rPr>
      </w:pPr>
      <w:r w:rsidRPr="006D075E">
        <w:rPr>
          <w:rFonts w:eastAsiaTheme="minorHAnsi"/>
          <w:b/>
        </w:rPr>
        <w:t>Bold</w:t>
      </w:r>
      <w:r w:rsidRPr="006D075E">
        <w:rPr>
          <w:rFonts w:eastAsiaTheme="minorHAnsi"/>
        </w:rPr>
        <w:t xml:space="preserve"> indicates statistically significant results.</w:t>
      </w:r>
    </w:p>
    <w:p w14:paraId="084A1106" w14:textId="77777777" w:rsidR="00A0461C" w:rsidRPr="006D075E" w:rsidRDefault="00A0461C" w:rsidP="00F034FD">
      <w:pPr>
        <w:pStyle w:val="COMTablefooter"/>
        <w:keepNext/>
        <w:keepLines/>
        <w:rPr>
          <w:rFonts w:eastAsiaTheme="minorHAnsi"/>
        </w:rPr>
      </w:pPr>
      <w:proofErr w:type="gramStart"/>
      <w:r w:rsidRPr="006D075E">
        <w:rPr>
          <w:rFonts w:eastAsiaTheme="minorHAnsi"/>
          <w:vertAlign w:val="superscript"/>
        </w:rPr>
        <w:t>a</w:t>
      </w:r>
      <w:proofErr w:type="gramEnd"/>
      <w:r w:rsidRPr="006D075E">
        <w:rPr>
          <w:rFonts w:eastAsiaTheme="minorHAnsi"/>
          <w:vertAlign w:val="superscript"/>
        </w:rPr>
        <w:t xml:space="preserve"> </w:t>
      </w:r>
      <w:r w:rsidRPr="006D075E">
        <w:rPr>
          <w:rFonts w:eastAsiaTheme="minorHAnsi"/>
        </w:rPr>
        <w:t>Excluding patients with death related to COVID-19 and without progressive disease prior to death</w:t>
      </w:r>
    </w:p>
    <w:p w14:paraId="1C7BBA5F" w14:textId="77777777" w:rsidR="00A0461C" w:rsidRPr="006D075E" w:rsidRDefault="00A0461C" w:rsidP="00F034FD">
      <w:pPr>
        <w:pStyle w:val="COMTablefooter"/>
        <w:keepNext/>
        <w:keepLines/>
        <w:rPr>
          <w:rFonts w:eastAsiaTheme="minorHAnsi"/>
        </w:rPr>
      </w:pPr>
      <w:r w:rsidRPr="006D075E">
        <w:rPr>
          <w:rFonts w:eastAsiaTheme="minorHAnsi"/>
        </w:rPr>
        <w:t>Notes: Stratified by randomisation stratification factors: geographic region (North America, Western Europe, Other) and simplified MIPI score (low risk [0 to 3], intermediate risk [4 to 5], high risk [6 to 11])</w:t>
      </w:r>
    </w:p>
    <w:p w14:paraId="51A981E9" w14:textId="6C1DD245" w:rsidR="00A0461C" w:rsidRPr="006D075E" w:rsidRDefault="00A0461C" w:rsidP="00A0461C">
      <w:pPr>
        <w:pStyle w:val="COMtablefigcaption"/>
      </w:pPr>
      <w:bookmarkStart w:id="24" w:name="_Ref195802779"/>
      <w:r w:rsidRPr="006D075E">
        <w:t xml:space="preserve">Figure </w:t>
      </w:r>
      <w:r w:rsidR="00370FC7" w:rsidRPr="006D075E">
        <w:fldChar w:fldCharType="begin"/>
      </w:r>
      <w:r w:rsidR="00370FC7" w:rsidRPr="006D075E">
        <w:instrText xml:space="preserve"> SEQ Figure \* ARABIC </w:instrText>
      </w:r>
      <w:r w:rsidR="00370FC7" w:rsidRPr="006D075E">
        <w:fldChar w:fldCharType="separate"/>
      </w:r>
      <w:r w:rsidR="00A542E9">
        <w:rPr>
          <w:noProof/>
        </w:rPr>
        <w:t>1</w:t>
      </w:r>
      <w:r w:rsidR="00370FC7" w:rsidRPr="006D075E">
        <w:fldChar w:fldCharType="end"/>
      </w:r>
      <w:bookmarkEnd w:id="24"/>
      <w:r w:rsidRPr="006D075E">
        <w:t xml:space="preserve">: Kaplan-Meier curve for progression free survival by IRC assessment, full analysis set </w:t>
      </w:r>
    </w:p>
    <w:p w14:paraId="6EE9B8B5" w14:textId="538674A3" w:rsidR="00A0461C" w:rsidRPr="006D075E" w:rsidRDefault="00A0461C" w:rsidP="00A0461C">
      <w:pPr>
        <w:pStyle w:val="COMBody"/>
        <w:rPr>
          <w:rFonts w:eastAsiaTheme="minorHAnsi"/>
        </w:rPr>
      </w:pPr>
      <w:r w:rsidRPr="006D075E">
        <w:rPr>
          <w:rFonts w:eastAsiaTheme="minorHAnsi"/>
          <w:noProof/>
        </w:rPr>
        <w:drawing>
          <wp:inline distT="0" distB="0" distL="0" distR="0" wp14:anchorId="48C7F176" wp14:editId="1A9222A2">
            <wp:extent cx="5732145" cy="3170555"/>
            <wp:effectExtent l="0" t="0" r="1905" b="0"/>
            <wp:docPr id="216357384" name="Picture 216357384" descr="Kaplan-Meier curve for progression free survival by IRC assessment, full analysis 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57384" name="Picture 216357384" descr="Kaplan-Meier curve for progression free survival by IRC assessment, full analysis se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3170555"/>
                    </a:xfrm>
                    <a:prstGeom prst="rect">
                      <a:avLst/>
                    </a:prstGeom>
                    <a:noFill/>
                    <a:ln>
                      <a:noFill/>
                    </a:ln>
                  </pic:spPr>
                </pic:pic>
              </a:graphicData>
            </a:graphic>
          </wp:inline>
        </w:drawing>
      </w:r>
    </w:p>
    <w:p w14:paraId="175FFBA1" w14:textId="77777777" w:rsidR="00A0461C" w:rsidRPr="006D075E" w:rsidRDefault="00A0461C" w:rsidP="00A0461C">
      <w:pPr>
        <w:pStyle w:val="COMTablefooter"/>
        <w:rPr>
          <w:rFonts w:eastAsiaTheme="minorHAnsi"/>
        </w:rPr>
      </w:pPr>
      <w:r w:rsidRPr="006D075E">
        <w:rPr>
          <w:rFonts w:eastAsiaTheme="minorHAnsi"/>
        </w:rPr>
        <w:t>Source: Figure 2-5, p57 of the submission</w:t>
      </w:r>
    </w:p>
    <w:p w14:paraId="58451D56" w14:textId="77777777" w:rsidR="00A0461C" w:rsidRPr="006D075E" w:rsidRDefault="00A0461C" w:rsidP="00A0461C">
      <w:pPr>
        <w:pStyle w:val="COMTablefooter"/>
        <w:rPr>
          <w:rFonts w:eastAsiaTheme="minorHAnsi"/>
        </w:rPr>
      </w:pPr>
      <w:r w:rsidRPr="006D075E">
        <w:rPr>
          <w:rFonts w:eastAsiaTheme="minorHAnsi"/>
        </w:rPr>
        <w:t xml:space="preserve">Abbreviations: Acala, acalabrutinib; BR, </w:t>
      </w:r>
      <w:proofErr w:type="spellStart"/>
      <w:r w:rsidRPr="006D075E">
        <w:rPr>
          <w:rFonts w:eastAsiaTheme="minorHAnsi"/>
        </w:rPr>
        <w:t>bendamustine</w:t>
      </w:r>
      <w:proofErr w:type="spellEnd"/>
      <w:r w:rsidRPr="006D075E">
        <w:rPr>
          <w:rFonts w:eastAsiaTheme="minorHAnsi"/>
        </w:rPr>
        <w:t xml:space="preserve"> and rituximab; CI, confidence interval; HR, hazard ratio; IRC, Independent Review Committee</w:t>
      </w:r>
    </w:p>
    <w:p w14:paraId="6E8361E1" w14:textId="7C9F3602" w:rsidR="00A0461C" w:rsidRPr="006D075E" w:rsidRDefault="00A0461C" w:rsidP="00A0461C">
      <w:pPr>
        <w:pStyle w:val="COMtablefigcaption"/>
      </w:pPr>
      <w:bookmarkStart w:id="25" w:name="_Ref195802825"/>
      <w:r w:rsidRPr="006D075E">
        <w:lastRenderedPageBreak/>
        <w:t xml:space="preserve">Figure </w:t>
      </w:r>
      <w:r w:rsidR="00370FC7" w:rsidRPr="006D075E">
        <w:fldChar w:fldCharType="begin"/>
      </w:r>
      <w:r w:rsidR="00370FC7" w:rsidRPr="006D075E">
        <w:instrText xml:space="preserve"> SEQ Figure \* ARABIC </w:instrText>
      </w:r>
      <w:r w:rsidR="00370FC7" w:rsidRPr="006D075E">
        <w:fldChar w:fldCharType="separate"/>
      </w:r>
      <w:r w:rsidR="00A542E9">
        <w:rPr>
          <w:noProof/>
        </w:rPr>
        <w:t>2</w:t>
      </w:r>
      <w:r w:rsidR="00370FC7" w:rsidRPr="006D075E">
        <w:fldChar w:fldCharType="end"/>
      </w:r>
      <w:bookmarkEnd w:id="25"/>
      <w:r w:rsidRPr="006D075E">
        <w:t>: Kaplan-Meier curve for progression free survival by IRC assessment, COVID-19 analysis</w:t>
      </w:r>
    </w:p>
    <w:p w14:paraId="414ED552" w14:textId="6BBB57AC" w:rsidR="00A0461C" w:rsidRPr="006D075E" w:rsidRDefault="00A0461C" w:rsidP="00A0461C">
      <w:pPr>
        <w:pStyle w:val="COMBody"/>
        <w:rPr>
          <w:rFonts w:eastAsiaTheme="minorHAnsi"/>
        </w:rPr>
      </w:pPr>
      <w:r w:rsidRPr="006D075E">
        <w:rPr>
          <w:rFonts w:eastAsiaTheme="minorHAnsi"/>
          <w:noProof/>
        </w:rPr>
        <w:drawing>
          <wp:inline distT="0" distB="0" distL="0" distR="0" wp14:anchorId="39871901" wp14:editId="30538A04">
            <wp:extent cx="5732145" cy="3180080"/>
            <wp:effectExtent l="0" t="0" r="1905" b="1270"/>
            <wp:docPr id="1564241482" name="Picture 1564241482" descr="Kaplan-Meier curve for progression free survival by IRC assessment, COVID-19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241482" name="Picture 1564241482" descr="Kaplan-Meier curve for progression free survival by IRC assessment, COVID-19 analys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3180080"/>
                    </a:xfrm>
                    <a:prstGeom prst="rect">
                      <a:avLst/>
                    </a:prstGeom>
                    <a:noFill/>
                    <a:ln>
                      <a:noFill/>
                    </a:ln>
                  </pic:spPr>
                </pic:pic>
              </a:graphicData>
            </a:graphic>
          </wp:inline>
        </w:drawing>
      </w:r>
    </w:p>
    <w:p w14:paraId="085A89E0" w14:textId="77777777" w:rsidR="00A0461C" w:rsidRPr="006D075E" w:rsidRDefault="00A0461C" w:rsidP="00A0461C">
      <w:pPr>
        <w:pStyle w:val="COMTablefooter"/>
        <w:rPr>
          <w:rFonts w:eastAsiaTheme="minorHAnsi"/>
        </w:rPr>
      </w:pPr>
      <w:r w:rsidRPr="006D075E">
        <w:rPr>
          <w:rFonts w:eastAsiaTheme="minorHAnsi"/>
        </w:rPr>
        <w:t>Source: Figure 2-4, p57 of the submission</w:t>
      </w:r>
    </w:p>
    <w:p w14:paraId="14681D1C" w14:textId="77777777" w:rsidR="00A0461C" w:rsidRPr="006D075E" w:rsidRDefault="00A0461C" w:rsidP="00A0461C">
      <w:pPr>
        <w:pStyle w:val="COMTablefooter"/>
        <w:rPr>
          <w:rFonts w:eastAsiaTheme="minorHAnsi"/>
        </w:rPr>
      </w:pPr>
      <w:r w:rsidRPr="006D075E">
        <w:rPr>
          <w:rFonts w:eastAsiaTheme="minorHAnsi"/>
        </w:rPr>
        <w:t xml:space="preserve">Abbreviations: Acala, acalabrutinib; BR, </w:t>
      </w:r>
      <w:proofErr w:type="spellStart"/>
      <w:r w:rsidRPr="006D075E">
        <w:rPr>
          <w:rFonts w:eastAsiaTheme="minorHAnsi"/>
        </w:rPr>
        <w:t>bendamustine</w:t>
      </w:r>
      <w:proofErr w:type="spellEnd"/>
      <w:r w:rsidRPr="006D075E">
        <w:rPr>
          <w:rFonts w:eastAsiaTheme="minorHAnsi"/>
        </w:rPr>
        <w:t xml:space="preserve"> and rituximab; CI, confidence interval; HR, hazard ratio; IRC, Independent Review Committee</w:t>
      </w:r>
    </w:p>
    <w:p w14:paraId="2D68685A" w14:textId="004D1821" w:rsidR="00A72135" w:rsidRPr="006D075E" w:rsidRDefault="00A72135" w:rsidP="00EC5836">
      <w:pPr>
        <w:pStyle w:val="COMexecsummnumbered"/>
        <w:rPr>
          <w:color w:val="0066FF"/>
        </w:rPr>
      </w:pPr>
      <w:bookmarkStart w:id="26" w:name="_Toc107902078"/>
      <w:bookmarkStart w:id="27" w:name="_Ref201254597"/>
      <w:bookmarkEnd w:id="26"/>
      <w:r w:rsidRPr="006D075E">
        <w:t xml:space="preserve">Based on a median follow up of 46.1 months in the acalabrutinib arm and 44.4 months in the placebo arm and using the full analysis set, patients in the acalabrutinib arm demonstrated statistically significantly longer median progression free survival (66.4 months) compared to the placebo arm (49.6 months; HR 0.73, 95% CI 0.57, 0.94). In the COVID-19 censored analysis, a similar statistically significant difference between treatment arms was observed, with median progression free survival not reached in the acalabrutinib arm, compared to 61.6 months in the placebo arm (HR 0.64, 95% CI 0.4, 0.84). The submission argued that these results highlight the impact of deaths due to COVID-19 on the study outcomes. </w:t>
      </w:r>
      <w:r w:rsidR="00D07BAA">
        <w:t xml:space="preserve">As discussed in </w:t>
      </w:r>
      <w:r w:rsidR="00B611C1">
        <w:t xml:space="preserve">paragraph </w:t>
      </w:r>
      <w:r w:rsidR="00B611C1">
        <w:fldChar w:fldCharType="begin"/>
      </w:r>
      <w:r w:rsidR="00B611C1">
        <w:instrText xml:space="preserve"> REF _Ref204083098 \r \h </w:instrText>
      </w:r>
      <w:r w:rsidR="00B611C1">
        <w:fldChar w:fldCharType="separate"/>
      </w:r>
      <w:r w:rsidR="00A542E9">
        <w:t>6.13</w:t>
      </w:r>
      <w:r w:rsidR="00B611C1">
        <w:fldChar w:fldCharType="end"/>
      </w:r>
      <w:r w:rsidR="00B611C1">
        <w:t xml:space="preserve">, </w:t>
      </w:r>
      <w:r w:rsidR="00F71132">
        <w:t>t</w:t>
      </w:r>
      <w:r w:rsidR="007E3778" w:rsidRPr="006D075E">
        <w:t xml:space="preserve">he </w:t>
      </w:r>
      <w:r w:rsidR="0004359A" w:rsidRPr="006D075E">
        <w:t xml:space="preserve">ESC noted the uncertainty of the censored </w:t>
      </w:r>
      <w:proofErr w:type="gramStart"/>
      <w:r w:rsidR="0004359A" w:rsidRPr="006D075E">
        <w:t>data</w:t>
      </w:r>
      <w:r w:rsidR="00923F7B" w:rsidRPr="006D075E">
        <w:t>,</w:t>
      </w:r>
      <w:r w:rsidR="0004359A" w:rsidRPr="006D075E">
        <w:t xml:space="preserve"> </w:t>
      </w:r>
      <w:r w:rsidR="00F71132">
        <w:t>and</w:t>
      </w:r>
      <w:proofErr w:type="gramEnd"/>
      <w:r w:rsidR="00F71132" w:rsidRPr="006D075E">
        <w:t xml:space="preserve"> </w:t>
      </w:r>
      <w:r w:rsidR="0004359A" w:rsidRPr="006D075E">
        <w:t xml:space="preserve">considered that the </w:t>
      </w:r>
      <w:r w:rsidR="00394103" w:rsidRPr="006D075E">
        <w:t>data in</w:t>
      </w:r>
      <w:r w:rsidR="0004359A" w:rsidRPr="006D075E">
        <w:t xml:space="preserve"> the full </w:t>
      </w:r>
      <w:r w:rsidR="00394103" w:rsidRPr="006D075E">
        <w:t xml:space="preserve">analysis </w:t>
      </w:r>
      <w:r w:rsidR="000554A1" w:rsidRPr="006D075E">
        <w:t>set was</w:t>
      </w:r>
      <w:r w:rsidR="0004359A" w:rsidRPr="006D075E">
        <w:t xml:space="preserve"> a </w:t>
      </w:r>
      <w:r w:rsidR="00130D91">
        <w:t xml:space="preserve">more </w:t>
      </w:r>
      <w:r w:rsidR="0004359A" w:rsidRPr="006D075E">
        <w:t>reasonable representation of outcomes in clinical practice.</w:t>
      </w:r>
      <w:bookmarkEnd w:id="27"/>
    </w:p>
    <w:p w14:paraId="755BC149" w14:textId="4A1A35B3" w:rsidR="004A414C" w:rsidRPr="006D075E" w:rsidRDefault="004A414C" w:rsidP="003A3122">
      <w:pPr>
        <w:pStyle w:val="COMexecsummnumbered"/>
      </w:pPr>
      <w:r w:rsidRPr="006D075E">
        <w:t>The results of the subgroup analyses suggested that sex may be a treatment effect modifier</w:t>
      </w:r>
      <w:r w:rsidR="006334BB" w:rsidRPr="006D075E">
        <w:t>,</w:t>
      </w:r>
      <w:r w:rsidRPr="006D075E">
        <w:t xml:space="preserve"> </w:t>
      </w:r>
      <w:r w:rsidR="00220215" w:rsidRPr="006D075E">
        <w:t>with a smaller treatment effect on progression free survival observed in males compared to females</w:t>
      </w:r>
      <w:r w:rsidRPr="006D075E">
        <w:t xml:space="preserve"> (males HR: 0.91; 95% CI 0.68, 1.21; females HR: 0.34; 95% CI 0.19, 0.58). In addition, the submission noted a trend towards a greater treatment effect on progression free survival in patients vaccinated against COVID-19 (HR: 0.54; 95% CI 0.35, 0.83) compared with those not vaccinated (HR: 0.95; 95% CI 0.61, 1.49; vaccination status collected when feasible). The estimated treatment effect for other subgroups generally appear</w:t>
      </w:r>
      <w:r w:rsidR="00513F2C">
        <w:t>s</w:t>
      </w:r>
      <w:r w:rsidRPr="006D075E">
        <w:t xml:space="preserve"> consistent with the main analysis. However, </w:t>
      </w:r>
      <w:r w:rsidR="00B36470" w:rsidRPr="006D075E">
        <w:t xml:space="preserve">the </w:t>
      </w:r>
      <w:r w:rsidR="00E85F65" w:rsidRPr="006D075E">
        <w:t xml:space="preserve">evaluation considered that </w:t>
      </w:r>
      <w:r w:rsidRPr="006D075E">
        <w:t>the subgroup analyses should be interpreted with caution as statistical interaction testing was not conducted and the analyses may have been underpowered to detect relevant differences between subgroup populations.</w:t>
      </w:r>
    </w:p>
    <w:p w14:paraId="24AEBF47" w14:textId="1E0270BE" w:rsidR="0001346B" w:rsidRPr="006D075E" w:rsidRDefault="0001346B" w:rsidP="00EC5836">
      <w:pPr>
        <w:pStyle w:val="COMexecsummnumbered"/>
        <w:rPr>
          <w:color w:val="0066FF"/>
        </w:rPr>
      </w:pPr>
      <w:r w:rsidRPr="006D075E">
        <w:lastRenderedPageBreak/>
        <w:t>Results for the key secondary endpoint of overall survival in both the full analysis set and for the analysis censoring for COVID-19 related deaths</w:t>
      </w:r>
      <w:r w:rsidRPr="006D075E">
        <w:rPr>
          <w:rStyle w:val="CommentReference"/>
        </w:rPr>
        <w:t xml:space="preserve"> </w:t>
      </w:r>
      <w:r w:rsidRPr="006D075E">
        <w:t xml:space="preserve">are summarised in </w:t>
      </w:r>
      <w:r w:rsidR="00370FC7" w:rsidRPr="006D075E">
        <w:fldChar w:fldCharType="begin"/>
      </w:r>
      <w:r w:rsidR="00370FC7" w:rsidRPr="006D075E">
        <w:instrText xml:space="preserve"> REF _Ref195885156 </w:instrText>
      </w:r>
      <w:r w:rsidR="00B10B80" w:rsidRPr="006D075E">
        <w:instrText xml:space="preserve"> \* MERGEFORMAT </w:instrText>
      </w:r>
      <w:r w:rsidR="00370FC7" w:rsidRPr="006D075E">
        <w:fldChar w:fldCharType="separate"/>
      </w:r>
      <w:r w:rsidR="00A542E9" w:rsidRPr="006D075E">
        <w:t xml:space="preserve">Table </w:t>
      </w:r>
      <w:r w:rsidR="00A542E9">
        <w:t>5</w:t>
      </w:r>
      <w:r w:rsidR="00370FC7" w:rsidRPr="006D075E">
        <w:fldChar w:fldCharType="end"/>
      </w:r>
      <w:r w:rsidR="00022D18" w:rsidRPr="006D075E">
        <w:t>.</w:t>
      </w:r>
    </w:p>
    <w:p w14:paraId="20D671A1" w14:textId="38A0832F" w:rsidR="0001346B" w:rsidRPr="006D075E" w:rsidRDefault="0001346B" w:rsidP="00B93608">
      <w:pPr>
        <w:pStyle w:val="COMtablefigcaption"/>
        <w:keepLines/>
      </w:pPr>
      <w:bookmarkStart w:id="28" w:name="_Ref195885156"/>
      <w:r w:rsidRPr="006D075E">
        <w:t xml:space="preserve">Table </w:t>
      </w:r>
      <w:r w:rsidR="00370FC7" w:rsidRPr="006D075E">
        <w:fldChar w:fldCharType="begin"/>
      </w:r>
      <w:r w:rsidR="00370FC7" w:rsidRPr="006D075E">
        <w:instrText xml:space="preserve"> SEQ Table \* ARABIC </w:instrText>
      </w:r>
      <w:r w:rsidR="00370FC7" w:rsidRPr="006D075E">
        <w:fldChar w:fldCharType="separate"/>
      </w:r>
      <w:r w:rsidR="00A542E9">
        <w:rPr>
          <w:noProof/>
        </w:rPr>
        <w:t>5</w:t>
      </w:r>
      <w:r w:rsidR="00370FC7" w:rsidRPr="006D075E">
        <w:fldChar w:fldCharType="end"/>
      </w:r>
      <w:bookmarkEnd w:id="28"/>
      <w:r w:rsidRPr="006D075E">
        <w:t xml:space="preserve">: Overall survival by IRC assessment, full analysis set and censoring for COVID-19 related deaths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verall survival by IRC assessment, full analysis set and censoring for COVID-19 related deaths "/>
      </w:tblPr>
      <w:tblGrid>
        <w:gridCol w:w="2688"/>
        <w:gridCol w:w="1559"/>
        <w:gridCol w:w="1559"/>
        <w:gridCol w:w="1557"/>
        <w:gridCol w:w="1605"/>
      </w:tblGrid>
      <w:tr w:rsidR="0001346B" w:rsidRPr="006D075E" w14:paraId="1BD8BF5C" w14:textId="77777777">
        <w:trPr>
          <w:tblHeader/>
        </w:trPr>
        <w:tc>
          <w:tcPr>
            <w:tcW w:w="1499" w:type="pct"/>
            <w:vMerge w:val="restart"/>
            <w:vAlign w:val="center"/>
          </w:tcPr>
          <w:p w14:paraId="5DD1EF59" w14:textId="77777777" w:rsidR="0001346B" w:rsidRPr="006D075E" w:rsidRDefault="0001346B" w:rsidP="00B93608">
            <w:pPr>
              <w:pStyle w:val="COMTableheadingrow"/>
              <w:keepLines/>
              <w:rPr>
                <w:lang w:val="en-AU"/>
              </w:rPr>
            </w:pPr>
          </w:p>
        </w:tc>
        <w:tc>
          <w:tcPr>
            <w:tcW w:w="1738" w:type="pct"/>
            <w:gridSpan w:val="2"/>
            <w:vAlign w:val="center"/>
          </w:tcPr>
          <w:p w14:paraId="59D81C92" w14:textId="77777777" w:rsidR="0001346B" w:rsidRPr="006D075E" w:rsidRDefault="0001346B" w:rsidP="00B93608">
            <w:pPr>
              <w:pStyle w:val="COMTableheadingrow"/>
              <w:keepLines/>
              <w:jc w:val="center"/>
              <w:rPr>
                <w:lang w:val="en-AU"/>
              </w:rPr>
            </w:pPr>
            <w:r w:rsidRPr="006D075E">
              <w:rPr>
                <w:lang w:val="en-AU"/>
              </w:rPr>
              <w:t>Full analysis set</w:t>
            </w:r>
          </w:p>
        </w:tc>
        <w:tc>
          <w:tcPr>
            <w:tcW w:w="1762" w:type="pct"/>
            <w:gridSpan w:val="2"/>
            <w:vAlign w:val="center"/>
          </w:tcPr>
          <w:p w14:paraId="52CCF4D0" w14:textId="77777777" w:rsidR="0001346B" w:rsidRPr="006D075E" w:rsidRDefault="0001346B" w:rsidP="00B93608">
            <w:pPr>
              <w:pStyle w:val="COMTableheadingrow"/>
              <w:keepLines/>
              <w:jc w:val="center"/>
              <w:rPr>
                <w:vertAlign w:val="superscript"/>
                <w:lang w:val="en-AU"/>
              </w:rPr>
            </w:pPr>
            <w:r w:rsidRPr="006D075E">
              <w:rPr>
                <w:lang w:val="en-AU"/>
              </w:rPr>
              <w:t xml:space="preserve">COVID-19 analysis </w:t>
            </w:r>
            <w:r w:rsidRPr="006D075E">
              <w:rPr>
                <w:vertAlign w:val="superscript"/>
                <w:lang w:val="en-AU"/>
              </w:rPr>
              <w:t>a</w:t>
            </w:r>
          </w:p>
        </w:tc>
      </w:tr>
      <w:tr w:rsidR="0001346B" w:rsidRPr="006D075E" w14:paraId="053A69E3" w14:textId="77777777">
        <w:trPr>
          <w:tblHeader/>
        </w:trPr>
        <w:tc>
          <w:tcPr>
            <w:tcW w:w="1499" w:type="pct"/>
            <w:vMerge/>
            <w:vAlign w:val="center"/>
          </w:tcPr>
          <w:p w14:paraId="6531E032" w14:textId="77777777" w:rsidR="0001346B" w:rsidRPr="006D075E" w:rsidRDefault="0001346B" w:rsidP="00B93608">
            <w:pPr>
              <w:pStyle w:val="COMTableheadingrow"/>
              <w:keepLines/>
              <w:rPr>
                <w:lang w:val="en-AU"/>
              </w:rPr>
            </w:pPr>
          </w:p>
        </w:tc>
        <w:tc>
          <w:tcPr>
            <w:tcW w:w="869" w:type="pct"/>
            <w:vAlign w:val="center"/>
          </w:tcPr>
          <w:p w14:paraId="4572CBB6" w14:textId="77777777" w:rsidR="0001346B" w:rsidRPr="006D075E" w:rsidRDefault="0001346B" w:rsidP="00B93608">
            <w:pPr>
              <w:pStyle w:val="COMTableheadingrow"/>
              <w:keepLines/>
              <w:jc w:val="center"/>
              <w:rPr>
                <w:lang w:val="en-AU"/>
              </w:rPr>
            </w:pPr>
            <w:r w:rsidRPr="006D075E">
              <w:rPr>
                <w:lang w:val="en-AU"/>
              </w:rPr>
              <w:t>ABR</w:t>
            </w:r>
          </w:p>
          <w:p w14:paraId="5FFDCE05" w14:textId="77777777" w:rsidR="0001346B" w:rsidRPr="006D075E" w:rsidRDefault="0001346B" w:rsidP="00B93608">
            <w:pPr>
              <w:pStyle w:val="COMTableheadingrow"/>
              <w:keepLines/>
              <w:jc w:val="center"/>
              <w:rPr>
                <w:lang w:val="en-AU"/>
              </w:rPr>
            </w:pPr>
            <w:r w:rsidRPr="006D075E">
              <w:rPr>
                <w:lang w:val="en-AU"/>
              </w:rPr>
              <w:t>(N = 299)</w:t>
            </w:r>
          </w:p>
        </w:tc>
        <w:tc>
          <w:tcPr>
            <w:tcW w:w="869" w:type="pct"/>
            <w:vAlign w:val="center"/>
          </w:tcPr>
          <w:p w14:paraId="26D58BE8" w14:textId="77777777" w:rsidR="0001346B" w:rsidRPr="006D075E" w:rsidRDefault="0001346B" w:rsidP="00B93608">
            <w:pPr>
              <w:pStyle w:val="COMTableheadingrow"/>
              <w:keepLines/>
              <w:jc w:val="center"/>
              <w:rPr>
                <w:lang w:val="en-AU"/>
              </w:rPr>
            </w:pPr>
            <w:r w:rsidRPr="006D075E">
              <w:rPr>
                <w:lang w:val="en-AU"/>
              </w:rPr>
              <w:t>PBR</w:t>
            </w:r>
          </w:p>
          <w:p w14:paraId="696500F2" w14:textId="77777777" w:rsidR="0001346B" w:rsidRPr="006D075E" w:rsidRDefault="0001346B" w:rsidP="00B93608">
            <w:pPr>
              <w:pStyle w:val="COMTableheadingrow"/>
              <w:keepLines/>
              <w:jc w:val="center"/>
              <w:rPr>
                <w:lang w:val="en-AU"/>
              </w:rPr>
            </w:pPr>
            <w:r w:rsidRPr="006D075E">
              <w:rPr>
                <w:lang w:val="en-AU"/>
              </w:rPr>
              <w:t>(N = 299)</w:t>
            </w:r>
          </w:p>
        </w:tc>
        <w:tc>
          <w:tcPr>
            <w:tcW w:w="868" w:type="pct"/>
            <w:vAlign w:val="center"/>
          </w:tcPr>
          <w:p w14:paraId="62E2308F" w14:textId="77777777" w:rsidR="0001346B" w:rsidRPr="006D075E" w:rsidRDefault="0001346B" w:rsidP="00B93608">
            <w:pPr>
              <w:pStyle w:val="COMTableheadingrow"/>
              <w:keepLines/>
              <w:jc w:val="center"/>
              <w:rPr>
                <w:lang w:val="en-AU"/>
              </w:rPr>
            </w:pPr>
            <w:r w:rsidRPr="006D075E">
              <w:rPr>
                <w:lang w:val="en-AU"/>
              </w:rPr>
              <w:t>ABR</w:t>
            </w:r>
          </w:p>
          <w:p w14:paraId="1A6DC654" w14:textId="77777777" w:rsidR="0001346B" w:rsidRPr="006D075E" w:rsidRDefault="0001346B" w:rsidP="00B93608">
            <w:pPr>
              <w:pStyle w:val="COMTableheadingrow"/>
              <w:keepLines/>
              <w:jc w:val="center"/>
              <w:rPr>
                <w:lang w:val="en-AU"/>
              </w:rPr>
            </w:pPr>
            <w:r w:rsidRPr="006D075E">
              <w:rPr>
                <w:lang w:val="en-AU"/>
              </w:rPr>
              <w:t>(N = 299)</w:t>
            </w:r>
          </w:p>
        </w:tc>
        <w:tc>
          <w:tcPr>
            <w:tcW w:w="895" w:type="pct"/>
            <w:vAlign w:val="center"/>
          </w:tcPr>
          <w:p w14:paraId="005E38F8" w14:textId="77777777" w:rsidR="0001346B" w:rsidRPr="006D075E" w:rsidRDefault="0001346B" w:rsidP="00B93608">
            <w:pPr>
              <w:pStyle w:val="COMTableheadingrow"/>
              <w:keepLines/>
              <w:jc w:val="center"/>
              <w:rPr>
                <w:lang w:val="en-AU"/>
              </w:rPr>
            </w:pPr>
            <w:r w:rsidRPr="006D075E">
              <w:rPr>
                <w:lang w:val="en-AU"/>
              </w:rPr>
              <w:t>PBR</w:t>
            </w:r>
          </w:p>
          <w:p w14:paraId="39BC3B44" w14:textId="77777777" w:rsidR="0001346B" w:rsidRPr="006D075E" w:rsidRDefault="0001346B" w:rsidP="00B93608">
            <w:pPr>
              <w:pStyle w:val="COMTableheadingrow"/>
              <w:keepLines/>
              <w:jc w:val="center"/>
              <w:rPr>
                <w:lang w:val="en-AU"/>
              </w:rPr>
            </w:pPr>
            <w:r w:rsidRPr="006D075E">
              <w:rPr>
                <w:lang w:val="en-AU"/>
              </w:rPr>
              <w:t>(N = 299)</w:t>
            </w:r>
          </w:p>
        </w:tc>
      </w:tr>
      <w:tr w:rsidR="0001346B" w:rsidRPr="006D075E" w14:paraId="59888E9D" w14:textId="77777777">
        <w:tc>
          <w:tcPr>
            <w:tcW w:w="1499" w:type="pct"/>
            <w:vAlign w:val="center"/>
          </w:tcPr>
          <w:p w14:paraId="2CFCE496" w14:textId="77777777" w:rsidR="0001346B" w:rsidRPr="006D075E" w:rsidRDefault="0001346B" w:rsidP="00B93608">
            <w:pPr>
              <w:pStyle w:val="COMTabletext"/>
              <w:keepLines/>
            </w:pPr>
            <w:r w:rsidRPr="006D075E">
              <w:t>Median follow up, months (range)</w:t>
            </w:r>
          </w:p>
        </w:tc>
        <w:tc>
          <w:tcPr>
            <w:tcW w:w="869" w:type="pct"/>
            <w:vAlign w:val="center"/>
          </w:tcPr>
          <w:p w14:paraId="7CDA0E07" w14:textId="77777777" w:rsidR="0001346B" w:rsidRPr="006D075E" w:rsidRDefault="0001346B" w:rsidP="00B93608">
            <w:pPr>
              <w:pStyle w:val="COMTabletext"/>
              <w:keepLines/>
              <w:jc w:val="center"/>
            </w:pPr>
            <w:r w:rsidRPr="006D075E">
              <w:t>46.1 (0.03, 80.10)</w:t>
            </w:r>
          </w:p>
        </w:tc>
        <w:tc>
          <w:tcPr>
            <w:tcW w:w="869" w:type="pct"/>
            <w:vAlign w:val="center"/>
          </w:tcPr>
          <w:p w14:paraId="545923F1" w14:textId="77777777" w:rsidR="0001346B" w:rsidRPr="006D075E" w:rsidRDefault="0001346B" w:rsidP="00B93608">
            <w:pPr>
              <w:pStyle w:val="COMTabletext"/>
              <w:keepLines/>
              <w:jc w:val="center"/>
            </w:pPr>
            <w:r w:rsidRPr="006D075E">
              <w:t>44.4 (0.03, 81.31)</w:t>
            </w:r>
          </w:p>
        </w:tc>
        <w:tc>
          <w:tcPr>
            <w:tcW w:w="868" w:type="pct"/>
          </w:tcPr>
          <w:p w14:paraId="7AC4C910" w14:textId="77777777" w:rsidR="0001346B" w:rsidRPr="006D075E" w:rsidRDefault="0001346B" w:rsidP="00B93608">
            <w:pPr>
              <w:pStyle w:val="COMTabletext"/>
              <w:keepLines/>
              <w:jc w:val="center"/>
            </w:pPr>
            <w:r w:rsidRPr="006D075E">
              <w:t>NR</w:t>
            </w:r>
          </w:p>
        </w:tc>
        <w:tc>
          <w:tcPr>
            <w:tcW w:w="895" w:type="pct"/>
          </w:tcPr>
          <w:p w14:paraId="6A6255F5" w14:textId="77777777" w:rsidR="0001346B" w:rsidRPr="006D075E" w:rsidRDefault="0001346B" w:rsidP="00B93608">
            <w:pPr>
              <w:pStyle w:val="COMTabletext"/>
              <w:keepLines/>
              <w:jc w:val="center"/>
            </w:pPr>
            <w:r w:rsidRPr="006D075E">
              <w:t>NR</w:t>
            </w:r>
          </w:p>
        </w:tc>
      </w:tr>
      <w:tr w:rsidR="0001346B" w:rsidRPr="006D075E" w14:paraId="2AFDE1CD" w14:textId="77777777">
        <w:tc>
          <w:tcPr>
            <w:tcW w:w="1499" w:type="pct"/>
            <w:vAlign w:val="center"/>
          </w:tcPr>
          <w:p w14:paraId="66D40B7A" w14:textId="77777777" w:rsidR="0001346B" w:rsidRPr="006D075E" w:rsidRDefault="0001346B" w:rsidP="00B93608">
            <w:pPr>
              <w:pStyle w:val="COMTabletext"/>
              <w:keepLines/>
            </w:pPr>
            <w:r w:rsidRPr="006D075E">
              <w:t>Events, n (%)</w:t>
            </w:r>
          </w:p>
        </w:tc>
        <w:tc>
          <w:tcPr>
            <w:tcW w:w="869" w:type="pct"/>
            <w:vAlign w:val="center"/>
          </w:tcPr>
          <w:p w14:paraId="6FC93D7B" w14:textId="77777777" w:rsidR="0001346B" w:rsidRPr="006D075E" w:rsidRDefault="0001346B" w:rsidP="00B93608">
            <w:pPr>
              <w:pStyle w:val="COMTabletext"/>
              <w:keepLines/>
              <w:jc w:val="center"/>
            </w:pPr>
          </w:p>
        </w:tc>
        <w:tc>
          <w:tcPr>
            <w:tcW w:w="869" w:type="pct"/>
            <w:vAlign w:val="center"/>
          </w:tcPr>
          <w:p w14:paraId="164882AF" w14:textId="77777777" w:rsidR="0001346B" w:rsidRPr="006D075E" w:rsidRDefault="0001346B" w:rsidP="00B93608">
            <w:pPr>
              <w:pStyle w:val="COMTabletext"/>
              <w:keepLines/>
              <w:jc w:val="center"/>
            </w:pPr>
          </w:p>
        </w:tc>
        <w:tc>
          <w:tcPr>
            <w:tcW w:w="868" w:type="pct"/>
          </w:tcPr>
          <w:p w14:paraId="76CA35BC" w14:textId="77777777" w:rsidR="0001346B" w:rsidRPr="006D075E" w:rsidRDefault="0001346B" w:rsidP="00B93608">
            <w:pPr>
              <w:pStyle w:val="COMTabletext"/>
              <w:keepLines/>
              <w:jc w:val="center"/>
            </w:pPr>
          </w:p>
        </w:tc>
        <w:tc>
          <w:tcPr>
            <w:tcW w:w="895" w:type="pct"/>
          </w:tcPr>
          <w:p w14:paraId="467C560C" w14:textId="77777777" w:rsidR="0001346B" w:rsidRPr="006D075E" w:rsidRDefault="0001346B" w:rsidP="00B93608">
            <w:pPr>
              <w:pStyle w:val="COMTabletext"/>
              <w:keepLines/>
              <w:jc w:val="center"/>
            </w:pPr>
          </w:p>
        </w:tc>
      </w:tr>
      <w:tr w:rsidR="0001346B" w:rsidRPr="006D075E" w14:paraId="79A7F877" w14:textId="77777777">
        <w:tc>
          <w:tcPr>
            <w:tcW w:w="1499" w:type="pct"/>
            <w:vAlign w:val="center"/>
          </w:tcPr>
          <w:p w14:paraId="68CC4E56" w14:textId="77777777" w:rsidR="0001346B" w:rsidRPr="006D075E" w:rsidRDefault="0001346B" w:rsidP="00B93608">
            <w:pPr>
              <w:pStyle w:val="COMTabletext"/>
              <w:keepLines/>
              <w:ind w:firstLine="172"/>
            </w:pPr>
            <w:r w:rsidRPr="006D075E">
              <w:t>Death (all-cause)</w:t>
            </w:r>
          </w:p>
        </w:tc>
        <w:tc>
          <w:tcPr>
            <w:tcW w:w="869" w:type="pct"/>
            <w:vAlign w:val="center"/>
          </w:tcPr>
          <w:p w14:paraId="00E6236B" w14:textId="77777777" w:rsidR="0001346B" w:rsidRPr="006D075E" w:rsidRDefault="0001346B" w:rsidP="00B93608">
            <w:pPr>
              <w:pStyle w:val="COMTabletext"/>
              <w:keepLines/>
              <w:jc w:val="center"/>
            </w:pPr>
            <w:r w:rsidRPr="006D075E">
              <w:t>97 (32.4)</w:t>
            </w:r>
          </w:p>
        </w:tc>
        <w:tc>
          <w:tcPr>
            <w:tcW w:w="869" w:type="pct"/>
            <w:vAlign w:val="center"/>
          </w:tcPr>
          <w:p w14:paraId="17E9821C" w14:textId="77777777" w:rsidR="0001346B" w:rsidRPr="006D075E" w:rsidRDefault="0001346B" w:rsidP="00B93608">
            <w:pPr>
              <w:pStyle w:val="COMTabletext"/>
              <w:keepLines/>
              <w:jc w:val="center"/>
            </w:pPr>
            <w:r w:rsidRPr="006D075E">
              <w:t>106 (35.5)</w:t>
            </w:r>
          </w:p>
        </w:tc>
        <w:tc>
          <w:tcPr>
            <w:tcW w:w="868" w:type="pct"/>
          </w:tcPr>
          <w:p w14:paraId="74313586" w14:textId="77777777" w:rsidR="0001346B" w:rsidRPr="006D075E" w:rsidRDefault="0001346B" w:rsidP="00B93608">
            <w:pPr>
              <w:pStyle w:val="COMTabletext"/>
              <w:keepLines/>
              <w:jc w:val="center"/>
            </w:pPr>
            <w:r w:rsidRPr="006D075E">
              <w:t>64 (21.4)</w:t>
            </w:r>
          </w:p>
        </w:tc>
        <w:tc>
          <w:tcPr>
            <w:tcW w:w="895" w:type="pct"/>
          </w:tcPr>
          <w:p w14:paraId="1EDF5AB8" w14:textId="77777777" w:rsidR="0001346B" w:rsidRPr="006D075E" w:rsidRDefault="0001346B" w:rsidP="00B93608">
            <w:pPr>
              <w:pStyle w:val="COMTabletext"/>
              <w:keepLines/>
              <w:jc w:val="center"/>
            </w:pPr>
            <w:r w:rsidRPr="006D075E">
              <w:t>80 (26.8)</w:t>
            </w:r>
          </w:p>
        </w:tc>
      </w:tr>
      <w:tr w:rsidR="0001346B" w:rsidRPr="006D075E" w14:paraId="57C34882" w14:textId="77777777">
        <w:tc>
          <w:tcPr>
            <w:tcW w:w="1499" w:type="pct"/>
            <w:vAlign w:val="center"/>
          </w:tcPr>
          <w:p w14:paraId="3BF3F334" w14:textId="77777777" w:rsidR="0001346B" w:rsidRPr="006D075E" w:rsidRDefault="0001346B" w:rsidP="00B93608">
            <w:pPr>
              <w:pStyle w:val="COMTabletext"/>
              <w:keepLines/>
              <w:ind w:firstLine="172"/>
            </w:pPr>
            <w:r w:rsidRPr="006D075E">
              <w:t>Deaths from COVID-19</w:t>
            </w:r>
          </w:p>
        </w:tc>
        <w:tc>
          <w:tcPr>
            <w:tcW w:w="869" w:type="pct"/>
            <w:vAlign w:val="center"/>
          </w:tcPr>
          <w:p w14:paraId="18C5E30A" w14:textId="77777777" w:rsidR="0001346B" w:rsidRPr="006D075E" w:rsidRDefault="0001346B" w:rsidP="00B93608">
            <w:pPr>
              <w:pStyle w:val="COMTabletext"/>
              <w:keepLines/>
              <w:jc w:val="center"/>
            </w:pPr>
            <w:r w:rsidRPr="006D075E">
              <w:t>NA</w:t>
            </w:r>
          </w:p>
        </w:tc>
        <w:tc>
          <w:tcPr>
            <w:tcW w:w="869" w:type="pct"/>
            <w:vAlign w:val="center"/>
          </w:tcPr>
          <w:p w14:paraId="7AA3C59B" w14:textId="77777777" w:rsidR="0001346B" w:rsidRPr="006D075E" w:rsidRDefault="0001346B" w:rsidP="00B93608">
            <w:pPr>
              <w:pStyle w:val="COMTabletext"/>
              <w:keepLines/>
              <w:jc w:val="center"/>
            </w:pPr>
            <w:r w:rsidRPr="006D075E">
              <w:t>NA</w:t>
            </w:r>
          </w:p>
        </w:tc>
        <w:tc>
          <w:tcPr>
            <w:tcW w:w="868" w:type="pct"/>
          </w:tcPr>
          <w:p w14:paraId="77E0B661" w14:textId="77777777" w:rsidR="0001346B" w:rsidRPr="006D075E" w:rsidRDefault="0001346B" w:rsidP="00B93608">
            <w:pPr>
              <w:pStyle w:val="COMTabletext"/>
              <w:keepLines/>
              <w:jc w:val="center"/>
            </w:pPr>
            <w:r w:rsidRPr="006D075E">
              <w:t>33 (11.0)</w:t>
            </w:r>
          </w:p>
        </w:tc>
        <w:tc>
          <w:tcPr>
            <w:tcW w:w="895" w:type="pct"/>
          </w:tcPr>
          <w:p w14:paraId="02C196D0" w14:textId="77777777" w:rsidR="0001346B" w:rsidRPr="006D075E" w:rsidRDefault="0001346B" w:rsidP="00B93608">
            <w:pPr>
              <w:pStyle w:val="COMTabletext"/>
              <w:keepLines/>
              <w:jc w:val="center"/>
            </w:pPr>
            <w:r w:rsidRPr="006D075E">
              <w:t>26 (8.7)</w:t>
            </w:r>
          </w:p>
        </w:tc>
      </w:tr>
      <w:tr w:rsidR="0001346B" w:rsidRPr="006D075E" w14:paraId="04F67A98" w14:textId="77777777">
        <w:tc>
          <w:tcPr>
            <w:tcW w:w="1499" w:type="pct"/>
            <w:vAlign w:val="center"/>
          </w:tcPr>
          <w:p w14:paraId="79C17DBD" w14:textId="77777777" w:rsidR="0001346B" w:rsidRPr="006D075E" w:rsidRDefault="0001346B" w:rsidP="00B93608">
            <w:pPr>
              <w:pStyle w:val="COMTabletext"/>
              <w:keepLines/>
            </w:pPr>
            <w:r w:rsidRPr="006D075E">
              <w:t>OS (months), median (95% CI)</w:t>
            </w:r>
          </w:p>
        </w:tc>
        <w:tc>
          <w:tcPr>
            <w:tcW w:w="869" w:type="pct"/>
            <w:vAlign w:val="center"/>
          </w:tcPr>
          <w:p w14:paraId="0F01BCB1" w14:textId="77777777" w:rsidR="0001346B" w:rsidRPr="006D075E" w:rsidRDefault="0001346B" w:rsidP="00B93608">
            <w:pPr>
              <w:pStyle w:val="COMTabletext"/>
              <w:keepLines/>
              <w:jc w:val="center"/>
            </w:pPr>
            <w:r w:rsidRPr="006D075E">
              <w:t>NE (72.1, NE)</w:t>
            </w:r>
          </w:p>
        </w:tc>
        <w:tc>
          <w:tcPr>
            <w:tcW w:w="869" w:type="pct"/>
            <w:vAlign w:val="center"/>
          </w:tcPr>
          <w:p w14:paraId="50B07DAF" w14:textId="77777777" w:rsidR="0001346B" w:rsidRPr="006D075E" w:rsidRDefault="0001346B" w:rsidP="00B93608">
            <w:pPr>
              <w:pStyle w:val="COMTabletext"/>
              <w:keepLines/>
              <w:jc w:val="center"/>
            </w:pPr>
            <w:r w:rsidRPr="006D075E">
              <w:t>NE (73.8, NE)</w:t>
            </w:r>
          </w:p>
        </w:tc>
        <w:tc>
          <w:tcPr>
            <w:tcW w:w="868" w:type="pct"/>
            <w:vAlign w:val="center"/>
          </w:tcPr>
          <w:p w14:paraId="1DD282EF" w14:textId="77777777" w:rsidR="0001346B" w:rsidRPr="006D075E" w:rsidRDefault="0001346B" w:rsidP="00B93608">
            <w:pPr>
              <w:pStyle w:val="COMTabletext"/>
              <w:keepLines/>
              <w:jc w:val="center"/>
            </w:pPr>
            <w:r w:rsidRPr="006D075E">
              <w:t>NE (NE, NE)</w:t>
            </w:r>
          </w:p>
        </w:tc>
        <w:tc>
          <w:tcPr>
            <w:tcW w:w="895" w:type="pct"/>
            <w:vAlign w:val="center"/>
          </w:tcPr>
          <w:p w14:paraId="2FF5D4EE" w14:textId="77777777" w:rsidR="0001346B" w:rsidRPr="006D075E" w:rsidRDefault="0001346B" w:rsidP="00B93608">
            <w:pPr>
              <w:pStyle w:val="COMTabletext"/>
              <w:keepLines/>
              <w:jc w:val="center"/>
            </w:pPr>
            <w:r w:rsidRPr="006D075E">
              <w:t>NE (73.8, NE)</w:t>
            </w:r>
          </w:p>
        </w:tc>
      </w:tr>
      <w:tr w:rsidR="0001346B" w:rsidRPr="006D075E" w14:paraId="099C5BC8" w14:textId="77777777">
        <w:tc>
          <w:tcPr>
            <w:tcW w:w="1499" w:type="pct"/>
            <w:vAlign w:val="center"/>
          </w:tcPr>
          <w:p w14:paraId="7EC9BB4F" w14:textId="77777777" w:rsidR="0001346B" w:rsidRPr="006D075E" w:rsidRDefault="0001346B" w:rsidP="00B93608">
            <w:pPr>
              <w:pStyle w:val="COMTabletext"/>
              <w:keepLines/>
            </w:pPr>
            <w:r w:rsidRPr="006D075E">
              <w:t>HR (95% CI), stratified analysis</w:t>
            </w:r>
          </w:p>
        </w:tc>
        <w:tc>
          <w:tcPr>
            <w:tcW w:w="1738" w:type="pct"/>
            <w:gridSpan w:val="2"/>
            <w:vAlign w:val="center"/>
          </w:tcPr>
          <w:p w14:paraId="1C23B858" w14:textId="77777777" w:rsidR="0001346B" w:rsidRPr="006D075E" w:rsidRDefault="0001346B" w:rsidP="00B93608">
            <w:pPr>
              <w:pStyle w:val="COMTabletext"/>
              <w:keepLines/>
              <w:jc w:val="center"/>
            </w:pPr>
            <w:r w:rsidRPr="006D075E">
              <w:t>0.86 (0.65, 1.13)</w:t>
            </w:r>
          </w:p>
        </w:tc>
        <w:tc>
          <w:tcPr>
            <w:tcW w:w="1762" w:type="pct"/>
            <w:gridSpan w:val="2"/>
            <w:vAlign w:val="center"/>
          </w:tcPr>
          <w:p w14:paraId="2163B826" w14:textId="77777777" w:rsidR="0001346B" w:rsidRPr="006D075E" w:rsidRDefault="0001346B" w:rsidP="00B93608">
            <w:pPr>
              <w:pStyle w:val="COMTabletext"/>
              <w:keepLines/>
              <w:jc w:val="center"/>
            </w:pPr>
            <w:r w:rsidRPr="006D075E">
              <w:t>0.75 (0.53, 1.04)</w:t>
            </w:r>
          </w:p>
        </w:tc>
      </w:tr>
      <w:tr w:rsidR="0001346B" w:rsidRPr="006D075E" w14:paraId="2D692BE8" w14:textId="77777777">
        <w:tc>
          <w:tcPr>
            <w:tcW w:w="5000" w:type="pct"/>
            <w:gridSpan w:val="5"/>
            <w:vAlign w:val="center"/>
          </w:tcPr>
          <w:p w14:paraId="4E79B031" w14:textId="5DE9DD0A" w:rsidR="0001346B" w:rsidRPr="006D075E" w:rsidRDefault="0001346B" w:rsidP="00B93608">
            <w:pPr>
              <w:pStyle w:val="COMTabletext"/>
              <w:keepLines/>
              <w:rPr>
                <w:b/>
                <w:bCs w:val="0"/>
              </w:rPr>
            </w:pPr>
            <w:r w:rsidRPr="006D075E">
              <w:rPr>
                <w:b/>
                <w:bCs w:val="0"/>
              </w:rPr>
              <w:t>Kaplan-Meier estimates of overall survival probability by timepoint (%)</w:t>
            </w:r>
          </w:p>
        </w:tc>
      </w:tr>
      <w:tr w:rsidR="0001346B" w:rsidRPr="006D075E" w14:paraId="7D01D04F" w14:textId="77777777">
        <w:tc>
          <w:tcPr>
            <w:tcW w:w="1499" w:type="pct"/>
            <w:vAlign w:val="center"/>
          </w:tcPr>
          <w:p w14:paraId="36C63089" w14:textId="77777777" w:rsidR="0001346B" w:rsidRPr="006D075E" w:rsidRDefault="0001346B" w:rsidP="00B93608">
            <w:pPr>
              <w:pStyle w:val="COMTabletext"/>
              <w:keepLines/>
            </w:pPr>
            <w:r w:rsidRPr="006D075E">
              <w:t>24 months (95% CI)</w:t>
            </w:r>
          </w:p>
        </w:tc>
        <w:tc>
          <w:tcPr>
            <w:tcW w:w="869" w:type="pct"/>
          </w:tcPr>
          <w:p w14:paraId="6C40B5A8" w14:textId="77777777" w:rsidR="0001346B" w:rsidRPr="006D075E" w:rsidRDefault="0001346B" w:rsidP="00B93608">
            <w:pPr>
              <w:pStyle w:val="COMTabletext"/>
              <w:keepLines/>
              <w:jc w:val="center"/>
            </w:pPr>
            <w:r w:rsidRPr="006D075E">
              <w:t>83.8 (79.0, 87.6)</w:t>
            </w:r>
          </w:p>
        </w:tc>
        <w:tc>
          <w:tcPr>
            <w:tcW w:w="869" w:type="pct"/>
          </w:tcPr>
          <w:p w14:paraId="0985EF96" w14:textId="77777777" w:rsidR="0001346B" w:rsidRPr="006D075E" w:rsidRDefault="0001346B" w:rsidP="00B93608">
            <w:pPr>
              <w:pStyle w:val="COMTabletext"/>
              <w:keepLines/>
              <w:jc w:val="center"/>
            </w:pPr>
            <w:r w:rsidRPr="006D075E">
              <w:t>79.1 (73.9, 83.4)</w:t>
            </w:r>
          </w:p>
        </w:tc>
        <w:tc>
          <w:tcPr>
            <w:tcW w:w="868" w:type="pct"/>
          </w:tcPr>
          <w:p w14:paraId="72450337" w14:textId="77777777" w:rsidR="0001346B" w:rsidRPr="006D075E" w:rsidRDefault="0001346B" w:rsidP="00B93608">
            <w:pPr>
              <w:pStyle w:val="COMTabletext"/>
              <w:keepLines/>
              <w:jc w:val="center"/>
            </w:pPr>
            <w:r w:rsidRPr="006D075E">
              <w:t>87.0 (82.5, 90.4)</w:t>
            </w:r>
          </w:p>
        </w:tc>
        <w:tc>
          <w:tcPr>
            <w:tcW w:w="895" w:type="pct"/>
          </w:tcPr>
          <w:p w14:paraId="5C9937E2" w14:textId="77777777" w:rsidR="0001346B" w:rsidRPr="006D075E" w:rsidRDefault="0001346B" w:rsidP="00B93608">
            <w:pPr>
              <w:pStyle w:val="COMTabletext"/>
              <w:keepLines/>
              <w:jc w:val="center"/>
            </w:pPr>
            <w:r w:rsidRPr="006D075E">
              <w:t xml:space="preserve">82.8 (77.8, 86.8) </w:t>
            </w:r>
          </w:p>
        </w:tc>
      </w:tr>
      <w:tr w:rsidR="0001346B" w:rsidRPr="006D075E" w14:paraId="4AA11CF0" w14:textId="77777777">
        <w:tc>
          <w:tcPr>
            <w:tcW w:w="1499" w:type="pct"/>
            <w:vAlign w:val="center"/>
          </w:tcPr>
          <w:p w14:paraId="49A16687" w14:textId="77777777" w:rsidR="0001346B" w:rsidRPr="006D075E" w:rsidRDefault="0001346B" w:rsidP="00B93608">
            <w:pPr>
              <w:pStyle w:val="COMTabletext"/>
              <w:keepLines/>
            </w:pPr>
            <w:r w:rsidRPr="006D075E">
              <w:t>36 months (95% CI)</w:t>
            </w:r>
          </w:p>
        </w:tc>
        <w:tc>
          <w:tcPr>
            <w:tcW w:w="869" w:type="pct"/>
          </w:tcPr>
          <w:p w14:paraId="4FE71E63" w14:textId="77777777" w:rsidR="0001346B" w:rsidRPr="006D075E" w:rsidRDefault="0001346B" w:rsidP="00B93608">
            <w:pPr>
              <w:pStyle w:val="COMTabletext"/>
              <w:keepLines/>
              <w:jc w:val="center"/>
            </w:pPr>
            <w:r w:rsidRPr="006D075E">
              <w:t>73.8 (68.2, 78.7)</w:t>
            </w:r>
          </w:p>
        </w:tc>
        <w:tc>
          <w:tcPr>
            <w:tcW w:w="869" w:type="pct"/>
          </w:tcPr>
          <w:p w14:paraId="70859188" w14:textId="77777777" w:rsidR="0001346B" w:rsidRPr="006D075E" w:rsidRDefault="0001346B" w:rsidP="00B93608">
            <w:pPr>
              <w:pStyle w:val="COMTabletext"/>
              <w:keepLines/>
              <w:jc w:val="center"/>
            </w:pPr>
            <w:r w:rsidRPr="006D075E">
              <w:t>68.8 (62.9, 73.9)</w:t>
            </w:r>
          </w:p>
        </w:tc>
        <w:tc>
          <w:tcPr>
            <w:tcW w:w="868" w:type="pct"/>
          </w:tcPr>
          <w:p w14:paraId="4F2CF8E1" w14:textId="77777777" w:rsidR="0001346B" w:rsidRPr="006D075E" w:rsidRDefault="0001346B" w:rsidP="00B93608">
            <w:pPr>
              <w:pStyle w:val="COMTabletext"/>
              <w:keepLines/>
              <w:jc w:val="center"/>
            </w:pPr>
            <w:r w:rsidRPr="006D075E">
              <w:t xml:space="preserve">83.0 (78.0, 87.0) </w:t>
            </w:r>
          </w:p>
        </w:tc>
        <w:tc>
          <w:tcPr>
            <w:tcW w:w="895" w:type="pct"/>
          </w:tcPr>
          <w:p w14:paraId="0B54ADED" w14:textId="77777777" w:rsidR="0001346B" w:rsidRPr="006D075E" w:rsidRDefault="0001346B" w:rsidP="00B93608">
            <w:pPr>
              <w:pStyle w:val="COMTabletext"/>
              <w:keepLines/>
              <w:jc w:val="center"/>
            </w:pPr>
            <w:r w:rsidRPr="006D075E">
              <w:t xml:space="preserve">75.5 (69.8, 80.2) </w:t>
            </w:r>
          </w:p>
        </w:tc>
      </w:tr>
      <w:tr w:rsidR="0001346B" w:rsidRPr="006D075E" w14:paraId="67C3F016" w14:textId="77777777">
        <w:tc>
          <w:tcPr>
            <w:tcW w:w="1499" w:type="pct"/>
            <w:vAlign w:val="center"/>
          </w:tcPr>
          <w:p w14:paraId="21DFF3BD" w14:textId="77777777" w:rsidR="0001346B" w:rsidRPr="006D075E" w:rsidRDefault="0001346B" w:rsidP="00B93608">
            <w:pPr>
              <w:pStyle w:val="COMTabletext"/>
              <w:keepLines/>
            </w:pPr>
            <w:r w:rsidRPr="006D075E">
              <w:t>48 months (95% CI)</w:t>
            </w:r>
          </w:p>
        </w:tc>
        <w:tc>
          <w:tcPr>
            <w:tcW w:w="869" w:type="pct"/>
          </w:tcPr>
          <w:p w14:paraId="27965741" w14:textId="77777777" w:rsidR="0001346B" w:rsidRPr="006D075E" w:rsidRDefault="0001346B" w:rsidP="00B93608">
            <w:pPr>
              <w:pStyle w:val="COMTabletext"/>
              <w:keepLines/>
              <w:jc w:val="center"/>
            </w:pPr>
            <w:r w:rsidRPr="006D075E">
              <w:t>68.0 (62.0, 73.3)</w:t>
            </w:r>
          </w:p>
        </w:tc>
        <w:tc>
          <w:tcPr>
            <w:tcW w:w="869" w:type="pct"/>
          </w:tcPr>
          <w:p w14:paraId="4D9E17ED" w14:textId="77777777" w:rsidR="0001346B" w:rsidRPr="006D075E" w:rsidRDefault="0001346B" w:rsidP="00B93608">
            <w:pPr>
              <w:pStyle w:val="COMTabletext"/>
              <w:keepLines/>
              <w:jc w:val="center"/>
            </w:pPr>
            <w:r w:rsidRPr="006D075E">
              <w:t>64.3 (58.2, 69.7)</w:t>
            </w:r>
          </w:p>
        </w:tc>
        <w:tc>
          <w:tcPr>
            <w:tcW w:w="868" w:type="pct"/>
          </w:tcPr>
          <w:p w14:paraId="4508CB98" w14:textId="77777777" w:rsidR="0001346B" w:rsidRPr="006D075E" w:rsidRDefault="0001346B" w:rsidP="00B93608">
            <w:pPr>
              <w:pStyle w:val="COMTabletext"/>
              <w:keepLines/>
              <w:jc w:val="center"/>
            </w:pPr>
            <w:r w:rsidRPr="006D075E">
              <w:t xml:space="preserve">78.8 (73.2, 83.3) </w:t>
            </w:r>
          </w:p>
        </w:tc>
        <w:tc>
          <w:tcPr>
            <w:tcW w:w="895" w:type="pct"/>
          </w:tcPr>
          <w:p w14:paraId="7D7760A7" w14:textId="77777777" w:rsidR="0001346B" w:rsidRPr="006D075E" w:rsidRDefault="0001346B" w:rsidP="00B93608">
            <w:pPr>
              <w:pStyle w:val="COMTabletext"/>
              <w:keepLines/>
              <w:jc w:val="center"/>
            </w:pPr>
            <w:r w:rsidRPr="006D075E">
              <w:t xml:space="preserve">72.7 (66.8, 77.7) </w:t>
            </w:r>
          </w:p>
        </w:tc>
      </w:tr>
    </w:tbl>
    <w:p w14:paraId="62DE5AED" w14:textId="77777777" w:rsidR="0001346B" w:rsidRPr="006D075E" w:rsidRDefault="0001346B" w:rsidP="00B93608">
      <w:pPr>
        <w:pStyle w:val="COMTablefooter"/>
        <w:keepNext/>
        <w:keepLines/>
        <w:rPr>
          <w:sz w:val="20"/>
        </w:rPr>
      </w:pPr>
      <w:r w:rsidRPr="006D075E">
        <w:t>Source: Table 2-18, p57 of the submission.</w:t>
      </w:r>
    </w:p>
    <w:p w14:paraId="07531543" w14:textId="5BA3F16B" w:rsidR="0001346B" w:rsidRPr="006D075E" w:rsidRDefault="0001346B" w:rsidP="00B93608">
      <w:pPr>
        <w:pStyle w:val="COMTablefooter"/>
        <w:keepNext/>
        <w:keepLines/>
        <w:rPr>
          <w:rFonts w:eastAsia="Calibri"/>
        </w:rPr>
      </w:pPr>
      <w:r w:rsidRPr="006D075E">
        <w:rPr>
          <w:rFonts w:eastAsia="Calibri"/>
        </w:rPr>
        <w:t xml:space="preserve">Abbreviations; ABR, acalabrutinib, </w:t>
      </w:r>
      <w:proofErr w:type="spellStart"/>
      <w:r w:rsidRPr="006D075E">
        <w:rPr>
          <w:rFonts w:eastAsia="Calibri"/>
        </w:rPr>
        <w:t>bendamustine</w:t>
      </w:r>
      <w:proofErr w:type="spellEnd"/>
      <w:r w:rsidRPr="006D075E">
        <w:rPr>
          <w:rFonts w:eastAsia="Calibri"/>
        </w:rPr>
        <w:t xml:space="preserve">, rituximab; CI, confidence interval; </w:t>
      </w:r>
      <w:r w:rsidR="006C7A4D" w:rsidRPr="006D075E">
        <w:rPr>
          <w:rFonts w:eastAsia="Calibri"/>
        </w:rPr>
        <w:t xml:space="preserve">FAS, full analysis set; </w:t>
      </w:r>
      <w:r w:rsidRPr="006D075E">
        <w:rPr>
          <w:rFonts w:eastAsia="Calibri"/>
        </w:rPr>
        <w:t xml:space="preserve">HR, Hazard ratio; IRC, Independent Review Committee; NE, not estimable; OS, overall survival; PBR, placebo, </w:t>
      </w:r>
      <w:proofErr w:type="spellStart"/>
      <w:r w:rsidRPr="006D075E">
        <w:rPr>
          <w:rFonts w:eastAsia="Calibri"/>
        </w:rPr>
        <w:t>bendamustine</w:t>
      </w:r>
      <w:proofErr w:type="spellEnd"/>
      <w:r w:rsidRPr="006D075E">
        <w:rPr>
          <w:rFonts w:eastAsia="Calibri"/>
        </w:rPr>
        <w:t>, rituximab.</w:t>
      </w:r>
    </w:p>
    <w:p w14:paraId="196352AE" w14:textId="77777777" w:rsidR="0001346B" w:rsidRPr="006D075E" w:rsidRDefault="0001346B" w:rsidP="00B93608">
      <w:pPr>
        <w:pStyle w:val="COMTablefooter"/>
        <w:keepNext/>
        <w:keepLines/>
      </w:pPr>
      <w:r w:rsidRPr="006D075E">
        <w:t>Notes: Stratified by randomisation stratification factors: geographic region (North America, Western Europe, Other) and simplified MIPI score (low risk [0 to 3], intermediate risk [4 to 5], high risk [6 to 11])</w:t>
      </w:r>
    </w:p>
    <w:p w14:paraId="14214920" w14:textId="79131DB8" w:rsidR="00DA3167" w:rsidRPr="006D075E" w:rsidRDefault="0001346B" w:rsidP="00B93608">
      <w:pPr>
        <w:pStyle w:val="COMTablefooter"/>
        <w:keepNext/>
        <w:keepLines/>
        <w:rPr>
          <w:color w:val="0066FF"/>
        </w:rPr>
      </w:pPr>
      <w:r w:rsidRPr="006D075E">
        <w:rPr>
          <w:vertAlign w:val="superscript"/>
        </w:rPr>
        <w:t xml:space="preserve">a </w:t>
      </w:r>
      <w:r w:rsidRPr="006D075E">
        <w:t>Censoring COVID-19 deaths include all grade 5 Confirmed/Suspected COVID-19 infection adverse events and deaths due to a reason specified as COVID-19.</w:t>
      </w:r>
    </w:p>
    <w:p w14:paraId="5119E8EA" w14:textId="4D2D6940" w:rsidR="00673F9F" w:rsidRPr="006D075E" w:rsidRDefault="00673F9F" w:rsidP="00EC5836">
      <w:pPr>
        <w:pStyle w:val="COMexecsummnumbered"/>
        <w:rPr>
          <w:color w:val="0066FF"/>
        </w:rPr>
      </w:pPr>
      <w:r w:rsidRPr="006D075E">
        <w:rPr>
          <w:rFonts w:eastAsia="Calibri"/>
        </w:rPr>
        <w:t xml:space="preserve">At the time of the data cut-off, 97 (32.4%) patients in the acalabrutinib arm had died, compared to 106 (35.5%) in the placebo arm, including 33 (11.0%) and 26 (8.7%) patients in the acalabrutinib and placebo arms, respectively, for whom the cause of death was confirmed or suspected to be COVID-19. </w:t>
      </w:r>
      <w:r w:rsidRPr="006D075E">
        <w:t>Based on a median follow up of 46.1 months in the acalabrutinib arm and 44.4 months in the placebo arm,</w:t>
      </w:r>
      <w:r w:rsidRPr="006D075E">
        <w:rPr>
          <w:rFonts w:eastAsia="Calibri"/>
        </w:rPr>
        <w:t xml:space="preserve"> median overall survival was not reached in either treatment arm. </w:t>
      </w:r>
      <w:r w:rsidR="00ED48AC" w:rsidRPr="006D075E">
        <w:rPr>
          <w:rFonts w:eastAsia="Calibri"/>
        </w:rPr>
        <w:t>The ESC noted that n</w:t>
      </w:r>
      <w:r w:rsidRPr="006D075E">
        <w:rPr>
          <w:rFonts w:eastAsia="Calibri"/>
        </w:rPr>
        <w:t>o statistically significant differences were noted between treatment arms using the full analysis set or the analysis censoring for COVID-19 related deaths, however results were more favourable towards the acalabrutinib arm in the COVID-19 censored analysis</w:t>
      </w:r>
      <w:r w:rsidR="00CF6D71" w:rsidRPr="006D075E">
        <w:rPr>
          <w:rFonts w:eastAsia="Calibri"/>
        </w:rPr>
        <w:t xml:space="preserve"> (see</w:t>
      </w:r>
      <w:r w:rsidR="009B5B4F" w:rsidRPr="006D075E">
        <w:rPr>
          <w:rFonts w:eastAsia="Calibri"/>
        </w:rPr>
        <w:t xml:space="preserve"> </w:t>
      </w:r>
      <w:r w:rsidR="00B94500" w:rsidRPr="006D075E">
        <w:rPr>
          <w:rFonts w:eastAsia="Calibri"/>
        </w:rPr>
        <w:fldChar w:fldCharType="begin"/>
      </w:r>
      <w:r w:rsidR="00B94500" w:rsidRPr="006D075E">
        <w:rPr>
          <w:rFonts w:eastAsia="Calibri"/>
        </w:rPr>
        <w:instrText xml:space="preserve"> REF _Ref201319139 \h  \* MERGEFORMAT </w:instrText>
      </w:r>
      <w:r w:rsidR="00B94500" w:rsidRPr="006D075E">
        <w:rPr>
          <w:rFonts w:eastAsia="Calibri"/>
        </w:rPr>
      </w:r>
      <w:r w:rsidR="00B94500" w:rsidRPr="006D075E">
        <w:rPr>
          <w:rFonts w:eastAsia="Calibri"/>
        </w:rPr>
        <w:fldChar w:fldCharType="separate"/>
      </w:r>
      <w:r w:rsidR="00A542E9" w:rsidRPr="00A542E9">
        <w:t>Figure 3</w:t>
      </w:r>
      <w:r w:rsidR="00B94500" w:rsidRPr="006D075E">
        <w:rPr>
          <w:rFonts w:eastAsia="Calibri"/>
        </w:rPr>
        <w:fldChar w:fldCharType="end"/>
      </w:r>
      <w:r w:rsidR="00B94500" w:rsidRPr="006D075E">
        <w:rPr>
          <w:rFonts w:eastAsia="Calibri"/>
        </w:rPr>
        <w:t xml:space="preserve"> and </w:t>
      </w:r>
      <w:r w:rsidR="00B94500" w:rsidRPr="006D075E">
        <w:rPr>
          <w:rFonts w:eastAsia="Calibri"/>
        </w:rPr>
        <w:fldChar w:fldCharType="begin"/>
      </w:r>
      <w:r w:rsidR="00B94500" w:rsidRPr="006D075E">
        <w:rPr>
          <w:rFonts w:eastAsia="Calibri"/>
        </w:rPr>
        <w:instrText xml:space="preserve"> REF _Ref201319144 \h  \* MERGEFORMAT </w:instrText>
      </w:r>
      <w:r w:rsidR="00B94500" w:rsidRPr="006D075E">
        <w:rPr>
          <w:rFonts w:eastAsia="Calibri"/>
        </w:rPr>
      </w:r>
      <w:r w:rsidR="00B94500" w:rsidRPr="006D075E">
        <w:rPr>
          <w:rFonts w:eastAsia="Calibri"/>
        </w:rPr>
        <w:fldChar w:fldCharType="separate"/>
      </w:r>
      <w:r w:rsidR="00A542E9" w:rsidRPr="00A542E9">
        <w:t>Figure 4</w:t>
      </w:r>
      <w:r w:rsidR="00B94500" w:rsidRPr="006D075E">
        <w:rPr>
          <w:rFonts w:eastAsia="Calibri"/>
        </w:rPr>
        <w:fldChar w:fldCharType="end"/>
      </w:r>
      <w:r w:rsidR="00B94500" w:rsidRPr="006D075E">
        <w:rPr>
          <w:rFonts w:eastAsia="Calibri"/>
        </w:rPr>
        <w:t>)</w:t>
      </w:r>
      <w:r w:rsidRPr="006D075E">
        <w:rPr>
          <w:rFonts w:eastAsia="Calibri"/>
        </w:rPr>
        <w:t>.</w:t>
      </w:r>
    </w:p>
    <w:p w14:paraId="5006D45C" w14:textId="378EB92E" w:rsidR="00230789" w:rsidRPr="00227508" w:rsidRDefault="00E87A1A" w:rsidP="00B93608">
      <w:pPr>
        <w:pStyle w:val="Caption"/>
        <w:keepNext/>
        <w:spacing w:after="0"/>
        <w:rPr>
          <w:rFonts w:ascii="Arial Narrow" w:hAnsi="Arial Narrow"/>
          <w:b/>
          <w:bCs/>
          <w:i w:val="0"/>
          <w:iCs w:val="0"/>
          <w:color w:val="auto"/>
          <w:sz w:val="20"/>
          <w:szCs w:val="20"/>
        </w:rPr>
      </w:pPr>
      <w:bookmarkStart w:id="29" w:name="_Ref201319139"/>
      <w:bookmarkStart w:id="30" w:name="_Ref201319132"/>
      <w:r w:rsidRPr="00227508">
        <w:rPr>
          <w:rFonts w:ascii="Arial Narrow" w:hAnsi="Arial Narrow"/>
          <w:b/>
          <w:bCs/>
          <w:i w:val="0"/>
          <w:iCs w:val="0"/>
          <w:color w:val="auto"/>
          <w:sz w:val="20"/>
          <w:szCs w:val="20"/>
        </w:rPr>
        <w:lastRenderedPageBreak/>
        <w:t xml:space="preserve">Figure </w:t>
      </w:r>
      <w:r w:rsidRPr="00227508">
        <w:rPr>
          <w:rFonts w:ascii="Arial Narrow" w:hAnsi="Arial Narrow"/>
          <w:b/>
          <w:bCs/>
          <w:i w:val="0"/>
          <w:iCs w:val="0"/>
          <w:color w:val="auto"/>
          <w:sz w:val="20"/>
          <w:szCs w:val="20"/>
        </w:rPr>
        <w:fldChar w:fldCharType="begin"/>
      </w:r>
      <w:r w:rsidRPr="00227508">
        <w:rPr>
          <w:rFonts w:ascii="Arial Narrow" w:hAnsi="Arial Narrow"/>
          <w:b/>
          <w:bCs/>
          <w:i w:val="0"/>
          <w:iCs w:val="0"/>
          <w:color w:val="auto"/>
          <w:sz w:val="20"/>
          <w:szCs w:val="20"/>
        </w:rPr>
        <w:instrText xml:space="preserve"> SEQ Figure \* ARABIC </w:instrText>
      </w:r>
      <w:r w:rsidRPr="00227508">
        <w:rPr>
          <w:rFonts w:ascii="Arial Narrow" w:hAnsi="Arial Narrow"/>
          <w:b/>
          <w:bCs/>
          <w:i w:val="0"/>
          <w:iCs w:val="0"/>
          <w:color w:val="auto"/>
          <w:sz w:val="20"/>
          <w:szCs w:val="20"/>
        </w:rPr>
        <w:fldChar w:fldCharType="separate"/>
      </w:r>
      <w:r w:rsidR="00A542E9">
        <w:rPr>
          <w:rFonts w:ascii="Arial Narrow" w:hAnsi="Arial Narrow"/>
          <w:b/>
          <w:bCs/>
          <w:i w:val="0"/>
          <w:iCs w:val="0"/>
          <w:noProof/>
          <w:color w:val="auto"/>
          <w:sz w:val="20"/>
          <w:szCs w:val="20"/>
        </w:rPr>
        <w:t>3</w:t>
      </w:r>
      <w:r w:rsidRPr="00227508">
        <w:rPr>
          <w:rFonts w:ascii="Arial Narrow" w:hAnsi="Arial Narrow"/>
          <w:b/>
          <w:bCs/>
          <w:i w:val="0"/>
          <w:iCs w:val="0"/>
          <w:color w:val="auto"/>
          <w:sz w:val="20"/>
          <w:szCs w:val="20"/>
        </w:rPr>
        <w:fldChar w:fldCharType="end"/>
      </w:r>
      <w:bookmarkEnd w:id="29"/>
      <w:r w:rsidR="00230789" w:rsidRPr="00227508">
        <w:rPr>
          <w:rFonts w:ascii="Arial Narrow" w:hAnsi="Arial Narrow"/>
          <w:b/>
          <w:bCs/>
          <w:i w:val="0"/>
          <w:iCs w:val="0"/>
          <w:color w:val="auto"/>
          <w:sz w:val="20"/>
          <w:szCs w:val="20"/>
        </w:rPr>
        <w:t>: Kaplan-Meier curve for overall survival by IRC assessment, full analysis set</w:t>
      </w:r>
      <w:bookmarkEnd w:id="30"/>
      <w:r w:rsidR="00230789" w:rsidRPr="00227508">
        <w:rPr>
          <w:rFonts w:ascii="Arial Narrow" w:hAnsi="Arial Narrow"/>
          <w:b/>
          <w:bCs/>
          <w:i w:val="0"/>
          <w:iCs w:val="0"/>
          <w:color w:val="auto"/>
          <w:sz w:val="20"/>
          <w:szCs w:val="20"/>
        </w:rPr>
        <w:t xml:space="preserve"> </w:t>
      </w:r>
    </w:p>
    <w:p w14:paraId="310DA7F0" w14:textId="77777777" w:rsidR="00230789" w:rsidRPr="006D075E" w:rsidRDefault="00230789" w:rsidP="00230789">
      <w:r w:rsidRPr="006D075E">
        <w:rPr>
          <w:noProof/>
        </w:rPr>
        <w:drawing>
          <wp:inline distT="0" distB="0" distL="0" distR="0" wp14:anchorId="23FB55F3" wp14:editId="0C02911B">
            <wp:extent cx="5732145" cy="3181985"/>
            <wp:effectExtent l="0" t="0" r="1905" b="0"/>
            <wp:docPr id="1607893415" name="Picture 1607893415" descr="Kaplan-Meier curve for overall survival by IRC assessment, full analysis 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3415" name="Picture 1607893415" descr="Kaplan-Meier curve for overall survival by IRC assessment, full analysis set "/>
                    <pic:cNvPicPr/>
                  </pic:nvPicPr>
                  <pic:blipFill>
                    <a:blip r:embed="rId13"/>
                    <a:stretch>
                      <a:fillRect/>
                    </a:stretch>
                  </pic:blipFill>
                  <pic:spPr>
                    <a:xfrm>
                      <a:off x="0" y="0"/>
                      <a:ext cx="5732145" cy="3181985"/>
                    </a:xfrm>
                    <a:prstGeom prst="rect">
                      <a:avLst/>
                    </a:prstGeom>
                  </pic:spPr>
                </pic:pic>
              </a:graphicData>
            </a:graphic>
          </wp:inline>
        </w:drawing>
      </w:r>
    </w:p>
    <w:p w14:paraId="73F065D8" w14:textId="77777777" w:rsidR="00230789" w:rsidRPr="006D075E" w:rsidRDefault="00230789" w:rsidP="00230789">
      <w:pPr>
        <w:pStyle w:val="COMTablefooter"/>
      </w:pPr>
      <w:r w:rsidRPr="006D075E">
        <w:t>Source: Figure 2-7, p58 of the submission</w:t>
      </w:r>
    </w:p>
    <w:p w14:paraId="6880107E" w14:textId="77777777" w:rsidR="00230789" w:rsidRPr="006D075E" w:rsidRDefault="00230789" w:rsidP="00230789">
      <w:pPr>
        <w:pStyle w:val="COMTablefooter"/>
      </w:pPr>
      <w:r w:rsidRPr="006D075E">
        <w:t xml:space="preserve">Abbreviations: Acala, acalabrutinib; BR, </w:t>
      </w:r>
      <w:proofErr w:type="spellStart"/>
      <w:r w:rsidRPr="006D075E">
        <w:t>bendamustine</w:t>
      </w:r>
      <w:proofErr w:type="spellEnd"/>
      <w:r w:rsidRPr="006D075E">
        <w:t xml:space="preserve"> and rituximab; CI, confidence interval; HR, hazard ratio; IRC, Independent Review Committee</w:t>
      </w:r>
    </w:p>
    <w:p w14:paraId="1405A9E3" w14:textId="1C4C917A" w:rsidR="00230789" w:rsidRPr="00227508" w:rsidRDefault="009B5B4F" w:rsidP="005070AB">
      <w:pPr>
        <w:pStyle w:val="Caption"/>
        <w:keepNext/>
        <w:keepLines/>
        <w:spacing w:after="0"/>
        <w:rPr>
          <w:rFonts w:ascii="Arial Narrow" w:hAnsi="Arial Narrow"/>
          <w:b/>
          <w:bCs/>
          <w:i w:val="0"/>
          <w:iCs w:val="0"/>
          <w:color w:val="auto"/>
          <w:sz w:val="20"/>
          <w:szCs w:val="20"/>
        </w:rPr>
      </w:pPr>
      <w:bookmarkStart w:id="31" w:name="_Ref201319144"/>
      <w:r w:rsidRPr="00227508">
        <w:rPr>
          <w:rFonts w:ascii="Arial Narrow" w:hAnsi="Arial Narrow"/>
          <w:b/>
          <w:bCs/>
          <w:i w:val="0"/>
          <w:iCs w:val="0"/>
          <w:color w:val="auto"/>
          <w:sz w:val="20"/>
          <w:szCs w:val="20"/>
        </w:rPr>
        <w:t xml:space="preserve">Figure </w:t>
      </w:r>
      <w:r w:rsidRPr="00227508">
        <w:rPr>
          <w:rFonts w:ascii="Arial Narrow" w:hAnsi="Arial Narrow"/>
          <w:b/>
          <w:bCs/>
          <w:i w:val="0"/>
          <w:iCs w:val="0"/>
          <w:color w:val="auto"/>
          <w:sz w:val="20"/>
          <w:szCs w:val="20"/>
        </w:rPr>
        <w:fldChar w:fldCharType="begin"/>
      </w:r>
      <w:r w:rsidRPr="00227508">
        <w:rPr>
          <w:rFonts w:ascii="Arial Narrow" w:hAnsi="Arial Narrow"/>
          <w:b/>
          <w:bCs/>
          <w:i w:val="0"/>
          <w:iCs w:val="0"/>
          <w:color w:val="auto"/>
          <w:sz w:val="20"/>
          <w:szCs w:val="20"/>
        </w:rPr>
        <w:instrText xml:space="preserve"> SEQ Figure \* ARABIC </w:instrText>
      </w:r>
      <w:r w:rsidRPr="00227508">
        <w:rPr>
          <w:rFonts w:ascii="Arial Narrow" w:hAnsi="Arial Narrow"/>
          <w:b/>
          <w:bCs/>
          <w:i w:val="0"/>
          <w:iCs w:val="0"/>
          <w:color w:val="auto"/>
          <w:sz w:val="20"/>
          <w:szCs w:val="20"/>
        </w:rPr>
        <w:fldChar w:fldCharType="separate"/>
      </w:r>
      <w:r w:rsidR="00A542E9">
        <w:rPr>
          <w:rFonts w:ascii="Arial Narrow" w:hAnsi="Arial Narrow"/>
          <w:b/>
          <w:bCs/>
          <w:i w:val="0"/>
          <w:iCs w:val="0"/>
          <w:noProof/>
          <w:color w:val="auto"/>
          <w:sz w:val="20"/>
          <w:szCs w:val="20"/>
        </w:rPr>
        <w:t>4</w:t>
      </w:r>
      <w:r w:rsidRPr="00227508">
        <w:rPr>
          <w:rFonts w:ascii="Arial Narrow" w:hAnsi="Arial Narrow"/>
          <w:b/>
          <w:bCs/>
          <w:i w:val="0"/>
          <w:iCs w:val="0"/>
          <w:color w:val="auto"/>
          <w:sz w:val="20"/>
          <w:szCs w:val="20"/>
        </w:rPr>
        <w:fldChar w:fldCharType="end"/>
      </w:r>
      <w:bookmarkEnd w:id="31"/>
      <w:r w:rsidRPr="00227508">
        <w:rPr>
          <w:rFonts w:ascii="Arial Narrow" w:hAnsi="Arial Narrow"/>
          <w:b/>
          <w:bCs/>
          <w:i w:val="0"/>
          <w:iCs w:val="0"/>
          <w:color w:val="auto"/>
          <w:sz w:val="20"/>
          <w:szCs w:val="20"/>
        </w:rPr>
        <w:t xml:space="preserve">: </w:t>
      </w:r>
      <w:r w:rsidR="00230789" w:rsidRPr="00227508">
        <w:rPr>
          <w:rFonts w:ascii="Arial Narrow" w:hAnsi="Arial Narrow"/>
          <w:b/>
          <w:bCs/>
          <w:i w:val="0"/>
          <w:iCs w:val="0"/>
          <w:color w:val="auto"/>
          <w:sz w:val="20"/>
          <w:szCs w:val="20"/>
        </w:rPr>
        <w:t>Kaplan-Meier curve for overall survival by IRC assessment, COVID-19 analysis</w:t>
      </w:r>
    </w:p>
    <w:p w14:paraId="38532376" w14:textId="77777777" w:rsidR="00230789" w:rsidRPr="006D075E" w:rsidRDefault="00230789" w:rsidP="005070AB">
      <w:pPr>
        <w:keepNext/>
        <w:keepLines/>
      </w:pPr>
      <w:r w:rsidRPr="006D075E">
        <w:rPr>
          <w:noProof/>
        </w:rPr>
        <w:drawing>
          <wp:inline distT="0" distB="0" distL="0" distR="0" wp14:anchorId="031D78FB" wp14:editId="79EB9CE9">
            <wp:extent cx="5732145" cy="3200400"/>
            <wp:effectExtent l="0" t="0" r="1905" b="0"/>
            <wp:docPr id="2007069316" name="Picture 2007069316" descr="Kaplan-Meier curve for overall survival by IRC assessment, COVID-19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69316" name="Picture 2007069316" descr="Kaplan-Meier curve for overall survival by IRC assessment, COVID-19 analysis"/>
                    <pic:cNvPicPr/>
                  </pic:nvPicPr>
                  <pic:blipFill>
                    <a:blip r:embed="rId14"/>
                    <a:stretch>
                      <a:fillRect/>
                    </a:stretch>
                  </pic:blipFill>
                  <pic:spPr>
                    <a:xfrm>
                      <a:off x="0" y="0"/>
                      <a:ext cx="5732145" cy="3200400"/>
                    </a:xfrm>
                    <a:prstGeom prst="rect">
                      <a:avLst/>
                    </a:prstGeom>
                  </pic:spPr>
                </pic:pic>
              </a:graphicData>
            </a:graphic>
          </wp:inline>
        </w:drawing>
      </w:r>
    </w:p>
    <w:p w14:paraId="68842FF8" w14:textId="77777777" w:rsidR="00230789" w:rsidRPr="006D075E" w:rsidRDefault="00230789" w:rsidP="005070AB">
      <w:pPr>
        <w:pStyle w:val="COMTablefooter"/>
        <w:keepNext/>
        <w:keepLines/>
      </w:pPr>
      <w:r w:rsidRPr="006D075E">
        <w:t>Source: Figure 2-6, p58 of the submission</w:t>
      </w:r>
    </w:p>
    <w:p w14:paraId="32312F96" w14:textId="77777777" w:rsidR="00230789" w:rsidRPr="006D075E" w:rsidRDefault="00230789" w:rsidP="005070AB">
      <w:pPr>
        <w:pStyle w:val="COMTablefooter"/>
        <w:keepNext/>
        <w:keepLines/>
      </w:pPr>
      <w:r w:rsidRPr="006D075E">
        <w:t xml:space="preserve">Abbreviations: Acala, acalabrutinib; BR, </w:t>
      </w:r>
      <w:proofErr w:type="spellStart"/>
      <w:r w:rsidRPr="006D075E">
        <w:t>bendamustine</w:t>
      </w:r>
      <w:proofErr w:type="spellEnd"/>
      <w:r w:rsidRPr="006D075E">
        <w:t xml:space="preserve"> and rituximab; CI, confidence interval; HR, hazard ratio; IRC, Independent Review Committee</w:t>
      </w:r>
    </w:p>
    <w:p w14:paraId="00749828" w14:textId="77777777" w:rsidR="00230789" w:rsidRPr="006D075E" w:rsidRDefault="00230789" w:rsidP="00230789">
      <w:pPr>
        <w:pStyle w:val="COMexecsummnumbered"/>
        <w:numPr>
          <w:ilvl w:val="0"/>
          <w:numId w:val="0"/>
        </w:numPr>
        <w:ind w:left="720"/>
        <w:rPr>
          <w:color w:val="0066FF"/>
        </w:rPr>
      </w:pPr>
    </w:p>
    <w:p w14:paraId="44D888CC" w14:textId="1478FA29" w:rsidR="00673F9F" w:rsidRPr="006D075E" w:rsidRDefault="00673F9F" w:rsidP="00EC5836">
      <w:pPr>
        <w:pStyle w:val="COMexecsummnumbered"/>
        <w:rPr>
          <w:color w:val="0066FF"/>
        </w:rPr>
      </w:pPr>
      <w:r w:rsidRPr="006D075E">
        <w:lastRenderedPageBreak/>
        <w:t>Patient reported outcomes were assessed in the ECHO trial using the Functional Assessment of Cancer Therapy-Lymphatic (FACT-Lym) scale, EQ-5D-5L index</w:t>
      </w:r>
      <w:r w:rsidR="00547987" w:rsidRPr="006D075E">
        <w:t>,</w:t>
      </w:r>
      <w:r w:rsidRPr="006D075E">
        <w:t xml:space="preserve"> and visual analogue scale and European Organisation for Research and Treatment of Cancer Quality of Life Questionnaire-C30 (EORTC QLQ-C30) questionnaire. Summary index scores for the EQ-5D-5L were not presented, with available results presented as the proportion of patients at each score level for the 5 dimensions across treatment cycles. The submission noted that there was a general trend to improved quality of life in both treatment arms over the course of the treatment cycles, with no differences between treatment arms observed in </w:t>
      </w:r>
      <w:proofErr w:type="gramStart"/>
      <w:r w:rsidRPr="006D075E">
        <w:t>quality of life</w:t>
      </w:r>
      <w:proofErr w:type="gramEnd"/>
      <w:r w:rsidRPr="006D075E">
        <w:t xml:space="preserve"> scores.</w:t>
      </w:r>
    </w:p>
    <w:p w14:paraId="1452C351" w14:textId="0D19F1B0" w:rsidR="00B60939" w:rsidRPr="006D075E" w:rsidRDefault="00B60939" w:rsidP="003D5DE7">
      <w:pPr>
        <w:pStyle w:val="COMH2-non-numbered"/>
      </w:pPr>
      <w:bookmarkStart w:id="32" w:name="_Toc22897642"/>
      <w:bookmarkStart w:id="33" w:name="_Toc198649036"/>
      <w:r w:rsidRPr="006D075E">
        <w:t>Comparative harms</w:t>
      </w:r>
      <w:bookmarkEnd w:id="32"/>
      <w:bookmarkEnd w:id="33"/>
    </w:p>
    <w:p w14:paraId="555482C3" w14:textId="54407273" w:rsidR="00523376" w:rsidRPr="006D075E" w:rsidRDefault="00523376" w:rsidP="00D86231">
      <w:pPr>
        <w:pStyle w:val="COMexecsummnumbered"/>
        <w:rPr>
          <w:color w:val="0066FF"/>
        </w:rPr>
      </w:pPr>
      <w:r w:rsidRPr="006D075E">
        <w:t>A summary of adverse events reported during the ECHO trial is presented in</w:t>
      </w:r>
      <w:r w:rsidRPr="006D075E">
        <w:rPr>
          <w:color w:val="0066FF"/>
        </w:rPr>
        <w:t xml:space="preserve"> </w:t>
      </w:r>
      <w:r w:rsidRPr="006D075E">
        <w:rPr>
          <w:color w:val="0066FF"/>
        </w:rPr>
        <w:fldChar w:fldCharType="begin"/>
      </w:r>
      <w:r w:rsidRPr="006D075E">
        <w:rPr>
          <w:color w:val="0066FF"/>
        </w:rPr>
        <w:instrText xml:space="preserve"> REF _Ref195885399 </w:instrText>
      </w:r>
      <w:r w:rsidRPr="006D075E">
        <w:rPr>
          <w:color w:val="0066FF"/>
        </w:rPr>
        <w:fldChar w:fldCharType="separate"/>
      </w:r>
      <w:r w:rsidR="00A542E9" w:rsidRPr="006D075E">
        <w:t xml:space="preserve">Table </w:t>
      </w:r>
      <w:r w:rsidR="00A542E9">
        <w:rPr>
          <w:noProof/>
        </w:rPr>
        <w:t>6</w:t>
      </w:r>
      <w:r w:rsidRPr="006D075E">
        <w:rPr>
          <w:color w:val="0066FF"/>
        </w:rPr>
        <w:fldChar w:fldCharType="end"/>
      </w:r>
      <w:r w:rsidRPr="006D075E">
        <w:rPr>
          <w:color w:val="0066FF"/>
        </w:rPr>
        <w:t>.</w:t>
      </w:r>
    </w:p>
    <w:p w14:paraId="310B2246" w14:textId="24E4621B" w:rsidR="00B60939" w:rsidRPr="006D075E" w:rsidRDefault="00D6076E" w:rsidP="00B50F7F">
      <w:pPr>
        <w:pStyle w:val="COMtablefigcaption"/>
      </w:pPr>
      <w:bookmarkStart w:id="34" w:name="_Ref195885399"/>
      <w:r w:rsidRPr="006D075E">
        <w:t xml:space="preserve">Table </w:t>
      </w:r>
      <w:r w:rsidR="00370FC7" w:rsidRPr="006D075E">
        <w:fldChar w:fldCharType="begin"/>
      </w:r>
      <w:r w:rsidR="00370FC7" w:rsidRPr="006D075E">
        <w:instrText xml:space="preserve"> SEQ Table \* ARABIC </w:instrText>
      </w:r>
      <w:r w:rsidR="00370FC7" w:rsidRPr="006D075E">
        <w:fldChar w:fldCharType="separate"/>
      </w:r>
      <w:r w:rsidR="00A542E9">
        <w:rPr>
          <w:noProof/>
        </w:rPr>
        <w:t>6</w:t>
      </w:r>
      <w:r w:rsidR="00370FC7" w:rsidRPr="006D075E">
        <w:fldChar w:fldCharType="end"/>
      </w:r>
      <w:bookmarkEnd w:id="34"/>
      <w:r w:rsidRPr="006D075E">
        <w:t xml:space="preserve">: </w:t>
      </w:r>
      <w:r w:rsidR="005D26B4" w:rsidRPr="006D075E">
        <w:t>Summary of key adverse events in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key adverse events in the trials"/>
      </w:tblPr>
      <w:tblGrid>
        <w:gridCol w:w="4531"/>
        <w:gridCol w:w="2243"/>
        <w:gridCol w:w="2243"/>
      </w:tblGrid>
      <w:tr w:rsidR="00523376" w:rsidRPr="006D075E" w14:paraId="644A87DD" w14:textId="77777777">
        <w:trPr>
          <w:tblHeader/>
        </w:trPr>
        <w:tc>
          <w:tcPr>
            <w:tcW w:w="4531" w:type="dxa"/>
            <w:vAlign w:val="center"/>
          </w:tcPr>
          <w:p w14:paraId="550278F5" w14:textId="072AF800" w:rsidR="00523376" w:rsidRPr="006D075E" w:rsidRDefault="00356C80">
            <w:pPr>
              <w:pStyle w:val="COMTableheadingrow"/>
              <w:rPr>
                <w:lang w:val="en-AU"/>
              </w:rPr>
            </w:pPr>
            <w:r w:rsidRPr="006D075E">
              <w:rPr>
                <w:lang w:val="en-AU"/>
              </w:rPr>
              <w:t xml:space="preserve">Adverse Event </w:t>
            </w:r>
          </w:p>
        </w:tc>
        <w:tc>
          <w:tcPr>
            <w:tcW w:w="2243" w:type="dxa"/>
            <w:vAlign w:val="center"/>
          </w:tcPr>
          <w:p w14:paraId="5AE72C83" w14:textId="77777777" w:rsidR="00523376" w:rsidRPr="006D075E" w:rsidRDefault="00523376">
            <w:pPr>
              <w:pStyle w:val="COMTableheadingrow"/>
              <w:jc w:val="center"/>
              <w:rPr>
                <w:lang w:val="en-AU"/>
              </w:rPr>
            </w:pPr>
            <w:r w:rsidRPr="006D075E">
              <w:rPr>
                <w:lang w:val="en-AU"/>
              </w:rPr>
              <w:t>ABR (N = 297)</w:t>
            </w:r>
          </w:p>
          <w:p w14:paraId="71A391CD" w14:textId="77777777" w:rsidR="00523376" w:rsidRPr="006D075E" w:rsidRDefault="00523376">
            <w:pPr>
              <w:pStyle w:val="COMTableheadingrow"/>
              <w:jc w:val="center"/>
              <w:rPr>
                <w:lang w:val="en-AU"/>
              </w:rPr>
            </w:pPr>
            <w:r w:rsidRPr="006D075E">
              <w:rPr>
                <w:lang w:val="en-AU"/>
              </w:rPr>
              <w:t>n (%)</w:t>
            </w:r>
          </w:p>
        </w:tc>
        <w:tc>
          <w:tcPr>
            <w:tcW w:w="2243" w:type="dxa"/>
            <w:vAlign w:val="center"/>
          </w:tcPr>
          <w:p w14:paraId="2B1D5B1D" w14:textId="77777777" w:rsidR="00523376" w:rsidRPr="006D075E" w:rsidRDefault="00523376">
            <w:pPr>
              <w:pStyle w:val="COMTableheadingrow"/>
              <w:jc w:val="center"/>
              <w:rPr>
                <w:lang w:val="en-AU"/>
              </w:rPr>
            </w:pPr>
            <w:r w:rsidRPr="006D075E">
              <w:rPr>
                <w:lang w:val="en-AU"/>
              </w:rPr>
              <w:t>PBR (N = 297)</w:t>
            </w:r>
          </w:p>
          <w:p w14:paraId="203D21E8" w14:textId="77777777" w:rsidR="00523376" w:rsidRPr="006D075E" w:rsidRDefault="00523376">
            <w:pPr>
              <w:pStyle w:val="COMTableheadingrow"/>
              <w:jc w:val="center"/>
              <w:rPr>
                <w:lang w:val="en-AU"/>
              </w:rPr>
            </w:pPr>
            <w:r w:rsidRPr="006D075E">
              <w:rPr>
                <w:lang w:val="en-AU"/>
              </w:rPr>
              <w:t>n (%)</w:t>
            </w:r>
          </w:p>
        </w:tc>
      </w:tr>
      <w:tr w:rsidR="00523376" w:rsidRPr="006D075E" w14:paraId="398E362D" w14:textId="77777777">
        <w:tc>
          <w:tcPr>
            <w:tcW w:w="4531" w:type="dxa"/>
            <w:vAlign w:val="center"/>
          </w:tcPr>
          <w:p w14:paraId="1A4B072C" w14:textId="77777777" w:rsidR="00523376" w:rsidRPr="006D075E" w:rsidRDefault="00523376">
            <w:pPr>
              <w:pStyle w:val="COMTabletext"/>
            </w:pPr>
            <w:r w:rsidRPr="006D075E">
              <w:t>TEAE</w:t>
            </w:r>
          </w:p>
        </w:tc>
        <w:tc>
          <w:tcPr>
            <w:tcW w:w="2243" w:type="dxa"/>
          </w:tcPr>
          <w:p w14:paraId="4B5EED50" w14:textId="77777777" w:rsidR="00523376" w:rsidRPr="006D075E" w:rsidRDefault="00523376">
            <w:pPr>
              <w:pStyle w:val="COMTabletext"/>
              <w:jc w:val="center"/>
            </w:pPr>
            <w:r w:rsidRPr="006D075E">
              <w:t>296 (99.7)</w:t>
            </w:r>
          </w:p>
        </w:tc>
        <w:tc>
          <w:tcPr>
            <w:tcW w:w="2243" w:type="dxa"/>
          </w:tcPr>
          <w:p w14:paraId="13C2F719" w14:textId="77777777" w:rsidR="00523376" w:rsidRPr="006D075E" w:rsidRDefault="00523376">
            <w:pPr>
              <w:pStyle w:val="COMTabletext"/>
              <w:jc w:val="center"/>
            </w:pPr>
            <w:r w:rsidRPr="006D075E">
              <w:t>294 (99.0)</w:t>
            </w:r>
          </w:p>
        </w:tc>
      </w:tr>
      <w:tr w:rsidR="00523376" w:rsidRPr="006D075E" w14:paraId="2D5CC8E1" w14:textId="77777777">
        <w:tc>
          <w:tcPr>
            <w:tcW w:w="4531" w:type="dxa"/>
            <w:vAlign w:val="center"/>
          </w:tcPr>
          <w:p w14:paraId="1FC129C0" w14:textId="77777777" w:rsidR="00523376" w:rsidRPr="006D075E" w:rsidRDefault="00523376">
            <w:pPr>
              <w:pStyle w:val="COMTabletext"/>
            </w:pPr>
            <w:r w:rsidRPr="006D075E">
              <w:t>Serious TEAE</w:t>
            </w:r>
          </w:p>
        </w:tc>
        <w:tc>
          <w:tcPr>
            <w:tcW w:w="2243" w:type="dxa"/>
          </w:tcPr>
          <w:p w14:paraId="506B7694" w14:textId="77777777" w:rsidR="00523376" w:rsidRPr="006D075E" w:rsidRDefault="00523376">
            <w:pPr>
              <w:pStyle w:val="COMTabletext"/>
              <w:jc w:val="center"/>
            </w:pPr>
            <w:r w:rsidRPr="006D075E">
              <w:t>205 (69.0)</w:t>
            </w:r>
          </w:p>
        </w:tc>
        <w:tc>
          <w:tcPr>
            <w:tcW w:w="2243" w:type="dxa"/>
          </w:tcPr>
          <w:p w14:paraId="45B0DEB6" w14:textId="77777777" w:rsidR="00523376" w:rsidRPr="006D075E" w:rsidRDefault="00523376">
            <w:pPr>
              <w:pStyle w:val="COMTabletext"/>
              <w:jc w:val="center"/>
            </w:pPr>
            <w:r w:rsidRPr="006D075E">
              <w:t>184 (62.0)</w:t>
            </w:r>
          </w:p>
        </w:tc>
      </w:tr>
      <w:tr w:rsidR="00523376" w:rsidRPr="006D075E" w14:paraId="30584E1C" w14:textId="77777777">
        <w:tc>
          <w:tcPr>
            <w:tcW w:w="4531" w:type="dxa"/>
            <w:vAlign w:val="center"/>
          </w:tcPr>
          <w:p w14:paraId="5B9334A1" w14:textId="77777777" w:rsidR="00523376" w:rsidRPr="006D075E" w:rsidRDefault="00523376">
            <w:pPr>
              <w:pStyle w:val="COMTabletext"/>
            </w:pPr>
            <w:r w:rsidRPr="006D075E">
              <w:t>Treatment-related TEAE</w:t>
            </w:r>
          </w:p>
        </w:tc>
        <w:tc>
          <w:tcPr>
            <w:tcW w:w="2243" w:type="dxa"/>
          </w:tcPr>
          <w:p w14:paraId="3956FCF9" w14:textId="77777777" w:rsidR="00523376" w:rsidRPr="006D075E" w:rsidRDefault="00523376">
            <w:pPr>
              <w:pStyle w:val="COMTabletext"/>
              <w:jc w:val="center"/>
            </w:pPr>
            <w:r w:rsidRPr="006D075E">
              <w:t>281 (94.6)</w:t>
            </w:r>
          </w:p>
        </w:tc>
        <w:tc>
          <w:tcPr>
            <w:tcW w:w="2243" w:type="dxa"/>
          </w:tcPr>
          <w:p w14:paraId="5933B94B" w14:textId="077BE796" w:rsidR="00523376" w:rsidRPr="006D075E" w:rsidRDefault="00523376">
            <w:pPr>
              <w:pStyle w:val="COMTabletext"/>
              <w:jc w:val="center"/>
            </w:pPr>
            <w:r w:rsidRPr="006D075E">
              <w:t>274 (92.3)</w:t>
            </w:r>
          </w:p>
        </w:tc>
      </w:tr>
      <w:tr w:rsidR="00523376" w:rsidRPr="006D075E" w14:paraId="6FBDFD9E" w14:textId="77777777">
        <w:tc>
          <w:tcPr>
            <w:tcW w:w="4531" w:type="dxa"/>
            <w:vAlign w:val="center"/>
          </w:tcPr>
          <w:p w14:paraId="46B9562C" w14:textId="77777777" w:rsidR="00523376" w:rsidRPr="006D075E" w:rsidRDefault="00523376">
            <w:pPr>
              <w:pStyle w:val="COMTabletext"/>
            </w:pPr>
            <w:r w:rsidRPr="006D075E">
              <w:t>TEAE leading to dose withholding</w:t>
            </w:r>
          </w:p>
        </w:tc>
        <w:tc>
          <w:tcPr>
            <w:tcW w:w="2243" w:type="dxa"/>
          </w:tcPr>
          <w:p w14:paraId="4F2BB332" w14:textId="77777777" w:rsidR="00523376" w:rsidRPr="006D075E" w:rsidRDefault="00523376">
            <w:pPr>
              <w:pStyle w:val="COMTabletext"/>
              <w:jc w:val="center"/>
            </w:pPr>
            <w:r w:rsidRPr="006D075E">
              <w:t>242 (81.5)</w:t>
            </w:r>
          </w:p>
        </w:tc>
        <w:tc>
          <w:tcPr>
            <w:tcW w:w="2243" w:type="dxa"/>
          </w:tcPr>
          <w:p w14:paraId="5A865D81" w14:textId="77777777" w:rsidR="00523376" w:rsidRPr="006D075E" w:rsidRDefault="00523376">
            <w:pPr>
              <w:pStyle w:val="COMTabletext"/>
              <w:jc w:val="center"/>
            </w:pPr>
            <w:r w:rsidRPr="006D075E">
              <w:t>207 (69.7)</w:t>
            </w:r>
          </w:p>
        </w:tc>
      </w:tr>
      <w:tr w:rsidR="00523376" w:rsidRPr="006D075E" w14:paraId="737DD4B0" w14:textId="77777777">
        <w:tc>
          <w:tcPr>
            <w:tcW w:w="4531" w:type="dxa"/>
            <w:vAlign w:val="center"/>
          </w:tcPr>
          <w:p w14:paraId="66B79BD8" w14:textId="77777777" w:rsidR="00523376" w:rsidRPr="006D075E" w:rsidRDefault="00523376">
            <w:pPr>
              <w:pStyle w:val="COMTabletext"/>
            </w:pPr>
            <w:r w:rsidRPr="006D075E">
              <w:t>TEAE leading to interrupted infusion (</w:t>
            </w:r>
            <w:proofErr w:type="spellStart"/>
            <w:r w:rsidRPr="006D075E">
              <w:t>bendamustine</w:t>
            </w:r>
            <w:proofErr w:type="spellEnd"/>
            <w:r w:rsidRPr="006D075E">
              <w:t xml:space="preserve"> and/or rituximab)</w:t>
            </w:r>
          </w:p>
        </w:tc>
        <w:tc>
          <w:tcPr>
            <w:tcW w:w="2243" w:type="dxa"/>
            <w:vAlign w:val="center"/>
          </w:tcPr>
          <w:p w14:paraId="2CE29AA4" w14:textId="77777777" w:rsidR="00523376" w:rsidRPr="006D075E" w:rsidRDefault="00523376">
            <w:pPr>
              <w:pStyle w:val="COMTabletext"/>
              <w:jc w:val="center"/>
            </w:pPr>
            <w:r w:rsidRPr="006D075E">
              <w:t>50 (16.8)</w:t>
            </w:r>
          </w:p>
        </w:tc>
        <w:tc>
          <w:tcPr>
            <w:tcW w:w="2243" w:type="dxa"/>
            <w:vAlign w:val="center"/>
          </w:tcPr>
          <w:p w14:paraId="0C535202" w14:textId="77777777" w:rsidR="00523376" w:rsidRPr="006D075E" w:rsidRDefault="00523376">
            <w:pPr>
              <w:pStyle w:val="COMTabletext"/>
              <w:jc w:val="center"/>
            </w:pPr>
            <w:r w:rsidRPr="006D075E">
              <w:t>81 (27.3)</w:t>
            </w:r>
          </w:p>
        </w:tc>
      </w:tr>
      <w:tr w:rsidR="00523376" w:rsidRPr="006D075E" w14:paraId="4363EA97" w14:textId="77777777">
        <w:tc>
          <w:tcPr>
            <w:tcW w:w="4531" w:type="dxa"/>
            <w:vAlign w:val="center"/>
          </w:tcPr>
          <w:p w14:paraId="3D556C75" w14:textId="77777777" w:rsidR="00523376" w:rsidRPr="006D075E" w:rsidRDefault="00523376">
            <w:pPr>
              <w:pStyle w:val="COMTabletext"/>
            </w:pPr>
            <w:r w:rsidRPr="006D075E">
              <w:t>TEAE leading to decreased infusion rate (rituximab only)</w:t>
            </w:r>
          </w:p>
        </w:tc>
        <w:tc>
          <w:tcPr>
            <w:tcW w:w="2243" w:type="dxa"/>
            <w:vAlign w:val="center"/>
          </w:tcPr>
          <w:p w14:paraId="112E9C8C" w14:textId="77777777" w:rsidR="00523376" w:rsidRPr="006D075E" w:rsidRDefault="00523376">
            <w:pPr>
              <w:pStyle w:val="COMTabletext"/>
              <w:jc w:val="center"/>
            </w:pPr>
            <w:r w:rsidRPr="006D075E">
              <w:rPr>
                <w:szCs w:val="20"/>
              </w:rPr>
              <w:t>7 (2.4)</w:t>
            </w:r>
          </w:p>
        </w:tc>
        <w:tc>
          <w:tcPr>
            <w:tcW w:w="2243" w:type="dxa"/>
            <w:vAlign w:val="center"/>
          </w:tcPr>
          <w:p w14:paraId="44386ABF" w14:textId="77777777" w:rsidR="00523376" w:rsidRPr="006D075E" w:rsidRDefault="00523376">
            <w:pPr>
              <w:pStyle w:val="COMTabletext"/>
              <w:jc w:val="center"/>
            </w:pPr>
            <w:r w:rsidRPr="006D075E">
              <w:rPr>
                <w:szCs w:val="20"/>
              </w:rPr>
              <w:t>6 (2.0)</w:t>
            </w:r>
          </w:p>
        </w:tc>
      </w:tr>
      <w:tr w:rsidR="00523376" w:rsidRPr="006D075E" w14:paraId="13D0DB02" w14:textId="77777777">
        <w:tc>
          <w:tcPr>
            <w:tcW w:w="4531" w:type="dxa"/>
            <w:vAlign w:val="center"/>
          </w:tcPr>
          <w:p w14:paraId="6B2B8E73" w14:textId="77777777" w:rsidR="00523376" w:rsidRPr="006D075E" w:rsidRDefault="00523376">
            <w:pPr>
              <w:pStyle w:val="COMTabletext"/>
            </w:pPr>
            <w:r w:rsidRPr="006D075E">
              <w:t xml:space="preserve">TEAE leading to dose reduction (acalabrutinib/placebo and/or </w:t>
            </w:r>
            <w:proofErr w:type="spellStart"/>
            <w:r w:rsidRPr="006D075E">
              <w:t>bendamustine</w:t>
            </w:r>
            <w:proofErr w:type="spellEnd"/>
            <w:r w:rsidRPr="006D075E">
              <w:t>)</w:t>
            </w:r>
          </w:p>
        </w:tc>
        <w:tc>
          <w:tcPr>
            <w:tcW w:w="2243" w:type="dxa"/>
            <w:vAlign w:val="center"/>
          </w:tcPr>
          <w:p w14:paraId="0104CBB1" w14:textId="77777777" w:rsidR="00523376" w:rsidRPr="006D075E" w:rsidRDefault="00523376">
            <w:pPr>
              <w:pStyle w:val="COMTabletext"/>
              <w:jc w:val="center"/>
            </w:pPr>
            <w:r w:rsidRPr="006D075E">
              <w:t>94 (31.6)</w:t>
            </w:r>
          </w:p>
        </w:tc>
        <w:tc>
          <w:tcPr>
            <w:tcW w:w="2243" w:type="dxa"/>
            <w:vAlign w:val="center"/>
          </w:tcPr>
          <w:p w14:paraId="3006E6CC" w14:textId="77777777" w:rsidR="00523376" w:rsidRPr="006D075E" w:rsidRDefault="00523376">
            <w:pPr>
              <w:pStyle w:val="COMTabletext"/>
              <w:jc w:val="center"/>
            </w:pPr>
            <w:r w:rsidRPr="006D075E">
              <w:t>77 (25.9)</w:t>
            </w:r>
          </w:p>
        </w:tc>
      </w:tr>
      <w:tr w:rsidR="00523376" w:rsidRPr="006D075E" w14:paraId="6B2656E1" w14:textId="77777777">
        <w:tc>
          <w:tcPr>
            <w:tcW w:w="4531" w:type="dxa"/>
            <w:vAlign w:val="center"/>
          </w:tcPr>
          <w:p w14:paraId="4E6E91DD" w14:textId="77777777" w:rsidR="00523376" w:rsidRPr="006D075E" w:rsidRDefault="00523376">
            <w:pPr>
              <w:pStyle w:val="COMTabletext"/>
            </w:pPr>
            <w:r w:rsidRPr="006D075E">
              <w:t>TEAE leading to study drug discontinuation</w:t>
            </w:r>
          </w:p>
        </w:tc>
        <w:tc>
          <w:tcPr>
            <w:tcW w:w="2243" w:type="dxa"/>
          </w:tcPr>
          <w:p w14:paraId="02DE9AFA" w14:textId="77777777" w:rsidR="00523376" w:rsidRPr="006D075E" w:rsidRDefault="00523376">
            <w:pPr>
              <w:pStyle w:val="COMTabletext"/>
              <w:jc w:val="center"/>
            </w:pPr>
            <w:r w:rsidRPr="006D075E">
              <w:t>150 (50.5)</w:t>
            </w:r>
          </w:p>
        </w:tc>
        <w:tc>
          <w:tcPr>
            <w:tcW w:w="2243" w:type="dxa"/>
          </w:tcPr>
          <w:p w14:paraId="30EC0FC9" w14:textId="77777777" w:rsidR="00523376" w:rsidRPr="006D075E" w:rsidRDefault="00523376">
            <w:pPr>
              <w:pStyle w:val="COMTabletext"/>
              <w:jc w:val="center"/>
            </w:pPr>
            <w:r w:rsidRPr="006D075E">
              <w:t>105 (35.4)</w:t>
            </w:r>
          </w:p>
        </w:tc>
      </w:tr>
      <w:tr w:rsidR="00523376" w:rsidRPr="006D075E" w14:paraId="3C76EA21" w14:textId="77777777">
        <w:tc>
          <w:tcPr>
            <w:tcW w:w="4531" w:type="dxa"/>
            <w:vAlign w:val="center"/>
          </w:tcPr>
          <w:p w14:paraId="38DFE3CF" w14:textId="77777777" w:rsidR="00523376" w:rsidRPr="006D075E" w:rsidRDefault="00523376">
            <w:pPr>
              <w:pStyle w:val="COMTabletext"/>
            </w:pPr>
            <w:r w:rsidRPr="006D075E">
              <w:t>Grade ≥3 TEAE</w:t>
            </w:r>
          </w:p>
        </w:tc>
        <w:tc>
          <w:tcPr>
            <w:tcW w:w="2243" w:type="dxa"/>
            <w:vAlign w:val="center"/>
          </w:tcPr>
          <w:p w14:paraId="00334F99" w14:textId="77777777" w:rsidR="00523376" w:rsidRPr="006D075E" w:rsidRDefault="00523376">
            <w:pPr>
              <w:pStyle w:val="COMTabletext"/>
              <w:jc w:val="center"/>
            </w:pPr>
            <w:r w:rsidRPr="006D075E">
              <w:t>264 (88.9)</w:t>
            </w:r>
          </w:p>
        </w:tc>
        <w:tc>
          <w:tcPr>
            <w:tcW w:w="2243" w:type="dxa"/>
            <w:vAlign w:val="center"/>
          </w:tcPr>
          <w:p w14:paraId="4B815A6D" w14:textId="77777777" w:rsidR="00523376" w:rsidRPr="006D075E" w:rsidRDefault="00523376">
            <w:pPr>
              <w:pStyle w:val="COMTabletext"/>
              <w:jc w:val="center"/>
            </w:pPr>
            <w:r w:rsidRPr="006D075E">
              <w:t>262 (88.2)</w:t>
            </w:r>
          </w:p>
        </w:tc>
      </w:tr>
      <w:tr w:rsidR="00523376" w:rsidRPr="006D075E" w14:paraId="323428DF" w14:textId="77777777">
        <w:tc>
          <w:tcPr>
            <w:tcW w:w="4531" w:type="dxa"/>
            <w:vAlign w:val="center"/>
          </w:tcPr>
          <w:p w14:paraId="3900D6BF" w14:textId="77777777" w:rsidR="00523376" w:rsidRPr="006D075E" w:rsidRDefault="00523376">
            <w:pPr>
              <w:pStyle w:val="COMTabletext"/>
            </w:pPr>
            <w:r w:rsidRPr="006D075E">
              <w:t>Deaths</w:t>
            </w:r>
          </w:p>
        </w:tc>
        <w:tc>
          <w:tcPr>
            <w:tcW w:w="2243" w:type="dxa"/>
            <w:vAlign w:val="center"/>
          </w:tcPr>
          <w:p w14:paraId="703B204C" w14:textId="77777777" w:rsidR="00523376" w:rsidRPr="006D075E" w:rsidRDefault="00523376">
            <w:pPr>
              <w:pStyle w:val="COMTabletext"/>
              <w:jc w:val="center"/>
            </w:pPr>
            <w:r w:rsidRPr="006D075E">
              <w:t>97 (32.4)</w:t>
            </w:r>
          </w:p>
        </w:tc>
        <w:tc>
          <w:tcPr>
            <w:tcW w:w="2243" w:type="dxa"/>
            <w:vAlign w:val="center"/>
          </w:tcPr>
          <w:p w14:paraId="2752E551" w14:textId="77777777" w:rsidR="00523376" w:rsidRPr="006D075E" w:rsidRDefault="00523376">
            <w:pPr>
              <w:pStyle w:val="COMTabletext"/>
              <w:jc w:val="center"/>
            </w:pPr>
            <w:r w:rsidRPr="006D075E">
              <w:t>106 (35.5)</w:t>
            </w:r>
          </w:p>
        </w:tc>
      </w:tr>
      <w:tr w:rsidR="00523376" w:rsidRPr="006D075E" w14:paraId="1BE34C24" w14:textId="77777777">
        <w:tc>
          <w:tcPr>
            <w:tcW w:w="9017" w:type="dxa"/>
            <w:gridSpan w:val="3"/>
            <w:vAlign w:val="center"/>
          </w:tcPr>
          <w:p w14:paraId="1610C1B0" w14:textId="77777777" w:rsidR="00523376" w:rsidRPr="006D075E" w:rsidRDefault="00523376">
            <w:pPr>
              <w:pStyle w:val="COMTabletext"/>
              <w:rPr>
                <w:b/>
                <w:bCs w:val="0"/>
              </w:rPr>
            </w:pPr>
            <w:r w:rsidRPr="006D075E">
              <w:rPr>
                <w:b/>
                <w:bCs w:val="0"/>
              </w:rPr>
              <w:t>Commonly reported TEAEs (≥25% in either treatment arm)</w:t>
            </w:r>
          </w:p>
        </w:tc>
      </w:tr>
      <w:tr w:rsidR="00523376" w:rsidRPr="006D075E" w14:paraId="1403A1A4" w14:textId="77777777">
        <w:tc>
          <w:tcPr>
            <w:tcW w:w="4531" w:type="dxa"/>
            <w:vAlign w:val="center"/>
          </w:tcPr>
          <w:p w14:paraId="79ECB453" w14:textId="77777777" w:rsidR="00523376" w:rsidRPr="006D075E" w:rsidRDefault="00523376">
            <w:pPr>
              <w:pStyle w:val="COMTabletext"/>
            </w:pPr>
            <w:r w:rsidRPr="006D075E">
              <w:t>Nausea</w:t>
            </w:r>
          </w:p>
        </w:tc>
        <w:tc>
          <w:tcPr>
            <w:tcW w:w="2243" w:type="dxa"/>
          </w:tcPr>
          <w:p w14:paraId="08CEDDA6" w14:textId="77777777" w:rsidR="00523376" w:rsidRPr="006D075E" w:rsidRDefault="00523376">
            <w:pPr>
              <w:pStyle w:val="COMTabletext"/>
              <w:jc w:val="center"/>
            </w:pPr>
            <w:r w:rsidRPr="006D075E">
              <w:t>127 (42.8)</w:t>
            </w:r>
          </w:p>
        </w:tc>
        <w:tc>
          <w:tcPr>
            <w:tcW w:w="2243" w:type="dxa"/>
          </w:tcPr>
          <w:p w14:paraId="0319E8C6" w14:textId="77777777" w:rsidR="00523376" w:rsidRPr="006D075E" w:rsidRDefault="00523376">
            <w:pPr>
              <w:pStyle w:val="COMTabletext"/>
              <w:jc w:val="center"/>
            </w:pPr>
            <w:r w:rsidRPr="006D075E">
              <w:t>112 (37.7)</w:t>
            </w:r>
          </w:p>
        </w:tc>
      </w:tr>
      <w:tr w:rsidR="00523376" w:rsidRPr="006D075E" w14:paraId="10BB07A1" w14:textId="77777777">
        <w:tc>
          <w:tcPr>
            <w:tcW w:w="4531" w:type="dxa"/>
            <w:vAlign w:val="center"/>
          </w:tcPr>
          <w:p w14:paraId="6A5CBC69" w14:textId="77777777" w:rsidR="00523376" w:rsidRPr="006D075E" w:rsidRDefault="00523376">
            <w:pPr>
              <w:pStyle w:val="COMTabletext"/>
            </w:pPr>
            <w:r w:rsidRPr="006D075E">
              <w:t>Neutropenia</w:t>
            </w:r>
          </w:p>
        </w:tc>
        <w:tc>
          <w:tcPr>
            <w:tcW w:w="2243" w:type="dxa"/>
          </w:tcPr>
          <w:p w14:paraId="02B502F5" w14:textId="77777777" w:rsidR="00523376" w:rsidRPr="006D075E" w:rsidRDefault="00523376">
            <w:pPr>
              <w:pStyle w:val="COMTabletext"/>
              <w:jc w:val="center"/>
            </w:pPr>
            <w:r w:rsidRPr="006D075E">
              <w:t>119 (40.1)</w:t>
            </w:r>
          </w:p>
        </w:tc>
        <w:tc>
          <w:tcPr>
            <w:tcW w:w="2243" w:type="dxa"/>
          </w:tcPr>
          <w:p w14:paraId="753F1950" w14:textId="77777777" w:rsidR="00523376" w:rsidRPr="006D075E" w:rsidRDefault="00523376">
            <w:pPr>
              <w:pStyle w:val="COMTabletext"/>
              <w:jc w:val="center"/>
            </w:pPr>
            <w:r w:rsidRPr="006D075E">
              <w:t>123 (41.4)</w:t>
            </w:r>
          </w:p>
        </w:tc>
      </w:tr>
      <w:tr w:rsidR="00523376" w:rsidRPr="006D075E" w14:paraId="1F3A0BCF" w14:textId="77777777">
        <w:tc>
          <w:tcPr>
            <w:tcW w:w="4531" w:type="dxa"/>
            <w:vAlign w:val="center"/>
          </w:tcPr>
          <w:p w14:paraId="722075BD" w14:textId="77777777" w:rsidR="00523376" w:rsidRPr="006D075E" w:rsidRDefault="00523376">
            <w:pPr>
              <w:pStyle w:val="COMTabletext"/>
            </w:pPr>
            <w:r w:rsidRPr="006D075E">
              <w:t>Diarrhoea</w:t>
            </w:r>
          </w:p>
        </w:tc>
        <w:tc>
          <w:tcPr>
            <w:tcW w:w="2243" w:type="dxa"/>
          </w:tcPr>
          <w:p w14:paraId="6251D416" w14:textId="77777777" w:rsidR="00523376" w:rsidRPr="006D075E" w:rsidRDefault="00523376">
            <w:pPr>
              <w:pStyle w:val="COMTabletext"/>
              <w:jc w:val="center"/>
            </w:pPr>
            <w:r w:rsidRPr="006D075E">
              <w:t>111 (37.4)</w:t>
            </w:r>
          </w:p>
        </w:tc>
        <w:tc>
          <w:tcPr>
            <w:tcW w:w="2243" w:type="dxa"/>
          </w:tcPr>
          <w:p w14:paraId="784236B7" w14:textId="77777777" w:rsidR="00523376" w:rsidRPr="006D075E" w:rsidRDefault="00523376">
            <w:pPr>
              <w:pStyle w:val="COMTabletext"/>
              <w:jc w:val="center"/>
            </w:pPr>
            <w:r w:rsidRPr="006D075E">
              <w:t>83 (27.9)</w:t>
            </w:r>
          </w:p>
        </w:tc>
      </w:tr>
      <w:tr w:rsidR="00523376" w:rsidRPr="006D075E" w14:paraId="7868AF82" w14:textId="77777777">
        <w:tc>
          <w:tcPr>
            <w:tcW w:w="4531" w:type="dxa"/>
            <w:vAlign w:val="center"/>
          </w:tcPr>
          <w:p w14:paraId="10E3CB76" w14:textId="77777777" w:rsidR="00523376" w:rsidRPr="006D075E" w:rsidRDefault="00523376">
            <w:pPr>
              <w:pStyle w:val="COMTabletext"/>
            </w:pPr>
            <w:r w:rsidRPr="006D075E">
              <w:t>COVID-19</w:t>
            </w:r>
          </w:p>
        </w:tc>
        <w:tc>
          <w:tcPr>
            <w:tcW w:w="2243" w:type="dxa"/>
          </w:tcPr>
          <w:p w14:paraId="0E011761" w14:textId="77777777" w:rsidR="00523376" w:rsidRPr="006D075E" w:rsidRDefault="00523376">
            <w:pPr>
              <w:pStyle w:val="COMTabletext"/>
              <w:jc w:val="center"/>
            </w:pPr>
            <w:r w:rsidRPr="006D075E">
              <w:t>91 (30.6)</w:t>
            </w:r>
          </w:p>
        </w:tc>
        <w:tc>
          <w:tcPr>
            <w:tcW w:w="2243" w:type="dxa"/>
          </w:tcPr>
          <w:p w14:paraId="5AEAAFD7" w14:textId="77777777" w:rsidR="00523376" w:rsidRPr="006D075E" w:rsidRDefault="00523376">
            <w:pPr>
              <w:pStyle w:val="COMTabletext"/>
              <w:jc w:val="center"/>
            </w:pPr>
            <w:r w:rsidRPr="006D075E">
              <w:t>62 (20.9)</w:t>
            </w:r>
          </w:p>
        </w:tc>
      </w:tr>
      <w:tr w:rsidR="00523376" w:rsidRPr="006D075E" w14:paraId="643D5F2F" w14:textId="77777777">
        <w:tc>
          <w:tcPr>
            <w:tcW w:w="4531" w:type="dxa"/>
            <w:vAlign w:val="center"/>
          </w:tcPr>
          <w:p w14:paraId="6321F759" w14:textId="77777777" w:rsidR="00523376" w:rsidRPr="006D075E" w:rsidRDefault="00523376">
            <w:pPr>
              <w:pStyle w:val="COMTabletext"/>
            </w:pPr>
            <w:r w:rsidRPr="006D075E">
              <w:t>Headache</w:t>
            </w:r>
          </w:p>
        </w:tc>
        <w:tc>
          <w:tcPr>
            <w:tcW w:w="2243" w:type="dxa"/>
          </w:tcPr>
          <w:p w14:paraId="291B0B8B" w14:textId="77777777" w:rsidR="00523376" w:rsidRPr="006D075E" w:rsidRDefault="00523376">
            <w:pPr>
              <w:pStyle w:val="COMTabletext"/>
              <w:jc w:val="center"/>
            </w:pPr>
            <w:r w:rsidRPr="006D075E">
              <w:t>90 (30.3)</w:t>
            </w:r>
          </w:p>
        </w:tc>
        <w:tc>
          <w:tcPr>
            <w:tcW w:w="2243" w:type="dxa"/>
          </w:tcPr>
          <w:p w14:paraId="0D9690CA" w14:textId="77777777" w:rsidR="00523376" w:rsidRPr="006D075E" w:rsidRDefault="00523376">
            <w:pPr>
              <w:pStyle w:val="COMTabletext"/>
              <w:jc w:val="center"/>
            </w:pPr>
            <w:r w:rsidRPr="006D075E">
              <w:t>42 (14.1)</w:t>
            </w:r>
          </w:p>
        </w:tc>
      </w:tr>
      <w:tr w:rsidR="00523376" w:rsidRPr="006D075E" w14:paraId="7F680244" w14:textId="77777777">
        <w:tc>
          <w:tcPr>
            <w:tcW w:w="4531" w:type="dxa"/>
            <w:vAlign w:val="center"/>
          </w:tcPr>
          <w:p w14:paraId="21798B0F" w14:textId="77777777" w:rsidR="00523376" w:rsidRPr="006D075E" w:rsidRDefault="00523376">
            <w:pPr>
              <w:pStyle w:val="COMTabletext"/>
            </w:pPr>
            <w:r w:rsidRPr="006D075E">
              <w:t>Fatigue</w:t>
            </w:r>
          </w:p>
        </w:tc>
        <w:tc>
          <w:tcPr>
            <w:tcW w:w="2243" w:type="dxa"/>
          </w:tcPr>
          <w:p w14:paraId="4ED87106" w14:textId="77777777" w:rsidR="00523376" w:rsidRPr="006D075E" w:rsidRDefault="00523376">
            <w:pPr>
              <w:pStyle w:val="COMTabletext"/>
              <w:jc w:val="center"/>
            </w:pPr>
            <w:r w:rsidRPr="006D075E">
              <w:t>87 (29.3)</w:t>
            </w:r>
          </w:p>
        </w:tc>
        <w:tc>
          <w:tcPr>
            <w:tcW w:w="2243" w:type="dxa"/>
          </w:tcPr>
          <w:p w14:paraId="6074E452" w14:textId="77777777" w:rsidR="00523376" w:rsidRPr="006D075E" w:rsidRDefault="00523376">
            <w:pPr>
              <w:pStyle w:val="COMTabletext"/>
              <w:jc w:val="center"/>
            </w:pPr>
            <w:r w:rsidRPr="006D075E">
              <w:t>72 (24.2)</w:t>
            </w:r>
          </w:p>
        </w:tc>
      </w:tr>
      <w:tr w:rsidR="00523376" w:rsidRPr="006D075E" w14:paraId="02AEB68A" w14:textId="77777777">
        <w:tc>
          <w:tcPr>
            <w:tcW w:w="4531" w:type="dxa"/>
            <w:vAlign w:val="center"/>
          </w:tcPr>
          <w:p w14:paraId="542BDACC" w14:textId="77777777" w:rsidR="00523376" w:rsidRPr="006D075E" w:rsidRDefault="00523376">
            <w:pPr>
              <w:pStyle w:val="COMTabletext"/>
            </w:pPr>
            <w:r w:rsidRPr="006D075E">
              <w:t>Pyrexia</w:t>
            </w:r>
          </w:p>
        </w:tc>
        <w:tc>
          <w:tcPr>
            <w:tcW w:w="2243" w:type="dxa"/>
          </w:tcPr>
          <w:p w14:paraId="317593C2" w14:textId="77777777" w:rsidR="00523376" w:rsidRPr="006D075E" w:rsidRDefault="00523376">
            <w:pPr>
              <w:pStyle w:val="COMTabletext"/>
              <w:jc w:val="center"/>
            </w:pPr>
            <w:r w:rsidRPr="006D075E">
              <w:t>86 (29.0)</w:t>
            </w:r>
          </w:p>
        </w:tc>
        <w:tc>
          <w:tcPr>
            <w:tcW w:w="2243" w:type="dxa"/>
          </w:tcPr>
          <w:p w14:paraId="06B2568B" w14:textId="77777777" w:rsidR="00523376" w:rsidRPr="006D075E" w:rsidRDefault="00523376">
            <w:pPr>
              <w:pStyle w:val="COMTabletext"/>
              <w:jc w:val="center"/>
            </w:pPr>
            <w:r w:rsidRPr="006D075E">
              <w:t>72 (24.2)</w:t>
            </w:r>
          </w:p>
        </w:tc>
      </w:tr>
      <w:tr w:rsidR="00523376" w:rsidRPr="006D075E" w14:paraId="644FEC41" w14:textId="77777777">
        <w:tc>
          <w:tcPr>
            <w:tcW w:w="4531" w:type="dxa"/>
            <w:vAlign w:val="center"/>
          </w:tcPr>
          <w:p w14:paraId="039D8DC6" w14:textId="77777777" w:rsidR="00523376" w:rsidRPr="006D075E" w:rsidRDefault="00523376">
            <w:pPr>
              <w:pStyle w:val="COMTabletext"/>
            </w:pPr>
            <w:r w:rsidRPr="006D075E">
              <w:t>Cough</w:t>
            </w:r>
          </w:p>
        </w:tc>
        <w:tc>
          <w:tcPr>
            <w:tcW w:w="2243" w:type="dxa"/>
          </w:tcPr>
          <w:p w14:paraId="4E549CE7" w14:textId="77777777" w:rsidR="00523376" w:rsidRPr="006D075E" w:rsidRDefault="00523376">
            <w:pPr>
              <w:pStyle w:val="COMTabletext"/>
              <w:jc w:val="center"/>
            </w:pPr>
            <w:r w:rsidRPr="006D075E">
              <w:t>80 (26.9)</w:t>
            </w:r>
          </w:p>
        </w:tc>
        <w:tc>
          <w:tcPr>
            <w:tcW w:w="2243" w:type="dxa"/>
          </w:tcPr>
          <w:p w14:paraId="1F142EB1" w14:textId="77777777" w:rsidR="00523376" w:rsidRPr="006D075E" w:rsidRDefault="00523376">
            <w:pPr>
              <w:pStyle w:val="COMTabletext"/>
              <w:jc w:val="center"/>
            </w:pPr>
            <w:r w:rsidRPr="006D075E">
              <w:t>60 (20.2)</w:t>
            </w:r>
          </w:p>
        </w:tc>
      </w:tr>
      <w:tr w:rsidR="00523376" w:rsidRPr="006D075E" w14:paraId="7BE896D1" w14:textId="77777777">
        <w:tc>
          <w:tcPr>
            <w:tcW w:w="4531" w:type="dxa"/>
            <w:vAlign w:val="center"/>
          </w:tcPr>
          <w:p w14:paraId="69275D0A" w14:textId="77777777" w:rsidR="00523376" w:rsidRPr="006D075E" w:rsidRDefault="00523376">
            <w:pPr>
              <w:pStyle w:val="COMTabletext"/>
            </w:pPr>
            <w:r w:rsidRPr="006D075E">
              <w:t>Vomiting</w:t>
            </w:r>
          </w:p>
        </w:tc>
        <w:tc>
          <w:tcPr>
            <w:tcW w:w="2243" w:type="dxa"/>
          </w:tcPr>
          <w:p w14:paraId="26294A43" w14:textId="77777777" w:rsidR="00523376" w:rsidRPr="006D075E" w:rsidRDefault="00523376">
            <w:pPr>
              <w:pStyle w:val="COMTabletext"/>
              <w:jc w:val="center"/>
            </w:pPr>
            <w:r w:rsidRPr="006D075E">
              <w:t>76 (25.6)</w:t>
            </w:r>
          </w:p>
        </w:tc>
        <w:tc>
          <w:tcPr>
            <w:tcW w:w="2243" w:type="dxa"/>
          </w:tcPr>
          <w:p w14:paraId="1912A8F6" w14:textId="77777777" w:rsidR="00523376" w:rsidRPr="006D075E" w:rsidRDefault="00523376">
            <w:pPr>
              <w:pStyle w:val="COMTabletext"/>
              <w:jc w:val="center"/>
            </w:pPr>
            <w:r w:rsidRPr="006D075E">
              <w:t>41 (13.8)</w:t>
            </w:r>
          </w:p>
        </w:tc>
      </w:tr>
      <w:tr w:rsidR="00523376" w:rsidRPr="006D075E" w14:paraId="6107B21E" w14:textId="77777777">
        <w:tc>
          <w:tcPr>
            <w:tcW w:w="4531" w:type="dxa"/>
            <w:vAlign w:val="center"/>
          </w:tcPr>
          <w:p w14:paraId="24EECBA2" w14:textId="77777777" w:rsidR="00523376" w:rsidRPr="006D075E" w:rsidRDefault="00523376">
            <w:pPr>
              <w:pStyle w:val="COMTabletext"/>
            </w:pPr>
            <w:r w:rsidRPr="006D075E">
              <w:t>Constipation</w:t>
            </w:r>
          </w:p>
        </w:tc>
        <w:tc>
          <w:tcPr>
            <w:tcW w:w="2243" w:type="dxa"/>
          </w:tcPr>
          <w:p w14:paraId="7806DB7E" w14:textId="77777777" w:rsidR="00523376" w:rsidRPr="006D075E" w:rsidRDefault="00523376">
            <w:pPr>
              <w:pStyle w:val="COMTabletext"/>
              <w:jc w:val="center"/>
            </w:pPr>
            <w:r w:rsidRPr="006D075E">
              <w:t>73 (24.6)</w:t>
            </w:r>
          </w:p>
        </w:tc>
        <w:tc>
          <w:tcPr>
            <w:tcW w:w="2243" w:type="dxa"/>
          </w:tcPr>
          <w:p w14:paraId="3A1F6237" w14:textId="77777777" w:rsidR="00523376" w:rsidRPr="006D075E" w:rsidRDefault="00523376">
            <w:pPr>
              <w:pStyle w:val="COMTabletext"/>
              <w:jc w:val="center"/>
            </w:pPr>
            <w:r w:rsidRPr="006D075E">
              <w:t>75 (25.3)</w:t>
            </w:r>
          </w:p>
        </w:tc>
      </w:tr>
    </w:tbl>
    <w:p w14:paraId="33870597" w14:textId="77777777" w:rsidR="00523376" w:rsidRPr="006D075E" w:rsidRDefault="00523376" w:rsidP="00523376">
      <w:pPr>
        <w:pStyle w:val="COMTablefooter"/>
      </w:pPr>
      <w:r w:rsidRPr="006D075E">
        <w:t>Source: Table 2-24, p67; Table 2-25, p69; Table 2-26, p70; Table 2-28, p73; of the submission.</w:t>
      </w:r>
    </w:p>
    <w:p w14:paraId="5DEE367D" w14:textId="77777777" w:rsidR="00523376" w:rsidRPr="006D075E" w:rsidRDefault="00523376" w:rsidP="00523376">
      <w:pPr>
        <w:pStyle w:val="COMTablefooter"/>
      </w:pPr>
      <w:r w:rsidRPr="006D075E">
        <w:t xml:space="preserve">Abbreviations: ABR, acalabrutinib, </w:t>
      </w:r>
      <w:proofErr w:type="spellStart"/>
      <w:r w:rsidRPr="006D075E">
        <w:t>bendamustine</w:t>
      </w:r>
      <w:proofErr w:type="spellEnd"/>
      <w:r w:rsidRPr="006D075E">
        <w:t xml:space="preserve"> and rituximab; PBR, placebo, </w:t>
      </w:r>
      <w:proofErr w:type="spellStart"/>
      <w:r w:rsidRPr="006D075E">
        <w:t>bendamustine</w:t>
      </w:r>
      <w:proofErr w:type="spellEnd"/>
      <w:r w:rsidRPr="006D075E">
        <w:t xml:space="preserve"> and rituximab; TEAE, treatment emergent adverse event</w:t>
      </w:r>
    </w:p>
    <w:p w14:paraId="021872A4" w14:textId="3B4E2471" w:rsidR="00523376" w:rsidRPr="006D075E" w:rsidRDefault="00523376" w:rsidP="00523376">
      <w:pPr>
        <w:pStyle w:val="COMexecsummnumbered"/>
      </w:pPr>
      <w:r w:rsidRPr="006D075E">
        <w:t xml:space="preserve">Most patients experienced at least one adverse event (99.7% of patients in the acalabrutinib arm and 99.0% in the placebo arm), with </w:t>
      </w:r>
      <w:r w:rsidR="007E6385" w:rsidRPr="006D075E">
        <w:t>severe</w:t>
      </w:r>
      <w:r w:rsidRPr="006D075E">
        <w:t xml:space="preserve"> adverse events reported in 88.9% and 88.2% of patients in the acalabrutinib and placebo arms, respectively.</w:t>
      </w:r>
      <w:r w:rsidR="0028673A" w:rsidRPr="006D075E">
        <w:t xml:space="preserve"> The incidences of most </w:t>
      </w:r>
      <w:r w:rsidR="009F19F6" w:rsidRPr="006D075E">
        <w:t>severe adverse events</w:t>
      </w:r>
      <w:r w:rsidR="0028673A" w:rsidRPr="006D075E">
        <w:t xml:space="preserve"> in the acalabrutinib arm were generally </w:t>
      </w:r>
      <w:proofErr w:type="gramStart"/>
      <w:r w:rsidR="0028673A" w:rsidRPr="006D075E">
        <w:t>similar to</w:t>
      </w:r>
      <w:proofErr w:type="gramEnd"/>
      <w:r w:rsidR="0028673A" w:rsidRPr="006D075E">
        <w:t xml:space="preserve"> the placebo arm, </w:t>
      </w:r>
      <w:proofErr w:type="gramStart"/>
      <w:r w:rsidR="0028673A" w:rsidRPr="006D075E">
        <w:t>with the exception of</w:t>
      </w:r>
      <w:proofErr w:type="gramEnd"/>
      <w:r w:rsidR="0028673A" w:rsidRPr="006D075E">
        <w:t xml:space="preserve"> neutrophil count decreased (15.5% and 10.1%), </w:t>
      </w:r>
      <w:r w:rsidR="00F857C1" w:rsidRPr="006D075E">
        <w:t>white blood cell count</w:t>
      </w:r>
      <w:r w:rsidR="0028673A" w:rsidRPr="006D075E">
        <w:t xml:space="preserve"> decreased (10.1% and 3.7%), COVID-19 pneumonia (13.5% and 10.4%), maculo-papular </w:t>
      </w:r>
      <w:r w:rsidR="00175093" w:rsidRPr="006D075E">
        <w:t xml:space="preserve">rash </w:t>
      </w:r>
      <w:r w:rsidR="0028673A" w:rsidRPr="006D075E">
        <w:t xml:space="preserve">(7.1% and 0.7%), and febrile neutropenia </w:t>
      </w:r>
      <w:r w:rsidR="0028673A" w:rsidRPr="006D075E">
        <w:lastRenderedPageBreak/>
        <w:t>(5.1% and 2.4%), respectively.</w:t>
      </w:r>
      <w:r w:rsidRPr="006D075E">
        <w:t xml:space="preserve"> The submission stated that the incidence of some adverse events was higher in the acalabrutinib arm than the placebo arm, which was expected given the addition of acalabrutinib to the</w:t>
      </w:r>
      <w:r w:rsidR="0069343F" w:rsidRPr="006D075E">
        <w:t xml:space="preserve"> background</w:t>
      </w:r>
      <w:r w:rsidRPr="006D075E">
        <w:t xml:space="preserve"> treatment regimen, and the longer exposure to </w:t>
      </w:r>
      <w:r w:rsidR="00200A6F" w:rsidRPr="006D075E">
        <w:t>treatment</w:t>
      </w:r>
      <w:r w:rsidRPr="006D075E">
        <w:t xml:space="preserve"> in the acalabrutinib arm. The submission stated that the adverse event profile was consistent with the known safety profile of individual treatments used in each arm, including that of acalabrutinib</w:t>
      </w:r>
      <w:r w:rsidR="00BC59E5" w:rsidRPr="006D075E">
        <w:t>,</w:t>
      </w:r>
      <w:r w:rsidRPr="006D075E">
        <w:t xml:space="preserve"> and</w:t>
      </w:r>
      <w:r w:rsidR="002D2B0D" w:rsidRPr="006D075E">
        <w:t xml:space="preserve"> of</w:t>
      </w:r>
      <w:r w:rsidRPr="006D075E">
        <w:t xml:space="preserve"> the </w:t>
      </w:r>
      <w:proofErr w:type="spellStart"/>
      <w:r w:rsidRPr="006D075E">
        <w:t>bendamustine</w:t>
      </w:r>
      <w:proofErr w:type="spellEnd"/>
      <w:r w:rsidRPr="006D075E">
        <w:t xml:space="preserve"> and rituximab regimen.</w:t>
      </w:r>
    </w:p>
    <w:p w14:paraId="74C7CEC5" w14:textId="7C42A361" w:rsidR="00523376" w:rsidRPr="006D075E" w:rsidRDefault="002F20BC" w:rsidP="00523376">
      <w:pPr>
        <w:pStyle w:val="COMexecsummnumbered"/>
      </w:pPr>
      <w:r w:rsidRPr="006D075E">
        <w:t>The most frequently occurring (</w:t>
      </w:r>
      <w:r w:rsidR="00C64A6D" w:rsidRPr="006D075E">
        <w:t>≥</w:t>
      </w:r>
      <w:r w:rsidRPr="006D075E">
        <w:t>5% of patients) serious adverse events reported in the acalabrutinib and placebo arms, respectively, were COVID-19 pneumonia (13.8% and 11.4%), pneumonia (9.4% and 7.1%), COVID-19 (8.8% and 6.4%), and fever (5.7% and 5.1%). Grade 3 to 4 serious adverse events in the acalabrutinib and placebo arms, respectively, were COVID-19 pneumonia (8.1% and 6.7%), pneumonia (7.1% and 6.1%), and COVID-19 (5.1% and 4.0%). Serious adverse events resulting in death included COVID-19 pneumonia (5.1% and 3.4%), COVID-19 (2.7% and 2.0%), pneumonia (1.0% and 0%), sepsis (0.3% and 0.7%) and pulmonary embolism (0 and 0.7%), in the acalabrutinib and placebo arms, respectively.</w:t>
      </w:r>
    </w:p>
    <w:p w14:paraId="323D3F95" w14:textId="0BCCE2EF" w:rsidR="002F20BC" w:rsidRPr="006D075E" w:rsidRDefault="00310CCA" w:rsidP="00310CCA">
      <w:pPr>
        <w:pStyle w:val="COMexecsummnumbered"/>
      </w:pPr>
      <w:r w:rsidRPr="006D075E">
        <w:t>There were 97 deaths in the acalabrutinib arm and 106 in the placebo arm during the study, including the crossover period. The cause of death was adverse events in 46 (15.4%) and 41 (13.7%) patients in the acalabrutinib and placebo arms, respectively, and disease progression in 30 (10.0%) and 43 (14.4%) patients.</w:t>
      </w:r>
    </w:p>
    <w:p w14:paraId="04908C7F" w14:textId="415B9B7D" w:rsidR="007F1017" w:rsidRPr="006D075E" w:rsidRDefault="007F1017" w:rsidP="003D5DE7">
      <w:pPr>
        <w:pStyle w:val="COMH2-non-numbered"/>
      </w:pPr>
      <w:bookmarkStart w:id="35" w:name="_Toc22897643"/>
      <w:bookmarkStart w:id="36" w:name="_Toc198649037"/>
      <w:r w:rsidRPr="006D075E">
        <w:t>Benefits/harms</w:t>
      </w:r>
      <w:bookmarkEnd w:id="35"/>
      <w:bookmarkEnd w:id="36"/>
    </w:p>
    <w:p w14:paraId="2720AC53" w14:textId="44A0FFC9" w:rsidR="00FC1884" w:rsidRPr="006D075E" w:rsidRDefault="00EC00C9" w:rsidP="00E9094A">
      <w:pPr>
        <w:pStyle w:val="COMexecsummnumbered"/>
      </w:pPr>
      <w:proofErr w:type="gramStart"/>
      <w:r w:rsidRPr="006D075E">
        <w:t>On the basis of</w:t>
      </w:r>
      <w:proofErr w:type="gramEnd"/>
      <w:r w:rsidRPr="006D075E">
        <w:t xml:space="preserve"> direct evidence presented </w:t>
      </w:r>
      <w:r w:rsidR="00367CDF" w:rsidRPr="006D075E">
        <w:t>in</w:t>
      </w:r>
      <w:r w:rsidRPr="006D075E">
        <w:t xml:space="preserve"> the submission, </w:t>
      </w:r>
      <w:r w:rsidR="00367CDF" w:rsidRPr="006D075E">
        <w:t xml:space="preserve">over a median duration of follow-up of 45 months, </w:t>
      </w:r>
      <w:r w:rsidRPr="006D075E">
        <w:t xml:space="preserve">for every 100 patients treated with </w:t>
      </w:r>
      <w:r w:rsidR="003B56FB" w:rsidRPr="006D075E">
        <w:t xml:space="preserve">acalabrutinib with </w:t>
      </w:r>
      <w:proofErr w:type="spellStart"/>
      <w:r w:rsidR="003B56FB" w:rsidRPr="006D075E">
        <w:t>bendamustine</w:t>
      </w:r>
      <w:proofErr w:type="spellEnd"/>
      <w:r w:rsidR="003B56FB" w:rsidRPr="006D075E">
        <w:t xml:space="preserve"> and rituximab </w:t>
      </w:r>
      <w:r w:rsidR="00600833" w:rsidRPr="006D075E">
        <w:t>compared to</w:t>
      </w:r>
      <w:r w:rsidR="003B56FB" w:rsidRPr="006D075E">
        <w:t xml:space="preserve"> </w:t>
      </w:r>
      <w:proofErr w:type="spellStart"/>
      <w:r w:rsidR="003B56FB" w:rsidRPr="006D075E">
        <w:t>bendamustine</w:t>
      </w:r>
      <w:proofErr w:type="spellEnd"/>
      <w:r w:rsidR="003B56FB" w:rsidRPr="006D075E">
        <w:t xml:space="preserve"> and rituximab alone</w:t>
      </w:r>
      <w:r w:rsidR="001C2A9B" w:rsidRPr="006D075E">
        <w:t>:</w:t>
      </w:r>
    </w:p>
    <w:p w14:paraId="7FD27ADA" w14:textId="0ED10F03" w:rsidR="00AE099C" w:rsidRPr="006D075E" w:rsidRDefault="00AE099C" w:rsidP="0007519D">
      <w:pPr>
        <w:pStyle w:val="COMexecsummbulletlist"/>
      </w:pPr>
      <w:r w:rsidRPr="006D075E">
        <w:t xml:space="preserve">Approximately </w:t>
      </w:r>
      <w:r w:rsidR="0088503A" w:rsidRPr="006D075E">
        <w:t>9</w:t>
      </w:r>
      <w:r w:rsidRPr="006D075E">
        <w:t xml:space="preserve"> fewer patients </w:t>
      </w:r>
      <w:r w:rsidR="00FA42ED" w:rsidRPr="006D075E">
        <w:t xml:space="preserve">(based on the full analysis set) </w:t>
      </w:r>
      <w:r w:rsidR="005F63F7" w:rsidRPr="006D075E">
        <w:t>or</w:t>
      </w:r>
      <w:r w:rsidR="00FA42ED" w:rsidRPr="006D075E">
        <w:t xml:space="preserve"> 13 fewer patients (based on the analysis censoring for </w:t>
      </w:r>
      <w:r w:rsidR="005E7DB8" w:rsidRPr="006D075E">
        <w:t>COVID-19 related deaths)</w:t>
      </w:r>
      <w:r w:rsidR="00FA42ED" w:rsidRPr="006D075E">
        <w:t xml:space="preserve"> </w:t>
      </w:r>
      <w:r w:rsidRPr="006D075E">
        <w:t xml:space="preserve">would experience </w:t>
      </w:r>
      <w:r w:rsidR="0088503A" w:rsidRPr="006D075E">
        <w:t>a progression event (</w:t>
      </w:r>
      <w:r w:rsidRPr="006D075E">
        <w:t>disease progression</w:t>
      </w:r>
      <w:r w:rsidR="0088503A" w:rsidRPr="006D075E">
        <w:t xml:space="preserve"> or death)</w:t>
      </w:r>
      <w:r w:rsidR="00510344" w:rsidRPr="006D075E">
        <w:t xml:space="preserve"> at 4 years</w:t>
      </w:r>
      <w:r w:rsidR="0088503A" w:rsidRPr="006D075E">
        <w:t>.</w:t>
      </w:r>
    </w:p>
    <w:p w14:paraId="42747506" w14:textId="449273AB" w:rsidR="004A220B" w:rsidRPr="006D075E" w:rsidRDefault="00386953" w:rsidP="0007519D">
      <w:pPr>
        <w:pStyle w:val="COMexecsummbulletlist"/>
      </w:pPr>
      <w:r w:rsidRPr="006D075E">
        <w:t xml:space="preserve">There </w:t>
      </w:r>
      <w:r w:rsidR="00A7030D" w:rsidRPr="006D075E">
        <w:t>would be</w:t>
      </w:r>
      <w:r w:rsidRPr="006D075E">
        <w:t xml:space="preserve"> n</w:t>
      </w:r>
      <w:r w:rsidR="005F63F7" w:rsidRPr="006D075E">
        <w:t>o apparent difference in deaths.</w:t>
      </w:r>
    </w:p>
    <w:p w14:paraId="1D93E2C6" w14:textId="2134E75C" w:rsidR="00FC1884" w:rsidRPr="006D075E" w:rsidRDefault="00DB4C58" w:rsidP="0007519D">
      <w:pPr>
        <w:pStyle w:val="COMexecsummbulletlist"/>
      </w:pPr>
      <w:r w:rsidRPr="006D075E">
        <w:t xml:space="preserve">Approximately 7 </w:t>
      </w:r>
      <w:r w:rsidR="00810462" w:rsidRPr="006D075E">
        <w:t>additional patients would experience a serious adverse event</w:t>
      </w:r>
      <w:r w:rsidR="0051052F" w:rsidRPr="006D075E">
        <w:t xml:space="preserve"> (mainly infections and infestations such as COVID-19 and/or pneumonia)</w:t>
      </w:r>
      <w:r w:rsidR="003D2A92" w:rsidRPr="006D075E">
        <w:t>.</w:t>
      </w:r>
    </w:p>
    <w:p w14:paraId="7A1772B6" w14:textId="23BB3145" w:rsidR="00B60939" w:rsidRPr="006D075E" w:rsidRDefault="00B60939" w:rsidP="003D5DE7">
      <w:pPr>
        <w:pStyle w:val="COMH2-non-numbered"/>
      </w:pPr>
      <w:bookmarkStart w:id="37" w:name="_Toc22897644"/>
      <w:bookmarkStart w:id="38" w:name="_Toc198649038"/>
      <w:r w:rsidRPr="006D075E">
        <w:t>Clinical claim</w:t>
      </w:r>
      <w:bookmarkEnd w:id="37"/>
      <w:bookmarkEnd w:id="38"/>
    </w:p>
    <w:p w14:paraId="20D3FEF7" w14:textId="3174AE15" w:rsidR="00152E25" w:rsidRPr="006D075E" w:rsidRDefault="00152E25" w:rsidP="00152E25">
      <w:pPr>
        <w:pStyle w:val="COMexecsummnumbered"/>
      </w:pPr>
      <w:bookmarkStart w:id="39" w:name="_Ref201474983"/>
      <w:bookmarkStart w:id="40" w:name="_Hlk196121399"/>
      <w:r w:rsidRPr="006D075E">
        <w:t xml:space="preserve">The submission described acalabrutinib in combination with </w:t>
      </w:r>
      <w:proofErr w:type="spellStart"/>
      <w:r w:rsidRPr="006D075E">
        <w:t>bendamustine</w:t>
      </w:r>
      <w:proofErr w:type="spellEnd"/>
      <w:r w:rsidRPr="006D075E">
        <w:t xml:space="preserve"> and rituximab as superior in terms of effectiveness and inferior in terms of safety compared with placebo in combination with </w:t>
      </w:r>
      <w:proofErr w:type="spellStart"/>
      <w:r w:rsidRPr="006D075E">
        <w:t>bendamustine</w:t>
      </w:r>
      <w:proofErr w:type="spellEnd"/>
      <w:r w:rsidRPr="006D075E">
        <w:t xml:space="preserve"> and rituximab. The </w:t>
      </w:r>
      <w:r w:rsidR="00C857ED" w:rsidRPr="006D075E">
        <w:t xml:space="preserve">evaluation considered that the </w:t>
      </w:r>
      <w:r w:rsidRPr="006D075E">
        <w:t>therapeutic conclusion presented in the submission was adequately supported by the evidence presented in the submission. However, the</w:t>
      </w:r>
      <w:r w:rsidR="00C857ED" w:rsidRPr="006D075E">
        <w:t xml:space="preserve"> evaluation considered that the</w:t>
      </w:r>
      <w:r w:rsidRPr="006D075E">
        <w:t xml:space="preserve"> </w:t>
      </w:r>
      <w:r w:rsidR="004267C9" w:rsidRPr="006D075E">
        <w:t>magnitude of benefit associated with acalabrutinib is uncertain, given</w:t>
      </w:r>
      <w:r w:rsidRPr="006D075E">
        <w:t>:</w:t>
      </w:r>
      <w:bookmarkEnd w:id="39"/>
    </w:p>
    <w:p w14:paraId="13701B55" w14:textId="34F3A212" w:rsidR="00701C3E" w:rsidRPr="006D075E" w:rsidRDefault="00701C3E" w:rsidP="00701C3E">
      <w:pPr>
        <w:pStyle w:val="COMexecsummbulletlist"/>
      </w:pPr>
      <w:r w:rsidRPr="006D075E">
        <w:lastRenderedPageBreak/>
        <w:t xml:space="preserve">The clinical evidence was based on an interim analysis of the ECHO trial with immature survival data, with the final analysis </w:t>
      </w:r>
      <w:r w:rsidR="0046669B" w:rsidRPr="006D075E">
        <w:t>expected in 2027</w:t>
      </w:r>
      <w:r w:rsidRPr="006D075E">
        <w:t>.</w:t>
      </w:r>
      <w:r w:rsidR="00712034" w:rsidRPr="006D075E">
        <w:t xml:space="preserve"> The PSCR </w:t>
      </w:r>
      <w:r w:rsidR="00726DE4" w:rsidRPr="006D075E">
        <w:t>considered that the median follow-up of 46.1</w:t>
      </w:r>
      <w:r w:rsidR="00F0606B" w:rsidRPr="006D075E">
        <w:t xml:space="preserve"> and</w:t>
      </w:r>
      <w:r w:rsidR="00726DE4" w:rsidRPr="006D075E">
        <w:t xml:space="preserve"> </w:t>
      </w:r>
      <w:r w:rsidR="00F0606B" w:rsidRPr="006D075E">
        <w:t xml:space="preserve">44.4 </w:t>
      </w:r>
      <w:r w:rsidR="00726DE4" w:rsidRPr="006D075E">
        <w:t xml:space="preserve">months for the </w:t>
      </w:r>
      <w:r w:rsidR="00F0606B" w:rsidRPr="006D075E">
        <w:t xml:space="preserve">acalabrutinib, and the </w:t>
      </w:r>
      <w:proofErr w:type="spellStart"/>
      <w:r w:rsidR="00F0606B" w:rsidRPr="006D075E">
        <w:t>bendamustine</w:t>
      </w:r>
      <w:proofErr w:type="spellEnd"/>
      <w:r w:rsidR="00F0606B" w:rsidRPr="006D075E">
        <w:t xml:space="preserve"> and rituximab </w:t>
      </w:r>
      <w:r w:rsidR="00726DE4" w:rsidRPr="006D075E">
        <w:t>arm</w:t>
      </w:r>
      <w:r w:rsidR="00F0606B" w:rsidRPr="006D075E">
        <w:t xml:space="preserve">s, respectively, is </w:t>
      </w:r>
      <w:r w:rsidR="00726DE4" w:rsidRPr="006D075E">
        <w:t xml:space="preserve">sufficient to support the clinical </w:t>
      </w:r>
      <w:r w:rsidR="00F0606B" w:rsidRPr="006D075E">
        <w:t>claim</w:t>
      </w:r>
      <w:r w:rsidR="00726DE4" w:rsidRPr="006D075E">
        <w:t>.</w:t>
      </w:r>
      <w:r w:rsidR="00DA7E65" w:rsidRPr="006D075E">
        <w:t xml:space="preserve"> However, (as discussed in paragraph </w:t>
      </w:r>
      <w:r w:rsidR="00C27383" w:rsidRPr="006D075E">
        <w:fldChar w:fldCharType="begin"/>
      </w:r>
      <w:r w:rsidR="00C27383" w:rsidRPr="006D075E">
        <w:instrText xml:space="preserve"> REF _Ref201254597 \r \h </w:instrText>
      </w:r>
      <w:r w:rsidR="00E758CA" w:rsidRPr="006D075E">
        <w:instrText xml:space="preserve"> \* MERGEFORMAT </w:instrText>
      </w:r>
      <w:r w:rsidR="00C27383" w:rsidRPr="006D075E">
        <w:fldChar w:fldCharType="separate"/>
      </w:r>
      <w:r w:rsidR="00A542E9">
        <w:t>6.17</w:t>
      </w:r>
      <w:r w:rsidR="00C27383" w:rsidRPr="006D075E">
        <w:fldChar w:fldCharType="end"/>
      </w:r>
      <w:r w:rsidR="00C27383" w:rsidRPr="006D075E">
        <w:t>) median overall survival was not reached in either treatment arm</w:t>
      </w:r>
      <w:r w:rsidR="00D752CA" w:rsidRPr="006D075E">
        <w:t>.</w:t>
      </w:r>
    </w:p>
    <w:p w14:paraId="7FE8FD0E" w14:textId="24535C25" w:rsidR="00152E25" w:rsidRPr="006D075E" w:rsidRDefault="00701C3E" w:rsidP="00701C3E">
      <w:pPr>
        <w:pStyle w:val="COMexecsummbulletlist"/>
      </w:pPr>
      <w:r w:rsidRPr="006D075E">
        <w:t>The trial allowed patients in the acalabrutinib arm to receive subsequent therapy with a BTK inhibitor (</w:t>
      </w:r>
      <w:r w:rsidR="007B3B62">
        <w:t xml:space="preserve">4.3% of </w:t>
      </w:r>
      <w:r w:rsidRPr="006D075E">
        <w:t xml:space="preserve">patients in the acalabrutinib arm received a subsequent </w:t>
      </w:r>
      <w:r w:rsidR="00D401AA">
        <w:t>BTK</w:t>
      </w:r>
      <w:r w:rsidR="00E247D8">
        <w:t xml:space="preserve"> </w:t>
      </w:r>
      <w:r w:rsidR="00D401AA">
        <w:t>i</w:t>
      </w:r>
      <w:r w:rsidR="00E247D8">
        <w:t>nhibitor</w:t>
      </w:r>
      <w:r w:rsidR="00D401AA">
        <w:t xml:space="preserve"> for </w:t>
      </w:r>
      <w:r w:rsidR="008B591E">
        <w:t>MCL</w:t>
      </w:r>
      <w:r w:rsidRPr="006D075E">
        <w:t xml:space="preserve">), which </w:t>
      </w:r>
      <w:r w:rsidR="006F7CB7" w:rsidRPr="006D075E">
        <w:t xml:space="preserve">would not be permitted based on the current PBS listings for BTK inhibitors for relapsed/refractory </w:t>
      </w:r>
      <w:r w:rsidR="008B591E">
        <w:t>MCL</w:t>
      </w:r>
      <w:r w:rsidR="001B2103">
        <w:t xml:space="preserve"> (see paragraph </w:t>
      </w:r>
      <w:r w:rsidR="001B2103">
        <w:fldChar w:fldCharType="begin"/>
      </w:r>
      <w:r w:rsidR="001B2103">
        <w:instrText xml:space="preserve"> REF _Ref204083407 \r \h </w:instrText>
      </w:r>
      <w:r w:rsidR="001B2103">
        <w:fldChar w:fldCharType="separate"/>
      </w:r>
      <w:r w:rsidR="00A542E9">
        <w:t>3.5</w:t>
      </w:r>
      <w:r w:rsidR="001B2103">
        <w:fldChar w:fldCharType="end"/>
      </w:r>
      <w:r w:rsidR="001B2103">
        <w:t>)</w:t>
      </w:r>
      <w:r w:rsidR="006F7CB7" w:rsidRPr="006D075E">
        <w:t>.</w:t>
      </w:r>
      <w:r w:rsidR="000E1638" w:rsidRPr="006D075E" w:rsidDel="000E1638">
        <w:t xml:space="preserve"> </w:t>
      </w:r>
      <w:r w:rsidR="001F3FE1" w:rsidRPr="006D075E">
        <w:t>The PSCR</w:t>
      </w:r>
      <w:r w:rsidR="009336FE" w:rsidRPr="006D075E">
        <w:t xml:space="preserve"> </w:t>
      </w:r>
      <w:r w:rsidR="001F3FE1" w:rsidRPr="006D075E">
        <w:t xml:space="preserve">contended that </w:t>
      </w:r>
      <w:r w:rsidR="009A3424" w:rsidRPr="006D075E">
        <w:t>th</w:t>
      </w:r>
      <w:r w:rsidR="005250DF" w:rsidRPr="006D075E">
        <w:t>is</w:t>
      </w:r>
      <w:r w:rsidR="009A3424" w:rsidRPr="006D075E">
        <w:t xml:space="preserve"> </w:t>
      </w:r>
      <w:r w:rsidR="009336FE" w:rsidRPr="006D075E">
        <w:t>small proportion</w:t>
      </w:r>
      <w:r w:rsidR="005250DF" w:rsidRPr="006D075E">
        <w:t xml:space="preserve"> of patients</w:t>
      </w:r>
      <w:r w:rsidR="009336FE" w:rsidRPr="006D075E">
        <w:t xml:space="preserve"> is unlikely to introduce confounding.</w:t>
      </w:r>
      <w:r w:rsidR="00216BDD" w:rsidRPr="006D075E">
        <w:t xml:space="preserve"> </w:t>
      </w:r>
      <w:r w:rsidR="002F0E43" w:rsidRPr="006D075E">
        <w:t xml:space="preserve">The ESC considered that </w:t>
      </w:r>
      <w:r w:rsidR="00AE12B3" w:rsidRPr="006D075E">
        <w:t xml:space="preserve">on the PBS it is likely that a small number of patients would continue </w:t>
      </w:r>
      <w:r w:rsidR="001C449A">
        <w:t>acalabrut</w:t>
      </w:r>
      <w:r w:rsidR="00E456F9">
        <w:t>i</w:t>
      </w:r>
      <w:r w:rsidR="001C449A">
        <w:t xml:space="preserve">nib </w:t>
      </w:r>
      <w:r w:rsidR="00AE12B3" w:rsidRPr="006D075E">
        <w:t xml:space="preserve">post progression </w:t>
      </w:r>
      <w:r w:rsidR="00D469C8" w:rsidRPr="006D075E">
        <w:t>so</w:t>
      </w:r>
      <w:r w:rsidR="00AE12B3" w:rsidRPr="006D075E">
        <w:t xml:space="preserve"> </w:t>
      </w:r>
      <w:r w:rsidR="006A361D" w:rsidRPr="006D075E">
        <w:t xml:space="preserve">long as they are obtaining clinical benefit, </w:t>
      </w:r>
      <w:r w:rsidR="00AE12B3" w:rsidRPr="006D075E">
        <w:t xml:space="preserve">as there are </w:t>
      </w:r>
      <w:r w:rsidR="000554A1" w:rsidRPr="006D075E">
        <w:t xml:space="preserve">limited </w:t>
      </w:r>
      <w:r w:rsidR="00AE12B3" w:rsidRPr="006D075E">
        <w:t xml:space="preserve">options for </w:t>
      </w:r>
      <w:r w:rsidR="000554A1" w:rsidRPr="006D075E">
        <w:t xml:space="preserve">further </w:t>
      </w:r>
      <w:r w:rsidR="00AE12B3" w:rsidRPr="006D075E">
        <w:t xml:space="preserve">treatment. </w:t>
      </w:r>
      <w:r w:rsidR="00337F81" w:rsidRPr="006D075E">
        <w:t xml:space="preserve">It was considered </w:t>
      </w:r>
      <w:r w:rsidR="00AE12B3" w:rsidRPr="006D075E">
        <w:t xml:space="preserve">4.3% would </w:t>
      </w:r>
      <w:r w:rsidR="00337F81" w:rsidRPr="006D075E">
        <w:t>be a</w:t>
      </w:r>
      <w:r w:rsidR="00AE12B3" w:rsidRPr="006D075E">
        <w:t xml:space="preserve"> reasonable </w:t>
      </w:r>
      <w:r w:rsidR="00337F81" w:rsidRPr="006D075E">
        <w:t>representation</w:t>
      </w:r>
      <w:r w:rsidR="00AE12B3" w:rsidRPr="006D075E">
        <w:t xml:space="preserve"> </w:t>
      </w:r>
      <w:r w:rsidR="00C32486" w:rsidRPr="006D075E">
        <w:t xml:space="preserve">of </w:t>
      </w:r>
      <w:r w:rsidR="00AE12B3" w:rsidRPr="006D075E">
        <w:t>this population</w:t>
      </w:r>
      <w:r w:rsidR="00337F81" w:rsidRPr="006D075E">
        <w:t>.</w:t>
      </w:r>
      <w:r w:rsidR="00C1209D">
        <w:t xml:space="preserve"> </w:t>
      </w:r>
      <w:r w:rsidR="002F0E43" w:rsidRPr="006D075E">
        <w:t xml:space="preserve">The ESC </w:t>
      </w:r>
      <w:r w:rsidR="00337F81" w:rsidRPr="006D075E">
        <w:t xml:space="preserve">also </w:t>
      </w:r>
      <w:r w:rsidR="002F0E43" w:rsidRPr="006D075E">
        <w:t>considered that costs and outcomes should be treated consistently</w:t>
      </w:r>
      <w:r w:rsidR="00337F81" w:rsidRPr="006D075E">
        <w:t xml:space="preserve"> in the economics</w:t>
      </w:r>
      <w:r w:rsidR="002F0E43" w:rsidRPr="006D075E">
        <w:t xml:space="preserve">, and </w:t>
      </w:r>
      <w:r w:rsidR="002605CC" w:rsidRPr="006D075E">
        <w:t>given</w:t>
      </w:r>
      <w:r w:rsidR="002F0E43" w:rsidRPr="006D075E">
        <w:t xml:space="preserve"> that survival and quality of life impacts </w:t>
      </w:r>
      <w:r w:rsidR="00D251EF" w:rsidRPr="006D075E">
        <w:t>cannot</w:t>
      </w:r>
      <w:r w:rsidR="002F0E43" w:rsidRPr="006D075E">
        <w:t xml:space="preserve"> be removed, it is reasonable to continue to include costs for consistency</w:t>
      </w:r>
      <w:r w:rsidR="004044ED" w:rsidRPr="006D075E">
        <w:t xml:space="preserve"> (refer to paragraph </w:t>
      </w:r>
      <w:r w:rsidR="004044ED" w:rsidRPr="006D075E">
        <w:fldChar w:fldCharType="begin"/>
      </w:r>
      <w:r w:rsidR="004044ED" w:rsidRPr="006D075E">
        <w:instrText xml:space="preserve"> REF _Ref201475047 \r \h </w:instrText>
      </w:r>
      <w:r w:rsidR="00E758CA" w:rsidRPr="006D075E">
        <w:instrText xml:space="preserve"> \* MERGEFORMAT </w:instrText>
      </w:r>
      <w:r w:rsidR="004044ED" w:rsidRPr="006D075E">
        <w:fldChar w:fldCharType="separate"/>
      </w:r>
      <w:r w:rsidR="00A542E9">
        <w:t>6.43</w:t>
      </w:r>
      <w:r w:rsidR="004044ED" w:rsidRPr="006D075E">
        <w:fldChar w:fldCharType="end"/>
      </w:r>
      <w:r w:rsidR="004044ED" w:rsidRPr="006D075E">
        <w:t>)</w:t>
      </w:r>
      <w:r w:rsidR="002F0E43" w:rsidRPr="006D075E">
        <w:t>.</w:t>
      </w:r>
    </w:p>
    <w:p w14:paraId="7F613CD1" w14:textId="5D188BE0" w:rsidR="005F7588" w:rsidRPr="0036743D" w:rsidRDefault="004267C9">
      <w:pPr>
        <w:pStyle w:val="COMexecsummbulletlist"/>
      </w:pPr>
      <w:r w:rsidRPr="0036743D">
        <w:t>The uncertain applicability to current clinical practice of the more favourable analyses with censoring of COVID-19 related deaths, particularly given causes of death are a competing risk</w:t>
      </w:r>
      <w:bookmarkEnd w:id="40"/>
      <w:r w:rsidR="005717DF">
        <w:t>. T</w:t>
      </w:r>
      <w:r w:rsidR="00394103" w:rsidRPr="0036743D">
        <w:t>he</w:t>
      </w:r>
      <w:r w:rsidR="007D1B10" w:rsidRPr="0036743D">
        <w:t xml:space="preserve"> ESC considered th</w:t>
      </w:r>
      <w:r w:rsidR="00394103" w:rsidRPr="0036743D">
        <w:t>e</w:t>
      </w:r>
      <w:r w:rsidR="007D1B10" w:rsidRPr="0036743D">
        <w:t xml:space="preserve"> full analysis set was </w:t>
      </w:r>
      <w:r w:rsidR="00394103" w:rsidRPr="0036743D">
        <w:t xml:space="preserve">a </w:t>
      </w:r>
      <w:r w:rsidR="00BB5A14">
        <w:t xml:space="preserve">more </w:t>
      </w:r>
      <w:r w:rsidR="00394103" w:rsidRPr="0036743D">
        <w:t>reasonable representation of outcomes in clinical practice</w:t>
      </w:r>
      <w:r w:rsidR="00685D03">
        <w:t>, however t</w:t>
      </w:r>
      <w:r w:rsidR="00E32B47" w:rsidRPr="0036743D">
        <w:t xml:space="preserve">he </w:t>
      </w:r>
      <w:proofErr w:type="gramStart"/>
      <w:r w:rsidR="00E32B47" w:rsidRPr="0036743D">
        <w:t>Pre-PBAC</w:t>
      </w:r>
      <w:proofErr w:type="gramEnd"/>
      <w:r w:rsidR="00E32B47" w:rsidRPr="0036743D">
        <w:t xml:space="preserve"> response </w:t>
      </w:r>
      <w:r w:rsidR="009C1059" w:rsidRPr="0036743D">
        <w:t>defended the</w:t>
      </w:r>
      <w:r w:rsidR="00223BB8">
        <w:t xml:space="preserve"> censoring of</w:t>
      </w:r>
      <w:r w:rsidR="009C1059" w:rsidRPr="0036743D">
        <w:t xml:space="preserve"> COVID</w:t>
      </w:r>
      <w:r w:rsidR="008811C5" w:rsidRPr="0036743D">
        <w:t>-</w:t>
      </w:r>
      <w:r w:rsidR="009C1059" w:rsidRPr="0036743D">
        <w:t xml:space="preserve">19 </w:t>
      </w:r>
      <w:r w:rsidR="00223BB8">
        <w:t>related deaths</w:t>
      </w:r>
      <w:r w:rsidR="00685D03">
        <w:t xml:space="preserve"> (see </w:t>
      </w:r>
      <w:r w:rsidR="00685D03" w:rsidRPr="0036743D">
        <w:t xml:space="preserve">paragraph </w:t>
      </w:r>
      <w:r w:rsidR="0029051E">
        <w:fldChar w:fldCharType="begin"/>
      </w:r>
      <w:r w:rsidR="0029051E">
        <w:instrText xml:space="preserve"> REF _Ref204087985 \r \h </w:instrText>
      </w:r>
      <w:r w:rsidR="0029051E">
        <w:fldChar w:fldCharType="separate"/>
      </w:r>
      <w:r w:rsidR="00A542E9">
        <w:t>6.14</w:t>
      </w:r>
      <w:r w:rsidR="0029051E">
        <w:fldChar w:fldCharType="end"/>
      </w:r>
      <w:r w:rsidR="00685D03">
        <w:t>)</w:t>
      </w:r>
      <w:r w:rsidR="00655151" w:rsidRPr="0036743D">
        <w:t xml:space="preserve">. </w:t>
      </w:r>
    </w:p>
    <w:p w14:paraId="3880D97E" w14:textId="5E74ACA3" w:rsidR="003D6539" w:rsidRPr="00FD6113" w:rsidRDefault="00977B17" w:rsidP="003D6539">
      <w:pPr>
        <w:pStyle w:val="COMexecsummnumbered"/>
      </w:pPr>
      <w:r w:rsidRPr="006D075E">
        <w:t>The ESC considered that</w:t>
      </w:r>
      <w:r w:rsidR="009B73B7" w:rsidRPr="006D075E">
        <w:t xml:space="preserve"> superior comparative effectiveness for PFS was reasonable, however OS benefit remained unclear</w:t>
      </w:r>
      <w:r w:rsidR="006F7F83" w:rsidRPr="006D075E">
        <w:t xml:space="preserve"> given immature data</w:t>
      </w:r>
      <w:r w:rsidR="009B73B7" w:rsidRPr="006D075E">
        <w:t>.</w:t>
      </w:r>
      <w:r w:rsidRPr="006D075E">
        <w:t xml:space="preserve"> </w:t>
      </w:r>
      <w:r w:rsidR="003D6539" w:rsidRPr="006D075E">
        <w:t>The ESC considered that acalabrutinib offer</w:t>
      </w:r>
      <w:r w:rsidR="00181399" w:rsidRPr="006D075E">
        <w:t>ed</w:t>
      </w:r>
      <w:r w:rsidR="003D6539" w:rsidRPr="006D075E">
        <w:t xml:space="preserve"> an improvement in </w:t>
      </w:r>
      <w:r w:rsidR="003D6539" w:rsidRPr="00FD6113">
        <w:t xml:space="preserve">patient outcomes in a relatively rare lymphoma, </w:t>
      </w:r>
      <w:r w:rsidR="00BC2FA1" w:rsidRPr="00FD6113">
        <w:t>noting</w:t>
      </w:r>
      <w:r w:rsidR="003D6539" w:rsidRPr="00FD6113">
        <w:t xml:space="preserve"> the </w:t>
      </w:r>
      <w:r w:rsidR="000117CC" w:rsidRPr="00FD6113">
        <w:t>increased</w:t>
      </w:r>
      <w:r w:rsidR="008F3206" w:rsidRPr="00FD6113">
        <w:t xml:space="preserve"> ri</w:t>
      </w:r>
      <w:r w:rsidR="001B2F6E" w:rsidRPr="00FD6113">
        <w:t>s</w:t>
      </w:r>
      <w:r w:rsidR="008F3206" w:rsidRPr="00FD6113">
        <w:t>k of an adverse event</w:t>
      </w:r>
      <w:r w:rsidR="003D6539" w:rsidRPr="00FD6113">
        <w:t>.</w:t>
      </w:r>
    </w:p>
    <w:p w14:paraId="24BC7A27" w14:textId="64FC26D2" w:rsidR="00491C3D" w:rsidRPr="00FD6113" w:rsidRDefault="00491C3D" w:rsidP="00665B68">
      <w:pPr>
        <w:pStyle w:val="COMexecsummnumbered"/>
      </w:pPr>
      <w:r w:rsidRPr="00FD6113">
        <w:t xml:space="preserve">The PBAC considered that the claim of </w:t>
      </w:r>
      <w:r w:rsidR="009C5ED9" w:rsidRPr="00FD6113">
        <w:t>s</w:t>
      </w:r>
      <w:r w:rsidRPr="00FD6113">
        <w:t>uperior comparative effectiveness was reasonable</w:t>
      </w:r>
      <w:r w:rsidR="00665B68" w:rsidRPr="00FD6113">
        <w:t xml:space="preserve">, </w:t>
      </w:r>
      <w:r w:rsidR="00665B68" w:rsidRPr="00665B68">
        <w:t>supported by the data for the primary outcome (</w:t>
      </w:r>
      <w:r w:rsidR="00665B68" w:rsidRPr="00FD6113">
        <w:t>i</w:t>
      </w:r>
      <w:r w:rsidR="00DB27B4">
        <w:t>.</w:t>
      </w:r>
      <w:r w:rsidR="00665B68" w:rsidRPr="00FD6113">
        <w:t>e</w:t>
      </w:r>
      <w:r w:rsidR="00DB27B4">
        <w:t>.</w:t>
      </w:r>
      <w:r w:rsidR="00665B68" w:rsidRPr="00FD6113">
        <w:t xml:space="preserve"> </w:t>
      </w:r>
      <w:r w:rsidR="00FD6113" w:rsidRPr="00FD6113">
        <w:t>progression free survival</w:t>
      </w:r>
      <w:r w:rsidR="00665B68" w:rsidRPr="00665B68">
        <w:t>).</w:t>
      </w:r>
    </w:p>
    <w:p w14:paraId="230D4A57" w14:textId="74B1D259" w:rsidR="00491C3D" w:rsidRPr="00FD6113" w:rsidRDefault="00491C3D" w:rsidP="00491C3D">
      <w:pPr>
        <w:pStyle w:val="COMexecsummnumbered"/>
      </w:pPr>
      <w:bookmarkStart w:id="41" w:name="_Hlk204582909"/>
      <w:r w:rsidRPr="00FD6113">
        <w:t>The PBAC considered that the claim of inferior comparative safety was reasonable.</w:t>
      </w:r>
    </w:p>
    <w:p w14:paraId="74A1172E" w14:textId="128C170E" w:rsidR="00B60939" w:rsidRPr="006D075E" w:rsidRDefault="00B60939" w:rsidP="003D5DE7">
      <w:pPr>
        <w:pStyle w:val="COMH2-non-numbered"/>
      </w:pPr>
      <w:bookmarkStart w:id="42" w:name="_Toc22897645"/>
      <w:bookmarkStart w:id="43" w:name="_Toc198649039"/>
      <w:bookmarkEnd w:id="41"/>
      <w:r w:rsidRPr="006D075E">
        <w:t>Economic analysis</w:t>
      </w:r>
      <w:bookmarkEnd w:id="42"/>
      <w:bookmarkEnd w:id="43"/>
      <w:r w:rsidR="00491B3A" w:rsidRPr="006D075E">
        <w:t xml:space="preserve"> </w:t>
      </w:r>
    </w:p>
    <w:p w14:paraId="32E789D8" w14:textId="7AC8C5F0" w:rsidR="006649B4" w:rsidRPr="006D075E" w:rsidRDefault="006649B4" w:rsidP="006649B4">
      <w:pPr>
        <w:pStyle w:val="COMexecsummnumbered"/>
        <w:rPr>
          <w:b/>
          <w:bCs/>
        </w:rPr>
      </w:pPr>
      <w:r w:rsidRPr="006D075E">
        <w:t xml:space="preserve">The submission presented a stepped economic evaluation of acalabrutinib in combination with </w:t>
      </w:r>
      <w:proofErr w:type="spellStart"/>
      <w:r w:rsidRPr="006D075E">
        <w:t>bendamustine</w:t>
      </w:r>
      <w:proofErr w:type="spellEnd"/>
      <w:r w:rsidRPr="006D075E">
        <w:t xml:space="preserve"> and rituximab versus placebo in combination with </w:t>
      </w:r>
      <w:proofErr w:type="spellStart"/>
      <w:r w:rsidRPr="006D075E">
        <w:t>bendamustine</w:t>
      </w:r>
      <w:proofErr w:type="spellEnd"/>
      <w:r w:rsidRPr="006D075E">
        <w:t xml:space="preserve"> and rituximab in patients with previously untreated stage III or IV </w:t>
      </w:r>
      <w:r w:rsidR="008B591E">
        <w:t>MCL</w:t>
      </w:r>
      <w:r w:rsidRPr="006D075E">
        <w:t>. The economic evaluation was based on the results of the ECHO trial, with additional modelled data. The economic evaluation was presented as a cost-effectiveness/cost-</w:t>
      </w:r>
      <w:r w:rsidRPr="006D075E">
        <w:lastRenderedPageBreak/>
        <w:t>utility analysis.</w:t>
      </w:r>
      <w:r w:rsidR="0016343C">
        <w:t xml:space="preserve"> The PSCR provided a revised economic model with corrected application of time to </w:t>
      </w:r>
      <w:r w:rsidR="00D37EBA">
        <w:t xml:space="preserve">first subsequent therapy (see paragraph </w:t>
      </w:r>
      <w:r w:rsidR="00D37EBA">
        <w:fldChar w:fldCharType="begin"/>
      </w:r>
      <w:r w:rsidR="00D37EBA">
        <w:instrText xml:space="preserve"> REF _Ref204786678 \r \h </w:instrText>
      </w:r>
      <w:r w:rsidR="00D37EBA">
        <w:fldChar w:fldCharType="separate"/>
      </w:r>
      <w:r w:rsidR="00A542E9">
        <w:t>6.50</w:t>
      </w:r>
      <w:r w:rsidR="00D37EBA">
        <w:fldChar w:fldCharType="end"/>
      </w:r>
      <w:r w:rsidR="00D37EBA">
        <w:t>).</w:t>
      </w:r>
    </w:p>
    <w:p w14:paraId="16C8653C" w14:textId="3EDF10FF" w:rsidR="008C5739" w:rsidRPr="006D075E" w:rsidRDefault="006649B4" w:rsidP="006649B4">
      <w:pPr>
        <w:pStyle w:val="COMexecsummnumbered"/>
        <w:rPr>
          <w:color w:val="0066FF"/>
        </w:rPr>
      </w:pPr>
      <w:r w:rsidRPr="006D075E">
        <w:fldChar w:fldCharType="begin"/>
      </w:r>
      <w:r w:rsidRPr="006D075E">
        <w:instrText xml:space="preserve"> REF _Ref196131065 \h </w:instrText>
      </w:r>
      <w:r w:rsidRPr="006D075E">
        <w:fldChar w:fldCharType="separate"/>
      </w:r>
      <w:r w:rsidR="00A542E9" w:rsidRPr="006D075E">
        <w:t xml:space="preserve">Table </w:t>
      </w:r>
      <w:r w:rsidR="00A542E9">
        <w:rPr>
          <w:noProof/>
        </w:rPr>
        <w:t>7</w:t>
      </w:r>
      <w:r w:rsidRPr="006D075E">
        <w:fldChar w:fldCharType="end"/>
      </w:r>
      <w:r w:rsidRPr="006D075E">
        <w:t xml:space="preserve"> summarises the key components of the economic evaluation.</w:t>
      </w:r>
      <w:r w:rsidR="0098262F" w:rsidRPr="006D075E">
        <w:rPr>
          <w:color w:val="0066FF"/>
        </w:rPr>
        <w:t xml:space="preserve"> </w:t>
      </w:r>
    </w:p>
    <w:p w14:paraId="1B3B5844" w14:textId="415C92CA" w:rsidR="0039564C" w:rsidRPr="006D075E" w:rsidRDefault="0039564C" w:rsidP="000D31CB">
      <w:pPr>
        <w:pStyle w:val="COMtablefigcaption"/>
        <w:keepLines/>
      </w:pPr>
      <w:bookmarkStart w:id="44" w:name="_Ref196131065"/>
      <w:r w:rsidRPr="006D075E">
        <w:t xml:space="preserve">Table </w:t>
      </w:r>
      <w:r w:rsidR="00370FC7" w:rsidRPr="006D075E">
        <w:fldChar w:fldCharType="begin"/>
      </w:r>
      <w:r w:rsidR="00370FC7" w:rsidRPr="006D075E">
        <w:instrText xml:space="preserve"> SEQ Table \* ARABIC </w:instrText>
      </w:r>
      <w:r w:rsidR="00370FC7" w:rsidRPr="006D075E">
        <w:fldChar w:fldCharType="separate"/>
      </w:r>
      <w:r w:rsidR="00A542E9">
        <w:rPr>
          <w:noProof/>
        </w:rPr>
        <w:t>7</w:t>
      </w:r>
      <w:r w:rsidR="00370FC7" w:rsidRPr="006D075E">
        <w:fldChar w:fldCharType="end"/>
      </w:r>
      <w:bookmarkEnd w:id="44"/>
      <w:r w:rsidRPr="006D075E">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Key components of the economic evaluation"/>
      </w:tblPr>
      <w:tblGrid>
        <w:gridCol w:w="1315"/>
        <w:gridCol w:w="7702"/>
      </w:tblGrid>
      <w:tr w:rsidR="001A47C4" w:rsidRPr="006D075E" w14:paraId="10382727" w14:textId="77777777" w:rsidTr="003E4010">
        <w:trPr>
          <w:tblHeader/>
        </w:trPr>
        <w:tc>
          <w:tcPr>
            <w:tcW w:w="729" w:type="pct"/>
            <w:vAlign w:val="center"/>
          </w:tcPr>
          <w:p w14:paraId="5C3DA1A3" w14:textId="77777777" w:rsidR="001A47C4" w:rsidRPr="006D075E" w:rsidRDefault="001A47C4" w:rsidP="000D31CB">
            <w:pPr>
              <w:pStyle w:val="COMTableheadingrow"/>
              <w:keepLines/>
              <w:rPr>
                <w:lang w:val="en-AU"/>
              </w:rPr>
            </w:pPr>
            <w:r w:rsidRPr="006D075E">
              <w:rPr>
                <w:lang w:val="en-AU"/>
              </w:rPr>
              <w:t>Component</w:t>
            </w:r>
          </w:p>
        </w:tc>
        <w:tc>
          <w:tcPr>
            <w:tcW w:w="4271" w:type="pct"/>
          </w:tcPr>
          <w:p w14:paraId="436EE446" w14:textId="77777777" w:rsidR="001A47C4" w:rsidRPr="006D075E" w:rsidRDefault="001A47C4" w:rsidP="000D31CB">
            <w:pPr>
              <w:pStyle w:val="COMTableheadingrow"/>
              <w:keepLines/>
              <w:rPr>
                <w:lang w:val="en-AU"/>
              </w:rPr>
            </w:pPr>
            <w:r w:rsidRPr="006D075E">
              <w:rPr>
                <w:lang w:val="en-AU"/>
              </w:rPr>
              <w:t>Description</w:t>
            </w:r>
          </w:p>
        </w:tc>
      </w:tr>
      <w:tr w:rsidR="001A47C4" w:rsidRPr="006D075E" w14:paraId="398DC0CC" w14:textId="77777777" w:rsidTr="003E4010">
        <w:tc>
          <w:tcPr>
            <w:tcW w:w="729" w:type="pct"/>
            <w:vAlign w:val="center"/>
          </w:tcPr>
          <w:p w14:paraId="5542AEDA" w14:textId="77777777" w:rsidR="001A47C4" w:rsidRPr="006D075E" w:rsidRDefault="001A47C4" w:rsidP="000D31CB">
            <w:pPr>
              <w:pStyle w:val="COMTabletext"/>
              <w:keepLines/>
            </w:pPr>
            <w:r w:rsidRPr="006D075E">
              <w:t>Type of analysis</w:t>
            </w:r>
          </w:p>
        </w:tc>
        <w:tc>
          <w:tcPr>
            <w:tcW w:w="4271" w:type="pct"/>
          </w:tcPr>
          <w:p w14:paraId="7A3AB70F" w14:textId="77777777" w:rsidR="001A47C4" w:rsidRPr="006D075E" w:rsidRDefault="001A47C4" w:rsidP="000D31CB">
            <w:pPr>
              <w:pStyle w:val="COMTabletext"/>
              <w:keepLines/>
            </w:pPr>
            <w:r w:rsidRPr="006D075E">
              <w:t>Cost-effectiveness analysis and cost-utility analysis</w:t>
            </w:r>
          </w:p>
        </w:tc>
      </w:tr>
      <w:tr w:rsidR="001A47C4" w:rsidRPr="006D075E" w14:paraId="58217361" w14:textId="77777777" w:rsidTr="003E4010">
        <w:tc>
          <w:tcPr>
            <w:tcW w:w="729" w:type="pct"/>
            <w:vAlign w:val="center"/>
          </w:tcPr>
          <w:p w14:paraId="0E2A1FD0" w14:textId="77777777" w:rsidR="001A47C4" w:rsidRPr="006D075E" w:rsidRDefault="001A47C4" w:rsidP="000D31CB">
            <w:pPr>
              <w:pStyle w:val="COMTabletext"/>
              <w:keepLines/>
            </w:pPr>
            <w:r w:rsidRPr="006D075E">
              <w:t>Treatments</w:t>
            </w:r>
          </w:p>
        </w:tc>
        <w:tc>
          <w:tcPr>
            <w:tcW w:w="4271" w:type="pct"/>
          </w:tcPr>
          <w:p w14:paraId="01132FE7" w14:textId="77777777" w:rsidR="001A47C4" w:rsidRPr="006D075E" w:rsidRDefault="001A47C4" w:rsidP="000D31CB">
            <w:pPr>
              <w:pStyle w:val="COMTabletext"/>
              <w:keepLines/>
            </w:pPr>
            <w:r w:rsidRPr="006D075E">
              <w:t xml:space="preserve">Acalabrutinib with </w:t>
            </w:r>
            <w:proofErr w:type="spellStart"/>
            <w:r w:rsidRPr="006D075E">
              <w:t>bendamustine</w:t>
            </w:r>
            <w:proofErr w:type="spellEnd"/>
            <w:r w:rsidRPr="006D075E">
              <w:t xml:space="preserve"> and rituximab versus placebo with </w:t>
            </w:r>
            <w:proofErr w:type="spellStart"/>
            <w:r w:rsidRPr="006D075E">
              <w:t>bendamustine</w:t>
            </w:r>
            <w:proofErr w:type="spellEnd"/>
            <w:r w:rsidRPr="006D075E">
              <w:t xml:space="preserve"> and rituximab</w:t>
            </w:r>
          </w:p>
        </w:tc>
      </w:tr>
      <w:tr w:rsidR="001A47C4" w:rsidRPr="006D075E" w14:paraId="35D88E57" w14:textId="77777777" w:rsidTr="003E4010">
        <w:tc>
          <w:tcPr>
            <w:tcW w:w="729" w:type="pct"/>
            <w:vAlign w:val="center"/>
          </w:tcPr>
          <w:p w14:paraId="16542E81" w14:textId="77777777" w:rsidR="001A47C4" w:rsidRPr="006D075E" w:rsidRDefault="001A47C4" w:rsidP="000D31CB">
            <w:pPr>
              <w:pStyle w:val="COMTabletext"/>
              <w:keepLines/>
            </w:pPr>
            <w:r w:rsidRPr="006D075E">
              <w:t>Outcomes</w:t>
            </w:r>
          </w:p>
        </w:tc>
        <w:tc>
          <w:tcPr>
            <w:tcW w:w="4271" w:type="pct"/>
          </w:tcPr>
          <w:p w14:paraId="3688B6C6" w14:textId="77777777" w:rsidR="001A47C4" w:rsidRPr="006D075E" w:rsidRDefault="001A47C4" w:rsidP="000D31CB">
            <w:pPr>
              <w:pStyle w:val="COMTabletext"/>
              <w:keepLines/>
            </w:pPr>
            <w:r w:rsidRPr="006D075E">
              <w:t>Progression free life years; life years; quality-adjusted life years</w:t>
            </w:r>
          </w:p>
        </w:tc>
      </w:tr>
      <w:tr w:rsidR="001A47C4" w:rsidRPr="006D075E" w14:paraId="2B77BC75" w14:textId="77777777" w:rsidTr="003E4010">
        <w:tc>
          <w:tcPr>
            <w:tcW w:w="729" w:type="pct"/>
            <w:vAlign w:val="center"/>
          </w:tcPr>
          <w:p w14:paraId="4FD9733A" w14:textId="77777777" w:rsidR="001A47C4" w:rsidRPr="006D075E" w:rsidRDefault="001A47C4" w:rsidP="000D31CB">
            <w:pPr>
              <w:pStyle w:val="COMTabletext"/>
              <w:keepLines/>
            </w:pPr>
            <w:r w:rsidRPr="006D075E">
              <w:t>Time horizon</w:t>
            </w:r>
          </w:p>
        </w:tc>
        <w:tc>
          <w:tcPr>
            <w:tcW w:w="4271" w:type="pct"/>
          </w:tcPr>
          <w:p w14:paraId="642646D1" w14:textId="77777777" w:rsidR="001A47C4" w:rsidRPr="006D075E" w:rsidRDefault="001A47C4" w:rsidP="000D31CB">
            <w:pPr>
              <w:pStyle w:val="COMTabletext"/>
              <w:keepLines/>
            </w:pPr>
            <w:r w:rsidRPr="006D075E">
              <w:t>20 years in the model base case versus a mean follow-up of 41 months in the ECHO trial</w:t>
            </w:r>
          </w:p>
        </w:tc>
      </w:tr>
      <w:tr w:rsidR="001A47C4" w:rsidRPr="006D075E" w14:paraId="03356A50" w14:textId="77777777" w:rsidTr="003E4010">
        <w:tc>
          <w:tcPr>
            <w:tcW w:w="729" w:type="pct"/>
            <w:vAlign w:val="center"/>
          </w:tcPr>
          <w:p w14:paraId="2B85AA00" w14:textId="77777777" w:rsidR="001A47C4" w:rsidRPr="006D075E" w:rsidRDefault="001A47C4" w:rsidP="000D31CB">
            <w:pPr>
              <w:pStyle w:val="COMTabletext"/>
              <w:keepLines/>
            </w:pPr>
            <w:r w:rsidRPr="006D075E">
              <w:t>Cycle length</w:t>
            </w:r>
          </w:p>
        </w:tc>
        <w:tc>
          <w:tcPr>
            <w:tcW w:w="4271" w:type="pct"/>
          </w:tcPr>
          <w:p w14:paraId="41D77F24" w14:textId="77777777" w:rsidR="001A47C4" w:rsidRPr="006D075E" w:rsidRDefault="001A47C4" w:rsidP="000D31CB">
            <w:pPr>
              <w:pStyle w:val="COMTabletext"/>
              <w:keepLines/>
            </w:pPr>
            <w:r w:rsidRPr="006D075E">
              <w:t>28 days</w:t>
            </w:r>
          </w:p>
        </w:tc>
      </w:tr>
      <w:tr w:rsidR="001A47C4" w:rsidRPr="006D075E" w14:paraId="44CBEAE7" w14:textId="77777777" w:rsidTr="003E4010">
        <w:tc>
          <w:tcPr>
            <w:tcW w:w="729" w:type="pct"/>
            <w:vAlign w:val="center"/>
          </w:tcPr>
          <w:p w14:paraId="333C378F" w14:textId="77777777" w:rsidR="001A47C4" w:rsidRPr="006D075E" w:rsidRDefault="001A47C4">
            <w:pPr>
              <w:pStyle w:val="COMTabletext"/>
              <w:keepNext w:val="0"/>
            </w:pPr>
            <w:r w:rsidRPr="006D075E">
              <w:t>Methods used to generate results</w:t>
            </w:r>
          </w:p>
        </w:tc>
        <w:tc>
          <w:tcPr>
            <w:tcW w:w="4271" w:type="pct"/>
            <w:vAlign w:val="center"/>
          </w:tcPr>
          <w:p w14:paraId="282C4125" w14:textId="77777777" w:rsidR="001A47C4" w:rsidRPr="006D075E" w:rsidRDefault="001A47C4">
            <w:pPr>
              <w:pStyle w:val="COMTabletext"/>
              <w:keepNext w:val="0"/>
            </w:pPr>
            <w:r w:rsidRPr="006D075E">
              <w:t>Partitioned survival analysis</w:t>
            </w:r>
          </w:p>
        </w:tc>
      </w:tr>
      <w:tr w:rsidR="001A47C4" w:rsidRPr="006D075E" w14:paraId="4C47C7BE" w14:textId="77777777" w:rsidTr="003E4010">
        <w:tc>
          <w:tcPr>
            <w:tcW w:w="729" w:type="pct"/>
            <w:vAlign w:val="center"/>
          </w:tcPr>
          <w:p w14:paraId="5DFF7E2D" w14:textId="77777777" w:rsidR="001A47C4" w:rsidRPr="006D075E" w:rsidRDefault="001A47C4">
            <w:pPr>
              <w:pStyle w:val="COMTabletext"/>
              <w:keepNext w:val="0"/>
            </w:pPr>
            <w:r w:rsidRPr="006D075E">
              <w:t>Health states</w:t>
            </w:r>
          </w:p>
        </w:tc>
        <w:tc>
          <w:tcPr>
            <w:tcW w:w="4271" w:type="pct"/>
          </w:tcPr>
          <w:p w14:paraId="2D987185" w14:textId="77777777" w:rsidR="001A47C4" w:rsidRPr="006D075E" w:rsidRDefault="001A47C4">
            <w:pPr>
              <w:pStyle w:val="COMTabletext"/>
              <w:keepNext w:val="0"/>
            </w:pPr>
            <w:r w:rsidRPr="006D075E">
              <w:t>Progression free; progressed disease; dead</w:t>
            </w:r>
          </w:p>
        </w:tc>
      </w:tr>
      <w:tr w:rsidR="001A47C4" w:rsidRPr="006D075E" w14:paraId="244B951F" w14:textId="77777777" w:rsidTr="003E4010">
        <w:tc>
          <w:tcPr>
            <w:tcW w:w="729" w:type="pct"/>
            <w:vAlign w:val="center"/>
          </w:tcPr>
          <w:p w14:paraId="78C6A859" w14:textId="77777777" w:rsidR="001A47C4" w:rsidRPr="006D075E" w:rsidRDefault="001A47C4">
            <w:pPr>
              <w:pStyle w:val="COMTabletext"/>
              <w:keepNext w:val="0"/>
            </w:pPr>
            <w:r w:rsidRPr="006D075E">
              <w:t>Allocation to health states</w:t>
            </w:r>
          </w:p>
        </w:tc>
        <w:tc>
          <w:tcPr>
            <w:tcW w:w="4271" w:type="pct"/>
          </w:tcPr>
          <w:p w14:paraId="783566D9" w14:textId="77777777" w:rsidR="001A47C4" w:rsidRPr="006D075E" w:rsidRDefault="001A47C4">
            <w:pPr>
              <w:pStyle w:val="COMTabletext"/>
              <w:keepNext w:val="0"/>
              <w:spacing w:after="60"/>
            </w:pPr>
            <w:r w:rsidRPr="006D075E">
              <w:t>The proportions of patients who were progression free, progressed and dead were informed by modelled overall survival (OS) and progression free survival (PFS) curves. PFS was further partitioned into on- and off-treatment using time on treatment (TOT) curves.</w:t>
            </w:r>
          </w:p>
          <w:p w14:paraId="33B7913D" w14:textId="77777777" w:rsidR="001A47C4" w:rsidRPr="006D075E" w:rsidRDefault="001A47C4">
            <w:pPr>
              <w:pStyle w:val="COMTabletext"/>
              <w:keepNext w:val="0"/>
            </w:pPr>
            <w:r w:rsidRPr="006D075E">
              <w:t>Kaplan-Meier estimates for OS, PFS and TOT, censored for COVID-19 related deaths in the model base case, were derived from the ECHO trial and were used directly in the model up to 45 months (based on the median duration of follow up), then extrapolated using standard parametric functions. OS, PFS and TOT were adjusted to ensure that the risks of death, disease progression, and treatment discontinuation were not lower than the risk of general population mortality in any cycle, based on Australian life tables (ABS 2024).</w:t>
            </w:r>
          </w:p>
        </w:tc>
      </w:tr>
      <w:tr w:rsidR="001A47C4" w:rsidRPr="006D075E" w14:paraId="31CE4B7E" w14:textId="77777777" w:rsidTr="003E4010">
        <w:tc>
          <w:tcPr>
            <w:tcW w:w="729" w:type="pct"/>
            <w:vAlign w:val="center"/>
          </w:tcPr>
          <w:p w14:paraId="02A49670" w14:textId="77777777" w:rsidR="001A47C4" w:rsidRPr="006D075E" w:rsidRDefault="001A47C4">
            <w:pPr>
              <w:pStyle w:val="COMTabletext"/>
              <w:keepNext w:val="0"/>
            </w:pPr>
            <w:r w:rsidRPr="006D075E">
              <w:t>Utility values</w:t>
            </w:r>
          </w:p>
        </w:tc>
        <w:tc>
          <w:tcPr>
            <w:tcW w:w="4271" w:type="pct"/>
            <w:vAlign w:val="center"/>
          </w:tcPr>
          <w:p w14:paraId="7F2C07CC" w14:textId="77777777" w:rsidR="001A47C4" w:rsidRPr="006D075E" w:rsidRDefault="001A47C4">
            <w:pPr>
              <w:pStyle w:val="COMTabletext"/>
              <w:keepNext w:val="0"/>
              <w:spacing w:after="60"/>
            </w:pPr>
            <w:r w:rsidRPr="006D075E">
              <w:t>The utility associated with the progression free health state (0.830) was based on EQ-5D-5L data from the ECHO trial, cross-walked to EQ-5D-3L (UK value set) based on descriptive summary statistics for pre-progression patients in the placebo arm.</w:t>
            </w:r>
          </w:p>
          <w:p w14:paraId="57341765" w14:textId="77777777" w:rsidR="001A47C4" w:rsidRPr="006D075E" w:rsidRDefault="001A47C4">
            <w:pPr>
              <w:pStyle w:val="COMTabletext"/>
              <w:keepNext w:val="0"/>
              <w:spacing w:after="60"/>
            </w:pPr>
            <w:r w:rsidRPr="006D075E">
              <w:t>Limited utility data were available for patients following disease progression in the ECHO trial. The utility associated with the progressed disease health state (0.759) was based on the utility decrement associated with progressed disease derived from the LYM-3002 trial (reported in the van Keep 2016 economic evaluation). The difference between the pre-progression and post-progression utilities of 0.071 was subtracted from the progression free health state utility of 0.830 derived from the ECHO trial.</w:t>
            </w:r>
          </w:p>
          <w:p w14:paraId="04725908" w14:textId="77777777" w:rsidR="001A47C4" w:rsidRPr="006D075E" w:rsidRDefault="001A47C4">
            <w:pPr>
              <w:pStyle w:val="COMTabletext"/>
              <w:keepNext w:val="0"/>
            </w:pPr>
            <w:r w:rsidRPr="006D075E">
              <w:t xml:space="preserve">Adverse event </w:t>
            </w:r>
            <w:proofErr w:type="spellStart"/>
            <w:r w:rsidRPr="006D075E">
              <w:t>disutilities</w:t>
            </w:r>
            <w:proofErr w:type="spellEnd"/>
            <w:r w:rsidRPr="006D075E">
              <w:t xml:space="preserve"> were based on the incidence of grade 3 or higher adverse events in the ECHO </w:t>
            </w:r>
            <w:proofErr w:type="gramStart"/>
            <w:r w:rsidRPr="006D075E">
              <w:t>trial, and</w:t>
            </w:r>
            <w:proofErr w:type="gramEnd"/>
            <w:r w:rsidRPr="006D075E">
              <w:t xml:space="preserve"> selected published utility estimates from a catalogue of EQ-5D index scores based on UK preferences applied to responses to the EQ-5D questionnaire in the US-based Medical Expenditure Panel Survey (Sullivan 2011). The average adverse event disutility per patient per cycle was derived assuming patients were at risk of adverse events over 60 months.</w:t>
            </w:r>
          </w:p>
        </w:tc>
      </w:tr>
      <w:tr w:rsidR="001A47C4" w:rsidRPr="006D075E" w14:paraId="79623DBD" w14:textId="77777777" w:rsidTr="003E4010">
        <w:tc>
          <w:tcPr>
            <w:tcW w:w="729" w:type="pct"/>
            <w:vAlign w:val="center"/>
          </w:tcPr>
          <w:p w14:paraId="5232F478" w14:textId="77777777" w:rsidR="001A47C4" w:rsidRPr="006D075E" w:rsidRDefault="001A47C4">
            <w:pPr>
              <w:pStyle w:val="COMTabletext"/>
              <w:keepNext w:val="0"/>
            </w:pPr>
            <w:r w:rsidRPr="006D075E">
              <w:t>Costs</w:t>
            </w:r>
          </w:p>
        </w:tc>
        <w:tc>
          <w:tcPr>
            <w:tcW w:w="4271" w:type="pct"/>
            <w:vAlign w:val="center"/>
          </w:tcPr>
          <w:p w14:paraId="07D97551" w14:textId="77777777" w:rsidR="001A47C4" w:rsidRPr="006D075E" w:rsidRDefault="001A47C4">
            <w:pPr>
              <w:pStyle w:val="COMTabletext"/>
              <w:keepNext w:val="0"/>
              <w:spacing w:after="60"/>
            </w:pPr>
            <w:r w:rsidRPr="006D075E">
              <w:t xml:space="preserve">The costs of first line treatment regimens were based on the dosage regimens in the ECHO trial, the proposed effective DPMQ of acalabrutinib and weighted DPMAs for </w:t>
            </w:r>
            <w:proofErr w:type="spellStart"/>
            <w:r w:rsidRPr="006D075E">
              <w:t>bendamustine</w:t>
            </w:r>
            <w:proofErr w:type="spellEnd"/>
            <w:r w:rsidRPr="006D075E">
              <w:t xml:space="preserve"> and rituximab, the relative dose intensity for acalabrutinib in the ECHO trial and the assumption of perfect adherence for </w:t>
            </w:r>
            <w:proofErr w:type="spellStart"/>
            <w:r w:rsidRPr="006D075E">
              <w:t>bendamustine</w:t>
            </w:r>
            <w:proofErr w:type="spellEnd"/>
            <w:r w:rsidRPr="006D075E">
              <w:t xml:space="preserve"> and rituximab, and treatment persistence informed by extrapolated time on treatment curves from the ECHO trial.</w:t>
            </w:r>
          </w:p>
          <w:p w14:paraId="3C76501C" w14:textId="785E4443" w:rsidR="001A47C4" w:rsidRPr="006D075E" w:rsidRDefault="001A47C4">
            <w:pPr>
              <w:pStyle w:val="COMTabletext"/>
              <w:keepNext w:val="0"/>
              <w:spacing w:after="60"/>
            </w:pPr>
            <w:r w:rsidRPr="006D075E">
              <w:t>The proportions of patients receiving subsequent anti-cancer treatment were informed by extrapolated time to first subsequent treatment curves from the ECHO trial. The distribution of use of first subsequent therapies was informed by use of chemotherapies and BTK inhibitors as subsequent anti-cancer therapies in the ECHO trial, and the assumption that patients who received acalabrutinib in the first line setting would not be eligible for subsequent treatment with a BTK inhibitor.</w:t>
            </w:r>
          </w:p>
          <w:p w14:paraId="21EC180B" w14:textId="77777777" w:rsidR="001A47C4" w:rsidRPr="006D075E" w:rsidRDefault="001A47C4">
            <w:pPr>
              <w:pStyle w:val="COMTabletext"/>
              <w:keepNext w:val="0"/>
              <w:spacing w:after="60"/>
            </w:pPr>
            <w:r w:rsidRPr="006D075E">
              <w:t xml:space="preserve">Subsequent chemotherapy costs were based on alternating R-CHOP and R-DHAP dosing schedules in </w:t>
            </w:r>
            <w:proofErr w:type="spellStart"/>
            <w:r w:rsidRPr="006D075E">
              <w:t>eviQ</w:t>
            </w:r>
            <w:proofErr w:type="spellEnd"/>
            <w:r w:rsidRPr="006D075E">
              <w:t>, weighted DPMAs, and an average duration of treatment of 3.7 months, based on the median duration of R-CHOP treatment reported in the LYM-3002 trial included in the November 2015 ibrutinib submission.</w:t>
            </w:r>
          </w:p>
          <w:p w14:paraId="7963179D" w14:textId="7B423B34" w:rsidR="001A47C4" w:rsidRPr="006D075E" w:rsidRDefault="001A47C4">
            <w:pPr>
              <w:pStyle w:val="COMTabletext"/>
              <w:keepNext w:val="0"/>
              <w:spacing w:after="60"/>
            </w:pPr>
            <w:r w:rsidRPr="006D075E">
              <w:t xml:space="preserve">Subsequent BTK inhibitor costs were based on the recommended dosage regimen of acalabrutinib for relapsed/refractory </w:t>
            </w:r>
            <w:r w:rsidR="008B591E">
              <w:t>MCL</w:t>
            </w:r>
            <w:r w:rsidRPr="006D075E">
              <w:t xml:space="preserve"> in the acalabrutinib product information, the effective DPMQ for acalabrutinib for relapsed/refractory </w:t>
            </w:r>
            <w:r w:rsidR="008B591E">
              <w:t>MCL</w:t>
            </w:r>
            <w:r w:rsidRPr="006D075E">
              <w:t xml:space="preserve">, and an average duration of treatment of 17.8 months, based on the median </w:t>
            </w:r>
            <w:r w:rsidRPr="006D075E">
              <w:lastRenderedPageBreak/>
              <w:t xml:space="preserve">duration of </w:t>
            </w:r>
            <w:proofErr w:type="spellStart"/>
            <w:r w:rsidRPr="006D075E">
              <w:t>zanubrutinib</w:t>
            </w:r>
            <w:proofErr w:type="spellEnd"/>
            <w:r w:rsidRPr="006D075E">
              <w:t xml:space="preserve"> treatment reported in one of 2 studies included in the July 2021 </w:t>
            </w:r>
            <w:proofErr w:type="spellStart"/>
            <w:r w:rsidRPr="006D075E">
              <w:t>zanubrutinib</w:t>
            </w:r>
            <w:proofErr w:type="spellEnd"/>
            <w:r w:rsidRPr="006D075E">
              <w:t xml:space="preserve"> submission (Study 206).</w:t>
            </w:r>
          </w:p>
          <w:p w14:paraId="698DD606" w14:textId="77777777" w:rsidR="001A47C4" w:rsidRPr="006D075E" w:rsidRDefault="001A47C4">
            <w:pPr>
              <w:pStyle w:val="COMTabletext"/>
              <w:keepNext w:val="0"/>
              <w:spacing w:after="60"/>
            </w:pPr>
            <w:r w:rsidRPr="006D075E">
              <w:t>Chemotherapy administration costs were based on the MBS item fee.</w:t>
            </w:r>
          </w:p>
          <w:p w14:paraId="015884EB" w14:textId="77777777" w:rsidR="001A47C4" w:rsidRPr="006D075E" w:rsidRDefault="001A47C4">
            <w:pPr>
              <w:pStyle w:val="COMTabletext"/>
              <w:keepNext w:val="0"/>
              <w:spacing w:after="60"/>
            </w:pPr>
            <w:r w:rsidRPr="006D075E">
              <w:t>Health state costs were based on the initial phase costs over 12 months associated with non-Hodgkin lymphoma derived from Goldsbury 2018 (based on data from the 45 and Up study), adjusted to remove PBS costs; applied to patients in the progression free and progressed disease health states over the model time horizon.</w:t>
            </w:r>
          </w:p>
          <w:p w14:paraId="3BEFCB97" w14:textId="77777777" w:rsidR="001A47C4" w:rsidRPr="006D075E" w:rsidRDefault="001A47C4">
            <w:pPr>
              <w:pStyle w:val="COMTabletext"/>
              <w:keepNext w:val="0"/>
            </w:pPr>
            <w:r w:rsidRPr="006D075E">
              <w:t>Adverse event costs were based on the incidence of grade 3 or higher adverse events in the ECHO trial, and hospitalisations costs based on selected AR-DRGs (Round 24 NHCDC Cost Weights 2019-2020 Public Sector report). The average adverse event cost per patient per cycle was derived assuming patients were at risk of adverse events over 60 months.</w:t>
            </w:r>
          </w:p>
        </w:tc>
      </w:tr>
      <w:tr w:rsidR="001A47C4" w:rsidRPr="006D075E" w14:paraId="7212802A" w14:textId="77777777" w:rsidTr="003E4010">
        <w:tc>
          <w:tcPr>
            <w:tcW w:w="729" w:type="pct"/>
            <w:vAlign w:val="center"/>
          </w:tcPr>
          <w:p w14:paraId="48E777D1" w14:textId="77777777" w:rsidR="001A47C4" w:rsidRPr="006D075E" w:rsidRDefault="001A47C4">
            <w:pPr>
              <w:pStyle w:val="COMTabletext"/>
              <w:keepNext w:val="0"/>
            </w:pPr>
            <w:r w:rsidRPr="006D075E">
              <w:lastRenderedPageBreak/>
              <w:t>Discounting</w:t>
            </w:r>
          </w:p>
        </w:tc>
        <w:tc>
          <w:tcPr>
            <w:tcW w:w="4271" w:type="pct"/>
          </w:tcPr>
          <w:p w14:paraId="72EC6603" w14:textId="77777777" w:rsidR="001A47C4" w:rsidRPr="006D075E" w:rsidRDefault="001A47C4">
            <w:pPr>
              <w:pStyle w:val="COMTabletext"/>
              <w:keepNext w:val="0"/>
            </w:pPr>
            <w:r w:rsidRPr="006D075E">
              <w:t>5% per year applied to costs and outcomes</w:t>
            </w:r>
          </w:p>
        </w:tc>
      </w:tr>
      <w:tr w:rsidR="001A47C4" w:rsidRPr="006D075E" w14:paraId="68E786E4" w14:textId="77777777" w:rsidTr="003E4010">
        <w:tc>
          <w:tcPr>
            <w:tcW w:w="729" w:type="pct"/>
            <w:vAlign w:val="center"/>
          </w:tcPr>
          <w:p w14:paraId="4ACBCDDC" w14:textId="77777777" w:rsidR="001A47C4" w:rsidRPr="006D075E" w:rsidRDefault="001A47C4">
            <w:pPr>
              <w:pStyle w:val="COMTabletext"/>
              <w:keepNext w:val="0"/>
            </w:pPr>
            <w:r w:rsidRPr="006D075E">
              <w:t>Software package</w:t>
            </w:r>
          </w:p>
        </w:tc>
        <w:tc>
          <w:tcPr>
            <w:tcW w:w="4271" w:type="pct"/>
          </w:tcPr>
          <w:p w14:paraId="07A53B7B" w14:textId="77777777" w:rsidR="001A47C4" w:rsidRPr="006D075E" w:rsidRDefault="001A47C4">
            <w:pPr>
              <w:pStyle w:val="COMTabletext"/>
              <w:keepNext w:val="0"/>
            </w:pPr>
            <w:r w:rsidRPr="006D075E">
              <w:t>Excel 2021</w:t>
            </w:r>
          </w:p>
        </w:tc>
      </w:tr>
    </w:tbl>
    <w:p w14:paraId="40A6A09B" w14:textId="77777777" w:rsidR="00661BA4" w:rsidRPr="006D075E" w:rsidRDefault="00661BA4" w:rsidP="00661BA4">
      <w:pPr>
        <w:pStyle w:val="COMTablefooter"/>
      </w:pPr>
      <w:r w:rsidRPr="006D075E">
        <w:t>Source: Table 3-1, p89 of the submission.</w:t>
      </w:r>
    </w:p>
    <w:p w14:paraId="526E49F6" w14:textId="431E2B2E" w:rsidR="00A11F61" w:rsidRPr="006D075E" w:rsidRDefault="00A11F61" w:rsidP="00A11F61">
      <w:pPr>
        <w:pStyle w:val="COMexecsummnumbered"/>
      </w:pPr>
      <w:bookmarkStart w:id="45" w:name="_Ref104805122"/>
      <w:r w:rsidRPr="006D075E">
        <w:t>The economic model utilised a partitioned survival analysis with 3 mutually exclusive health states of progression free, progressed disease</w:t>
      </w:r>
      <w:r w:rsidR="00182F3F" w:rsidRPr="006D075E">
        <w:t>,</w:t>
      </w:r>
      <w:r w:rsidRPr="006D075E">
        <w:t xml:space="preserve"> and dead, based on extrapolated progression free survival and overall survival curves over a </w:t>
      </w:r>
      <w:proofErr w:type="gramStart"/>
      <w:r w:rsidRPr="006D075E">
        <w:t>20 year</w:t>
      </w:r>
      <w:proofErr w:type="gramEnd"/>
      <w:r w:rsidRPr="006D075E">
        <w:t xml:space="preserve"> time horizon.</w:t>
      </w:r>
    </w:p>
    <w:p w14:paraId="4BAA484E" w14:textId="223FF7FA" w:rsidR="00F96F0A" w:rsidRDefault="00A11F61" w:rsidP="00A0161C">
      <w:pPr>
        <w:pStyle w:val="COMexecsummnumbered"/>
      </w:pPr>
      <w:r w:rsidRPr="00EA48AB">
        <w:t xml:space="preserve">The </w:t>
      </w:r>
      <w:r w:rsidR="00642073" w:rsidRPr="00EA48AB">
        <w:t xml:space="preserve">evaluation </w:t>
      </w:r>
      <w:r w:rsidR="009D27B0" w:rsidRPr="00EA48AB">
        <w:t xml:space="preserve">and the ESC </w:t>
      </w:r>
      <w:r w:rsidR="00FF35FB" w:rsidRPr="00EA48AB">
        <w:t>considered</w:t>
      </w:r>
      <w:r w:rsidR="00642073" w:rsidRPr="00EA48AB">
        <w:t xml:space="preserve"> that the </w:t>
      </w:r>
      <w:r w:rsidRPr="00EA48AB">
        <w:t xml:space="preserve">model structure limited the ability to appropriately incorporate the costs and consequences associated with the utilisation of subsequent anti-cancer treatments. In consideration of the March and July 2015 </w:t>
      </w:r>
      <w:proofErr w:type="spellStart"/>
      <w:r w:rsidRPr="00EA48AB">
        <w:t>bendamustine</w:t>
      </w:r>
      <w:proofErr w:type="spellEnd"/>
      <w:r w:rsidRPr="00EA48AB">
        <w:t xml:space="preserve"> submissions for first-line treatment of patients with indolent non-Hodgkin lymphoma or </w:t>
      </w:r>
      <w:r w:rsidR="008B591E">
        <w:t>MCL</w:t>
      </w:r>
      <w:r w:rsidRPr="00EA48AB">
        <w:t xml:space="preserve">, based on a 3 health state Markov model, the PBAC considered that the model should incorporate the impact of further lines of treatment with their costs and health benefits (para 7.15, </w:t>
      </w:r>
      <w:proofErr w:type="spellStart"/>
      <w:r w:rsidRPr="00EA48AB">
        <w:t>bendamustine</w:t>
      </w:r>
      <w:proofErr w:type="spellEnd"/>
      <w:r w:rsidRPr="00EA48AB">
        <w:t xml:space="preserve"> </w:t>
      </w:r>
      <w:r w:rsidR="00AE29DE">
        <w:t>Public Summary Document (</w:t>
      </w:r>
      <w:r w:rsidRPr="00EA48AB">
        <w:t>PSD</w:t>
      </w:r>
      <w:r w:rsidR="00AE29DE">
        <w:t>)</w:t>
      </w:r>
      <w:r w:rsidRPr="00EA48AB">
        <w:t xml:space="preserve">, March 2015 PBAC meeting). The PBAC also </w:t>
      </w:r>
      <w:r w:rsidR="00F015D1" w:rsidRPr="00EA48AB">
        <w:t xml:space="preserve">previously </w:t>
      </w:r>
      <w:r w:rsidRPr="00EA48AB">
        <w:t xml:space="preserve">noted the inherent disconnect between using both a </w:t>
      </w:r>
      <w:proofErr w:type="gramStart"/>
      <w:r w:rsidRPr="00EA48AB">
        <w:t>3 health</w:t>
      </w:r>
      <w:proofErr w:type="gramEnd"/>
      <w:r w:rsidRPr="00EA48AB">
        <w:t xml:space="preserve"> state model and a </w:t>
      </w:r>
      <w:proofErr w:type="gramStart"/>
      <w:r w:rsidRPr="00EA48AB">
        <w:t>20 year</w:t>
      </w:r>
      <w:proofErr w:type="gramEnd"/>
      <w:r w:rsidRPr="00EA48AB">
        <w:t xml:space="preserve"> time horizon that does not account for different health states over time (para 7.7, </w:t>
      </w:r>
      <w:proofErr w:type="spellStart"/>
      <w:r w:rsidRPr="00EA48AB">
        <w:t>bendamustine</w:t>
      </w:r>
      <w:proofErr w:type="spellEnd"/>
      <w:r w:rsidRPr="00EA48AB">
        <w:t xml:space="preserve"> PSD, July 2015 PBAC meeting)</w:t>
      </w:r>
      <w:r w:rsidR="00726E96" w:rsidRPr="00EA48AB">
        <w:t>.</w:t>
      </w:r>
      <w:r w:rsidR="009E2352" w:rsidRPr="00EA48AB">
        <w:t xml:space="preserve"> </w:t>
      </w:r>
      <w:r w:rsidRPr="00EA48AB">
        <w:t>The PBAC</w:t>
      </w:r>
      <w:r w:rsidR="002C58B7" w:rsidRPr="00EA48AB">
        <w:t xml:space="preserve"> previously</w:t>
      </w:r>
      <w:r w:rsidRPr="00EA48AB">
        <w:t xml:space="preserve"> considered that a </w:t>
      </w:r>
      <w:proofErr w:type="gramStart"/>
      <w:r w:rsidRPr="00EA48AB">
        <w:t>10 year</w:t>
      </w:r>
      <w:proofErr w:type="gramEnd"/>
      <w:r w:rsidRPr="00EA48AB">
        <w:t xml:space="preserve"> time horizon should be used for </w:t>
      </w:r>
      <w:r w:rsidR="00F015D1" w:rsidRPr="00EA48AB">
        <w:t xml:space="preserve">the </w:t>
      </w:r>
      <w:r w:rsidRPr="00EA48AB">
        <w:t xml:space="preserve">first-line </w:t>
      </w:r>
      <w:r w:rsidR="008B591E">
        <w:t>MCL</w:t>
      </w:r>
      <w:r w:rsidRPr="00EA48AB">
        <w:t xml:space="preserve"> </w:t>
      </w:r>
      <w:proofErr w:type="spellStart"/>
      <w:r w:rsidR="00F015D1" w:rsidRPr="00EA48AB">
        <w:t>bendamustine</w:t>
      </w:r>
      <w:proofErr w:type="spellEnd"/>
      <w:r w:rsidR="00F015D1" w:rsidRPr="00EA48AB">
        <w:t xml:space="preserve"> submission </w:t>
      </w:r>
      <w:r w:rsidRPr="00EA48AB">
        <w:t xml:space="preserve">(para 7.15, </w:t>
      </w:r>
      <w:proofErr w:type="spellStart"/>
      <w:r w:rsidRPr="00EA48AB">
        <w:t>bendamustine</w:t>
      </w:r>
      <w:proofErr w:type="spellEnd"/>
      <w:r w:rsidRPr="00EA48AB">
        <w:t xml:space="preserve"> PSD, March 2015 PBAC meeting).</w:t>
      </w:r>
      <w:r w:rsidR="005649C4" w:rsidRPr="00EA48AB">
        <w:t xml:space="preserve"> The ESC considered that a </w:t>
      </w:r>
      <w:proofErr w:type="gramStart"/>
      <w:r w:rsidR="005649C4" w:rsidRPr="00EA48AB">
        <w:t>20 year</w:t>
      </w:r>
      <w:proofErr w:type="gramEnd"/>
      <w:r w:rsidR="005649C4" w:rsidRPr="00EA48AB">
        <w:t xml:space="preserve"> time horizon </w:t>
      </w:r>
      <w:r w:rsidR="00F015D1" w:rsidRPr="00EA48AB">
        <w:t>would be</w:t>
      </w:r>
      <w:r w:rsidR="005649C4" w:rsidRPr="00EA48AB">
        <w:t xml:space="preserve"> optimistic and </w:t>
      </w:r>
      <w:r w:rsidR="00F015D1" w:rsidRPr="00EA48AB">
        <w:t xml:space="preserve">that </w:t>
      </w:r>
      <w:r w:rsidR="005649C4" w:rsidRPr="00EA48AB">
        <w:t xml:space="preserve">a </w:t>
      </w:r>
      <w:proofErr w:type="gramStart"/>
      <w:r w:rsidR="005649C4" w:rsidRPr="00EA48AB">
        <w:t>10 year</w:t>
      </w:r>
      <w:proofErr w:type="gramEnd"/>
      <w:r w:rsidR="005649C4" w:rsidRPr="00EA48AB">
        <w:t xml:space="preserve"> </w:t>
      </w:r>
      <w:r w:rsidR="00771E42" w:rsidRPr="00EA48AB">
        <w:t xml:space="preserve">time </w:t>
      </w:r>
      <w:r w:rsidR="005649C4" w:rsidRPr="00EA48AB">
        <w:t>horizon</w:t>
      </w:r>
      <w:r w:rsidR="00F015D1" w:rsidRPr="00EA48AB">
        <w:t xml:space="preserve"> would be</w:t>
      </w:r>
      <w:r w:rsidR="005649C4" w:rsidRPr="00EA48AB">
        <w:t xml:space="preserve"> more </w:t>
      </w:r>
      <w:r w:rsidR="00ED4316" w:rsidRPr="00EA48AB">
        <w:t>appropriate</w:t>
      </w:r>
      <w:r w:rsidR="00EF196C">
        <w:t xml:space="preserve">. </w:t>
      </w:r>
    </w:p>
    <w:p w14:paraId="61A66E11" w14:textId="7B3D5B71" w:rsidR="00E92D29" w:rsidRPr="006D075E" w:rsidRDefault="00E92D29">
      <w:pPr>
        <w:pStyle w:val="COMexecsummnumbered"/>
      </w:pPr>
      <w:r w:rsidRPr="006D075E">
        <w:t xml:space="preserve">The PSCR </w:t>
      </w:r>
      <w:r w:rsidR="00175728">
        <w:t xml:space="preserve">and </w:t>
      </w:r>
      <w:r w:rsidR="004325A3">
        <w:t>P</w:t>
      </w:r>
      <w:r w:rsidR="00175728">
        <w:t xml:space="preserve">re-PBAC response </w:t>
      </w:r>
      <w:r w:rsidRPr="006D075E">
        <w:t xml:space="preserve">argued that the </w:t>
      </w:r>
      <w:proofErr w:type="gramStart"/>
      <w:r w:rsidRPr="006D075E">
        <w:t>3 health</w:t>
      </w:r>
      <w:proofErr w:type="gramEnd"/>
      <w:r w:rsidRPr="006D075E">
        <w:t xml:space="preserve"> state model incorporate</w:t>
      </w:r>
      <w:r w:rsidR="00A12E62" w:rsidRPr="006D075E">
        <w:t>d</w:t>
      </w:r>
      <w:r w:rsidRPr="006D075E">
        <w:t xml:space="preserve"> subsequent lines of treatment in accordance with the clinical trial. However, the </w:t>
      </w:r>
      <w:r w:rsidR="00446F03" w:rsidRPr="006D075E">
        <w:t xml:space="preserve">ESC </w:t>
      </w:r>
      <w:r w:rsidR="00596B73" w:rsidRPr="006D075E">
        <w:t>not</w:t>
      </w:r>
      <w:r w:rsidR="00446F03" w:rsidRPr="006D075E">
        <w:t xml:space="preserve">ed that the </w:t>
      </w:r>
      <w:r w:rsidRPr="006D075E">
        <w:t xml:space="preserve">model only </w:t>
      </w:r>
      <w:r w:rsidR="00446F03" w:rsidRPr="006D075E">
        <w:t xml:space="preserve">incorporated </w:t>
      </w:r>
      <w:r w:rsidRPr="006D075E">
        <w:t>the first subsequent treatment</w:t>
      </w:r>
      <w:r w:rsidR="00BD5390">
        <w:t>,</w:t>
      </w:r>
      <w:r w:rsidRPr="006D075E">
        <w:t xml:space="preserve"> based on data from the ECHO trial (i.e. </w:t>
      </w:r>
      <w:r w:rsidR="00446F03" w:rsidRPr="006D075E">
        <w:t xml:space="preserve">it </w:t>
      </w:r>
      <w:r w:rsidRPr="006D075E">
        <w:t>d</w:t>
      </w:r>
      <w:r w:rsidR="00596B73" w:rsidRPr="006D075E">
        <w:t>id</w:t>
      </w:r>
      <w:r w:rsidRPr="006D075E">
        <w:t xml:space="preserve"> not include additional lines of therapy</w:t>
      </w:r>
      <w:r w:rsidR="00F015D1" w:rsidRPr="006D075E">
        <w:t xml:space="preserve"> after second</w:t>
      </w:r>
      <w:r w:rsidR="00AB2739">
        <w:t xml:space="preserve"> </w:t>
      </w:r>
      <w:r w:rsidR="00F015D1" w:rsidRPr="006D075E">
        <w:t>line</w:t>
      </w:r>
      <w:r w:rsidRPr="006D075E">
        <w:t>)</w:t>
      </w:r>
      <w:r w:rsidR="00596B73" w:rsidRPr="006D075E">
        <w:t xml:space="preserve"> </w:t>
      </w:r>
      <w:r w:rsidR="00311447" w:rsidRPr="006D075E">
        <w:t>and was based on a</w:t>
      </w:r>
      <w:r w:rsidR="00F015D1" w:rsidRPr="006D075E">
        <w:t xml:space="preserve"> mean</w:t>
      </w:r>
      <w:r w:rsidR="00311447" w:rsidRPr="006D075E">
        <w:t xml:space="preserve"> duration of follow-up in the trial of 41 months, which was extrapolated to 20 years. </w:t>
      </w:r>
      <w:r w:rsidR="00596B73" w:rsidRPr="006D075E">
        <w:t>Further, the ESC considered the model</w:t>
      </w:r>
      <w:r w:rsidR="00446F03" w:rsidRPr="006D075E">
        <w:t xml:space="preserve"> did not allow </w:t>
      </w:r>
      <w:r w:rsidR="008D1651" w:rsidRPr="006D075E">
        <w:t>the</w:t>
      </w:r>
      <w:r w:rsidR="00446F03" w:rsidRPr="006D075E">
        <w:t xml:space="preserve"> costs and treatment effects</w:t>
      </w:r>
      <w:r w:rsidR="00596B73" w:rsidRPr="006D075E">
        <w:t xml:space="preserve"> of subsequent lines of therapies</w:t>
      </w:r>
      <w:r w:rsidR="008D1651" w:rsidRPr="006D075E">
        <w:t xml:space="preserve"> to be considered at a more granular level</w:t>
      </w:r>
      <w:r w:rsidRPr="006D075E">
        <w:t xml:space="preserve">. </w:t>
      </w:r>
    </w:p>
    <w:p w14:paraId="04214C80" w14:textId="30027ACE" w:rsidR="00FD0D52" w:rsidRPr="006D075E" w:rsidRDefault="00FD0D52" w:rsidP="002B680F">
      <w:pPr>
        <w:pStyle w:val="COMexecsummnumbered"/>
      </w:pPr>
      <w:r w:rsidRPr="006D075E">
        <w:t>The extrapolation of overall survival curves result</w:t>
      </w:r>
      <w:r w:rsidR="00650E5E" w:rsidRPr="006D075E">
        <w:t>ed</w:t>
      </w:r>
      <w:r w:rsidRPr="006D075E">
        <w:t xml:space="preserve"> in </w:t>
      </w:r>
      <w:r w:rsidR="00650E5E" w:rsidRPr="006D075E">
        <w:t xml:space="preserve">a </w:t>
      </w:r>
      <w:r w:rsidRPr="006D075E">
        <w:t xml:space="preserve">survival benefit for acalabrutinib compared </w:t>
      </w:r>
      <w:r w:rsidR="00CF68EE">
        <w:t>with</w:t>
      </w:r>
      <w:r w:rsidRPr="006D075E">
        <w:t xml:space="preserve"> placebo that was not demonstrated in the ECHO trial.</w:t>
      </w:r>
      <w:r w:rsidR="003441C2" w:rsidRPr="006D075E">
        <w:t xml:space="preserve"> </w:t>
      </w:r>
    </w:p>
    <w:p w14:paraId="06DF04DC" w14:textId="7D325828" w:rsidR="007138C4" w:rsidRDefault="00A11F61" w:rsidP="001F2B95">
      <w:pPr>
        <w:pStyle w:val="COMexecsummnumbered"/>
      </w:pPr>
      <w:r w:rsidRPr="006D075E">
        <w:lastRenderedPageBreak/>
        <w:t>The submission did not consider the face validity of the extrapolated</w:t>
      </w:r>
      <w:r w:rsidR="00970925" w:rsidRPr="006D075E">
        <w:t xml:space="preserve"> overall</w:t>
      </w:r>
      <w:r w:rsidRPr="006D075E">
        <w:t xml:space="preserve"> survival curves used in the partitioned survival analysis, with most parametric functions, including the selected </w:t>
      </w:r>
      <w:r w:rsidR="00E819A9" w:rsidRPr="006D075E">
        <w:t xml:space="preserve">OS </w:t>
      </w:r>
      <w:r w:rsidRPr="006D075E">
        <w:t>distribution</w:t>
      </w:r>
      <w:r w:rsidR="00E819A9" w:rsidRPr="006D075E">
        <w:t>s</w:t>
      </w:r>
      <w:r w:rsidRPr="006D075E">
        <w:t xml:space="preserve">, overestimating </w:t>
      </w:r>
      <w:proofErr w:type="gramStart"/>
      <w:r w:rsidRPr="006D075E">
        <w:t>20 year</w:t>
      </w:r>
      <w:proofErr w:type="gramEnd"/>
      <w:r w:rsidRPr="006D075E">
        <w:t xml:space="preserve"> survival compared to the Australian general population. </w:t>
      </w:r>
      <w:proofErr w:type="gramStart"/>
      <w:r w:rsidR="008F4C5A" w:rsidRPr="006D075E">
        <w:t>As a consequence</w:t>
      </w:r>
      <w:proofErr w:type="gramEnd"/>
      <w:r w:rsidR="008F4C5A" w:rsidRPr="006D075E">
        <w:t>, the o</w:t>
      </w:r>
      <w:r w:rsidRPr="006D075E">
        <w:t xml:space="preserve">verall survival curves were subsequently adjusted to ensure that the risk of death in any cycle was not lower than the risk of general population mortality in any cycle, based on Australian life tables. </w:t>
      </w:r>
      <w:r w:rsidR="009F3FCB" w:rsidRPr="006D075E">
        <w:t xml:space="preserve">The ESC </w:t>
      </w:r>
      <w:r w:rsidR="009B3AD6" w:rsidRPr="006D075E">
        <w:t xml:space="preserve">noted that most of the standard parametric functions required this adjustment and </w:t>
      </w:r>
      <w:r w:rsidR="009F3FCB" w:rsidRPr="006D075E">
        <w:t xml:space="preserve">considered that the need for adjustment suggests the </w:t>
      </w:r>
      <w:r w:rsidR="00FE4354" w:rsidRPr="006D075E">
        <w:t>3 health state model (</w:t>
      </w:r>
      <w:r w:rsidR="00645D63" w:rsidRPr="006D075E">
        <w:t xml:space="preserve">partitioned survival analysis </w:t>
      </w:r>
      <w:r w:rsidR="00FE4354" w:rsidRPr="006D075E">
        <w:t xml:space="preserve">with </w:t>
      </w:r>
      <w:r w:rsidR="009F3FCB" w:rsidRPr="006D075E">
        <w:t>parametric function</w:t>
      </w:r>
      <w:r w:rsidR="001F6CBB" w:rsidRPr="006D075E">
        <w:t>s</w:t>
      </w:r>
      <w:r w:rsidR="00FE4354" w:rsidRPr="006D075E">
        <w:t>)</w:t>
      </w:r>
      <w:r w:rsidR="001F6CBB" w:rsidRPr="006D075E">
        <w:t xml:space="preserve"> may not </w:t>
      </w:r>
      <w:r w:rsidR="00C022E4" w:rsidRPr="006D075E">
        <w:t>be</w:t>
      </w:r>
      <w:r w:rsidR="001F6CBB" w:rsidRPr="006D075E">
        <w:t xml:space="preserve"> accurately captur</w:t>
      </w:r>
      <w:r w:rsidR="00C022E4" w:rsidRPr="006D075E">
        <w:t>ing</w:t>
      </w:r>
      <w:r w:rsidR="001F6CBB" w:rsidRPr="006D075E">
        <w:t xml:space="preserve"> long-term survival in this condition</w:t>
      </w:r>
      <w:r w:rsidR="00C442C2" w:rsidRPr="006D075E">
        <w:t xml:space="preserve"> (i.e. only 12.7% of patients in</w:t>
      </w:r>
      <w:r w:rsidR="001F2B95" w:rsidRPr="006D075E">
        <w:t xml:space="preserve"> the placebo arm of the trial had died at the time of data cut-off, and the death rates over the trial follow-up period may not be reflective of the long term mortality with this condition)</w:t>
      </w:r>
      <w:r w:rsidR="009F3FCB" w:rsidRPr="006D075E">
        <w:t xml:space="preserve">. </w:t>
      </w:r>
      <w:r w:rsidR="002A45E2" w:rsidRPr="006D075E">
        <w:t>The ESC considered that, in this context,</w:t>
      </w:r>
      <w:r w:rsidR="001F2B95" w:rsidRPr="006D075E">
        <w:t xml:space="preserve"> overall survival extrapolations that produce smaller gain</w:t>
      </w:r>
      <w:r w:rsidR="00764FE5" w:rsidRPr="006D075E">
        <w:t>s</w:t>
      </w:r>
      <w:r w:rsidR="001F2B95" w:rsidRPr="006D075E">
        <w:t xml:space="preserve"> in life years (e.g. application of the log-logistic function in the model uncensored for COVID deaths) reduce</w:t>
      </w:r>
      <w:r w:rsidR="00EA70C7" w:rsidRPr="006D075E">
        <w:t>d</w:t>
      </w:r>
      <w:r w:rsidR="001F2B95" w:rsidRPr="006D075E">
        <w:t xml:space="preserve"> the extent of uncertainty.</w:t>
      </w:r>
    </w:p>
    <w:p w14:paraId="11762953" w14:textId="0CDF6A0E" w:rsidR="008B5C5C" w:rsidRDefault="008B5C5C" w:rsidP="008B5C5C">
      <w:pPr>
        <w:pStyle w:val="COMexecsummnumbered"/>
      </w:pPr>
      <w:r>
        <w:t xml:space="preserve">The </w:t>
      </w:r>
      <w:proofErr w:type="gramStart"/>
      <w:r w:rsidR="004325A3">
        <w:t>P</w:t>
      </w:r>
      <w:r>
        <w:t>re-PBAC</w:t>
      </w:r>
      <w:proofErr w:type="gramEnd"/>
      <w:r>
        <w:t xml:space="preserve"> response stated that the impact of any potential disconnect between a </w:t>
      </w:r>
      <w:proofErr w:type="gramStart"/>
      <w:r w:rsidR="009659BB">
        <w:t xml:space="preserve">3 </w:t>
      </w:r>
      <w:r>
        <w:t>health</w:t>
      </w:r>
      <w:proofErr w:type="gramEnd"/>
      <w:r>
        <w:t xml:space="preserve"> state trial-based analysis and a twenty-year time horizon was minimal due to the relatively slow progression of MCL, and the age of the population (average 71.6 years in ECHO) i.e., as patients age, risks of death from non-cancer causes become increasingly relevant. The response further contended that incorporation of all-cause mortality was necessary as not all patients ultimately die from MCL, and thus parametric functions based on the trial data are not able to accurately predict the increasing background mortality with age. The response argued that the submission’s approach only applied the maximum of the risks of death from general population mortality versus the parametric function (and thus acalabrutinib was not associated with a survival advantage versus BSC once the general population mortality risks exceed the parametric function risks) rather than an additive approach. The </w:t>
      </w:r>
      <w:proofErr w:type="gramStart"/>
      <w:r w:rsidR="004325A3">
        <w:t>P</w:t>
      </w:r>
      <w:r>
        <w:t>re-PBAC</w:t>
      </w:r>
      <w:proofErr w:type="gramEnd"/>
      <w:r>
        <w:t xml:space="preserve"> response stated that ‘by applying the same risk of death in each arm of the model, this approach resolves any potential disconnect’.</w:t>
      </w:r>
    </w:p>
    <w:p w14:paraId="7D1C216D" w14:textId="6F70A5F3" w:rsidR="008B5C5C" w:rsidRDefault="008B5C5C" w:rsidP="008B5C5C">
      <w:pPr>
        <w:pStyle w:val="COMexecsummnumbered"/>
      </w:pPr>
      <w:r>
        <w:t xml:space="preserve">Overall, the PBAC noted that many patients with MCL survive beyond 10 years but considered that a 10-year time horizon would be more appropriate given the uncertain OS outcomes and limitations of the model structure which meant the extrapolation of OS beyond 10 years was unreliable. </w:t>
      </w:r>
    </w:p>
    <w:p w14:paraId="323C2A6A" w14:textId="7AB996E3" w:rsidR="007138C4" w:rsidRPr="006D075E" w:rsidRDefault="00E20299" w:rsidP="007138C4">
      <w:pPr>
        <w:pStyle w:val="COMexecsummnumbered"/>
      </w:pPr>
      <w:r w:rsidRPr="006D075E">
        <w:t>The ESC noted that for</w:t>
      </w:r>
      <w:r w:rsidR="003E702C" w:rsidRPr="006D075E">
        <w:t xml:space="preserve"> the</w:t>
      </w:r>
      <w:r w:rsidR="007138C4" w:rsidRPr="006D075E">
        <w:t xml:space="preserve"> </w:t>
      </w:r>
      <w:r w:rsidR="00124653" w:rsidRPr="00124653">
        <w:t>full analysis set without censoring for COVID-19 related deaths</w:t>
      </w:r>
      <w:r w:rsidRPr="006D075E">
        <w:t>,</w:t>
      </w:r>
      <w:r w:rsidR="007138C4" w:rsidRPr="006D075E">
        <w:t xml:space="preserve"> </w:t>
      </w:r>
      <w:r w:rsidR="00D21B17" w:rsidRPr="006D075E">
        <w:t>overall survival was extrapolated using</w:t>
      </w:r>
      <w:r w:rsidR="007138C4" w:rsidRPr="006D075E">
        <w:t xml:space="preserve"> the generalised gamma function</w:t>
      </w:r>
      <w:r w:rsidR="0075698D" w:rsidRPr="006D075E">
        <w:t xml:space="preserve"> (</w:t>
      </w:r>
      <w:r w:rsidR="00E819A9" w:rsidRPr="006D075E">
        <w:t>whereas</w:t>
      </w:r>
      <w:r w:rsidR="0075698D" w:rsidRPr="006D075E">
        <w:t xml:space="preserve"> the lognormal function </w:t>
      </w:r>
      <w:r w:rsidR="00E819A9" w:rsidRPr="006D075E">
        <w:t xml:space="preserve">was </w:t>
      </w:r>
      <w:r w:rsidR="0075698D" w:rsidRPr="006D075E">
        <w:t>used for the COVID-censored analysis)</w:t>
      </w:r>
      <w:r w:rsidR="007138C4" w:rsidRPr="006D075E">
        <w:t xml:space="preserve">, with no justification provided in the submission. </w:t>
      </w:r>
      <w:r w:rsidR="00541AB0">
        <w:t xml:space="preserve">For the </w:t>
      </w:r>
      <w:r w:rsidR="00541AB0" w:rsidRPr="00124653">
        <w:t xml:space="preserve">full analysis set </w:t>
      </w:r>
      <w:r w:rsidR="00541AB0">
        <w:t>(</w:t>
      </w:r>
      <w:r w:rsidR="00541AB0" w:rsidRPr="00124653">
        <w:t>without censoring for COVID-19 related deaths</w:t>
      </w:r>
      <w:r w:rsidR="00541AB0">
        <w:t>), t</w:t>
      </w:r>
      <w:r w:rsidR="007138C4" w:rsidRPr="006D075E">
        <w:t>he</w:t>
      </w:r>
      <w:r w:rsidR="00E819A9" w:rsidRPr="006D075E">
        <w:t xml:space="preserve"> generalised</w:t>
      </w:r>
      <w:r w:rsidR="007138C4" w:rsidRPr="006D075E">
        <w:t xml:space="preserve"> gamma </w:t>
      </w:r>
      <w:r w:rsidR="00E819A9" w:rsidRPr="006D075E">
        <w:t>function</w:t>
      </w:r>
      <w:r w:rsidR="007138C4" w:rsidRPr="006D075E">
        <w:t xml:space="preserve"> </w:t>
      </w:r>
      <w:r w:rsidR="00FE4354" w:rsidRPr="006D075E">
        <w:t xml:space="preserve">was </w:t>
      </w:r>
      <w:r w:rsidR="007138C4" w:rsidRPr="006D075E">
        <w:t xml:space="preserve">one of the </w:t>
      </w:r>
      <w:r w:rsidR="003E702C" w:rsidRPr="006D075E">
        <w:t>poorer</w:t>
      </w:r>
      <w:r w:rsidR="007138C4" w:rsidRPr="006D075E">
        <w:t xml:space="preserve"> fitting functions, w</w:t>
      </w:r>
      <w:r w:rsidR="00FE4354" w:rsidRPr="006D075E">
        <w:t>ith</w:t>
      </w:r>
      <w:r w:rsidR="007138C4" w:rsidRPr="006D075E">
        <w:t xml:space="preserve"> </w:t>
      </w:r>
      <w:r w:rsidR="00362547" w:rsidRPr="006D075E">
        <w:t xml:space="preserve">the </w:t>
      </w:r>
      <w:r w:rsidR="007138C4" w:rsidRPr="006D075E">
        <w:t>log-log</w:t>
      </w:r>
      <w:r w:rsidR="008D1651" w:rsidRPr="006D075E">
        <w:t>istic</w:t>
      </w:r>
      <w:r w:rsidR="00FE4354" w:rsidRPr="006D075E">
        <w:t xml:space="preserve"> being better fitting based on AIC and BIC</w:t>
      </w:r>
      <w:r w:rsidR="007138C4" w:rsidRPr="006D075E">
        <w:t>, which increase</w:t>
      </w:r>
      <w:r w:rsidR="008D1651" w:rsidRPr="006D075E">
        <w:t>d</w:t>
      </w:r>
      <w:r w:rsidR="007138C4" w:rsidRPr="006D075E">
        <w:t xml:space="preserve"> the ICER by </w:t>
      </w:r>
      <w:r w:rsidR="00800963" w:rsidRPr="007542BF">
        <w:rPr>
          <w:color w:val="000000"/>
          <w:w w:val="61"/>
          <w:shd w:val="solid" w:color="000000" w:fill="000000"/>
          <w:fitText w:val="472" w:id="-629433341"/>
          <w14:textFill>
            <w14:solidFill>
              <w14:srgbClr w14:val="000000">
                <w14:alpha w14:val="100000"/>
              </w14:srgbClr>
            </w14:solidFill>
          </w14:textFill>
        </w:rPr>
        <w:t>|||  |||</w:t>
      </w:r>
      <w:r w:rsidR="007138C4" w:rsidRPr="006D075E">
        <w:t xml:space="preserve">% </w:t>
      </w:r>
      <w:r w:rsidR="003E702C" w:rsidRPr="006D075E">
        <w:t>(in</w:t>
      </w:r>
      <w:r w:rsidR="007138C4" w:rsidRPr="006D075E">
        <w:t xml:space="preserve"> the PSCR full analysis set</w:t>
      </w:r>
      <w:r w:rsidR="003E702C" w:rsidRPr="006D075E">
        <w:t xml:space="preserve"> model)</w:t>
      </w:r>
      <w:r w:rsidR="007138C4" w:rsidRPr="006D075E">
        <w:t>.</w:t>
      </w:r>
      <w:r w:rsidR="00862238" w:rsidRPr="006D075E">
        <w:t xml:space="preserve"> </w:t>
      </w:r>
      <w:r w:rsidR="00862238" w:rsidRPr="006D075E">
        <w:fldChar w:fldCharType="begin"/>
      </w:r>
      <w:r w:rsidR="00862238" w:rsidRPr="006D075E">
        <w:instrText xml:space="preserve"> REF _Ref201558647 \h  \* MERGEFORMAT </w:instrText>
      </w:r>
      <w:r w:rsidR="00862238" w:rsidRPr="006D075E">
        <w:fldChar w:fldCharType="separate"/>
      </w:r>
      <w:r w:rsidR="00A542E9" w:rsidRPr="00A542E9">
        <w:t>Figure 5</w:t>
      </w:r>
      <w:r w:rsidR="00862238" w:rsidRPr="006D075E">
        <w:fldChar w:fldCharType="end"/>
      </w:r>
      <w:r w:rsidR="00862238" w:rsidRPr="006D075E">
        <w:t xml:space="preserve"> shows the overall survival extrapolations with the lognormal and log-logistic functions (the dot</w:t>
      </w:r>
      <w:r w:rsidR="00E03BE1" w:rsidRPr="006D075E">
        <w:t>ted</w:t>
      </w:r>
      <w:r w:rsidR="00862238" w:rsidRPr="006D075E">
        <w:t xml:space="preserve"> lines represent extrapolated survival before applying the adjustment for the risk of all-cause mortality, the solid lines represent the survival applied in the model). </w:t>
      </w:r>
    </w:p>
    <w:p w14:paraId="11D76F55" w14:textId="1E992DF7" w:rsidR="00FE4354" w:rsidRPr="00B4521C" w:rsidRDefault="00862238" w:rsidP="00862238">
      <w:pPr>
        <w:pStyle w:val="Caption"/>
        <w:spacing w:before="240"/>
        <w:rPr>
          <w:rFonts w:ascii="Arial Narrow" w:hAnsi="Arial Narrow"/>
          <w:b/>
          <w:bCs/>
          <w:i w:val="0"/>
          <w:iCs w:val="0"/>
          <w:color w:val="000000" w:themeColor="text1"/>
          <w:sz w:val="20"/>
          <w:szCs w:val="20"/>
        </w:rPr>
      </w:pPr>
      <w:bookmarkStart w:id="46" w:name="_Ref201558647"/>
      <w:r w:rsidRPr="00B4521C">
        <w:rPr>
          <w:rFonts w:ascii="Arial Narrow" w:hAnsi="Arial Narrow"/>
          <w:b/>
          <w:bCs/>
          <w:i w:val="0"/>
          <w:iCs w:val="0"/>
          <w:color w:val="000000" w:themeColor="text1"/>
          <w:sz w:val="20"/>
          <w:szCs w:val="20"/>
        </w:rPr>
        <w:lastRenderedPageBreak/>
        <w:t xml:space="preserve">Figure </w:t>
      </w:r>
      <w:r w:rsidRPr="00B4521C">
        <w:rPr>
          <w:rFonts w:ascii="Arial Narrow" w:hAnsi="Arial Narrow"/>
          <w:b/>
          <w:bCs/>
          <w:i w:val="0"/>
          <w:iCs w:val="0"/>
          <w:color w:val="000000" w:themeColor="text1"/>
          <w:sz w:val="20"/>
          <w:szCs w:val="20"/>
        </w:rPr>
        <w:fldChar w:fldCharType="begin"/>
      </w:r>
      <w:r w:rsidRPr="00B4521C">
        <w:rPr>
          <w:rFonts w:ascii="Arial Narrow" w:hAnsi="Arial Narrow"/>
          <w:b/>
          <w:bCs/>
          <w:i w:val="0"/>
          <w:iCs w:val="0"/>
          <w:color w:val="000000" w:themeColor="text1"/>
          <w:sz w:val="20"/>
          <w:szCs w:val="20"/>
        </w:rPr>
        <w:instrText xml:space="preserve"> SEQ Figure \* ARABIC </w:instrText>
      </w:r>
      <w:r w:rsidRPr="00B4521C">
        <w:rPr>
          <w:rFonts w:ascii="Arial Narrow" w:hAnsi="Arial Narrow"/>
          <w:b/>
          <w:bCs/>
          <w:i w:val="0"/>
          <w:iCs w:val="0"/>
          <w:color w:val="000000" w:themeColor="text1"/>
          <w:sz w:val="20"/>
          <w:szCs w:val="20"/>
        </w:rPr>
        <w:fldChar w:fldCharType="separate"/>
      </w:r>
      <w:r w:rsidR="00A542E9">
        <w:rPr>
          <w:rFonts w:ascii="Arial Narrow" w:hAnsi="Arial Narrow"/>
          <w:b/>
          <w:bCs/>
          <w:i w:val="0"/>
          <w:iCs w:val="0"/>
          <w:noProof/>
          <w:color w:val="000000" w:themeColor="text1"/>
          <w:sz w:val="20"/>
          <w:szCs w:val="20"/>
        </w:rPr>
        <w:t>5</w:t>
      </w:r>
      <w:r w:rsidRPr="00B4521C">
        <w:rPr>
          <w:rFonts w:ascii="Arial Narrow" w:hAnsi="Arial Narrow"/>
          <w:b/>
          <w:bCs/>
          <w:i w:val="0"/>
          <w:iCs w:val="0"/>
          <w:color w:val="000000" w:themeColor="text1"/>
          <w:sz w:val="20"/>
          <w:szCs w:val="20"/>
        </w:rPr>
        <w:fldChar w:fldCharType="end"/>
      </w:r>
      <w:bookmarkEnd w:id="46"/>
      <w:r w:rsidRPr="00B4521C">
        <w:rPr>
          <w:rFonts w:ascii="Arial Narrow" w:hAnsi="Arial Narrow"/>
          <w:b/>
          <w:bCs/>
          <w:i w:val="0"/>
          <w:iCs w:val="0"/>
          <w:color w:val="000000" w:themeColor="text1"/>
          <w:sz w:val="20"/>
          <w:szCs w:val="20"/>
        </w:rPr>
        <w:t xml:space="preserve">: Overall survival using the </w:t>
      </w:r>
      <w:r w:rsidR="001F7E1B" w:rsidRPr="00B4521C">
        <w:rPr>
          <w:rFonts w:ascii="Arial Narrow" w:hAnsi="Arial Narrow"/>
          <w:b/>
          <w:bCs/>
          <w:i w:val="0"/>
          <w:iCs w:val="0"/>
          <w:color w:val="000000" w:themeColor="text1"/>
          <w:sz w:val="20"/>
          <w:szCs w:val="20"/>
        </w:rPr>
        <w:t>full analysis set without censoring for COVID-19 related deaths</w:t>
      </w:r>
      <w:r w:rsidR="00FE4354" w:rsidRPr="00B4521C">
        <w:rPr>
          <w:rFonts w:ascii="Arial Narrow" w:hAnsi="Arial Narrow"/>
          <w:b/>
          <w:bCs/>
          <w:i w:val="0"/>
          <w:iCs w:val="0"/>
          <w:color w:val="000000" w:themeColor="text1"/>
          <w:sz w:val="20"/>
          <w:szCs w:val="20"/>
        </w:rPr>
        <w:t xml:space="preserve"> (</w:t>
      </w:r>
      <w:r w:rsidRPr="00B4521C">
        <w:rPr>
          <w:rFonts w:ascii="Arial Narrow" w:hAnsi="Arial Narrow"/>
          <w:b/>
          <w:bCs/>
          <w:i w:val="0"/>
          <w:iCs w:val="0"/>
          <w:color w:val="000000" w:themeColor="text1"/>
          <w:sz w:val="20"/>
          <w:szCs w:val="20"/>
        </w:rPr>
        <w:t xml:space="preserve">using the lognormal (left) and </w:t>
      </w:r>
      <w:r w:rsidR="00FE4354" w:rsidRPr="00B4521C">
        <w:rPr>
          <w:rFonts w:ascii="Arial Narrow" w:hAnsi="Arial Narrow"/>
          <w:b/>
          <w:bCs/>
          <w:i w:val="0"/>
          <w:iCs w:val="0"/>
          <w:color w:val="000000" w:themeColor="text1"/>
          <w:sz w:val="20"/>
          <w:szCs w:val="20"/>
        </w:rPr>
        <w:t>log-log</w:t>
      </w:r>
      <w:r w:rsidRPr="00B4521C">
        <w:rPr>
          <w:rFonts w:ascii="Arial Narrow" w:hAnsi="Arial Narrow"/>
          <w:b/>
          <w:bCs/>
          <w:i w:val="0"/>
          <w:iCs w:val="0"/>
          <w:color w:val="000000" w:themeColor="text1"/>
          <w:sz w:val="20"/>
          <w:szCs w:val="20"/>
        </w:rPr>
        <w:t xml:space="preserve">istic (right) functions (dotted lines are without adjustment for </w:t>
      </w:r>
      <w:r w:rsidR="003E702C" w:rsidRPr="00B4521C">
        <w:rPr>
          <w:rFonts w:ascii="Arial Narrow" w:hAnsi="Arial Narrow"/>
          <w:b/>
          <w:bCs/>
          <w:i w:val="0"/>
          <w:iCs w:val="0"/>
          <w:color w:val="000000" w:themeColor="text1"/>
          <w:sz w:val="20"/>
          <w:szCs w:val="20"/>
        </w:rPr>
        <w:t xml:space="preserve">all-cause </w:t>
      </w:r>
      <w:r w:rsidRPr="00B4521C">
        <w:rPr>
          <w:rFonts w:ascii="Arial Narrow" w:hAnsi="Arial Narrow"/>
          <w:b/>
          <w:bCs/>
          <w:i w:val="0"/>
          <w:iCs w:val="0"/>
          <w:color w:val="000000" w:themeColor="text1"/>
          <w:sz w:val="20"/>
          <w:szCs w:val="20"/>
        </w:rPr>
        <w:t>mortality)</w:t>
      </w:r>
    </w:p>
    <w:p w14:paraId="10D6C322" w14:textId="1D218B4B" w:rsidR="00FE4354" w:rsidRPr="00B4521C" w:rsidRDefault="00862238" w:rsidP="00FE4354">
      <w:r w:rsidRPr="00B4521C">
        <w:rPr>
          <w:noProof/>
        </w:rPr>
        <w:drawing>
          <wp:inline distT="0" distB="0" distL="0" distR="0" wp14:anchorId="0A9A47BC" wp14:editId="2E473E40">
            <wp:extent cx="2908300" cy="1556555"/>
            <wp:effectExtent l="0" t="0" r="6350" b="5715"/>
            <wp:docPr id="2140321216" name="Picture 2140321216" descr="Overall survival using the full analysis set without censoring for COVID-19 related deaths (using the lognormal (left) and log-logistic (right) functions (dotted lines are without adjustment for all-cause mor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21216" name="Picture 2140321216" descr="Overall survival using the full analysis set without censoring for COVID-19 related deaths (using the lognormal (left) and log-logistic (right) functions (dotted lines are without adjustment for all-cause mortality)."/>
                    <pic:cNvPicPr/>
                  </pic:nvPicPr>
                  <pic:blipFill>
                    <a:blip r:embed="rId15"/>
                    <a:stretch>
                      <a:fillRect/>
                    </a:stretch>
                  </pic:blipFill>
                  <pic:spPr>
                    <a:xfrm>
                      <a:off x="0" y="0"/>
                      <a:ext cx="2912137" cy="1558609"/>
                    </a:xfrm>
                    <a:prstGeom prst="rect">
                      <a:avLst/>
                    </a:prstGeom>
                  </pic:spPr>
                </pic:pic>
              </a:graphicData>
            </a:graphic>
          </wp:inline>
        </w:drawing>
      </w:r>
      <w:r w:rsidRPr="00B4521C">
        <w:t xml:space="preserve"> </w:t>
      </w:r>
      <w:r w:rsidRPr="00B4521C">
        <w:rPr>
          <w:noProof/>
        </w:rPr>
        <w:drawing>
          <wp:inline distT="0" distB="0" distL="0" distR="0" wp14:anchorId="73E9B012" wp14:editId="782B2043">
            <wp:extent cx="2693186" cy="1547495"/>
            <wp:effectExtent l="0" t="0" r="0" b="0"/>
            <wp:docPr id="1522343914" name="Picture 1522343914" descr="Overall survival using the full analysis set without censoring for COVID-19 related deaths (using the lognormal (left) and log-logistic (right) functions (dotted lines are without adjustment for all-cause mor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43914" name="Picture 1522343914" descr="Overall survival using the full analysis set without censoring for COVID-19 related deaths (using the lognormal (left) and log-logistic (right) functions (dotted lines are without adjustment for all-cause mortality)"/>
                    <pic:cNvPicPr/>
                  </pic:nvPicPr>
                  <pic:blipFill>
                    <a:blip r:embed="rId16"/>
                    <a:stretch>
                      <a:fillRect/>
                    </a:stretch>
                  </pic:blipFill>
                  <pic:spPr>
                    <a:xfrm>
                      <a:off x="0" y="0"/>
                      <a:ext cx="2699994" cy="1551407"/>
                    </a:xfrm>
                    <a:prstGeom prst="rect">
                      <a:avLst/>
                    </a:prstGeom>
                  </pic:spPr>
                </pic:pic>
              </a:graphicData>
            </a:graphic>
          </wp:inline>
        </w:drawing>
      </w:r>
    </w:p>
    <w:p w14:paraId="1A08AC1F" w14:textId="36187619" w:rsidR="00FE4354" w:rsidRPr="00B4521C" w:rsidRDefault="00862238" w:rsidP="003E702C">
      <w:pPr>
        <w:spacing w:after="240"/>
        <w:rPr>
          <w:rFonts w:ascii="Arial Narrow" w:hAnsi="Arial Narrow"/>
          <w:sz w:val="18"/>
          <w:szCs w:val="18"/>
        </w:rPr>
      </w:pPr>
      <w:r w:rsidRPr="00B4521C">
        <w:rPr>
          <w:rFonts w:ascii="Arial Narrow" w:hAnsi="Arial Narrow"/>
          <w:sz w:val="18"/>
          <w:szCs w:val="18"/>
        </w:rPr>
        <w:t xml:space="preserve">Source: Developed during preparation of ESC Advice </w:t>
      </w:r>
    </w:p>
    <w:p w14:paraId="7865F373" w14:textId="540A83DC" w:rsidR="00A11F61" w:rsidRPr="006D075E" w:rsidRDefault="00563F17" w:rsidP="00A11F61">
      <w:pPr>
        <w:pStyle w:val="COMexecsummnumbered"/>
      </w:pPr>
      <w:r w:rsidRPr="006D075E">
        <w:t>P</w:t>
      </w:r>
      <w:r w:rsidR="00A11F61" w:rsidRPr="006D075E">
        <w:t xml:space="preserve">rogression free survival and time on treatment curves were also adjusted to ensure that the risks of disease progression and treatment discontinuation were not lower than the risk of general population mortality in each cycle. </w:t>
      </w:r>
    </w:p>
    <w:p w14:paraId="6DAB1416" w14:textId="43E9E252" w:rsidR="008D69A2" w:rsidRPr="006D075E" w:rsidRDefault="00563F17">
      <w:pPr>
        <w:pStyle w:val="COMexecsummnumbered"/>
      </w:pPr>
      <w:r w:rsidRPr="006D075E">
        <w:t>In the submission, t</w:t>
      </w:r>
      <w:r w:rsidR="00BF7A8F" w:rsidRPr="006D075E">
        <w:t xml:space="preserve">he proportions of patients initiating subsequent anti-cancer therapy over time were based on ‘time to first subsequent therapy or death’ rather than ‘time to first subsequent therapy censored for all-cause death’, which was claimed in the submission. The difference resulted in an overestimation of the proportion of patients initiating subsequent therapies in the model compared to the observed data from the trial, due to the inclusion of deaths as a subsequent treatment event. </w:t>
      </w:r>
      <w:r w:rsidR="008D69A2" w:rsidRPr="006D075E">
        <w:t>The PSCR</w:t>
      </w:r>
      <w:r w:rsidR="00972768" w:rsidRPr="006D075E">
        <w:t xml:space="preserve"> </w:t>
      </w:r>
      <w:r w:rsidR="008D69A2" w:rsidRPr="006D075E">
        <w:t xml:space="preserve">acknowledged that the incorrect time to first subsequent therapy curves were applied in the economic </w:t>
      </w:r>
      <w:proofErr w:type="gramStart"/>
      <w:r w:rsidR="008D69A2" w:rsidRPr="006D075E">
        <w:t>model, and</w:t>
      </w:r>
      <w:proofErr w:type="gramEnd"/>
      <w:r w:rsidR="008D69A2" w:rsidRPr="006D075E">
        <w:t xml:space="preserve"> provided a corrected </w:t>
      </w:r>
      <w:r w:rsidR="00422681" w:rsidRPr="006D075E">
        <w:t>economic</w:t>
      </w:r>
      <w:r w:rsidR="008D69A2" w:rsidRPr="006D075E">
        <w:t xml:space="preserve"> model with </w:t>
      </w:r>
      <w:bookmarkStart w:id="47" w:name="_Hlk200090777"/>
      <w:r w:rsidR="008D69A2" w:rsidRPr="006D075E">
        <w:t xml:space="preserve">time to first subsequent therapy </w:t>
      </w:r>
      <w:r w:rsidR="004044ED" w:rsidRPr="006D075E">
        <w:t xml:space="preserve">appropriately </w:t>
      </w:r>
      <w:r w:rsidR="008D69A2" w:rsidRPr="006D075E">
        <w:t>censored for death</w:t>
      </w:r>
      <w:bookmarkEnd w:id="47"/>
      <w:r w:rsidR="008D69A2" w:rsidRPr="006D075E">
        <w:t>.</w:t>
      </w:r>
    </w:p>
    <w:p w14:paraId="5F196AD4" w14:textId="23E97A0A" w:rsidR="00506E60" w:rsidRPr="006D075E" w:rsidRDefault="00FA2C7E" w:rsidP="00563D4B">
      <w:pPr>
        <w:pStyle w:val="COMexecsummnumbered"/>
      </w:pPr>
      <w:bookmarkStart w:id="48" w:name="_Ref201475047"/>
      <w:bookmarkStart w:id="49" w:name="_Ref204084749"/>
      <w:bookmarkEnd w:id="45"/>
      <w:r w:rsidRPr="006D075E">
        <w:t>The distribution of subsequent anti-cancer therapies in the placebo arm was based on</w:t>
      </w:r>
      <w:r w:rsidR="00E819A9" w:rsidRPr="006D075E">
        <w:t xml:space="preserve"> the</w:t>
      </w:r>
      <w:r w:rsidRPr="006D075E">
        <w:t xml:space="preserve"> first subsequent therapies initiated in the ECHO trial (BTK inhibitors, chemotherapy), adjusted for therapies considered not relevant or available in Australia. It was assumed that all patients who received subsequent therapy in the acalabrutinib arm </w:t>
      </w:r>
      <w:r w:rsidR="003B2539">
        <w:t xml:space="preserve">would </w:t>
      </w:r>
      <w:r w:rsidRPr="006D075E">
        <w:t xml:space="preserve">receive chemotherapy, based on the </w:t>
      </w:r>
      <w:r w:rsidR="0050362F">
        <w:t>one per lifetime rule for</w:t>
      </w:r>
      <w:r w:rsidRPr="006D075E">
        <w:t xml:space="preserve"> BTK inhibitors </w:t>
      </w:r>
      <w:r w:rsidR="0050362F">
        <w:t xml:space="preserve">(discussed in paragraph </w:t>
      </w:r>
      <w:r w:rsidR="0050362F">
        <w:fldChar w:fldCharType="begin"/>
      </w:r>
      <w:r w:rsidR="0050362F">
        <w:instrText xml:space="preserve"> REF _Ref204083407 \r \h </w:instrText>
      </w:r>
      <w:r w:rsidR="0050362F">
        <w:fldChar w:fldCharType="separate"/>
      </w:r>
      <w:r w:rsidR="00A542E9">
        <w:t>3.5</w:t>
      </w:r>
      <w:r w:rsidR="0050362F">
        <w:fldChar w:fldCharType="end"/>
      </w:r>
      <w:r w:rsidR="0050362F">
        <w:t>)</w:t>
      </w:r>
      <w:r w:rsidRPr="006D075E">
        <w:t xml:space="preserve">. </w:t>
      </w:r>
      <w:r w:rsidR="005C06EB">
        <w:t xml:space="preserve">However, </w:t>
      </w:r>
      <w:r w:rsidR="006773F7">
        <w:t xml:space="preserve">as discussed in paragraph </w:t>
      </w:r>
      <w:r w:rsidR="00B32927">
        <w:fldChar w:fldCharType="begin"/>
      </w:r>
      <w:r w:rsidR="00B32927">
        <w:instrText xml:space="preserve"> REF _Ref201474983 \r \h </w:instrText>
      </w:r>
      <w:r w:rsidR="00B32927">
        <w:fldChar w:fldCharType="separate"/>
      </w:r>
      <w:r w:rsidR="00A542E9">
        <w:t>6.27</w:t>
      </w:r>
      <w:r w:rsidR="00B32927">
        <w:fldChar w:fldCharType="end"/>
      </w:r>
      <w:r w:rsidRPr="006D075E">
        <w:t xml:space="preserve">, a proportion </w:t>
      </w:r>
      <w:r w:rsidR="004F4719" w:rsidRPr="006D075E">
        <w:t xml:space="preserve">(4.3%) </w:t>
      </w:r>
      <w:r w:rsidRPr="006D075E">
        <w:t>of patients in the acalabrutinib arm</w:t>
      </w:r>
      <w:r w:rsidR="00B32927">
        <w:t xml:space="preserve"> of</w:t>
      </w:r>
      <w:r w:rsidRPr="006D075E">
        <w:t xml:space="preserve"> </w:t>
      </w:r>
      <w:r w:rsidR="00B32927" w:rsidRPr="006D075E">
        <w:t xml:space="preserve">the ECHO trial </w:t>
      </w:r>
      <w:r w:rsidRPr="006D075E">
        <w:t xml:space="preserve">received subsequent </w:t>
      </w:r>
      <w:r w:rsidR="00CF066E">
        <w:t>BTK</w:t>
      </w:r>
      <w:r w:rsidR="0046432E">
        <w:t xml:space="preserve"> </w:t>
      </w:r>
      <w:r w:rsidR="0046432E" w:rsidRPr="003B0005">
        <w:t>i</w:t>
      </w:r>
      <w:r w:rsidR="0046432E">
        <w:t>nhibitor</w:t>
      </w:r>
      <w:r w:rsidR="00FB402E">
        <w:t>. A</w:t>
      </w:r>
      <w:r w:rsidRPr="006D075E">
        <w:t>lthough the costs of subsequent BTK therapy were removed from the acalabrutinib arm of the model, the submission assumed that this would have no impact on the disease trajectory, despite potential impacts on both survival and quality of lif</w:t>
      </w:r>
      <w:r w:rsidR="00FB402E">
        <w:t xml:space="preserve">e. </w:t>
      </w:r>
      <w:r w:rsidR="00563F17" w:rsidRPr="006D075E">
        <w:t>The PSCR argued that these patients, who had recently relapsed on first-line BTK</w:t>
      </w:r>
      <w:r w:rsidR="00FB402E">
        <w:t xml:space="preserve"> </w:t>
      </w:r>
      <w:r w:rsidR="00563F17" w:rsidRPr="006D075E">
        <w:t>i</w:t>
      </w:r>
      <w:r w:rsidR="00FB402E">
        <w:t>nhibitors</w:t>
      </w:r>
      <w:r w:rsidR="00563F17" w:rsidRPr="006D075E">
        <w:t>, were unlikely to benefit from BTK</w:t>
      </w:r>
      <w:r w:rsidR="0046432E" w:rsidRPr="0046432E">
        <w:t xml:space="preserve"> </w:t>
      </w:r>
      <w:r w:rsidR="0046432E" w:rsidRPr="003B0005">
        <w:t>i</w:t>
      </w:r>
      <w:r w:rsidR="0046432E">
        <w:t>nhibitor</w:t>
      </w:r>
      <w:r w:rsidR="00563F17" w:rsidRPr="006D075E">
        <w:t xml:space="preserve"> re-treatment and thus the impact of this assumption on survival endpoints was expected to be minimal.</w:t>
      </w:r>
      <w:r w:rsidR="00A70809" w:rsidRPr="006D075E">
        <w:t xml:space="preserve"> </w:t>
      </w:r>
      <w:r w:rsidR="00771E42" w:rsidRPr="006D075E">
        <w:t>However, t</w:t>
      </w:r>
      <w:r w:rsidR="00A70809" w:rsidRPr="006D075E">
        <w:t xml:space="preserve">he ESC considered that costs and outcomes should be treated </w:t>
      </w:r>
      <w:proofErr w:type="gramStart"/>
      <w:r w:rsidR="00A70809" w:rsidRPr="006D075E">
        <w:t>consistently, and</w:t>
      </w:r>
      <w:proofErr w:type="gramEnd"/>
      <w:r w:rsidR="00A70809" w:rsidRPr="006D075E">
        <w:t xml:space="preserve"> given that survival and quality of life impacts can</w:t>
      </w:r>
      <w:r w:rsidR="004044ED" w:rsidRPr="006D075E">
        <w:t>not</w:t>
      </w:r>
      <w:r w:rsidR="00A70809" w:rsidRPr="006D075E">
        <w:t xml:space="preserve"> be removed, it </w:t>
      </w:r>
      <w:r w:rsidR="00CB0F92">
        <w:t>was</w:t>
      </w:r>
      <w:r w:rsidR="00A70809" w:rsidRPr="006D075E">
        <w:t xml:space="preserve"> reasonable to continue to include costs for consistency</w:t>
      </w:r>
      <w:r w:rsidR="00CB0F92">
        <w:t>. As</w:t>
      </w:r>
      <w:r w:rsidR="00E92703">
        <w:t xml:space="preserve"> discussed in paragraph</w:t>
      </w:r>
      <w:r w:rsidR="00563D4B">
        <w:t>s</w:t>
      </w:r>
      <w:r w:rsidR="00E92703">
        <w:t xml:space="preserve"> </w:t>
      </w:r>
      <w:r w:rsidR="00E92703" w:rsidRPr="006D075E">
        <w:fldChar w:fldCharType="begin"/>
      </w:r>
      <w:r w:rsidR="00E92703" w:rsidRPr="006D075E">
        <w:instrText xml:space="preserve"> REF _Ref201474983 \r \h  \* MERGEFORMAT </w:instrText>
      </w:r>
      <w:r w:rsidR="00E92703" w:rsidRPr="006D075E">
        <w:fldChar w:fldCharType="separate"/>
      </w:r>
      <w:r w:rsidR="00A542E9">
        <w:t>6.27</w:t>
      </w:r>
      <w:r w:rsidR="00E92703" w:rsidRPr="006D075E">
        <w:fldChar w:fldCharType="end"/>
      </w:r>
      <w:r w:rsidR="00563D4B">
        <w:t xml:space="preserve"> and </w:t>
      </w:r>
      <w:r w:rsidR="00563D4B">
        <w:fldChar w:fldCharType="begin"/>
      </w:r>
      <w:r w:rsidR="00563D4B">
        <w:instrText xml:space="preserve"> REF _Ref204083407 \r \h </w:instrText>
      </w:r>
      <w:r w:rsidR="00563D4B">
        <w:fldChar w:fldCharType="separate"/>
      </w:r>
      <w:r w:rsidR="00A542E9">
        <w:t>3.5</w:t>
      </w:r>
      <w:r w:rsidR="00563D4B">
        <w:fldChar w:fldCharType="end"/>
      </w:r>
      <w:r w:rsidR="00183AFC">
        <w:t>, the ESC</w:t>
      </w:r>
      <w:r w:rsidR="00024453" w:rsidRPr="006D075E">
        <w:t xml:space="preserve"> </w:t>
      </w:r>
      <w:r w:rsidR="00FF280C" w:rsidRPr="006D075E">
        <w:t xml:space="preserve">considered </w:t>
      </w:r>
      <w:r w:rsidR="00E92703">
        <w:t>th</w:t>
      </w:r>
      <w:r w:rsidR="00CB0F92">
        <w:t>e</w:t>
      </w:r>
      <w:r w:rsidR="00024453" w:rsidRPr="006D075E">
        <w:t xml:space="preserve"> proportion </w:t>
      </w:r>
      <w:r w:rsidR="00CB0F92">
        <w:t xml:space="preserve">observed in the ECHO trial </w:t>
      </w:r>
      <w:r w:rsidR="002379F5">
        <w:t xml:space="preserve">(4.3%) was a reasonable representation of the </w:t>
      </w:r>
      <w:r w:rsidR="006C1C55" w:rsidRPr="006D075E">
        <w:t xml:space="preserve">proportion of patients who </w:t>
      </w:r>
      <w:r w:rsidR="002379F5">
        <w:t xml:space="preserve">may </w:t>
      </w:r>
      <w:r w:rsidR="006C1C55" w:rsidRPr="006D075E">
        <w:t>continue to use acalabrutinib post-progression in clinical practice</w:t>
      </w:r>
      <w:r w:rsidR="00A70809" w:rsidRPr="006D075E">
        <w:t>.</w:t>
      </w:r>
      <w:bookmarkEnd w:id="48"/>
      <w:bookmarkEnd w:id="49"/>
    </w:p>
    <w:p w14:paraId="2F654232" w14:textId="22E59DF9" w:rsidR="00C86F91" w:rsidRPr="00C86F91" w:rsidRDefault="00C86F91" w:rsidP="00C86F91">
      <w:pPr>
        <w:pStyle w:val="COMexecsummnumbered"/>
      </w:pPr>
      <w:r w:rsidRPr="00C86F91">
        <w:lastRenderedPageBreak/>
        <w:t xml:space="preserve">The utility associated with the progression free health state (0.830) was based on EQ-5D-5L data from the ECHO trial, cross-walked to EQ-5D-3L (UK value set). The submission acknowledged that Australian value sets were available, but claimed that direct application of the EQ-5D-5L Australian value set resulted in utility values for the progression free and progressed disease health states that exceeded 0.9, which the submission considered to be implausible given these were higher than the utility of the general Australian population aged above 71 years old. The submission stated that, as a result, mapped utility values from the UK were considered the best alternative. Limited utility data were available for patients following disease progression in the ECHO trial. Thus, the utility associated with the progressed disease health state (0.759) was based on the utility decrement associated with progressed disease derived from the LYM-3002 trial (reported in the van Keep 2016 economic evaluation). The difference between the pre-progression and post-progression utilities of 0.071 was subtracted from the progression free health state utility of 0.830 derived from the ECHO trial. The ESC considered that the validity of the utility applied for the progression-free health state was unclear (given it was based on trial data that appeared to overestimate quality of life when the Australian value sets were applied), and noted that a sensitivity analysis using the values from van Keep 2016 for both health states (0.764 and 0.693 for the progression free and progressed disease health states, respectively) increased the ICER by </w:t>
      </w:r>
      <w:r w:rsidR="00800963" w:rsidRPr="007542BF">
        <w:rPr>
          <w:color w:val="000000"/>
          <w:w w:val="61"/>
          <w:shd w:val="solid" w:color="000000" w:fill="000000"/>
          <w:fitText w:val="472" w:id="-629433340"/>
          <w14:textFill>
            <w14:solidFill>
              <w14:srgbClr w14:val="000000">
                <w14:alpha w14:val="100000"/>
              </w14:srgbClr>
            </w14:solidFill>
          </w14:textFill>
        </w:rPr>
        <w:t>|||  |||</w:t>
      </w:r>
      <w:r w:rsidRPr="00C86F91">
        <w:t xml:space="preserve">%.  </w:t>
      </w:r>
    </w:p>
    <w:p w14:paraId="7AC46DBB" w14:textId="6C4F9293" w:rsidR="00B97C0D" w:rsidRPr="006D075E" w:rsidRDefault="00FA2C7E" w:rsidP="00BF0F8F">
      <w:pPr>
        <w:pStyle w:val="COMexecsummnumbered"/>
        <w:rPr>
          <w:b/>
          <w:bCs/>
        </w:rPr>
      </w:pPr>
      <w:r w:rsidRPr="006D075E">
        <w:t xml:space="preserve">The </w:t>
      </w:r>
      <w:r w:rsidR="007D18DE">
        <w:t xml:space="preserve">submission’s </w:t>
      </w:r>
      <w:r w:rsidRPr="006D075E">
        <w:t>base case results of the economic evaluation were based on the analysis censoring for COVID-19 related deaths, given the impact of the COVID-19 pandemic on study outcomes</w:t>
      </w:r>
      <w:r w:rsidR="00276360">
        <w:t xml:space="preserve">, which </w:t>
      </w:r>
      <w:r w:rsidRPr="006D075E">
        <w:t>results in more favourable outcomes for acalabrutinib versus placebo, given the higher proportion of COVID-related deaths in the acalabrutinib arm</w:t>
      </w:r>
      <w:r w:rsidR="00276360">
        <w:t xml:space="preserve"> (see </w:t>
      </w:r>
      <w:r w:rsidR="007058B6">
        <w:t>paragraphs</w:t>
      </w:r>
      <w:r w:rsidR="00276360">
        <w:t xml:space="preserve"> </w:t>
      </w:r>
      <w:r w:rsidR="007058B6">
        <w:fldChar w:fldCharType="begin"/>
      </w:r>
      <w:r w:rsidR="007058B6">
        <w:instrText xml:space="preserve"> REF _Ref204087985 \r \h </w:instrText>
      </w:r>
      <w:r w:rsidR="007058B6">
        <w:fldChar w:fldCharType="separate"/>
      </w:r>
      <w:r w:rsidR="00A542E9">
        <w:t>6.14</w:t>
      </w:r>
      <w:r w:rsidR="007058B6">
        <w:fldChar w:fldCharType="end"/>
      </w:r>
      <w:r w:rsidR="007058B6">
        <w:t xml:space="preserve"> and </w:t>
      </w:r>
      <w:r w:rsidR="007058B6">
        <w:fldChar w:fldCharType="begin"/>
      </w:r>
      <w:r w:rsidR="007058B6">
        <w:instrText xml:space="preserve"> REF _Ref201474983 \r \h </w:instrText>
      </w:r>
      <w:r w:rsidR="007058B6">
        <w:fldChar w:fldCharType="separate"/>
      </w:r>
      <w:r w:rsidR="00A542E9">
        <w:t>6.27</w:t>
      </w:r>
      <w:r w:rsidR="007058B6">
        <w:fldChar w:fldCharType="end"/>
      </w:r>
      <w:r w:rsidR="00276360">
        <w:t>)</w:t>
      </w:r>
      <w:r w:rsidRPr="006D075E">
        <w:t>.</w:t>
      </w:r>
      <w:r w:rsidR="00C34C6D" w:rsidRPr="006D075E">
        <w:t xml:space="preserve"> The</w:t>
      </w:r>
      <w:r w:rsidRPr="006D075E">
        <w:t xml:space="preserve"> </w:t>
      </w:r>
      <w:r w:rsidR="00C34C6D" w:rsidRPr="006D075E">
        <w:t>evaluation considered that t</w:t>
      </w:r>
      <w:r w:rsidRPr="006D075E">
        <w:t>his may be the result of acalabrutinib patients being at greater risk of infection, with greater immunosuppression associated with ongoing use of acalabrutinib</w:t>
      </w:r>
      <w:r w:rsidR="00140390" w:rsidRPr="006D075E">
        <w:t xml:space="preserve">; to </w:t>
      </w:r>
      <w:r w:rsidR="00DA65AA" w:rsidRPr="006D075E">
        <w:t>which the PSCR</w:t>
      </w:r>
      <w:r w:rsidR="000F20FC" w:rsidRPr="006D075E">
        <w:t xml:space="preserve"> agreed</w:t>
      </w:r>
      <w:r w:rsidRPr="006D075E">
        <w:t xml:space="preserve">. </w:t>
      </w:r>
      <w:r w:rsidR="00563F17" w:rsidRPr="006D075E">
        <w:t>The evaluation considered it was</w:t>
      </w:r>
      <w:r w:rsidRPr="006D075E">
        <w:t xml:space="preserve"> unclear whether the analyses censored for COVID-19 related deaths would be representative of outcomes in current clinical practice, given causes of death are a competing risk. </w:t>
      </w:r>
      <w:r w:rsidR="003413C3" w:rsidRPr="006D075E">
        <w:t>As discussed in paragraph</w:t>
      </w:r>
      <w:r w:rsidR="00A17D96" w:rsidRPr="006D075E">
        <w:t xml:space="preserve"> </w:t>
      </w:r>
      <w:r w:rsidR="00CF458B" w:rsidRPr="006D075E">
        <w:fldChar w:fldCharType="begin"/>
      </w:r>
      <w:r w:rsidR="00CF458B" w:rsidRPr="006D075E">
        <w:instrText xml:space="preserve"> REF _Ref201244023 \r \h  \* MERGEFORMAT </w:instrText>
      </w:r>
      <w:r w:rsidR="00CF458B" w:rsidRPr="006D075E">
        <w:fldChar w:fldCharType="separate"/>
      </w:r>
      <w:r w:rsidR="00A542E9">
        <w:t>6.14</w:t>
      </w:r>
      <w:r w:rsidR="00CF458B" w:rsidRPr="006D075E">
        <w:fldChar w:fldCharType="end"/>
      </w:r>
      <w:r w:rsidR="003413C3" w:rsidRPr="006D075E">
        <w:t xml:space="preserve">, </w:t>
      </w:r>
      <w:r w:rsidR="00261A2C" w:rsidRPr="006D075E">
        <w:t>t</w:t>
      </w:r>
      <w:r w:rsidR="003413C3" w:rsidRPr="006D075E">
        <w:t xml:space="preserve">he PSCR </w:t>
      </w:r>
      <w:r w:rsidR="003B7465" w:rsidRPr="006D075E">
        <w:t>argue</w:t>
      </w:r>
      <w:r w:rsidR="005B677A" w:rsidRPr="006D075E">
        <w:t>d</w:t>
      </w:r>
      <w:r w:rsidR="003B7465" w:rsidRPr="006D075E">
        <w:t xml:space="preserve"> that the </w:t>
      </w:r>
      <w:r w:rsidR="00261A2C" w:rsidRPr="006D075E">
        <w:t xml:space="preserve">COVID-censored </w:t>
      </w:r>
      <w:r w:rsidR="0039344C" w:rsidRPr="006D075E">
        <w:t>analysis was appropriate</w:t>
      </w:r>
      <w:r w:rsidR="00261A2C" w:rsidRPr="006D075E">
        <w:t>, however the</w:t>
      </w:r>
      <w:r w:rsidR="003413C3" w:rsidRPr="006D075E">
        <w:t xml:space="preserve"> ESC considered that the full analysis set should be used for both </w:t>
      </w:r>
      <w:r w:rsidR="003E702C" w:rsidRPr="006D075E">
        <w:t xml:space="preserve">the </w:t>
      </w:r>
      <w:r w:rsidR="003413C3" w:rsidRPr="006D075E">
        <w:t>clinical and economic evaluations</w:t>
      </w:r>
      <w:r w:rsidR="00762CBD" w:rsidRPr="006D075E">
        <w:t>, as the analysis censoring for COVID-19 related deaths does not account for competing causes of death, and favours acalabrutinib</w:t>
      </w:r>
      <w:r w:rsidR="003413C3" w:rsidRPr="006D075E">
        <w:t>.</w:t>
      </w:r>
    </w:p>
    <w:p w14:paraId="1373176C" w14:textId="5C650176" w:rsidR="00FA2C7E" w:rsidRPr="006D075E" w:rsidRDefault="00FA2C7E" w:rsidP="00FA2C7E">
      <w:pPr>
        <w:pStyle w:val="COMexecsummnumbered"/>
      </w:pPr>
      <w:r w:rsidRPr="006D075E">
        <w:t>Key drivers of the economic model are summarised in</w:t>
      </w:r>
      <w:r w:rsidR="00141493" w:rsidRPr="006D075E">
        <w:t xml:space="preserve"> </w:t>
      </w:r>
      <w:r w:rsidR="00141493" w:rsidRPr="006D075E">
        <w:fldChar w:fldCharType="begin"/>
      </w:r>
      <w:r w:rsidR="00141493" w:rsidRPr="006D075E">
        <w:instrText xml:space="preserve"> REF _Ref196204365 \h </w:instrText>
      </w:r>
      <w:r w:rsidR="00E758CA" w:rsidRPr="006D075E">
        <w:instrText xml:space="preserve"> \* MERGEFORMAT </w:instrText>
      </w:r>
      <w:r w:rsidR="00141493" w:rsidRPr="006D075E">
        <w:fldChar w:fldCharType="separate"/>
      </w:r>
      <w:r w:rsidR="00A542E9" w:rsidRPr="006D075E">
        <w:t xml:space="preserve">Table </w:t>
      </w:r>
      <w:r w:rsidR="00A542E9">
        <w:t>8</w:t>
      </w:r>
      <w:r w:rsidR="00141493" w:rsidRPr="006D075E">
        <w:fldChar w:fldCharType="end"/>
      </w:r>
      <w:r w:rsidRPr="006D075E">
        <w:t>.</w:t>
      </w:r>
    </w:p>
    <w:p w14:paraId="6AEF8D76" w14:textId="4A96A718" w:rsidR="00B70B3E" w:rsidRPr="006D075E" w:rsidRDefault="00B70B3E" w:rsidP="00771E42">
      <w:pPr>
        <w:pStyle w:val="COMtablefigcaption"/>
        <w:spacing w:before="120"/>
      </w:pPr>
      <w:bookmarkStart w:id="50" w:name="_Ref196204365"/>
      <w:r w:rsidRPr="006D075E">
        <w:lastRenderedPageBreak/>
        <w:t xml:space="preserve">Table </w:t>
      </w:r>
      <w:r w:rsidR="00370FC7" w:rsidRPr="006D075E">
        <w:fldChar w:fldCharType="begin"/>
      </w:r>
      <w:r w:rsidR="00370FC7" w:rsidRPr="006D075E">
        <w:instrText xml:space="preserve"> SEQ Table \* ARABIC </w:instrText>
      </w:r>
      <w:r w:rsidR="00370FC7" w:rsidRPr="006D075E">
        <w:fldChar w:fldCharType="separate"/>
      </w:r>
      <w:r w:rsidR="00A542E9">
        <w:rPr>
          <w:noProof/>
        </w:rPr>
        <w:t>8</w:t>
      </w:r>
      <w:r w:rsidR="00370FC7" w:rsidRPr="006D075E">
        <w:fldChar w:fldCharType="end"/>
      </w:r>
      <w:bookmarkEnd w:id="50"/>
      <w:r w:rsidRPr="006D075E">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drivers of the model"/>
      </w:tblPr>
      <w:tblGrid>
        <w:gridCol w:w="1129"/>
        <w:gridCol w:w="6379"/>
        <w:gridCol w:w="1509"/>
      </w:tblGrid>
      <w:tr w:rsidR="006F14FE" w:rsidRPr="006D075E" w14:paraId="24AC4A81" w14:textId="77777777" w:rsidTr="006D5D01">
        <w:trPr>
          <w:tblHeader/>
        </w:trPr>
        <w:tc>
          <w:tcPr>
            <w:tcW w:w="626" w:type="pct"/>
            <w:vAlign w:val="center"/>
          </w:tcPr>
          <w:p w14:paraId="760A485B" w14:textId="77777777" w:rsidR="006F14FE" w:rsidRPr="006D075E" w:rsidRDefault="006F14FE">
            <w:pPr>
              <w:pStyle w:val="COMTableheadingrow"/>
              <w:rPr>
                <w:lang w:val="en-AU"/>
              </w:rPr>
            </w:pPr>
            <w:r w:rsidRPr="006D075E">
              <w:rPr>
                <w:lang w:val="en-AU"/>
              </w:rPr>
              <w:t>Description</w:t>
            </w:r>
          </w:p>
        </w:tc>
        <w:tc>
          <w:tcPr>
            <w:tcW w:w="3537" w:type="pct"/>
            <w:vAlign w:val="center"/>
          </w:tcPr>
          <w:p w14:paraId="0386C39F" w14:textId="77777777" w:rsidR="006F14FE" w:rsidRPr="006D075E" w:rsidRDefault="006F14FE">
            <w:pPr>
              <w:pStyle w:val="COMTableheadingrow"/>
              <w:rPr>
                <w:lang w:val="en-AU"/>
              </w:rPr>
            </w:pPr>
            <w:r w:rsidRPr="006D075E">
              <w:rPr>
                <w:lang w:val="en-AU"/>
              </w:rPr>
              <w:t>Method/Value</w:t>
            </w:r>
          </w:p>
        </w:tc>
        <w:tc>
          <w:tcPr>
            <w:tcW w:w="837" w:type="pct"/>
            <w:vAlign w:val="center"/>
          </w:tcPr>
          <w:p w14:paraId="640B6847" w14:textId="77777777" w:rsidR="006F14FE" w:rsidRPr="006D075E" w:rsidRDefault="006F14FE">
            <w:pPr>
              <w:pStyle w:val="COMTableheadingrow"/>
              <w:jc w:val="center"/>
              <w:rPr>
                <w:lang w:val="en-AU"/>
              </w:rPr>
            </w:pPr>
            <w:r w:rsidRPr="006D075E">
              <w:rPr>
                <w:lang w:val="en-AU"/>
              </w:rPr>
              <w:t>Impact</w:t>
            </w:r>
          </w:p>
        </w:tc>
      </w:tr>
      <w:tr w:rsidR="006F14FE" w:rsidRPr="006D075E" w14:paraId="4514108E" w14:textId="77777777" w:rsidTr="006D5D01">
        <w:tc>
          <w:tcPr>
            <w:tcW w:w="626" w:type="pct"/>
            <w:vAlign w:val="center"/>
          </w:tcPr>
          <w:p w14:paraId="00B3011F" w14:textId="45101386" w:rsidR="006F14FE" w:rsidRPr="006D075E" w:rsidRDefault="006F14FE">
            <w:pPr>
              <w:pStyle w:val="COMTabletext"/>
            </w:pPr>
            <w:r w:rsidRPr="006D075E">
              <w:t xml:space="preserve">Model structure </w:t>
            </w:r>
          </w:p>
        </w:tc>
        <w:tc>
          <w:tcPr>
            <w:tcW w:w="3537" w:type="pct"/>
            <w:vAlign w:val="center"/>
          </w:tcPr>
          <w:p w14:paraId="5156F28D" w14:textId="3CE1470D" w:rsidR="006F14FE" w:rsidRPr="006D075E" w:rsidRDefault="006F14FE">
            <w:pPr>
              <w:pStyle w:val="COMTabletext"/>
            </w:pPr>
            <w:r w:rsidRPr="006D075E">
              <w:t xml:space="preserve">The </w:t>
            </w:r>
            <w:r w:rsidR="00563F17" w:rsidRPr="006D075E">
              <w:t>evaluation</w:t>
            </w:r>
            <w:r w:rsidR="00BA66D4" w:rsidRPr="006D075E">
              <w:t xml:space="preserve"> and the ESC</w:t>
            </w:r>
            <w:r w:rsidR="00563F17" w:rsidRPr="006D075E">
              <w:t xml:space="preserve"> considered that the </w:t>
            </w:r>
            <w:proofErr w:type="gramStart"/>
            <w:r w:rsidRPr="006D075E">
              <w:t>3 health</w:t>
            </w:r>
            <w:proofErr w:type="gramEnd"/>
            <w:r w:rsidRPr="006D075E">
              <w:t xml:space="preserve"> state partitioned survival analysis limited the ability to appropriately incorporate the costs and consequences associated with the utilisation of subsequent anti-cancer treatments over the </w:t>
            </w:r>
            <w:proofErr w:type="gramStart"/>
            <w:r w:rsidRPr="006D075E">
              <w:t>20 year</w:t>
            </w:r>
            <w:proofErr w:type="gramEnd"/>
            <w:r w:rsidRPr="006D075E">
              <w:t xml:space="preserve"> model time horizon. The PBAC has previously noted its strong preference to incorporate the impact of further lines of treatment, with their costs and health benefits, to enable robust assessments of cost-effectiveness (para 7.15, </w:t>
            </w:r>
            <w:proofErr w:type="spellStart"/>
            <w:r w:rsidRPr="006D075E">
              <w:t>bendamustine</w:t>
            </w:r>
            <w:proofErr w:type="spellEnd"/>
            <w:r w:rsidRPr="006D075E">
              <w:t xml:space="preserve"> PSD, March 2015 PBAC meeting; para 7.4, </w:t>
            </w:r>
            <w:proofErr w:type="spellStart"/>
            <w:r w:rsidRPr="006D075E">
              <w:t>bendamustine</w:t>
            </w:r>
            <w:proofErr w:type="spellEnd"/>
            <w:r w:rsidRPr="006D075E">
              <w:t xml:space="preserve"> PSD, July 2015 PBAC meeting). The PBAC also noted the inherent disconnect between using both a </w:t>
            </w:r>
            <w:proofErr w:type="gramStart"/>
            <w:r w:rsidRPr="006D075E">
              <w:t>3 health</w:t>
            </w:r>
            <w:proofErr w:type="gramEnd"/>
            <w:r w:rsidRPr="006D075E">
              <w:t xml:space="preserve"> state model and a </w:t>
            </w:r>
            <w:proofErr w:type="gramStart"/>
            <w:r w:rsidRPr="006D075E">
              <w:t>20 year</w:t>
            </w:r>
            <w:proofErr w:type="gramEnd"/>
            <w:r w:rsidRPr="006D075E">
              <w:t xml:space="preserve"> model time </w:t>
            </w:r>
            <w:proofErr w:type="gramStart"/>
            <w:r w:rsidRPr="006D075E">
              <w:t>horizon, and</w:t>
            </w:r>
            <w:proofErr w:type="gramEnd"/>
            <w:r w:rsidRPr="006D075E">
              <w:t xml:space="preserve"> considered a </w:t>
            </w:r>
            <w:proofErr w:type="gramStart"/>
            <w:r w:rsidRPr="006D075E">
              <w:t>10 year</w:t>
            </w:r>
            <w:proofErr w:type="gramEnd"/>
            <w:r w:rsidRPr="006D075E">
              <w:t xml:space="preserve"> time horizon should be used for first-line </w:t>
            </w:r>
            <w:r w:rsidR="008B591E">
              <w:t>MCL</w:t>
            </w:r>
            <w:r w:rsidRPr="006D075E">
              <w:t xml:space="preserve"> (para 7.7, </w:t>
            </w:r>
            <w:proofErr w:type="spellStart"/>
            <w:r w:rsidRPr="006D075E">
              <w:t>bendamustine</w:t>
            </w:r>
            <w:proofErr w:type="spellEnd"/>
            <w:r w:rsidRPr="006D075E">
              <w:t xml:space="preserve"> PSD, July 2015 PBAC meeting; para 7.15, </w:t>
            </w:r>
            <w:proofErr w:type="spellStart"/>
            <w:r w:rsidRPr="006D075E">
              <w:t>bendamustine</w:t>
            </w:r>
            <w:proofErr w:type="spellEnd"/>
            <w:r w:rsidRPr="006D075E">
              <w:t xml:space="preserve"> PSD, March 2015 PBAC meeting).</w:t>
            </w:r>
          </w:p>
          <w:p w14:paraId="6E3EB5F6" w14:textId="6EA07EEA" w:rsidR="00022587" w:rsidRPr="006D075E" w:rsidRDefault="005B677A" w:rsidP="00B6202F">
            <w:pPr>
              <w:pStyle w:val="COMTabletext"/>
              <w:spacing w:before="240"/>
            </w:pPr>
            <w:r w:rsidRPr="006D075E">
              <w:t>Similarly, t</w:t>
            </w:r>
            <w:r w:rsidR="00437817" w:rsidRPr="006D075E">
              <w:t xml:space="preserve">he ESC considered that a </w:t>
            </w:r>
            <w:proofErr w:type="gramStart"/>
            <w:r w:rsidR="00437817" w:rsidRPr="006D075E">
              <w:t>20 year</w:t>
            </w:r>
            <w:proofErr w:type="gramEnd"/>
            <w:r w:rsidR="00437817" w:rsidRPr="006D075E">
              <w:t xml:space="preserve"> time horizon is optimistic </w:t>
            </w:r>
            <w:r w:rsidRPr="006D075E">
              <w:t xml:space="preserve">for this submission </w:t>
            </w:r>
            <w:r w:rsidR="00437817" w:rsidRPr="006D075E">
              <w:t xml:space="preserve">and a </w:t>
            </w:r>
            <w:proofErr w:type="gramStart"/>
            <w:r w:rsidR="00437817" w:rsidRPr="006D075E">
              <w:t>10 year</w:t>
            </w:r>
            <w:proofErr w:type="gramEnd"/>
            <w:r w:rsidR="00437817" w:rsidRPr="006D075E">
              <w:t xml:space="preserve"> horizon </w:t>
            </w:r>
            <w:r w:rsidRPr="006D075E">
              <w:t>would be</w:t>
            </w:r>
            <w:r w:rsidR="00437817" w:rsidRPr="006D075E">
              <w:t xml:space="preserve"> more feasible.</w:t>
            </w:r>
            <w:r w:rsidR="005E460F" w:rsidRPr="006D075E">
              <w:t xml:space="preserve"> </w:t>
            </w:r>
            <w:r w:rsidR="008C12CA" w:rsidRPr="006D075E">
              <w:t>However, the submission’s model was relatively insensitive to the time horizon particularly in the</w:t>
            </w:r>
            <w:r w:rsidR="00A249CE">
              <w:t xml:space="preserve"> uncensored</w:t>
            </w:r>
            <w:r w:rsidR="008C12CA" w:rsidRPr="006D075E">
              <w:t xml:space="preserve"> full analysis set </w:t>
            </w:r>
            <w:r w:rsidR="00547B21" w:rsidRPr="006D075E">
              <w:t xml:space="preserve">(FAS) </w:t>
            </w:r>
            <w:r w:rsidR="008C12CA" w:rsidRPr="006D075E">
              <w:t xml:space="preserve">scenario, where the ICER </w:t>
            </w:r>
            <w:r w:rsidR="00B6202F" w:rsidRPr="006D075E">
              <w:t xml:space="preserve">increased by only </w:t>
            </w:r>
            <w:r w:rsidR="00800963" w:rsidRPr="007542BF">
              <w:rPr>
                <w:color w:val="000000"/>
                <w:spacing w:val="51"/>
                <w:shd w:val="solid" w:color="000000" w:fill="000000"/>
                <w:fitText w:val="324" w:id="-629433339"/>
                <w14:textFill>
                  <w14:solidFill>
                    <w14:srgbClr w14:val="000000">
                      <w14:alpha w14:val="100000"/>
                    </w14:srgbClr>
                  </w14:solidFill>
                </w14:textFill>
              </w:rPr>
              <w:t>|||</w:t>
            </w:r>
            <w:r w:rsidR="00800963" w:rsidRPr="007542BF">
              <w:rPr>
                <w:color w:val="000000"/>
                <w:spacing w:val="1"/>
                <w:shd w:val="solid" w:color="000000" w:fill="000000"/>
                <w:fitText w:val="324" w:id="-629433339"/>
                <w14:textFill>
                  <w14:solidFill>
                    <w14:srgbClr w14:val="000000">
                      <w14:alpha w14:val="100000"/>
                    </w14:srgbClr>
                  </w14:solidFill>
                </w14:textFill>
              </w:rPr>
              <w:t>|</w:t>
            </w:r>
            <w:r w:rsidR="00B6202F" w:rsidRPr="006D075E">
              <w:t xml:space="preserve">% </w:t>
            </w:r>
            <w:r w:rsidR="008C12CA" w:rsidRPr="006D075E">
              <w:t>when the time horizon was shortened from 20 years to 10 years.</w:t>
            </w:r>
            <w:r w:rsidRPr="006D075E">
              <w:t xml:space="preserve"> </w:t>
            </w:r>
            <w:r w:rsidR="00965C65" w:rsidRPr="006D075E">
              <w:t>The ESC considered that reason</w:t>
            </w:r>
            <w:r w:rsidR="00B6202F" w:rsidRPr="006D075E">
              <w:t>s</w:t>
            </w:r>
            <w:r w:rsidR="00965C65" w:rsidRPr="006D075E">
              <w:t xml:space="preserve"> for this </w:t>
            </w:r>
            <w:r w:rsidR="00B6202F" w:rsidRPr="006D075E">
              <w:t xml:space="preserve">include the </w:t>
            </w:r>
            <w:r w:rsidRPr="006D075E">
              <w:t>small difference in OS beyond 10 years (</w:t>
            </w:r>
            <w:r w:rsidR="003E702C" w:rsidRPr="006D075E">
              <w:t>particularly in the FAS where</w:t>
            </w:r>
            <w:r w:rsidRPr="006D075E">
              <w:t xml:space="preserve"> more patients</w:t>
            </w:r>
            <w:r w:rsidR="00B6202F" w:rsidRPr="006D075E">
              <w:t xml:space="preserve"> in the acalabrutinib arm</w:t>
            </w:r>
            <w:r w:rsidRPr="006D075E">
              <w:t xml:space="preserve"> die early due to COVID</w:t>
            </w:r>
            <w:r w:rsidR="0047660E">
              <w:t>-19</w:t>
            </w:r>
            <w:r w:rsidRPr="006D075E">
              <w:t xml:space="preserve">), </w:t>
            </w:r>
            <w:r w:rsidR="00965C65" w:rsidRPr="006D075E">
              <w:t>with</w:t>
            </w:r>
            <w:r w:rsidRPr="006D075E">
              <w:t xml:space="preserve"> </w:t>
            </w:r>
            <w:r w:rsidR="004107A8" w:rsidRPr="006D075E">
              <w:t>mo</w:t>
            </w:r>
            <w:r w:rsidR="00BC147E" w:rsidRPr="006D075E">
              <w:t>st</w:t>
            </w:r>
            <w:r w:rsidR="004107A8" w:rsidRPr="006D075E">
              <w:t xml:space="preserve"> </w:t>
            </w:r>
            <w:r w:rsidR="00965C65" w:rsidRPr="006D075E">
              <w:t xml:space="preserve">patients in the progression free health state </w:t>
            </w:r>
            <w:r w:rsidRPr="006D075E">
              <w:t>continu</w:t>
            </w:r>
            <w:r w:rsidR="00965C65" w:rsidRPr="006D075E">
              <w:t>ing</w:t>
            </w:r>
            <w:r w:rsidRPr="006D075E">
              <w:t xml:space="preserve"> to </w:t>
            </w:r>
            <w:r w:rsidR="00B6202F" w:rsidRPr="006D075E">
              <w:t>receive</w:t>
            </w:r>
            <w:r w:rsidRPr="006D075E">
              <w:t xml:space="preserve"> acalabrutinib and thus accru</w:t>
            </w:r>
            <w:r w:rsidR="003E702C" w:rsidRPr="006D075E">
              <w:t>ing</w:t>
            </w:r>
            <w:r w:rsidRPr="006D075E">
              <w:t xml:space="preserve"> drug costs with longer time horizons</w:t>
            </w:r>
            <w:r w:rsidR="00B6202F" w:rsidRPr="006D075E">
              <w:t>. The ESC also noted that i</w:t>
            </w:r>
            <w:r w:rsidRPr="006D075E">
              <w:t xml:space="preserve">n the sensitivity analysis where the OS extrapolation is more conservative (i.e. log-log and log-normal), shorter time horizons </w:t>
            </w:r>
            <w:r w:rsidR="00B6202F" w:rsidRPr="006D075E">
              <w:t>reduce</w:t>
            </w:r>
            <w:r w:rsidRPr="006D075E">
              <w:t xml:space="preserve"> the ICE</w:t>
            </w:r>
            <w:r w:rsidR="00B6202F" w:rsidRPr="006D075E">
              <w:t>R.</w:t>
            </w:r>
          </w:p>
        </w:tc>
        <w:tc>
          <w:tcPr>
            <w:tcW w:w="837" w:type="pct"/>
            <w:vAlign w:val="center"/>
          </w:tcPr>
          <w:p w14:paraId="76D784F1" w14:textId="7556C188" w:rsidR="006F14FE" w:rsidRPr="006D075E" w:rsidRDefault="006F14FE">
            <w:pPr>
              <w:pStyle w:val="COMTabletext"/>
              <w:jc w:val="center"/>
              <w:rPr>
                <w:highlight w:val="yellow"/>
              </w:rPr>
            </w:pPr>
            <w:r w:rsidRPr="006D075E">
              <w:t>Unclear</w:t>
            </w:r>
            <w:r w:rsidR="005B677A" w:rsidRPr="006D075E">
              <w:t xml:space="preserve"> (with the impact not adequately assessed by simply truncating the time horizon)</w:t>
            </w:r>
          </w:p>
        </w:tc>
      </w:tr>
      <w:tr w:rsidR="006F14FE" w:rsidRPr="006D075E" w14:paraId="2064E08D" w14:textId="77777777" w:rsidTr="006D5D01">
        <w:tc>
          <w:tcPr>
            <w:tcW w:w="626" w:type="pct"/>
            <w:vAlign w:val="center"/>
          </w:tcPr>
          <w:p w14:paraId="2DCBECEE" w14:textId="77777777" w:rsidR="006F14FE" w:rsidRPr="006D075E" w:rsidRDefault="006F14FE">
            <w:pPr>
              <w:pStyle w:val="COMTabletext"/>
            </w:pPr>
            <w:r w:rsidRPr="006D075E">
              <w:t>Subsequent anti-cancer therapy</w:t>
            </w:r>
          </w:p>
        </w:tc>
        <w:tc>
          <w:tcPr>
            <w:tcW w:w="3537" w:type="pct"/>
            <w:vAlign w:val="center"/>
          </w:tcPr>
          <w:p w14:paraId="4504C304" w14:textId="3C9560FA" w:rsidR="007D2F16" w:rsidRPr="006D075E" w:rsidRDefault="006F14FE">
            <w:pPr>
              <w:pStyle w:val="COMTabletext"/>
            </w:pPr>
            <w:r w:rsidRPr="006D075E">
              <w:t xml:space="preserve">The submission assumed that all patients who received subsequent anti-cancer therapy in the acalabrutinib arm received chemotherapy. This was inconsistent with the ECHO trial, in which a proportion of patients in the acalabrutinib arm </w:t>
            </w:r>
            <w:r w:rsidR="007D2F16" w:rsidRPr="006D075E">
              <w:t xml:space="preserve">(4.3%) </w:t>
            </w:r>
            <w:r w:rsidRPr="006D075E">
              <w:t>received subsequent BTK inhibitor therapy. This was implemented as a reduction in the modelled costs of subsequent anti-cancer therapies in the acalabrutinib arm, without corresponding changes to the modelled survival endpoints or quality of life.</w:t>
            </w:r>
          </w:p>
        </w:tc>
        <w:tc>
          <w:tcPr>
            <w:tcW w:w="837" w:type="pct"/>
            <w:vAlign w:val="center"/>
          </w:tcPr>
          <w:p w14:paraId="62BA4E90" w14:textId="1BA9C410" w:rsidR="006F14FE" w:rsidRPr="006D075E" w:rsidRDefault="00FC2376">
            <w:pPr>
              <w:pStyle w:val="COMTabletext"/>
              <w:jc w:val="center"/>
            </w:pPr>
            <w:r w:rsidRPr="006D075E">
              <w:t>Moderate</w:t>
            </w:r>
            <w:r w:rsidR="006F14FE" w:rsidRPr="006D075E">
              <w:t>, favours acalabrutinib</w:t>
            </w:r>
            <w:r w:rsidR="00C83194" w:rsidRPr="006D075E">
              <w:t xml:space="preserve"> (impact is lesser in the PSCR model compared with the submission model)</w:t>
            </w:r>
          </w:p>
        </w:tc>
      </w:tr>
      <w:tr w:rsidR="006F14FE" w:rsidRPr="006D075E" w14:paraId="2E02FC63" w14:textId="77777777" w:rsidTr="006D5D01">
        <w:tc>
          <w:tcPr>
            <w:tcW w:w="626" w:type="pct"/>
            <w:vAlign w:val="center"/>
          </w:tcPr>
          <w:p w14:paraId="59074CD3" w14:textId="77777777" w:rsidR="006F14FE" w:rsidRPr="006D075E" w:rsidRDefault="006F14FE">
            <w:pPr>
              <w:pStyle w:val="COMTabletext"/>
            </w:pPr>
            <w:r w:rsidRPr="006D075E">
              <w:t>Use of the analysis censoring for COVID-19 related deaths</w:t>
            </w:r>
          </w:p>
        </w:tc>
        <w:tc>
          <w:tcPr>
            <w:tcW w:w="3537" w:type="pct"/>
            <w:vAlign w:val="center"/>
          </w:tcPr>
          <w:p w14:paraId="081B1F0F" w14:textId="0ADCED87" w:rsidR="006F14FE" w:rsidRPr="006D075E" w:rsidRDefault="006F14FE">
            <w:pPr>
              <w:pStyle w:val="COMTabletext"/>
            </w:pPr>
            <w:r w:rsidRPr="006D075E">
              <w:t>The use of the analyses censoring for COVID-19 related deaths in the model base case was not conservative, given the higher proportion of COVID-related deaths in the acalabrutinib arm compared to the placebo arm, and uncertainty regarding whether the results would be representative of outcomes in current clinical practice, given causes of death are a competing risk.</w:t>
            </w:r>
            <w:r w:rsidR="00051E6A" w:rsidRPr="006D075E">
              <w:t xml:space="preserve"> The ESC considered that the full analysis set should be used. </w:t>
            </w:r>
          </w:p>
        </w:tc>
        <w:tc>
          <w:tcPr>
            <w:tcW w:w="837" w:type="pct"/>
            <w:vAlign w:val="center"/>
          </w:tcPr>
          <w:p w14:paraId="13834537" w14:textId="5AD349FD" w:rsidR="006F14FE" w:rsidRPr="006D075E" w:rsidRDefault="00FC2376">
            <w:pPr>
              <w:pStyle w:val="COMTabletext"/>
              <w:jc w:val="center"/>
            </w:pPr>
            <w:r w:rsidRPr="006D075E">
              <w:t>High</w:t>
            </w:r>
            <w:r w:rsidR="006F14FE" w:rsidRPr="006D075E">
              <w:t>, favours acalabrutinib</w:t>
            </w:r>
          </w:p>
        </w:tc>
      </w:tr>
    </w:tbl>
    <w:p w14:paraId="06779B7A" w14:textId="77777777" w:rsidR="00B3649F" w:rsidRPr="006D075E" w:rsidRDefault="00B3649F" w:rsidP="00B3649F">
      <w:pPr>
        <w:pStyle w:val="COMTablefooter"/>
      </w:pPr>
      <w:r w:rsidRPr="006D075E">
        <w:t>Source: Constructed during the evaluation</w:t>
      </w:r>
    </w:p>
    <w:p w14:paraId="359446FA" w14:textId="77777777" w:rsidR="00B3649F" w:rsidRPr="006D075E" w:rsidRDefault="00B3649F" w:rsidP="00B3649F">
      <w:pPr>
        <w:pStyle w:val="COMTablefooter"/>
      </w:pPr>
      <w:r w:rsidRPr="006D075E">
        <w:t>Abbreviations: BTK, Bruton tyrosine kinase; PBAC, Pharmaceutical Benefits Advisory Committee; PSD, Public summary Document.</w:t>
      </w:r>
    </w:p>
    <w:p w14:paraId="2B4AF938" w14:textId="6AA04AB8" w:rsidR="008C5739" w:rsidRPr="006D075E" w:rsidRDefault="00A52B79" w:rsidP="00B3649F">
      <w:pPr>
        <w:pStyle w:val="COMexecsummnumbered"/>
      </w:pPr>
      <w:r w:rsidRPr="006D075E">
        <w:fldChar w:fldCharType="begin"/>
      </w:r>
      <w:r w:rsidRPr="006D075E">
        <w:instrText xml:space="preserve"> REF _Ref196134183 \h  \* MERGEFORMAT </w:instrText>
      </w:r>
      <w:r w:rsidRPr="006D075E">
        <w:fldChar w:fldCharType="separate"/>
      </w:r>
      <w:r w:rsidR="00A542E9" w:rsidRPr="006D075E">
        <w:t xml:space="preserve">Figure </w:t>
      </w:r>
      <w:r w:rsidR="00A542E9">
        <w:t>6</w:t>
      </w:r>
      <w:r w:rsidRPr="006D075E">
        <w:fldChar w:fldCharType="end"/>
      </w:r>
      <w:r w:rsidRPr="006D075E">
        <w:t xml:space="preserve"> presents the model traces for the acalabrutinib and placebo arms of the economic model, with and without censoring for COVID-19 related deaths.</w:t>
      </w:r>
    </w:p>
    <w:p w14:paraId="5849D196" w14:textId="6DC0CCC3" w:rsidR="002346EB" w:rsidRPr="006D075E" w:rsidRDefault="002346EB" w:rsidP="002346EB">
      <w:pPr>
        <w:pStyle w:val="COMtablefigcaption"/>
      </w:pPr>
      <w:bookmarkStart w:id="51" w:name="_Ref196134183"/>
      <w:r w:rsidRPr="006D075E">
        <w:lastRenderedPageBreak/>
        <w:t xml:space="preserve">Figure </w:t>
      </w:r>
      <w:r w:rsidR="00370FC7" w:rsidRPr="006D075E">
        <w:fldChar w:fldCharType="begin"/>
      </w:r>
      <w:r w:rsidR="00370FC7" w:rsidRPr="006D075E">
        <w:instrText xml:space="preserve"> SEQ Figure \* ARABIC </w:instrText>
      </w:r>
      <w:r w:rsidR="00370FC7" w:rsidRPr="006D075E">
        <w:fldChar w:fldCharType="separate"/>
      </w:r>
      <w:r w:rsidR="00A542E9">
        <w:rPr>
          <w:noProof/>
        </w:rPr>
        <w:t>6</w:t>
      </w:r>
      <w:r w:rsidR="00370FC7" w:rsidRPr="006D075E">
        <w:fldChar w:fldCharType="end"/>
      </w:r>
      <w:bookmarkEnd w:id="51"/>
      <w:r w:rsidRPr="006D075E">
        <w:t>: Model traces for the acalabrutinib and placebo arms: FAS censoring for COVID-19 related deaths (left) and FAS (right)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28"/>
        <w:gridCol w:w="4499"/>
      </w:tblGrid>
      <w:tr w:rsidR="002346EB" w:rsidRPr="006D075E" w14:paraId="57DCC243" w14:textId="77777777">
        <w:tc>
          <w:tcPr>
            <w:tcW w:w="4528" w:type="dxa"/>
          </w:tcPr>
          <w:p w14:paraId="22FA5830" w14:textId="77777777" w:rsidR="002346EB" w:rsidRPr="006D075E" w:rsidRDefault="002346EB">
            <w:pPr>
              <w:pStyle w:val="COMTabletext"/>
            </w:pPr>
            <w:r w:rsidRPr="006D075E">
              <w:rPr>
                <w:noProof/>
              </w:rPr>
              <w:drawing>
                <wp:inline distT="0" distB="0" distL="0" distR="0" wp14:anchorId="350F78AA" wp14:editId="263D016A">
                  <wp:extent cx="2916000" cy="1818000"/>
                  <wp:effectExtent l="0" t="0" r="0" b="0"/>
                  <wp:docPr id="1686072621" name="Picture 1686072621" descr="Model traces for the acalabrutinib and placebo arms: FAS censoring for COVID-19 related deaths (left) and FAS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72621" name="Picture 1686072621" descr="Model traces for the acalabrutinib and placebo arms: FAS censoring for COVID-19 related deaths (left) and FAS (righ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6000" cy="1818000"/>
                          </a:xfrm>
                          <a:prstGeom prst="rect">
                            <a:avLst/>
                          </a:prstGeom>
                          <a:noFill/>
                        </pic:spPr>
                      </pic:pic>
                    </a:graphicData>
                  </a:graphic>
                </wp:inline>
              </w:drawing>
            </w:r>
          </w:p>
        </w:tc>
        <w:tc>
          <w:tcPr>
            <w:tcW w:w="4499" w:type="dxa"/>
          </w:tcPr>
          <w:p w14:paraId="7915E41A" w14:textId="77777777" w:rsidR="002346EB" w:rsidRPr="006D075E" w:rsidRDefault="002346EB">
            <w:pPr>
              <w:pStyle w:val="COMTabletext"/>
            </w:pPr>
            <w:r w:rsidRPr="006D075E">
              <w:rPr>
                <w:noProof/>
              </w:rPr>
              <w:drawing>
                <wp:inline distT="0" distB="0" distL="0" distR="0" wp14:anchorId="4389D07D" wp14:editId="6172A434">
                  <wp:extent cx="2898000" cy="1814400"/>
                  <wp:effectExtent l="0" t="0" r="0" b="0"/>
                  <wp:docPr id="1918512241" name="Picture 1918512241" descr="Model traces for the acalabrutinib and placebo arms: FAS censoring for COVID-19 related deaths (left) and FAS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12241" name="Picture 1918512241" descr="Model traces for the acalabrutinib and placebo arms: FAS censoring for COVID-19 related deaths (left) and FAS (righ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8000" cy="1814400"/>
                          </a:xfrm>
                          <a:prstGeom prst="rect">
                            <a:avLst/>
                          </a:prstGeom>
                          <a:noFill/>
                        </pic:spPr>
                      </pic:pic>
                    </a:graphicData>
                  </a:graphic>
                </wp:inline>
              </w:drawing>
            </w:r>
          </w:p>
        </w:tc>
      </w:tr>
      <w:tr w:rsidR="002346EB" w:rsidRPr="006D075E" w14:paraId="11B32F61" w14:textId="77777777">
        <w:tc>
          <w:tcPr>
            <w:tcW w:w="9027" w:type="dxa"/>
            <w:gridSpan w:val="2"/>
          </w:tcPr>
          <w:p w14:paraId="4B157841" w14:textId="77777777" w:rsidR="002346EB" w:rsidRPr="006D075E" w:rsidRDefault="002346EB">
            <w:pPr>
              <w:pStyle w:val="COMTabletext"/>
              <w:jc w:val="center"/>
            </w:pPr>
            <w:r w:rsidRPr="006D075E">
              <w:rPr>
                <w:noProof/>
              </w:rPr>
              <w:drawing>
                <wp:inline distT="0" distB="0" distL="0" distR="0" wp14:anchorId="1C383100" wp14:editId="32BC9695">
                  <wp:extent cx="2886075" cy="230637"/>
                  <wp:effectExtent l="0" t="0" r="0" b="0"/>
                  <wp:docPr id="1753114306" name="Picture 1753114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14306" name=""/>
                          <pic:cNvPicPr/>
                        </pic:nvPicPr>
                        <pic:blipFill>
                          <a:blip r:embed="rId19"/>
                          <a:stretch>
                            <a:fillRect/>
                          </a:stretch>
                        </pic:blipFill>
                        <pic:spPr>
                          <a:xfrm>
                            <a:off x="0" y="0"/>
                            <a:ext cx="2889531" cy="230913"/>
                          </a:xfrm>
                          <a:prstGeom prst="rect">
                            <a:avLst/>
                          </a:prstGeom>
                        </pic:spPr>
                      </pic:pic>
                    </a:graphicData>
                  </a:graphic>
                </wp:inline>
              </w:drawing>
            </w:r>
          </w:p>
        </w:tc>
      </w:tr>
    </w:tbl>
    <w:p w14:paraId="222D66F2" w14:textId="77777777" w:rsidR="002346EB" w:rsidRPr="006D075E" w:rsidRDefault="002346EB" w:rsidP="002346EB">
      <w:pPr>
        <w:pStyle w:val="COMTablefooter"/>
      </w:pPr>
      <w:r w:rsidRPr="006D075E">
        <w:t>Source: ‘3.1 ACAL_Section3model_March2025’ model spreadsheet provided with the submission.</w:t>
      </w:r>
    </w:p>
    <w:p w14:paraId="490638AF" w14:textId="42D30910" w:rsidR="00A52B79" w:rsidRPr="006D075E" w:rsidRDefault="002346EB" w:rsidP="002346EB">
      <w:pPr>
        <w:pStyle w:val="COMTablefooter"/>
      </w:pPr>
      <w:r w:rsidRPr="006D075E">
        <w:t xml:space="preserve">Abbreviations: ABR, acalabrutinib with </w:t>
      </w:r>
      <w:proofErr w:type="spellStart"/>
      <w:r w:rsidRPr="006D075E">
        <w:t>bendamustine</w:t>
      </w:r>
      <w:proofErr w:type="spellEnd"/>
      <w:r w:rsidRPr="006D075E">
        <w:t xml:space="preserve"> and rituximab; PBR, placebo with </w:t>
      </w:r>
      <w:proofErr w:type="spellStart"/>
      <w:r w:rsidRPr="006D075E">
        <w:t>bendamustine</w:t>
      </w:r>
      <w:proofErr w:type="spellEnd"/>
      <w:r w:rsidRPr="006D075E">
        <w:t xml:space="preserve"> and rituximab</w:t>
      </w:r>
    </w:p>
    <w:p w14:paraId="65F5F2DD" w14:textId="4DE7AAC9" w:rsidR="009E42AD" w:rsidRPr="006D075E" w:rsidRDefault="009E42AD" w:rsidP="009E42AD">
      <w:pPr>
        <w:pStyle w:val="COMexecsummnumbered"/>
      </w:pPr>
      <w:bookmarkStart w:id="52" w:name="_Ref104804865"/>
      <w:r w:rsidRPr="006D075E">
        <w:t xml:space="preserve">The model traces show a modelled survival benefit for acalabrutinib compared to placebo that persists over the </w:t>
      </w:r>
      <w:proofErr w:type="gramStart"/>
      <w:r w:rsidRPr="006D075E">
        <w:t>20 year</w:t>
      </w:r>
      <w:proofErr w:type="gramEnd"/>
      <w:r w:rsidRPr="006D075E">
        <w:t xml:space="preserve"> model duration. The modelled survival benefit for acalabrutinib was inconsistent with the results of the ECHO trial</w:t>
      </w:r>
      <w:r w:rsidR="00C74BB0" w:rsidRPr="006D075E">
        <w:t>, which</w:t>
      </w:r>
      <w:r w:rsidR="00786E0B" w:rsidRPr="006D075E">
        <w:t xml:space="preserve"> did not demonstrate a</w:t>
      </w:r>
      <w:r w:rsidRPr="006D075E">
        <w:t xml:space="preserve"> statistically significant difference in overall survival between acalabrutinib and placebo. The traces also show a larger proportion of patients remaining progression free in the acalabrutinib arm compared to the placebo arm, </w:t>
      </w:r>
      <w:r w:rsidR="00047F78" w:rsidRPr="006D075E">
        <w:t xml:space="preserve">which </w:t>
      </w:r>
      <w:r w:rsidRPr="006D075E">
        <w:t xml:space="preserve">persists over the modelled time horizon. Similarly, smaller proportions of patients </w:t>
      </w:r>
      <w:r w:rsidR="008A651B" w:rsidRPr="006D075E">
        <w:t xml:space="preserve">were </w:t>
      </w:r>
      <w:r w:rsidRPr="006D075E">
        <w:t>in the progressed disease state in the acalabrutinib arm compared to the placebo arm.</w:t>
      </w:r>
    </w:p>
    <w:p w14:paraId="2772E8CB" w14:textId="658D09BF" w:rsidR="009E42AD" w:rsidRPr="006D075E" w:rsidRDefault="009E42AD" w:rsidP="009E42AD">
      <w:pPr>
        <w:pStyle w:val="COMexecsummnumbered"/>
      </w:pPr>
      <w:r w:rsidRPr="006D075E">
        <w:t xml:space="preserve">The model traces for the </w:t>
      </w:r>
      <w:r w:rsidR="00521A8A" w:rsidRPr="006D075E">
        <w:t xml:space="preserve">full </w:t>
      </w:r>
      <w:r w:rsidRPr="006D075E">
        <w:t xml:space="preserve">analysis </w:t>
      </w:r>
      <w:r w:rsidR="00521A8A" w:rsidRPr="006D075E">
        <w:t>set (un</w:t>
      </w:r>
      <w:r w:rsidRPr="006D075E">
        <w:t>censor</w:t>
      </w:r>
      <w:r w:rsidR="008F6B7C" w:rsidRPr="006D075E">
        <w:t>ed</w:t>
      </w:r>
      <w:r w:rsidRPr="006D075E">
        <w:t xml:space="preserve"> for COVID-19 related deaths</w:t>
      </w:r>
      <w:r w:rsidR="00521A8A" w:rsidRPr="006D075E">
        <w:t>)</w:t>
      </w:r>
      <w:r w:rsidRPr="006D075E">
        <w:t xml:space="preserve"> show smaller modelled benefits for acalabrutinib versus placebo compared to the model trace censoring for COVID-19 related deaths.</w:t>
      </w:r>
    </w:p>
    <w:p w14:paraId="7E598BC9" w14:textId="7C1BC483" w:rsidR="009E42AD" w:rsidRPr="006D075E" w:rsidRDefault="009E42AD" w:rsidP="009E42AD">
      <w:pPr>
        <w:pStyle w:val="COMexecsummnumbered"/>
      </w:pPr>
      <w:bookmarkStart w:id="53" w:name="_Ref204786678"/>
      <w:r w:rsidRPr="006D075E">
        <w:t>In the ECHO trial, over a mean duration of follow-up of 41 months</w:t>
      </w:r>
      <w:r w:rsidR="0076303A" w:rsidRPr="006D075E">
        <w:t xml:space="preserve"> (3.42 years)</w:t>
      </w:r>
      <w:r w:rsidRPr="006D075E">
        <w:t xml:space="preserve">, 10.0% of patients in the acalabrutinib arm and 29.4% of patients in the placebo arm initiated subsequent anti-cancer therapy. </w:t>
      </w:r>
      <w:r w:rsidR="0076303A" w:rsidRPr="006D075E">
        <w:t xml:space="preserve">The submission’s model appeared to </w:t>
      </w:r>
      <w:r w:rsidRPr="006D075E">
        <w:t>overestimate the proportion of patients receiving subsequent anti-cancer therapy</w:t>
      </w:r>
      <w:r w:rsidR="00B77643" w:rsidRPr="006D075E">
        <w:t xml:space="preserve">, </w:t>
      </w:r>
      <w:r w:rsidR="00C04423" w:rsidRPr="006D075E">
        <w:t xml:space="preserve">likely due to the use of time to first subsequent therapy curves that included deaths as an outcome, </w:t>
      </w:r>
      <w:r w:rsidR="00B77643" w:rsidRPr="006D075E">
        <w:t xml:space="preserve">which </w:t>
      </w:r>
      <w:r w:rsidR="0076303A" w:rsidRPr="006D075E">
        <w:t xml:space="preserve">favoured acalabrutinib due to the higher costs </w:t>
      </w:r>
      <w:r w:rsidR="0076303A" w:rsidRPr="009D005E">
        <w:t>associated with subsequent therapy in the placebo arm</w:t>
      </w:r>
      <w:r w:rsidR="00B33726" w:rsidRPr="009D005E">
        <w:t xml:space="preserve"> associated with BTK inhibitor use</w:t>
      </w:r>
      <w:r w:rsidR="0076303A" w:rsidRPr="009D005E">
        <w:t xml:space="preserve"> ($53,093 versus $9,123 in the acalabrutinib arm)</w:t>
      </w:r>
      <w:r w:rsidRPr="009D005E">
        <w:t>.</w:t>
      </w:r>
      <w:r w:rsidR="0076303A" w:rsidRPr="009D005E">
        <w:t xml:space="preserve"> The PSCR’s model applied time to first subsequent therapy censored for death, which </w:t>
      </w:r>
      <w:r w:rsidR="00433D68" w:rsidRPr="009D005E">
        <w:t xml:space="preserve">better aligned the </w:t>
      </w:r>
      <w:r w:rsidR="00215858" w:rsidRPr="009D005E">
        <w:t xml:space="preserve">modelled </w:t>
      </w:r>
      <w:r w:rsidR="008F60F7" w:rsidRPr="009D005E">
        <w:t>proportions</w:t>
      </w:r>
      <w:r w:rsidR="00215858" w:rsidRPr="009D005E">
        <w:t xml:space="preserve"> of </w:t>
      </w:r>
      <w:r w:rsidR="008F60F7" w:rsidRPr="009D005E">
        <w:t>patients</w:t>
      </w:r>
      <w:r w:rsidR="00215858" w:rsidRPr="009D005E">
        <w:t xml:space="preserve"> </w:t>
      </w:r>
      <w:r w:rsidR="004C604B" w:rsidRPr="009D005E">
        <w:t>using</w:t>
      </w:r>
      <w:r w:rsidR="00215858" w:rsidRPr="009D005E">
        <w:t xml:space="preserve"> </w:t>
      </w:r>
      <w:r w:rsidR="008F60F7" w:rsidRPr="009D005E">
        <w:t xml:space="preserve">subsequent anticancer therapy </w:t>
      </w:r>
      <w:r w:rsidR="00E1792F" w:rsidRPr="009D005E">
        <w:t xml:space="preserve">with the proportions in the </w:t>
      </w:r>
      <w:r w:rsidR="00E57A32" w:rsidRPr="009D005E">
        <w:t xml:space="preserve">ECHO </w:t>
      </w:r>
      <w:r w:rsidR="00E1792F" w:rsidRPr="009D005E">
        <w:t>trial (</w:t>
      </w:r>
      <w:r w:rsidR="00AF2371" w:rsidRPr="009D005E">
        <w:t>10.0% and 29.4%</w:t>
      </w:r>
      <w:r w:rsidR="002829A7" w:rsidRPr="009D005E">
        <w:t xml:space="preserve"> at </w:t>
      </w:r>
      <w:r w:rsidR="006663C8" w:rsidRPr="009D005E">
        <w:t xml:space="preserve">a median follow-up of </w:t>
      </w:r>
      <w:r w:rsidR="002829A7" w:rsidRPr="009D005E">
        <w:t xml:space="preserve">3.42 </w:t>
      </w:r>
      <w:r w:rsidR="00E57A32" w:rsidRPr="009D005E">
        <w:t>years)</w:t>
      </w:r>
      <w:r w:rsidR="006663C8" w:rsidRPr="009D005E">
        <w:t>. T</w:t>
      </w:r>
      <w:r w:rsidR="00E57A32" w:rsidRPr="009D005E">
        <w:t>h</w:t>
      </w:r>
      <w:r w:rsidR="006663C8" w:rsidRPr="009D005E">
        <w:t>i</w:t>
      </w:r>
      <w:r w:rsidR="00E57A32" w:rsidRPr="009D005E">
        <w:t>s</w:t>
      </w:r>
      <w:r w:rsidR="00AF2371" w:rsidRPr="009D005E">
        <w:t xml:space="preserve"> </w:t>
      </w:r>
      <w:r w:rsidR="00AA09C2" w:rsidRPr="009D005E">
        <w:t xml:space="preserve">reduced the </w:t>
      </w:r>
      <w:r w:rsidR="00507CC5" w:rsidRPr="009D005E">
        <w:t xml:space="preserve">subsequent treatment costs </w:t>
      </w:r>
      <w:r w:rsidR="00775D89" w:rsidRPr="009D005E">
        <w:t xml:space="preserve">in both </w:t>
      </w:r>
      <w:proofErr w:type="gramStart"/>
      <w:r w:rsidR="00775D89" w:rsidRPr="009D005E">
        <w:t>arms</w:t>
      </w:r>
      <w:r w:rsidR="00193EF7" w:rsidRPr="009D005E">
        <w:t>, and</w:t>
      </w:r>
      <w:proofErr w:type="gramEnd"/>
      <w:r w:rsidR="00193EF7" w:rsidRPr="009D005E">
        <w:t xml:space="preserve"> </w:t>
      </w:r>
      <w:r w:rsidR="00FC00A4" w:rsidRPr="009D005E">
        <w:t>reduced</w:t>
      </w:r>
      <w:r w:rsidR="00193EF7" w:rsidRPr="009D005E">
        <w:t xml:space="preserve"> the incremental </w:t>
      </w:r>
      <w:r w:rsidR="00FC00A4" w:rsidRPr="009D005E">
        <w:t>offset</w:t>
      </w:r>
      <w:r w:rsidR="00193EF7" w:rsidRPr="009D005E">
        <w:t xml:space="preserve">s </w:t>
      </w:r>
      <w:r w:rsidR="00FC00A4" w:rsidRPr="009D005E">
        <w:t xml:space="preserve">(savings) </w:t>
      </w:r>
      <w:r w:rsidR="00804DD8" w:rsidRPr="009D005E">
        <w:t xml:space="preserve">for subsequent treatments </w:t>
      </w:r>
      <w:r w:rsidR="000175A5" w:rsidRPr="009D005E">
        <w:t>from $24</w:t>
      </w:r>
      <w:r w:rsidR="00C83194" w:rsidRPr="009D005E">
        <w:t>,</w:t>
      </w:r>
      <w:r w:rsidR="000175A5" w:rsidRPr="009D005E">
        <w:t>494</w:t>
      </w:r>
      <w:r w:rsidR="00804DD8" w:rsidRPr="009D005E">
        <w:t xml:space="preserve"> in the submission to $</w:t>
      </w:r>
      <w:r w:rsidR="00D01233" w:rsidRPr="009D005E">
        <w:t>20,433 in the</w:t>
      </w:r>
      <w:r w:rsidR="00D01233" w:rsidRPr="006D075E">
        <w:t xml:space="preserve"> PSCR</w:t>
      </w:r>
      <w:r w:rsidR="00C83194" w:rsidRPr="006D075E">
        <w:t xml:space="preserve"> (discounted)</w:t>
      </w:r>
      <w:r w:rsidR="00D01233" w:rsidRPr="006D075E">
        <w:t>.</w:t>
      </w:r>
      <w:r w:rsidR="0076303A" w:rsidRPr="006D075E">
        <w:t xml:space="preserve"> Estimates of the cumulative incidence of initiation of subsequent anti-cancer therapy in the PSCR economic model are shown in</w:t>
      </w:r>
      <w:r w:rsidR="0076303A" w:rsidRPr="006D075E">
        <w:rPr>
          <w:rFonts w:cstheme="minorHAnsi"/>
          <w:szCs w:val="24"/>
        </w:rPr>
        <w:t xml:space="preserve"> </w:t>
      </w:r>
      <w:r w:rsidR="00245F30" w:rsidRPr="006D075E">
        <w:rPr>
          <w:rFonts w:cstheme="minorHAnsi"/>
          <w:szCs w:val="24"/>
        </w:rPr>
        <w:fldChar w:fldCharType="begin"/>
      </w:r>
      <w:r w:rsidR="00245F30" w:rsidRPr="006D075E">
        <w:rPr>
          <w:rFonts w:cstheme="minorHAnsi"/>
          <w:szCs w:val="24"/>
        </w:rPr>
        <w:instrText xml:space="preserve"> REF _Ref201748069 \h  \* MERGEFORMAT </w:instrText>
      </w:r>
      <w:r w:rsidR="00245F30" w:rsidRPr="006D075E">
        <w:rPr>
          <w:rFonts w:cstheme="minorHAnsi"/>
          <w:szCs w:val="24"/>
        </w:rPr>
      </w:r>
      <w:r w:rsidR="00245F30" w:rsidRPr="006D075E">
        <w:rPr>
          <w:rFonts w:cstheme="minorHAnsi"/>
          <w:szCs w:val="24"/>
        </w:rPr>
        <w:fldChar w:fldCharType="separate"/>
      </w:r>
      <w:r w:rsidR="00A542E9" w:rsidRPr="00A542E9">
        <w:rPr>
          <w:rFonts w:cstheme="minorHAnsi"/>
          <w:szCs w:val="24"/>
        </w:rPr>
        <w:t>Table 9</w:t>
      </w:r>
      <w:r w:rsidR="00245F30" w:rsidRPr="006D075E">
        <w:rPr>
          <w:rFonts w:cstheme="minorHAnsi"/>
          <w:szCs w:val="24"/>
        </w:rPr>
        <w:fldChar w:fldCharType="end"/>
      </w:r>
      <w:r w:rsidR="0076303A" w:rsidRPr="006D075E">
        <w:t>.</w:t>
      </w:r>
      <w:bookmarkEnd w:id="53"/>
    </w:p>
    <w:p w14:paraId="10C06B08" w14:textId="7D57C103" w:rsidR="00245F30" w:rsidRPr="006D075E" w:rsidRDefault="00245F30" w:rsidP="009766E5">
      <w:pPr>
        <w:pStyle w:val="Caption"/>
        <w:keepNext/>
        <w:spacing w:after="0"/>
        <w:rPr>
          <w:rFonts w:ascii="Arial Narrow" w:hAnsi="Arial Narrow" w:cs="Times New Roman"/>
          <w:b/>
          <w:bCs/>
          <w:i w:val="0"/>
          <w:iCs w:val="0"/>
          <w:color w:val="auto"/>
          <w:sz w:val="20"/>
          <w:szCs w:val="20"/>
        </w:rPr>
      </w:pPr>
      <w:bookmarkStart w:id="54" w:name="_Ref201748069"/>
      <w:bookmarkStart w:id="55" w:name="_Hlk200091381"/>
      <w:bookmarkEnd w:id="52"/>
      <w:r w:rsidRPr="006D075E">
        <w:rPr>
          <w:rFonts w:ascii="Arial Narrow" w:hAnsi="Arial Narrow" w:cs="Times New Roman"/>
          <w:b/>
          <w:bCs/>
          <w:i w:val="0"/>
          <w:iCs w:val="0"/>
          <w:color w:val="auto"/>
          <w:sz w:val="20"/>
          <w:szCs w:val="20"/>
        </w:rPr>
        <w:lastRenderedPageBreak/>
        <w:t xml:space="preserve">Table </w:t>
      </w:r>
      <w:r w:rsidRPr="006D075E">
        <w:rPr>
          <w:rFonts w:ascii="Arial Narrow" w:hAnsi="Arial Narrow" w:cs="Times New Roman"/>
          <w:b/>
          <w:bCs/>
          <w:i w:val="0"/>
          <w:iCs w:val="0"/>
          <w:color w:val="auto"/>
          <w:sz w:val="20"/>
          <w:szCs w:val="20"/>
        </w:rPr>
        <w:fldChar w:fldCharType="begin"/>
      </w:r>
      <w:r w:rsidRPr="006D075E">
        <w:rPr>
          <w:rFonts w:ascii="Arial Narrow" w:hAnsi="Arial Narrow" w:cs="Times New Roman"/>
          <w:b/>
          <w:bCs/>
          <w:i w:val="0"/>
          <w:iCs w:val="0"/>
          <w:color w:val="auto"/>
          <w:sz w:val="20"/>
          <w:szCs w:val="20"/>
        </w:rPr>
        <w:instrText xml:space="preserve"> SEQ Table \* ARABIC </w:instrText>
      </w:r>
      <w:r w:rsidRPr="006D075E">
        <w:rPr>
          <w:rFonts w:ascii="Arial Narrow" w:hAnsi="Arial Narrow" w:cs="Times New Roman"/>
          <w:b/>
          <w:bCs/>
          <w:i w:val="0"/>
          <w:iCs w:val="0"/>
          <w:color w:val="auto"/>
          <w:sz w:val="20"/>
          <w:szCs w:val="20"/>
        </w:rPr>
        <w:fldChar w:fldCharType="separate"/>
      </w:r>
      <w:r w:rsidR="00A542E9">
        <w:rPr>
          <w:rFonts w:ascii="Arial Narrow" w:hAnsi="Arial Narrow" w:cs="Times New Roman"/>
          <w:b/>
          <w:bCs/>
          <w:i w:val="0"/>
          <w:iCs w:val="0"/>
          <w:noProof/>
          <w:color w:val="auto"/>
          <w:sz w:val="20"/>
          <w:szCs w:val="20"/>
        </w:rPr>
        <w:t>9</w:t>
      </w:r>
      <w:r w:rsidRPr="006D075E">
        <w:rPr>
          <w:rFonts w:ascii="Arial Narrow" w:hAnsi="Arial Narrow" w:cs="Times New Roman"/>
          <w:b/>
          <w:bCs/>
          <w:i w:val="0"/>
          <w:iCs w:val="0"/>
          <w:color w:val="auto"/>
          <w:sz w:val="20"/>
          <w:szCs w:val="20"/>
        </w:rPr>
        <w:fldChar w:fldCharType="end"/>
      </w:r>
      <w:bookmarkEnd w:id="54"/>
      <w:r w:rsidRPr="006D075E">
        <w:rPr>
          <w:rFonts w:ascii="Arial Narrow" w:hAnsi="Arial Narrow" w:cs="Times New Roman"/>
          <w:b/>
          <w:bCs/>
          <w:i w:val="0"/>
          <w:iCs w:val="0"/>
          <w:color w:val="auto"/>
          <w:sz w:val="20"/>
          <w:szCs w:val="20"/>
        </w:rPr>
        <w:t>: Comparison of modelled cumulative incidence of subsequent anti-cancer therapy with proportions of patients initiating at least one anti-cancer therapy in the ECHO trial (PSCR model)</w:t>
      </w:r>
    </w:p>
    <w:tbl>
      <w:tblPr>
        <w:tblW w:w="0" w:type="auto"/>
        <w:tblCellMar>
          <w:left w:w="0" w:type="dxa"/>
          <w:right w:w="0" w:type="dxa"/>
        </w:tblCellMar>
        <w:tblLook w:val="04A0" w:firstRow="1" w:lastRow="0" w:firstColumn="1" w:lastColumn="0" w:noHBand="0" w:noVBand="1"/>
        <w:tblCaption w:val="Comparison of modelled cumulative incidence of subsequent anti-cancer therapy with proportions of patients initiating at least one anti-cancer therapy in the ECHO trial (PSCR model)"/>
      </w:tblPr>
      <w:tblGrid>
        <w:gridCol w:w="987"/>
        <w:gridCol w:w="1382"/>
        <w:gridCol w:w="1382"/>
        <w:gridCol w:w="1240"/>
        <w:gridCol w:w="1240"/>
        <w:gridCol w:w="1392"/>
        <w:gridCol w:w="1393"/>
      </w:tblGrid>
      <w:tr w:rsidR="0076303A" w:rsidRPr="006D075E" w14:paraId="433A70D4" w14:textId="77777777" w:rsidTr="00FC00A4">
        <w:tc>
          <w:tcPr>
            <w:tcW w:w="987" w:type="dxa"/>
            <w:vMerge w:val="restart"/>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5D5EBACF" w14:textId="77777777" w:rsidR="0076303A" w:rsidRPr="006D075E" w:rsidRDefault="0076303A" w:rsidP="0076303A">
            <w:pPr>
              <w:keepNext/>
              <w:jc w:val="left"/>
              <w:rPr>
                <w:rFonts w:ascii="Arial Narrow" w:hAnsi="Arial Narrow" w:cs="Times New Roman"/>
                <w:sz w:val="20"/>
                <w:szCs w:val="20"/>
              </w:rPr>
            </w:pPr>
            <w:r w:rsidRPr="006D075E">
              <w:rPr>
                <w:rFonts w:ascii="Arial Narrow" w:hAnsi="Arial Narrow" w:cs="Times New Roman"/>
                <w:b/>
                <w:bCs/>
                <w:sz w:val="20"/>
                <w:szCs w:val="20"/>
                <w:lang w:eastAsia="en-US"/>
              </w:rPr>
              <w:t> </w:t>
            </w:r>
          </w:p>
        </w:tc>
        <w:tc>
          <w:tcPr>
            <w:tcW w:w="5244" w:type="dxa"/>
            <w:gridSpan w:val="4"/>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16318379"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b/>
                <w:bCs/>
                <w:sz w:val="20"/>
                <w:szCs w:val="20"/>
                <w:lang w:eastAsia="en-US"/>
              </w:rPr>
              <w:t>Modelled cumulative incidence subsequent anti-cancer therapy</w:t>
            </w:r>
          </w:p>
        </w:tc>
        <w:tc>
          <w:tcPr>
            <w:tcW w:w="2785" w:type="dxa"/>
            <w:gridSpan w:val="2"/>
            <w:vMerge w:val="restart"/>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048D7E7F"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b/>
                <w:bCs/>
                <w:sz w:val="20"/>
                <w:szCs w:val="20"/>
                <w:lang w:eastAsia="en-US"/>
              </w:rPr>
              <w:t xml:space="preserve">Patients with at ≥1 subsequent therapy in the ECHO </w:t>
            </w:r>
            <w:proofErr w:type="spellStart"/>
            <w:r w:rsidRPr="006D075E">
              <w:rPr>
                <w:rFonts w:ascii="Arial Narrow" w:hAnsi="Arial Narrow" w:cs="Times New Roman"/>
                <w:b/>
                <w:bCs/>
                <w:sz w:val="20"/>
                <w:szCs w:val="20"/>
                <w:lang w:eastAsia="en-US"/>
              </w:rPr>
              <w:t>trial</w:t>
            </w:r>
            <w:r w:rsidRPr="006D075E">
              <w:rPr>
                <w:rFonts w:ascii="Arial Narrow" w:hAnsi="Arial Narrow" w:cs="Times New Roman"/>
                <w:b/>
                <w:bCs/>
                <w:sz w:val="20"/>
                <w:szCs w:val="20"/>
                <w:vertAlign w:val="superscript"/>
                <w:lang w:eastAsia="en-US"/>
              </w:rPr>
              <w:t>a</w:t>
            </w:r>
            <w:proofErr w:type="spellEnd"/>
          </w:p>
        </w:tc>
      </w:tr>
      <w:tr w:rsidR="0076303A" w:rsidRPr="006D075E" w14:paraId="2DF0B450" w14:textId="77777777" w:rsidTr="00FC00A4">
        <w:tc>
          <w:tcPr>
            <w:tcW w:w="0" w:type="auto"/>
            <w:vMerge/>
            <w:tcBorders>
              <w:top w:val="single" w:sz="2" w:space="0" w:color="auto"/>
              <w:left w:val="single" w:sz="2" w:space="0" w:color="auto"/>
              <w:bottom w:val="single" w:sz="2" w:space="0" w:color="auto"/>
              <w:right w:val="single" w:sz="2" w:space="0" w:color="auto"/>
            </w:tcBorders>
            <w:vAlign w:val="center"/>
            <w:hideMark/>
          </w:tcPr>
          <w:p w14:paraId="340752AD" w14:textId="77777777" w:rsidR="0076303A" w:rsidRPr="006D075E" w:rsidRDefault="0076303A" w:rsidP="0076303A">
            <w:pPr>
              <w:jc w:val="left"/>
              <w:rPr>
                <w:rFonts w:ascii="Arial Narrow" w:hAnsi="Arial Narrow" w:cs="Times New Roman"/>
                <w:sz w:val="20"/>
                <w:szCs w:val="20"/>
              </w:rPr>
            </w:pPr>
          </w:p>
        </w:tc>
        <w:tc>
          <w:tcPr>
            <w:tcW w:w="2764" w:type="dxa"/>
            <w:gridSpan w:val="2"/>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17FB92A3" w14:textId="60BC9310" w:rsidR="0076303A" w:rsidRPr="006D075E" w:rsidRDefault="0071639D" w:rsidP="0076303A">
            <w:pPr>
              <w:keepNext/>
              <w:jc w:val="center"/>
              <w:rPr>
                <w:rFonts w:ascii="Arial Narrow" w:hAnsi="Arial Narrow" w:cs="Times New Roman"/>
                <w:sz w:val="20"/>
                <w:szCs w:val="20"/>
              </w:rPr>
            </w:pPr>
            <w:r w:rsidRPr="006D075E">
              <w:rPr>
                <w:rFonts w:ascii="Arial Narrow" w:hAnsi="Arial Narrow" w:cs="Times New Roman"/>
                <w:b/>
                <w:bCs/>
                <w:sz w:val="20"/>
                <w:szCs w:val="20"/>
                <w:lang w:eastAsia="en-US"/>
              </w:rPr>
              <w:t xml:space="preserve">FAS </w:t>
            </w:r>
            <w:r w:rsidR="0076303A" w:rsidRPr="006D075E">
              <w:rPr>
                <w:rFonts w:ascii="Arial Narrow" w:hAnsi="Arial Narrow" w:cs="Times New Roman"/>
                <w:b/>
                <w:bCs/>
                <w:sz w:val="20"/>
                <w:szCs w:val="20"/>
                <w:lang w:eastAsia="en-US"/>
              </w:rPr>
              <w:t xml:space="preserve">censored </w:t>
            </w:r>
            <w:r w:rsidRPr="006D075E">
              <w:rPr>
                <w:rFonts w:ascii="Arial Narrow" w:hAnsi="Arial Narrow" w:cs="Times New Roman"/>
                <w:b/>
                <w:bCs/>
                <w:sz w:val="20"/>
                <w:szCs w:val="20"/>
                <w:lang w:eastAsia="en-US"/>
              </w:rPr>
              <w:t>for COVID-19 related deaths</w:t>
            </w:r>
          </w:p>
        </w:tc>
        <w:tc>
          <w:tcPr>
            <w:tcW w:w="2480" w:type="dxa"/>
            <w:gridSpan w:val="2"/>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29353E40" w14:textId="33DDC1BB"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b/>
                <w:bCs/>
                <w:sz w:val="20"/>
                <w:szCs w:val="20"/>
                <w:lang w:eastAsia="en-US"/>
              </w:rPr>
              <w:t>FAS</w:t>
            </w:r>
            <w:r w:rsidR="0071639D" w:rsidRPr="006D075E">
              <w:rPr>
                <w:rFonts w:ascii="Arial Narrow" w:hAnsi="Arial Narrow" w:cs="Times New Roman"/>
                <w:b/>
                <w:bCs/>
                <w:sz w:val="20"/>
                <w:szCs w:val="20"/>
                <w:lang w:eastAsia="en-US"/>
              </w:rPr>
              <w:t xml:space="preserve"> (not censored for COVID)</w:t>
            </w: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14:paraId="7AA1D837" w14:textId="77777777" w:rsidR="0076303A" w:rsidRPr="006D075E" w:rsidRDefault="0076303A" w:rsidP="0076303A">
            <w:pPr>
              <w:jc w:val="left"/>
              <w:rPr>
                <w:rFonts w:ascii="Arial Narrow" w:hAnsi="Arial Narrow" w:cs="Times New Roman"/>
                <w:sz w:val="20"/>
                <w:szCs w:val="20"/>
              </w:rPr>
            </w:pPr>
          </w:p>
        </w:tc>
      </w:tr>
      <w:tr w:rsidR="0076303A" w:rsidRPr="006D075E" w14:paraId="2888E8E3" w14:textId="77777777" w:rsidTr="00FC00A4">
        <w:tc>
          <w:tcPr>
            <w:tcW w:w="0" w:type="auto"/>
            <w:vMerge/>
            <w:tcBorders>
              <w:top w:val="single" w:sz="2" w:space="0" w:color="auto"/>
              <w:left w:val="single" w:sz="2" w:space="0" w:color="auto"/>
              <w:bottom w:val="single" w:sz="2" w:space="0" w:color="auto"/>
              <w:right w:val="single" w:sz="2" w:space="0" w:color="auto"/>
            </w:tcBorders>
            <w:vAlign w:val="center"/>
            <w:hideMark/>
          </w:tcPr>
          <w:p w14:paraId="06421E22" w14:textId="77777777" w:rsidR="0076303A" w:rsidRPr="006D075E" w:rsidRDefault="0076303A" w:rsidP="0076303A">
            <w:pPr>
              <w:jc w:val="left"/>
              <w:rPr>
                <w:rFonts w:ascii="Arial Narrow" w:hAnsi="Arial Narrow" w:cs="Times New Roman"/>
                <w:sz w:val="20"/>
                <w:szCs w:val="20"/>
              </w:rPr>
            </w:pPr>
          </w:p>
        </w:tc>
        <w:tc>
          <w:tcPr>
            <w:tcW w:w="138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318AB341"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b/>
                <w:bCs/>
                <w:sz w:val="20"/>
                <w:szCs w:val="20"/>
                <w:lang w:eastAsia="en-US"/>
              </w:rPr>
              <w:t>ABR</w:t>
            </w:r>
          </w:p>
        </w:tc>
        <w:tc>
          <w:tcPr>
            <w:tcW w:w="138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310B813B"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b/>
                <w:bCs/>
                <w:sz w:val="20"/>
                <w:szCs w:val="20"/>
                <w:lang w:eastAsia="en-US"/>
              </w:rPr>
              <w:t>PBR</w:t>
            </w:r>
          </w:p>
        </w:tc>
        <w:tc>
          <w:tcPr>
            <w:tcW w:w="124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21698C40"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b/>
                <w:bCs/>
                <w:sz w:val="20"/>
                <w:szCs w:val="20"/>
                <w:lang w:eastAsia="en-US"/>
              </w:rPr>
              <w:t>ABR</w:t>
            </w:r>
          </w:p>
        </w:tc>
        <w:tc>
          <w:tcPr>
            <w:tcW w:w="124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69364897"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b/>
                <w:bCs/>
                <w:sz w:val="20"/>
                <w:szCs w:val="20"/>
                <w:lang w:eastAsia="en-US"/>
              </w:rPr>
              <w:t>PBR</w:t>
            </w:r>
          </w:p>
        </w:tc>
        <w:tc>
          <w:tcPr>
            <w:tcW w:w="139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628BC4C9"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b/>
                <w:bCs/>
                <w:sz w:val="20"/>
                <w:szCs w:val="20"/>
                <w:lang w:eastAsia="en-US"/>
              </w:rPr>
              <w:t>ABR</w:t>
            </w:r>
          </w:p>
        </w:tc>
        <w:tc>
          <w:tcPr>
            <w:tcW w:w="1393"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27093D7F"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b/>
                <w:bCs/>
                <w:sz w:val="20"/>
                <w:szCs w:val="20"/>
                <w:lang w:eastAsia="en-US"/>
              </w:rPr>
              <w:t>PBR</w:t>
            </w:r>
          </w:p>
        </w:tc>
      </w:tr>
      <w:tr w:rsidR="0076303A" w:rsidRPr="006D075E" w14:paraId="574B2DA3" w14:textId="77777777" w:rsidTr="00FC00A4">
        <w:tc>
          <w:tcPr>
            <w:tcW w:w="98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275B0556" w14:textId="77777777" w:rsidR="0076303A" w:rsidRPr="006D075E" w:rsidRDefault="0076303A" w:rsidP="0076303A">
            <w:pPr>
              <w:keepNext/>
              <w:jc w:val="left"/>
              <w:rPr>
                <w:rFonts w:ascii="Arial Narrow" w:hAnsi="Arial Narrow" w:cs="Times New Roman"/>
                <w:sz w:val="20"/>
                <w:szCs w:val="20"/>
              </w:rPr>
            </w:pPr>
            <w:r w:rsidRPr="006D075E">
              <w:rPr>
                <w:rFonts w:ascii="Arial Narrow" w:hAnsi="Arial Narrow" w:cs="Times New Roman"/>
                <w:sz w:val="20"/>
                <w:szCs w:val="20"/>
                <w:lang w:eastAsia="en-US"/>
              </w:rPr>
              <w:t>1 year</w:t>
            </w:r>
          </w:p>
        </w:tc>
        <w:tc>
          <w:tcPr>
            <w:tcW w:w="138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69E888E9"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3.3%</w:t>
            </w:r>
          </w:p>
        </w:tc>
        <w:tc>
          <w:tcPr>
            <w:tcW w:w="138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18D9363A"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13.5%</w:t>
            </w:r>
          </w:p>
        </w:tc>
        <w:tc>
          <w:tcPr>
            <w:tcW w:w="124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600211E8"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3.3%</w:t>
            </w:r>
          </w:p>
        </w:tc>
        <w:tc>
          <w:tcPr>
            <w:tcW w:w="124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4A75CC05"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13.5%</w:t>
            </w:r>
          </w:p>
        </w:tc>
        <w:tc>
          <w:tcPr>
            <w:tcW w:w="1392" w:type="dxa"/>
            <w:vMerge w:val="restart"/>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2420B462" w14:textId="04247542"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10.0%</w:t>
            </w:r>
            <w:r w:rsidR="006663C8" w:rsidRPr="006D075E">
              <w:rPr>
                <w:rFonts w:ascii="Arial Narrow" w:hAnsi="Arial Narrow" w:cs="Times New Roman"/>
                <w:sz w:val="20"/>
                <w:szCs w:val="20"/>
                <w:lang w:eastAsia="en-US"/>
              </w:rPr>
              <w:t xml:space="preserve"> </w:t>
            </w:r>
            <w:r w:rsidR="006663C8" w:rsidRPr="006D075E">
              <w:rPr>
                <w:rFonts w:ascii="Arial Narrow" w:hAnsi="Arial Narrow"/>
                <w:bCs/>
                <w:sz w:val="20"/>
                <w:szCs w:val="20"/>
              </w:rPr>
              <w:t>(at mean follow-up of 3.42 years)</w:t>
            </w:r>
          </w:p>
        </w:tc>
        <w:tc>
          <w:tcPr>
            <w:tcW w:w="1393" w:type="dxa"/>
            <w:vMerge w:val="restart"/>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15B4E1E8" w14:textId="50B2AC93"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29.4%</w:t>
            </w:r>
            <w:r w:rsidR="006663C8" w:rsidRPr="006D075E">
              <w:rPr>
                <w:rFonts w:ascii="Arial Narrow" w:hAnsi="Arial Narrow" w:cs="Times New Roman"/>
                <w:sz w:val="20"/>
                <w:szCs w:val="20"/>
                <w:lang w:eastAsia="en-US"/>
              </w:rPr>
              <w:t xml:space="preserve"> </w:t>
            </w:r>
            <w:r w:rsidR="006663C8" w:rsidRPr="006D075E">
              <w:rPr>
                <w:rFonts w:ascii="Arial Narrow" w:hAnsi="Arial Narrow"/>
                <w:bCs/>
                <w:sz w:val="20"/>
                <w:szCs w:val="20"/>
              </w:rPr>
              <w:t>(at mean follow-up of 3.42 years)</w:t>
            </w:r>
          </w:p>
        </w:tc>
      </w:tr>
      <w:tr w:rsidR="0076303A" w:rsidRPr="006D075E" w14:paraId="249FE174" w14:textId="77777777" w:rsidTr="00FC00A4">
        <w:tc>
          <w:tcPr>
            <w:tcW w:w="98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7A22B46E" w14:textId="77777777" w:rsidR="0076303A" w:rsidRPr="006D075E" w:rsidRDefault="0076303A" w:rsidP="0076303A">
            <w:pPr>
              <w:keepNext/>
              <w:jc w:val="left"/>
              <w:rPr>
                <w:rFonts w:ascii="Arial Narrow" w:hAnsi="Arial Narrow" w:cs="Times New Roman"/>
                <w:sz w:val="20"/>
                <w:szCs w:val="20"/>
              </w:rPr>
            </w:pPr>
            <w:r w:rsidRPr="006D075E">
              <w:rPr>
                <w:rFonts w:ascii="Arial Narrow" w:hAnsi="Arial Narrow" w:cs="Times New Roman"/>
                <w:sz w:val="20"/>
                <w:szCs w:val="20"/>
                <w:lang w:eastAsia="en-US"/>
              </w:rPr>
              <w:t>2 years</w:t>
            </w:r>
          </w:p>
        </w:tc>
        <w:tc>
          <w:tcPr>
            <w:tcW w:w="138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2070E795"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5.9%</w:t>
            </w:r>
          </w:p>
        </w:tc>
        <w:tc>
          <w:tcPr>
            <w:tcW w:w="138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26711047"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19.7%</w:t>
            </w:r>
          </w:p>
        </w:tc>
        <w:tc>
          <w:tcPr>
            <w:tcW w:w="124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5A8A42C4"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5.9%</w:t>
            </w:r>
          </w:p>
        </w:tc>
        <w:tc>
          <w:tcPr>
            <w:tcW w:w="124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05304448"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19.6%</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7B820ED" w14:textId="77777777" w:rsidR="0076303A" w:rsidRPr="006D075E" w:rsidRDefault="0076303A" w:rsidP="0076303A">
            <w:pPr>
              <w:jc w:val="left"/>
              <w:rPr>
                <w:rFonts w:ascii="Arial Narrow" w:hAnsi="Arial Narrow" w:cs="Times New Roman"/>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DD3E25D" w14:textId="77777777" w:rsidR="0076303A" w:rsidRPr="006D075E" w:rsidRDefault="0076303A" w:rsidP="0076303A">
            <w:pPr>
              <w:jc w:val="left"/>
              <w:rPr>
                <w:rFonts w:ascii="Arial Narrow" w:hAnsi="Arial Narrow" w:cs="Times New Roman"/>
                <w:sz w:val="20"/>
                <w:szCs w:val="20"/>
              </w:rPr>
            </w:pPr>
          </w:p>
        </w:tc>
      </w:tr>
      <w:tr w:rsidR="0076303A" w:rsidRPr="006D075E" w14:paraId="1EC1E3FD" w14:textId="77777777" w:rsidTr="00FC00A4">
        <w:tc>
          <w:tcPr>
            <w:tcW w:w="98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2498E68D" w14:textId="77777777" w:rsidR="0076303A" w:rsidRPr="006D075E" w:rsidRDefault="0076303A" w:rsidP="0076303A">
            <w:pPr>
              <w:keepNext/>
              <w:jc w:val="left"/>
              <w:rPr>
                <w:rFonts w:ascii="Arial Narrow" w:hAnsi="Arial Narrow" w:cs="Times New Roman"/>
                <w:sz w:val="20"/>
                <w:szCs w:val="20"/>
              </w:rPr>
            </w:pPr>
            <w:r w:rsidRPr="006D075E">
              <w:rPr>
                <w:rFonts w:ascii="Arial Narrow" w:hAnsi="Arial Narrow" w:cs="Times New Roman"/>
                <w:sz w:val="20"/>
                <w:szCs w:val="20"/>
                <w:lang w:eastAsia="en-US"/>
              </w:rPr>
              <w:t>3 years</w:t>
            </w:r>
          </w:p>
        </w:tc>
        <w:tc>
          <w:tcPr>
            <w:tcW w:w="138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18D166AC"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7.8%</w:t>
            </w:r>
          </w:p>
        </w:tc>
        <w:tc>
          <w:tcPr>
            <w:tcW w:w="138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345C97D9"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24.0%</w:t>
            </w:r>
          </w:p>
        </w:tc>
        <w:tc>
          <w:tcPr>
            <w:tcW w:w="124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5F3A1E9F"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7.7%</w:t>
            </w:r>
          </w:p>
        </w:tc>
        <w:tc>
          <w:tcPr>
            <w:tcW w:w="124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53B59BD8"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23.6%</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9287E63" w14:textId="77777777" w:rsidR="0076303A" w:rsidRPr="006D075E" w:rsidRDefault="0076303A" w:rsidP="0076303A">
            <w:pPr>
              <w:jc w:val="left"/>
              <w:rPr>
                <w:rFonts w:ascii="Arial Narrow" w:hAnsi="Arial Narrow" w:cs="Times New Roman"/>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185A2C3" w14:textId="77777777" w:rsidR="0076303A" w:rsidRPr="006D075E" w:rsidRDefault="0076303A" w:rsidP="0076303A">
            <w:pPr>
              <w:jc w:val="left"/>
              <w:rPr>
                <w:rFonts w:ascii="Arial Narrow" w:hAnsi="Arial Narrow" w:cs="Times New Roman"/>
                <w:sz w:val="20"/>
                <w:szCs w:val="20"/>
              </w:rPr>
            </w:pPr>
          </w:p>
        </w:tc>
      </w:tr>
      <w:tr w:rsidR="0076303A" w:rsidRPr="006D075E" w14:paraId="12A900F6" w14:textId="77777777" w:rsidTr="00FC00A4">
        <w:tc>
          <w:tcPr>
            <w:tcW w:w="98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0F542FE3" w14:textId="77777777" w:rsidR="0076303A" w:rsidRPr="006D075E" w:rsidRDefault="0076303A" w:rsidP="0076303A">
            <w:pPr>
              <w:keepNext/>
              <w:jc w:val="left"/>
              <w:rPr>
                <w:rFonts w:ascii="Arial Narrow" w:hAnsi="Arial Narrow" w:cs="Times New Roman"/>
                <w:sz w:val="20"/>
                <w:szCs w:val="20"/>
              </w:rPr>
            </w:pPr>
            <w:r w:rsidRPr="006D075E">
              <w:rPr>
                <w:rFonts w:ascii="Arial Narrow" w:hAnsi="Arial Narrow" w:cs="Times New Roman"/>
                <w:sz w:val="20"/>
                <w:szCs w:val="20"/>
                <w:lang w:eastAsia="en-US"/>
              </w:rPr>
              <w:t>4 years</w:t>
            </w:r>
          </w:p>
        </w:tc>
        <w:tc>
          <w:tcPr>
            <w:tcW w:w="138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2BBDDC2D"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9.5%</w:t>
            </w:r>
          </w:p>
        </w:tc>
        <w:tc>
          <w:tcPr>
            <w:tcW w:w="138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2DB4737B"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27.4%</w:t>
            </w:r>
          </w:p>
        </w:tc>
        <w:tc>
          <w:tcPr>
            <w:tcW w:w="124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7EBEF3F2"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9.2%</w:t>
            </w:r>
          </w:p>
        </w:tc>
        <w:tc>
          <w:tcPr>
            <w:tcW w:w="124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7EA188F1"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26.6%</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60F7379" w14:textId="77777777" w:rsidR="0076303A" w:rsidRPr="006D075E" w:rsidRDefault="0076303A" w:rsidP="0076303A">
            <w:pPr>
              <w:jc w:val="left"/>
              <w:rPr>
                <w:rFonts w:ascii="Arial Narrow" w:hAnsi="Arial Narrow" w:cs="Times New Roman"/>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CDAE6A" w14:textId="77777777" w:rsidR="0076303A" w:rsidRPr="006D075E" w:rsidRDefault="0076303A" w:rsidP="0076303A">
            <w:pPr>
              <w:jc w:val="left"/>
              <w:rPr>
                <w:rFonts w:ascii="Arial Narrow" w:hAnsi="Arial Narrow" w:cs="Times New Roman"/>
                <w:sz w:val="20"/>
                <w:szCs w:val="20"/>
              </w:rPr>
            </w:pPr>
          </w:p>
        </w:tc>
      </w:tr>
      <w:tr w:rsidR="0076303A" w:rsidRPr="006D075E" w14:paraId="4D7A50F9" w14:textId="77777777" w:rsidTr="00FC00A4">
        <w:tc>
          <w:tcPr>
            <w:tcW w:w="98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789698C8" w14:textId="77777777" w:rsidR="0076303A" w:rsidRPr="006D075E" w:rsidRDefault="0076303A" w:rsidP="0076303A">
            <w:pPr>
              <w:keepNext/>
              <w:jc w:val="left"/>
              <w:rPr>
                <w:rFonts w:ascii="Arial Narrow" w:hAnsi="Arial Narrow" w:cs="Times New Roman"/>
                <w:sz w:val="20"/>
                <w:szCs w:val="20"/>
              </w:rPr>
            </w:pPr>
            <w:r w:rsidRPr="006D075E">
              <w:rPr>
                <w:rFonts w:ascii="Arial Narrow" w:hAnsi="Arial Narrow" w:cs="Times New Roman"/>
                <w:sz w:val="20"/>
                <w:szCs w:val="20"/>
                <w:lang w:eastAsia="en-US"/>
              </w:rPr>
              <w:t>5 years</w:t>
            </w:r>
          </w:p>
        </w:tc>
        <w:tc>
          <w:tcPr>
            <w:tcW w:w="138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4470326F"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11.5%</w:t>
            </w:r>
          </w:p>
        </w:tc>
        <w:tc>
          <w:tcPr>
            <w:tcW w:w="138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1F4B96E1"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31.5%</w:t>
            </w:r>
          </w:p>
        </w:tc>
        <w:tc>
          <w:tcPr>
            <w:tcW w:w="124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31E80550"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10.9%</w:t>
            </w:r>
          </w:p>
        </w:tc>
        <w:tc>
          <w:tcPr>
            <w:tcW w:w="124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2D20A428"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30.1%</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46610E" w14:textId="77777777" w:rsidR="0076303A" w:rsidRPr="006D075E" w:rsidRDefault="0076303A" w:rsidP="0076303A">
            <w:pPr>
              <w:jc w:val="left"/>
              <w:rPr>
                <w:rFonts w:ascii="Arial Narrow" w:hAnsi="Arial Narrow" w:cs="Times New Roman"/>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063DB7" w14:textId="77777777" w:rsidR="0076303A" w:rsidRPr="006D075E" w:rsidRDefault="0076303A" w:rsidP="0076303A">
            <w:pPr>
              <w:jc w:val="left"/>
              <w:rPr>
                <w:rFonts w:ascii="Arial Narrow" w:hAnsi="Arial Narrow" w:cs="Times New Roman"/>
                <w:sz w:val="20"/>
                <w:szCs w:val="20"/>
              </w:rPr>
            </w:pPr>
          </w:p>
        </w:tc>
      </w:tr>
      <w:tr w:rsidR="0076303A" w:rsidRPr="006D075E" w14:paraId="7ACBB4A2" w14:textId="77777777" w:rsidTr="00FC00A4">
        <w:tc>
          <w:tcPr>
            <w:tcW w:w="98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hideMark/>
          </w:tcPr>
          <w:p w14:paraId="688142D6" w14:textId="77777777" w:rsidR="0076303A" w:rsidRPr="006D075E" w:rsidRDefault="0076303A" w:rsidP="0076303A">
            <w:pPr>
              <w:keepNext/>
              <w:jc w:val="left"/>
              <w:rPr>
                <w:rFonts w:ascii="Arial Narrow" w:hAnsi="Arial Narrow" w:cs="Times New Roman"/>
                <w:sz w:val="20"/>
                <w:szCs w:val="20"/>
              </w:rPr>
            </w:pPr>
            <w:r w:rsidRPr="006D075E">
              <w:rPr>
                <w:rFonts w:ascii="Arial Narrow" w:hAnsi="Arial Narrow" w:cs="Times New Roman"/>
                <w:sz w:val="20"/>
                <w:szCs w:val="20"/>
                <w:lang w:eastAsia="en-US"/>
              </w:rPr>
              <w:t>6 years</w:t>
            </w:r>
          </w:p>
        </w:tc>
        <w:tc>
          <w:tcPr>
            <w:tcW w:w="138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41EDF88A"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13.2%</w:t>
            </w:r>
          </w:p>
        </w:tc>
        <w:tc>
          <w:tcPr>
            <w:tcW w:w="1382"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61649614"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34.8%</w:t>
            </w:r>
          </w:p>
        </w:tc>
        <w:tc>
          <w:tcPr>
            <w:tcW w:w="124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6ADE7633"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12.3%</w:t>
            </w:r>
          </w:p>
        </w:tc>
        <w:tc>
          <w:tcPr>
            <w:tcW w:w="124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736962CF" w14:textId="77777777" w:rsidR="0076303A" w:rsidRPr="006D075E" w:rsidRDefault="0076303A" w:rsidP="0076303A">
            <w:pPr>
              <w:keepNext/>
              <w:jc w:val="center"/>
              <w:rPr>
                <w:rFonts w:ascii="Arial Narrow" w:hAnsi="Arial Narrow" w:cs="Times New Roman"/>
                <w:sz w:val="20"/>
                <w:szCs w:val="20"/>
              </w:rPr>
            </w:pPr>
            <w:r w:rsidRPr="006D075E">
              <w:rPr>
                <w:rFonts w:ascii="Arial Narrow" w:hAnsi="Arial Narrow" w:cs="Times New Roman"/>
                <w:sz w:val="20"/>
                <w:szCs w:val="20"/>
                <w:lang w:eastAsia="en-US"/>
              </w:rPr>
              <w:t>32.8%</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D0088C6" w14:textId="77777777" w:rsidR="0076303A" w:rsidRPr="006D075E" w:rsidRDefault="0076303A" w:rsidP="0076303A">
            <w:pPr>
              <w:jc w:val="left"/>
              <w:rPr>
                <w:rFonts w:ascii="Arial Narrow" w:hAnsi="Arial Narrow" w:cs="Times New Roman"/>
                <w:sz w:val="20"/>
                <w:szCs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8BEB3A" w14:textId="77777777" w:rsidR="0076303A" w:rsidRPr="006D075E" w:rsidRDefault="0076303A" w:rsidP="0076303A">
            <w:pPr>
              <w:jc w:val="left"/>
              <w:rPr>
                <w:rFonts w:ascii="Arial Narrow" w:hAnsi="Arial Narrow" w:cs="Times New Roman"/>
                <w:sz w:val="20"/>
                <w:szCs w:val="20"/>
              </w:rPr>
            </w:pPr>
          </w:p>
        </w:tc>
      </w:tr>
    </w:tbl>
    <w:p w14:paraId="73DD9D44" w14:textId="2C9CF950" w:rsidR="0076303A" w:rsidRPr="006D075E" w:rsidRDefault="0076303A" w:rsidP="0076303A">
      <w:pPr>
        <w:snapToGrid w:val="0"/>
        <w:spacing w:after="120"/>
        <w:contextualSpacing/>
        <w:rPr>
          <w:rFonts w:ascii="Arial Narrow" w:hAnsi="Arial Narrow" w:cs="Times New Roman"/>
          <w:sz w:val="18"/>
          <w:szCs w:val="18"/>
          <w:lang w:eastAsia="zh-CN"/>
        </w:rPr>
      </w:pPr>
      <w:r w:rsidRPr="006D075E">
        <w:rPr>
          <w:rFonts w:ascii="Arial Narrow" w:hAnsi="Arial Narrow" w:cs="Times New Roman"/>
          <w:sz w:val="18"/>
          <w:szCs w:val="18"/>
        </w:rPr>
        <w:t>Source: Constructed during preparation of the ESC Advice based on the economic model spreadsheet provided with the PSCR.</w:t>
      </w:r>
    </w:p>
    <w:p w14:paraId="17E721A2" w14:textId="77777777" w:rsidR="0076303A" w:rsidRPr="006D075E" w:rsidRDefault="0076303A" w:rsidP="0076303A">
      <w:pPr>
        <w:snapToGrid w:val="0"/>
        <w:spacing w:after="120"/>
        <w:contextualSpacing/>
        <w:rPr>
          <w:rFonts w:ascii="Arial Narrow" w:hAnsi="Arial Narrow" w:cs="Times New Roman"/>
          <w:sz w:val="18"/>
          <w:szCs w:val="18"/>
        </w:rPr>
      </w:pPr>
      <w:r w:rsidRPr="006D075E">
        <w:rPr>
          <w:rFonts w:ascii="Arial Narrow" w:hAnsi="Arial Narrow" w:cs="Times New Roman"/>
          <w:sz w:val="18"/>
          <w:szCs w:val="18"/>
        </w:rPr>
        <w:t xml:space="preserve">Abbreviations: ABR, acalabrutinib with </w:t>
      </w:r>
      <w:proofErr w:type="spellStart"/>
      <w:r w:rsidRPr="006D075E">
        <w:rPr>
          <w:rFonts w:ascii="Arial Narrow" w:hAnsi="Arial Narrow" w:cs="Times New Roman"/>
          <w:sz w:val="18"/>
          <w:szCs w:val="18"/>
        </w:rPr>
        <w:t>bendamustine</w:t>
      </w:r>
      <w:proofErr w:type="spellEnd"/>
      <w:r w:rsidRPr="006D075E">
        <w:rPr>
          <w:rFonts w:ascii="Arial Narrow" w:hAnsi="Arial Narrow" w:cs="Times New Roman"/>
          <w:sz w:val="18"/>
          <w:szCs w:val="18"/>
        </w:rPr>
        <w:t xml:space="preserve"> and rituximab; FAS, full analysis set; PBR, placebo with </w:t>
      </w:r>
      <w:proofErr w:type="spellStart"/>
      <w:r w:rsidRPr="006D075E">
        <w:rPr>
          <w:rFonts w:ascii="Arial Narrow" w:hAnsi="Arial Narrow" w:cs="Times New Roman"/>
          <w:sz w:val="18"/>
          <w:szCs w:val="18"/>
        </w:rPr>
        <w:t>bendamustine</w:t>
      </w:r>
      <w:proofErr w:type="spellEnd"/>
      <w:r w:rsidRPr="006D075E">
        <w:rPr>
          <w:rFonts w:ascii="Arial Narrow" w:hAnsi="Arial Narrow" w:cs="Times New Roman"/>
          <w:sz w:val="18"/>
          <w:szCs w:val="18"/>
        </w:rPr>
        <w:t xml:space="preserve"> and rituximab.</w:t>
      </w:r>
    </w:p>
    <w:p w14:paraId="1901F4EF" w14:textId="3BDBB8FF" w:rsidR="0076303A" w:rsidRPr="006D075E" w:rsidRDefault="0076303A" w:rsidP="0076303A">
      <w:pPr>
        <w:snapToGrid w:val="0"/>
        <w:spacing w:after="120"/>
        <w:contextualSpacing/>
        <w:rPr>
          <w:rFonts w:ascii="Arial Narrow" w:hAnsi="Arial Narrow" w:cs="Times New Roman"/>
          <w:sz w:val="18"/>
          <w:szCs w:val="18"/>
        </w:rPr>
      </w:pPr>
      <w:r w:rsidRPr="006D075E">
        <w:rPr>
          <w:rFonts w:ascii="Arial Narrow" w:hAnsi="Arial Narrow" w:cs="Times New Roman"/>
          <w:sz w:val="18"/>
          <w:szCs w:val="18"/>
          <w:vertAlign w:val="superscript"/>
        </w:rPr>
        <w:t xml:space="preserve">a </w:t>
      </w:r>
      <w:r w:rsidRPr="006D075E">
        <w:rPr>
          <w:rFonts w:ascii="Arial Narrow" w:hAnsi="Arial Narrow" w:cs="Times New Roman"/>
          <w:sz w:val="18"/>
          <w:szCs w:val="18"/>
        </w:rPr>
        <w:t xml:space="preserve">Based on a mean follow-up of 41 months </w:t>
      </w:r>
      <w:r w:rsidR="005C015C" w:rsidRPr="006D075E">
        <w:rPr>
          <w:rFonts w:ascii="Arial Narrow" w:hAnsi="Arial Narrow" w:cs="Times New Roman"/>
          <w:sz w:val="18"/>
          <w:szCs w:val="18"/>
        </w:rPr>
        <w:t>(3.42 years)</w:t>
      </w:r>
    </w:p>
    <w:bookmarkEnd w:id="55"/>
    <w:p w14:paraId="4D782AF3" w14:textId="75918EF5" w:rsidR="00994EA1" w:rsidRPr="006D075E" w:rsidRDefault="00994EA1" w:rsidP="00994EA1">
      <w:pPr>
        <w:pStyle w:val="COMexecsummnumbered"/>
      </w:pPr>
      <w:r w:rsidRPr="006D075E">
        <w:fldChar w:fldCharType="begin"/>
      </w:r>
      <w:r w:rsidRPr="006D075E">
        <w:instrText xml:space="preserve"> REF _Ref104805181 \h  \* MERGEFORMAT </w:instrText>
      </w:r>
      <w:r w:rsidRPr="006D075E">
        <w:fldChar w:fldCharType="separate"/>
      </w:r>
      <w:r w:rsidR="00A542E9" w:rsidRPr="006D075E">
        <w:t xml:space="preserve">Table </w:t>
      </w:r>
      <w:r w:rsidR="00A542E9">
        <w:t>10</w:t>
      </w:r>
      <w:r w:rsidRPr="006D075E">
        <w:fldChar w:fldCharType="end"/>
      </w:r>
      <w:r w:rsidRPr="006D075E">
        <w:t xml:space="preserve"> presents the results of the model base case</w:t>
      </w:r>
      <w:r w:rsidR="00391386">
        <w:t xml:space="preserve"> </w:t>
      </w:r>
      <w:r w:rsidR="002D7C6E">
        <w:t xml:space="preserve">provided in the submission </w:t>
      </w:r>
      <w:proofErr w:type="gramStart"/>
      <w:r w:rsidR="00391386">
        <w:t>and</w:t>
      </w:r>
      <w:r w:rsidR="00E066DD">
        <w:t xml:space="preserve"> </w:t>
      </w:r>
      <w:r w:rsidR="002D7C6E">
        <w:t>also</w:t>
      </w:r>
      <w:proofErr w:type="gramEnd"/>
      <w:r w:rsidR="002D7C6E">
        <w:t xml:space="preserve"> </w:t>
      </w:r>
      <w:r w:rsidR="00515704">
        <w:t>the</w:t>
      </w:r>
      <w:r w:rsidR="00E066DD">
        <w:t xml:space="preserve"> revised model presented with PSCR</w:t>
      </w:r>
      <w:r w:rsidRPr="006D075E">
        <w:t>, based on overall survival, progression free survival</w:t>
      </w:r>
      <w:r w:rsidR="00F65177" w:rsidRPr="006D075E">
        <w:t>,</w:t>
      </w:r>
      <w:r w:rsidRPr="006D075E">
        <w:t xml:space="preserve"> and time on treatment curves with and without censoring for COVID-19 related deaths.</w:t>
      </w:r>
    </w:p>
    <w:p w14:paraId="131C6C74" w14:textId="15E69CB5" w:rsidR="000A37F0" w:rsidRPr="006D075E" w:rsidRDefault="000A37F0" w:rsidP="000A37F0">
      <w:pPr>
        <w:pStyle w:val="COMtablefigcaption"/>
      </w:pPr>
      <w:bookmarkStart w:id="56" w:name="_Ref104805181"/>
      <w:bookmarkStart w:id="57" w:name="_Hlk200116761"/>
      <w:r w:rsidRPr="006D075E">
        <w:t xml:space="preserve">Table </w:t>
      </w:r>
      <w:r w:rsidR="00370FC7" w:rsidRPr="006D075E">
        <w:fldChar w:fldCharType="begin"/>
      </w:r>
      <w:r w:rsidR="00370FC7" w:rsidRPr="006D075E">
        <w:instrText xml:space="preserve"> SEQ Table \* ARABIC </w:instrText>
      </w:r>
      <w:r w:rsidR="00370FC7" w:rsidRPr="006D075E">
        <w:fldChar w:fldCharType="separate"/>
      </w:r>
      <w:r w:rsidR="00A542E9">
        <w:rPr>
          <w:noProof/>
        </w:rPr>
        <w:t>10</w:t>
      </w:r>
      <w:r w:rsidR="00370FC7" w:rsidRPr="006D075E">
        <w:fldChar w:fldCharType="end"/>
      </w:r>
      <w:bookmarkEnd w:id="56"/>
      <w:r w:rsidRPr="006D075E">
        <w:t>: Results of the economic evaluation</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economic evaluation"/>
      </w:tblPr>
      <w:tblGrid>
        <w:gridCol w:w="2788"/>
        <w:gridCol w:w="2088"/>
        <w:gridCol w:w="2102"/>
        <w:gridCol w:w="2075"/>
      </w:tblGrid>
      <w:tr w:rsidR="000A37F0" w:rsidRPr="006D075E" w14:paraId="4E7FFD99" w14:textId="77777777" w:rsidTr="0079544F">
        <w:trPr>
          <w:tblHeader/>
        </w:trPr>
        <w:tc>
          <w:tcPr>
            <w:tcW w:w="1540" w:type="pct"/>
            <w:tcBorders>
              <w:top w:val="single" w:sz="2" w:space="0" w:color="auto"/>
              <w:left w:val="single" w:sz="2" w:space="0" w:color="auto"/>
              <w:bottom w:val="single" w:sz="2" w:space="0" w:color="auto"/>
              <w:right w:val="single" w:sz="2" w:space="0" w:color="auto"/>
            </w:tcBorders>
            <w:vAlign w:val="center"/>
          </w:tcPr>
          <w:p w14:paraId="44795D9B" w14:textId="77777777" w:rsidR="000A37F0" w:rsidRPr="006D075E" w:rsidRDefault="000A37F0">
            <w:pPr>
              <w:pStyle w:val="COMTableheadingrow"/>
              <w:rPr>
                <w:lang w:val="en-AU"/>
              </w:rPr>
            </w:pPr>
          </w:p>
        </w:tc>
        <w:tc>
          <w:tcPr>
            <w:tcW w:w="1153" w:type="pct"/>
            <w:tcBorders>
              <w:top w:val="single" w:sz="2" w:space="0" w:color="auto"/>
              <w:left w:val="single" w:sz="2" w:space="0" w:color="auto"/>
              <w:bottom w:val="single" w:sz="2" w:space="0" w:color="auto"/>
              <w:right w:val="single" w:sz="2" w:space="0" w:color="auto"/>
            </w:tcBorders>
            <w:vAlign w:val="center"/>
          </w:tcPr>
          <w:p w14:paraId="7F08D760" w14:textId="77777777" w:rsidR="000A37F0" w:rsidRPr="006D075E" w:rsidRDefault="000A37F0">
            <w:pPr>
              <w:pStyle w:val="COMTableheadingrow"/>
              <w:jc w:val="center"/>
              <w:rPr>
                <w:lang w:val="en-AU"/>
              </w:rPr>
            </w:pPr>
            <w:r w:rsidRPr="006D075E">
              <w:rPr>
                <w:lang w:val="en-AU"/>
              </w:rPr>
              <w:t>Acalabrutinib + BR</w:t>
            </w:r>
          </w:p>
        </w:tc>
        <w:tc>
          <w:tcPr>
            <w:tcW w:w="1160" w:type="pct"/>
            <w:tcBorders>
              <w:top w:val="single" w:sz="2" w:space="0" w:color="auto"/>
              <w:left w:val="single" w:sz="2" w:space="0" w:color="auto"/>
              <w:bottom w:val="single" w:sz="2" w:space="0" w:color="auto"/>
              <w:right w:val="single" w:sz="2" w:space="0" w:color="auto"/>
            </w:tcBorders>
            <w:vAlign w:val="center"/>
          </w:tcPr>
          <w:p w14:paraId="113B7670" w14:textId="77777777" w:rsidR="000A37F0" w:rsidRPr="006D075E" w:rsidRDefault="000A37F0">
            <w:pPr>
              <w:pStyle w:val="COMTableheadingrow"/>
              <w:jc w:val="center"/>
              <w:rPr>
                <w:lang w:val="en-AU"/>
              </w:rPr>
            </w:pPr>
            <w:r w:rsidRPr="006D075E">
              <w:rPr>
                <w:lang w:val="en-AU"/>
              </w:rPr>
              <w:t>Placebo + BR</w:t>
            </w:r>
          </w:p>
        </w:tc>
        <w:tc>
          <w:tcPr>
            <w:tcW w:w="1146" w:type="pct"/>
            <w:tcBorders>
              <w:top w:val="single" w:sz="2" w:space="0" w:color="auto"/>
              <w:left w:val="single" w:sz="2" w:space="0" w:color="auto"/>
              <w:bottom w:val="single" w:sz="2" w:space="0" w:color="auto"/>
              <w:right w:val="single" w:sz="2" w:space="0" w:color="auto"/>
            </w:tcBorders>
            <w:vAlign w:val="center"/>
          </w:tcPr>
          <w:p w14:paraId="313B6434" w14:textId="77777777" w:rsidR="000A37F0" w:rsidRPr="006D075E" w:rsidRDefault="000A37F0">
            <w:pPr>
              <w:pStyle w:val="COMTableheadingrow"/>
              <w:jc w:val="center"/>
              <w:rPr>
                <w:lang w:val="en-AU"/>
              </w:rPr>
            </w:pPr>
            <w:r w:rsidRPr="006D075E">
              <w:rPr>
                <w:lang w:val="en-AU"/>
              </w:rPr>
              <w:t>Increment</w:t>
            </w:r>
          </w:p>
        </w:tc>
      </w:tr>
      <w:tr w:rsidR="000A37F0" w:rsidRPr="006D075E" w14:paraId="2D56C998" w14:textId="77777777" w:rsidTr="0079544F">
        <w:tc>
          <w:tcPr>
            <w:tcW w:w="5000" w:type="pct"/>
            <w:gridSpan w:val="4"/>
            <w:tcBorders>
              <w:top w:val="single" w:sz="2" w:space="0" w:color="auto"/>
              <w:left w:val="single" w:sz="2" w:space="0" w:color="auto"/>
              <w:bottom w:val="single" w:sz="2" w:space="0" w:color="auto"/>
              <w:right w:val="single" w:sz="2" w:space="0" w:color="auto"/>
            </w:tcBorders>
            <w:vAlign w:val="center"/>
          </w:tcPr>
          <w:p w14:paraId="1F30C734" w14:textId="77777777" w:rsidR="000A37F0" w:rsidRPr="006D075E" w:rsidRDefault="000A37F0">
            <w:pPr>
              <w:pStyle w:val="COMTableheadingrow"/>
              <w:rPr>
                <w:lang w:val="en-AU"/>
              </w:rPr>
            </w:pPr>
            <w:r w:rsidRPr="006D075E">
              <w:rPr>
                <w:lang w:val="en-AU"/>
              </w:rPr>
              <w:t>Submission base case: FAS with censoring for COVID-19 related deaths</w:t>
            </w:r>
          </w:p>
        </w:tc>
      </w:tr>
      <w:tr w:rsidR="000A37F0" w:rsidRPr="006D075E" w14:paraId="27AC31E6" w14:textId="77777777" w:rsidTr="0079544F">
        <w:tc>
          <w:tcPr>
            <w:tcW w:w="1540" w:type="pct"/>
            <w:tcBorders>
              <w:top w:val="single" w:sz="2" w:space="0" w:color="auto"/>
              <w:left w:val="single" w:sz="2" w:space="0" w:color="auto"/>
              <w:bottom w:val="single" w:sz="2" w:space="0" w:color="auto"/>
              <w:right w:val="single" w:sz="2" w:space="0" w:color="auto"/>
            </w:tcBorders>
            <w:vAlign w:val="center"/>
          </w:tcPr>
          <w:p w14:paraId="75808C6E" w14:textId="77777777" w:rsidR="000A37F0" w:rsidRPr="006D075E" w:rsidRDefault="000A37F0">
            <w:pPr>
              <w:pStyle w:val="COMTabletext"/>
              <w:rPr>
                <w:rFonts w:ascii="Times" w:hAnsi="Times"/>
              </w:rPr>
            </w:pPr>
            <w:r w:rsidRPr="006D075E">
              <w:t>Costs</w:t>
            </w:r>
          </w:p>
        </w:tc>
        <w:tc>
          <w:tcPr>
            <w:tcW w:w="1153" w:type="pct"/>
            <w:tcBorders>
              <w:top w:val="single" w:sz="2" w:space="0" w:color="auto"/>
              <w:left w:val="single" w:sz="2" w:space="0" w:color="auto"/>
              <w:bottom w:val="single" w:sz="2" w:space="0" w:color="auto"/>
              <w:right w:val="single" w:sz="2" w:space="0" w:color="auto"/>
            </w:tcBorders>
            <w:vAlign w:val="center"/>
          </w:tcPr>
          <w:p w14:paraId="5F984B59" w14:textId="5B46B0FA" w:rsidR="000A37F0" w:rsidRPr="006D075E" w:rsidRDefault="000A37F0">
            <w:pPr>
              <w:pStyle w:val="COMTabletext"/>
              <w:jc w:val="center"/>
            </w:pPr>
            <w:r w:rsidRPr="006D075E">
              <w:t>$</w:t>
            </w:r>
            <w:r w:rsidR="00800963" w:rsidRPr="007542BF">
              <w:rPr>
                <w:color w:val="000000"/>
                <w:spacing w:val="55"/>
                <w:shd w:val="solid" w:color="000000" w:fill="000000"/>
                <w:fitText w:val="336" w:id="-629433338"/>
                <w14:textFill>
                  <w14:solidFill>
                    <w14:srgbClr w14:val="000000">
                      <w14:alpha w14:val="100000"/>
                    </w14:srgbClr>
                  </w14:solidFill>
                </w14:textFill>
              </w:rPr>
              <w:t>|||</w:t>
            </w:r>
            <w:r w:rsidR="00800963" w:rsidRPr="007542BF">
              <w:rPr>
                <w:color w:val="000000"/>
                <w:spacing w:val="1"/>
                <w:shd w:val="solid" w:color="000000" w:fill="000000"/>
                <w:fitText w:val="336" w:id="-629433338"/>
                <w14:textFill>
                  <w14:solidFill>
                    <w14:srgbClr w14:val="000000">
                      <w14:alpha w14:val="100000"/>
                    </w14:srgbClr>
                  </w14:solidFill>
                </w14:textFill>
              </w:rPr>
              <w:t>|</w:t>
            </w:r>
          </w:p>
        </w:tc>
        <w:tc>
          <w:tcPr>
            <w:tcW w:w="1160" w:type="pct"/>
            <w:tcBorders>
              <w:top w:val="single" w:sz="2" w:space="0" w:color="auto"/>
              <w:left w:val="single" w:sz="2" w:space="0" w:color="auto"/>
              <w:bottom w:val="single" w:sz="2" w:space="0" w:color="auto"/>
              <w:right w:val="single" w:sz="2" w:space="0" w:color="auto"/>
            </w:tcBorders>
            <w:vAlign w:val="center"/>
          </w:tcPr>
          <w:p w14:paraId="708F8B0B" w14:textId="77777777" w:rsidR="000A37F0" w:rsidRPr="006D075E" w:rsidRDefault="000A37F0">
            <w:pPr>
              <w:pStyle w:val="COMTabletext"/>
              <w:jc w:val="center"/>
            </w:pPr>
            <w:r w:rsidRPr="006D075E">
              <w:t>$63,387</w:t>
            </w:r>
          </w:p>
        </w:tc>
        <w:tc>
          <w:tcPr>
            <w:tcW w:w="1146" w:type="pct"/>
            <w:tcBorders>
              <w:top w:val="single" w:sz="2" w:space="0" w:color="auto"/>
              <w:left w:val="single" w:sz="2" w:space="0" w:color="auto"/>
              <w:bottom w:val="single" w:sz="2" w:space="0" w:color="auto"/>
              <w:right w:val="single" w:sz="2" w:space="0" w:color="auto"/>
            </w:tcBorders>
            <w:vAlign w:val="center"/>
          </w:tcPr>
          <w:p w14:paraId="4DD60C8C" w14:textId="75414FEE" w:rsidR="000A37F0" w:rsidRPr="006D075E" w:rsidRDefault="000A37F0">
            <w:pPr>
              <w:pStyle w:val="COMTabletext"/>
              <w:jc w:val="center"/>
            </w:pPr>
            <w:r w:rsidRPr="006D075E">
              <w:t>$</w:t>
            </w:r>
            <w:r w:rsidR="00800963" w:rsidRPr="007542BF">
              <w:rPr>
                <w:color w:val="000000"/>
                <w:spacing w:val="51"/>
                <w:shd w:val="solid" w:color="000000" w:fill="000000"/>
                <w:fitText w:val="324" w:id="-629433337"/>
                <w14:textFill>
                  <w14:solidFill>
                    <w14:srgbClr w14:val="000000">
                      <w14:alpha w14:val="100000"/>
                    </w14:srgbClr>
                  </w14:solidFill>
                </w14:textFill>
              </w:rPr>
              <w:t>|||</w:t>
            </w:r>
            <w:r w:rsidR="00800963" w:rsidRPr="007542BF">
              <w:rPr>
                <w:color w:val="000000"/>
                <w:spacing w:val="1"/>
                <w:shd w:val="solid" w:color="000000" w:fill="000000"/>
                <w:fitText w:val="324" w:id="-629433337"/>
                <w14:textFill>
                  <w14:solidFill>
                    <w14:srgbClr w14:val="000000">
                      <w14:alpha w14:val="100000"/>
                    </w14:srgbClr>
                  </w14:solidFill>
                </w14:textFill>
              </w:rPr>
              <w:t>|</w:t>
            </w:r>
          </w:p>
        </w:tc>
      </w:tr>
      <w:tr w:rsidR="000A37F0" w:rsidRPr="006D075E" w14:paraId="1E96AD3A" w14:textId="77777777" w:rsidTr="0079544F">
        <w:tc>
          <w:tcPr>
            <w:tcW w:w="1540" w:type="pct"/>
            <w:tcBorders>
              <w:top w:val="single" w:sz="2" w:space="0" w:color="auto"/>
              <w:left w:val="single" w:sz="2" w:space="0" w:color="auto"/>
              <w:bottom w:val="single" w:sz="2" w:space="0" w:color="auto"/>
              <w:right w:val="single" w:sz="2" w:space="0" w:color="auto"/>
            </w:tcBorders>
            <w:vAlign w:val="center"/>
          </w:tcPr>
          <w:p w14:paraId="140312A2" w14:textId="77777777" w:rsidR="000A37F0" w:rsidRPr="006D075E" w:rsidRDefault="000A37F0">
            <w:pPr>
              <w:pStyle w:val="COMTabletext"/>
              <w:rPr>
                <w:rFonts w:ascii="Times" w:hAnsi="Times"/>
              </w:rPr>
            </w:pPr>
            <w:r w:rsidRPr="006D075E">
              <w:t>QALYs</w:t>
            </w:r>
          </w:p>
        </w:tc>
        <w:tc>
          <w:tcPr>
            <w:tcW w:w="1153" w:type="pct"/>
            <w:tcBorders>
              <w:top w:val="single" w:sz="2" w:space="0" w:color="auto"/>
              <w:left w:val="single" w:sz="2" w:space="0" w:color="auto"/>
              <w:bottom w:val="single" w:sz="2" w:space="0" w:color="auto"/>
              <w:right w:val="single" w:sz="2" w:space="0" w:color="auto"/>
            </w:tcBorders>
            <w:vAlign w:val="center"/>
          </w:tcPr>
          <w:p w14:paraId="54EE8EAB" w14:textId="77777777" w:rsidR="000A37F0" w:rsidRPr="006D075E" w:rsidRDefault="000A37F0">
            <w:pPr>
              <w:pStyle w:val="COMTabletext"/>
              <w:jc w:val="center"/>
            </w:pPr>
            <w:r w:rsidRPr="006D075E">
              <w:t>6.8891</w:t>
            </w:r>
          </w:p>
        </w:tc>
        <w:tc>
          <w:tcPr>
            <w:tcW w:w="1160" w:type="pct"/>
            <w:tcBorders>
              <w:top w:val="single" w:sz="2" w:space="0" w:color="auto"/>
              <w:left w:val="single" w:sz="2" w:space="0" w:color="auto"/>
              <w:bottom w:val="single" w:sz="2" w:space="0" w:color="auto"/>
              <w:right w:val="single" w:sz="2" w:space="0" w:color="auto"/>
            </w:tcBorders>
            <w:vAlign w:val="center"/>
          </w:tcPr>
          <w:p w14:paraId="5EE40A57" w14:textId="77777777" w:rsidR="000A37F0" w:rsidRPr="006D075E" w:rsidRDefault="000A37F0">
            <w:pPr>
              <w:pStyle w:val="COMTabletext"/>
              <w:jc w:val="center"/>
            </w:pPr>
            <w:r w:rsidRPr="006D075E">
              <w:t>6.3623</w:t>
            </w:r>
          </w:p>
        </w:tc>
        <w:tc>
          <w:tcPr>
            <w:tcW w:w="1146" w:type="pct"/>
            <w:tcBorders>
              <w:top w:val="single" w:sz="2" w:space="0" w:color="auto"/>
              <w:left w:val="single" w:sz="2" w:space="0" w:color="auto"/>
              <w:bottom w:val="single" w:sz="2" w:space="0" w:color="auto"/>
              <w:right w:val="single" w:sz="2" w:space="0" w:color="auto"/>
            </w:tcBorders>
            <w:vAlign w:val="center"/>
          </w:tcPr>
          <w:p w14:paraId="6D6D8BBC" w14:textId="77777777" w:rsidR="000A37F0" w:rsidRPr="006D075E" w:rsidRDefault="000A37F0">
            <w:pPr>
              <w:pStyle w:val="COMTabletext"/>
              <w:jc w:val="center"/>
            </w:pPr>
            <w:r w:rsidRPr="006D075E">
              <w:t>0.5268</w:t>
            </w:r>
          </w:p>
        </w:tc>
      </w:tr>
      <w:tr w:rsidR="000A37F0" w:rsidRPr="006D075E" w14:paraId="28029D8C" w14:textId="77777777" w:rsidTr="0079544F">
        <w:tc>
          <w:tcPr>
            <w:tcW w:w="3854" w:type="pct"/>
            <w:gridSpan w:val="3"/>
            <w:tcBorders>
              <w:top w:val="single" w:sz="2" w:space="0" w:color="auto"/>
              <w:left w:val="single" w:sz="2" w:space="0" w:color="auto"/>
              <w:bottom w:val="single" w:sz="2" w:space="0" w:color="auto"/>
              <w:right w:val="single" w:sz="2" w:space="0" w:color="auto"/>
            </w:tcBorders>
            <w:vAlign w:val="center"/>
          </w:tcPr>
          <w:p w14:paraId="15803C5A" w14:textId="77777777" w:rsidR="000A37F0" w:rsidRPr="006D075E" w:rsidRDefault="000A37F0">
            <w:pPr>
              <w:pStyle w:val="COMTabletext"/>
              <w:rPr>
                <w:b/>
                <w:bCs w:val="0"/>
              </w:rPr>
            </w:pPr>
            <w:r w:rsidRPr="006D075E">
              <w:rPr>
                <w:b/>
                <w:bCs w:val="0"/>
              </w:rPr>
              <w:t>Incremental cost per QALY gained</w:t>
            </w:r>
          </w:p>
        </w:tc>
        <w:tc>
          <w:tcPr>
            <w:tcW w:w="1146" w:type="pct"/>
            <w:tcBorders>
              <w:top w:val="single" w:sz="2" w:space="0" w:color="auto"/>
              <w:left w:val="single" w:sz="2" w:space="0" w:color="auto"/>
              <w:bottom w:val="single" w:sz="2" w:space="0" w:color="auto"/>
              <w:right w:val="single" w:sz="2" w:space="0" w:color="auto"/>
            </w:tcBorders>
            <w:vAlign w:val="center"/>
          </w:tcPr>
          <w:p w14:paraId="7397F799" w14:textId="141538D1" w:rsidR="000A37F0" w:rsidRPr="002B519E" w:rsidRDefault="000A37F0">
            <w:pPr>
              <w:pStyle w:val="COMTabletext"/>
              <w:jc w:val="center"/>
              <w:rPr>
                <w:rFonts w:ascii="Times" w:hAnsi="Times"/>
                <w:b/>
                <w:bCs w:val="0"/>
                <w:vertAlign w:val="superscript"/>
              </w:rPr>
            </w:pPr>
            <w:r w:rsidRPr="006D075E">
              <w:rPr>
                <w:b/>
                <w:bCs w:val="0"/>
              </w:rPr>
              <w:t>$</w:t>
            </w:r>
            <w:r w:rsidR="00800963" w:rsidRPr="007542BF">
              <w:rPr>
                <w:b/>
                <w:bCs w:val="0"/>
                <w:color w:val="000000"/>
                <w:spacing w:val="54"/>
                <w:shd w:val="solid" w:color="000000" w:fill="000000"/>
                <w:fitText w:val="348" w:id="-629433336"/>
                <w14:textFill>
                  <w14:solidFill>
                    <w14:srgbClr w14:val="000000">
                      <w14:alpha w14:val="100000"/>
                    </w14:srgbClr>
                  </w14:solidFill>
                </w14:textFill>
              </w:rPr>
              <w:t>|||</w:t>
            </w:r>
            <w:r w:rsidR="00800963" w:rsidRPr="007542BF">
              <w:rPr>
                <w:b/>
                <w:bCs w:val="0"/>
                <w:color w:val="000000"/>
                <w:spacing w:val="3"/>
                <w:shd w:val="solid" w:color="000000" w:fill="000000"/>
                <w:fitText w:val="348" w:id="-629433336"/>
                <w14:textFill>
                  <w14:solidFill>
                    <w14:srgbClr w14:val="000000">
                      <w14:alpha w14:val="100000"/>
                    </w14:srgbClr>
                  </w14:solidFill>
                </w14:textFill>
              </w:rPr>
              <w:t>|</w:t>
            </w:r>
            <w:r w:rsidR="002B519E">
              <w:rPr>
                <w:b/>
                <w:bCs w:val="0"/>
                <w:vertAlign w:val="superscript"/>
              </w:rPr>
              <w:t>1</w:t>
            </w:r>
          </w:p>
        </w:tc>
      </w:tr>
      <w:tr w:rsidR="00422681" w:rsidRPr="006D075E" w14:paraId="1FC62166" w14:textId="77777777" w:rsidTr="0079544F">
        <w:tc>
          <w:tcPr>
            <w:tcW w:w="5000" w:type="pct"/>
            <w:gridSpan w:val="4"/>
            <w:tcBorders>
              <w:top w:val="single" w:sz="2" w:space="0" w:color="auto"/>
              <w:left w:val="single" w:sz="2" w:space="0" w:color="auto"/>
              <w:bottom w:val="single" w:sz="2" w:space="0" w:color="auto"/>
              <w:right w:val="single" w:sz="2" w:space="0" w:color="auto"/>
            </w:tcBorders>
            <w:vAlign w:val="center"/>
          </w:tcPr>
          <w:p w14:paraId="27E1E2CA" w14:textId="204C449F" w:rsidR="00422681" w:rsidRPr="006D075E" w:rsidRDefault="00422681">
            <w:pPr>
              <w:pStyle w:val="COMTableheadingrow"/>
              <w:rPr>
                <w:lang w:val="en-AU"/>
              </w:rPr>
            </w:pPr>
            <w:r w:rsidRPr="006D075E">
              <w:rPr>
                <w:lang w:val="en-AU"/>
              </w:rPr>
              <w:t>PSCR: FAS with censoring for COVID-19 related deaths and corrected for time to subsequent treatment curves</w:t>
            </w:r>
            <w:r w:rsidR="009E75B9" w:rsidRPr="006D075E">
              <w:rPr>
                <w:lang w:val="en-AU"/>
              </w:rPr>
              <w:t xml:space="preserve"> </w:t>
            </w:r>
            <w:r w:rsidR="009E75B9" w:rsidRPr="006D075E">
              <w:rPr>
                <w:rFonts w:eastAsia="Aptos"/>
                <w:kern w:val="2"/>
                <w:szCs w:val="20"/>
                <w:vertAlign w:val="superscript"/>
                <w:lang w:val="en-AU" w:eastAsia="en-US"/>
                <w14:ligatures w14:val="standardContextual"/>
              </w:rPr>
              <w:t>a</w:t>
            </w:r>
          </w:p>
        </w:tc>
      </w:tr>
      <w:tr w:rsidR="00560417" w:rsidRPr="006D075E" w14:paraId="48A16E44" w14:textId="77777777" w:rsidTr="0079544F">
        <w:tc>
          <w:tcPr>
            <w:tcW w:w="1540" w:type="pct"/>
            <w:tcBorders>
              <w:top w:val="single" w:sz="2" w:space="0" w:color="auto"/>
              <w:left w:val="single" w:sz="2" w:space="0" w:color="auto"/>
              <w:bottom w:val="single" w:sz="2" w:space="0" w:color="auto"/>
              <w:right w:val="single" w:sz="2" w:space="0" w:color="auto"/>
            </w:tcBorders>
            <w:vAlign w:val="center"/>
          </w:tcPr>
          <w:p w14:paraId="0EFBFA82" w14:textId="77777777" w:rsidR="00560417" w:rsidRPr="006D075E" w:rsidRDefault="00560417" w:rsidP="00560417">
            <w:pPr>
              <w:pStyle w:val="COMTabletext"/>
              <w:rPr>
                <w:rFonts w:ascii="Times" w:hAnsi="Times"/>
              </w:rPr>
            </w:pPr>
            <w:r w:rsidRPr="006D075E">
              <w:t>Costs</w:t>
            </w:r>
          </w:p>
        </w:tc>
        <w:tc>
          <w:tcPr>
            <w:tcW w:w="1153" w:type="pct"/>
            <w:tcBorders>
              <w:top w:val="single" w:sz="2" w:space="0" w:color="auto"/>
              <w:left w:val="single" w:sz="2" w:space="0" w:color="auto"/>
              <w:bottom w:val="single" w:sz="2" w:space="0" w:color="auto"/>
              <w:right w:val="single" w:sz="2" w:space="0" w:color="auto"/>
            </w:tcBorders>
          </w:tcPr>
          <w:p w14:paraId="73C60665" w14:textId="15B21472" w:rsidR="00560417" w:rsidRPr="006D075E" w:rsidRDefault="00560417" w:rsidP="00560417">
            <w:pPr>
              <w:pStyle w:val="COMTabletext"/>
              <w:jc w:val="center"/>
            </w:pPr>
            <w:r w:rsidRPr="006D075E">
              <w:t>$</w:t>
            </w:r>
            <w:r w:rsidR="00800963" w:rsidRPr="007542BF">
              <w:rPr>
                <w:color w:val="000000"/>
                <w:spacing w:val="55"/>
                <w:shd w:val="solid" w:color="000000" w:fill="000000"/>
                <w:fitText w:val="336" w:id="-629433335"/>
                <w14:textFill>
                  <w14:solidFill>
                    <w14:srgbClr w14:val="000000">
                      <w14:alpha w14:val="100000"/>
                    </w14:srgbClr>
                  </w14:solidFill>
                </w14:textFill>
              </w:rPr>
              <w:t>|||</w:t>
            </w:r>
            <w:r w:rsidR="00800963" w:rsidRPr="007542BF">
              <w:rPr>
                <w:color w:val="000000"/>
                <w:spacing w:val="1"/>
                <w:shd w:val="solid" w:color="000000" w:fill="000000"/>
                <w:fitText w:val="336" w:id="-629433335"/>
                <w14:textFill>
                  <w14:solidFill>
                    <w14:srgbClr w14:val="000000">
                      <w14:alpha w14:val="100000"/>
                    </w14:srgbClr>
                  </w14:solidFill>
                </w14:textFill>
              </w:rPr>
              <w:t>|</w:t>
            </w:r>
          </w:p>
        </w:tc>
        <w:tc>
          <w:tcPr>
            <w:tcW w:w="1160" w:type="pct"/>
            <w:tcBorders>
              <w:top w:val="single" w:sz="2" w:space="0" w:color="auto"/>
              <w:left w:val="single" w:sz="2" w:space="0" w:color="auto"/>
              <w:bottom w:val="single" w:sz="2" w:space="0" w:color="auto"/>
              <w:right w:val="single" w:sz="2" w:space="0" w:color="auto"/>
            </w:tcBorders>
          </w:tcPr>
          <w:p w14:paraId="0EF0413D" w14:textId="32C6C9A5" w:rsidR="00560417" w:rsidRPr="006D075E" w:rsidRDefault="00560417" w:rsidP="00560417">
            <w:pPr>
              <w:pStyle w:val="COMTabletext"/>
              <w:jc w:val="center"/>
            </w:pPr>
            <w:r w:rsidRPr="006D075E">
              <w:t>$56,735</w:t>
            </w:r>
          </w:p>
        </w:tc>
        <w:tc>
          <w:tcPr>
            <w:tcW w:w="1146" w:type="pct"/>
            <w:tcBorders>
              <w:top w:val="single" w:sz="2" w:space="0" w:color="auto"/>
              <w:left w:val="single" w:sz="2" w:space="0" w:color="auto"/>
              <w:bottom w:val="single" w:sz="2" w:space="0" w:color="auto"/>
              <w:right w:val="single" w:sz="2" w:space="0" w:color="auto"/>
            </w:tcBorders>
            <w:vAlign w:val="center"/>
          </w:tcPr>
          <w:p w14:paraId="32036E0B" w14:textId="665DF2D1" w:rsidR="00560417" w:rsidRPr="006D075E" w:rsidRDefault="00560417" w:rsidP="00560417">
            <w:pPr>
              <w:pStyle w:val="COMTabletext"/>
              <w:jc w:val="center"/>
            </w:pPr>
            <w:r w:rsidRPr="006D075E">
              <w:t>$</w:t>
            </w:r>
            <w:r w:rsidR="00800963" w:rsidRPr="007542BF">
              <w:rPr>
                <w:color w:val="000000"/>
                <w:spacing w:val="51"/>
                <w:shd w:val="solid" w:color="000000" w:fill="000000"/>
                <w:fitText w:val="324" w:id="-629433334"/>
                <w14:textFill>
                  <w14:solidFill>
                    <w14:srgbClr w14:val="000000">
                      <w14:alpha w14:val="100000"/>
                    </w14:srgbClr>
                  </w14:solidFill>
                </w14:textFill>
              </w:rPr>
              <w:t>|||</w:t>
            </w:r>
            <w:r w:rsidR="00800963" w:rsidRPr="007542BF">
              <w:rPr>
                <w:color w:val="000000"/>
                <w:spacing w:val="1"/>
                <w:shd w:val="solid" w:color="000000" w:fill="000000"/>
                <w:fitText w:val="324" w:id="-629433334"/>
                <w14:textFill>
                  <w14:solidFill>
                    <w14:srgbClr w14:val="000000">
                      <w14:alpha w14:val="100000"/>
                    </w14:srgbClr>
                  </w14:solidFill>
                </w14:textFill>
              </w:rPr>
              <w:t>|</w:t>
            </w:r>
          </w:p>
        </w:tc>
      </w:tr>
      <w:tr w:rsidR="00560417" w:rsidRPr="006D075E" w14:paraId="0A7ACE93" w14:textId="77777777" w:rsidTr="0079544F">
        <w:tc>
          <w:tcPr>
            <w:tcW w:w="1540" w:type="pct"/>
            <w:tcBorders>
              <w:top w:val="single" w:sz="2" w:space="0" w:color="auto"/>
              <w:left w:val="single" w:sz="2" w:space="0" w:color="auto"/>
              <w:bottom w:val="single" w:sz="2" w:space="0" w:color="auto"/>
              <w:right w:val="single" w:sz="2" w:space="0" w:color="auto"/>
            </w:tcBorders>
            <w:vAlign w:val="center"/>
          </w:tcPr>
          <w:p w14:paraId="74101179" w14:textId="77777777" w:rsidR="00560417" w:rsidRPr="006D075E" w:rsidRDefault="00560417" w:rsidP="00560417">
            <w:pPr>
              <w:pStyle w:val="COMTabletext"/>
              <w:rPr>
                <w:rFonts w:ascii="Times" w:hAnsi="Times"/>
              </w:rPr>
            </w:pPr>
            <w:r w:rsidRPr="006D075E">
              <w:t>QALYs</w:t>
            </w:r>
          </w:p>
        </w:tc>
        <w:tc>
          <w:tcPr>
            <w:tcW w:w="1153" w:type="pct"/>
            <w:tcBorders>
              <w:top w:val="single" w:sz="2" w:space="0" w:color="auto"/>
              <w:left w:val="single" w:sz="2" w:space="0" w:color="auto"/>
              <w:bottom w:val="single" w:sz="2" w:space="0" w:color="auto"/>
              <w:right w:val="single" w:sz="2" w:space="0" w:color="auto"/>
            </w:tcBorders>
          </w:tcPr>
          <w:p w14:paraId="277B48F1" w14:textId="0C5918CA" w:rsidR="00560417" w:rsidRPr="006D075E" w:rsidRDefault="00560417" w:rsidP="00560417">
            <w:pPr>
              <w:pStyle w:val="COMTabletext"/>
              <w:jc w:val="center"/>
            </w:pPr>
            <w:r w:rsidRPr="006D075E">
              <w:t>6.89</w:t>
            </w:r>
          </w:p>
        </w:tc>
        <w:tc>
          <w:tcPr>
            <w:tcW w:w="1160" w:type="pct"/>
            <w:tcBorders>
              <w:top w:val="single" w:sz="2" w:space="0" w:color="auto"/>
              <w:left w:val="single" w:sz="2" w:space="0" w:color="auto"/>
              <w:bottom w:val="single" w:sz="2" w:space="0" w:color="auto"/>
              <w:right w:val="single" w:sz="2" w:space="0" w:color="auto"/>
            </w:tcBorders>
          </w:tcPr>
          <w:p w14:paraId="3FAA144D" w14:textId="634582C4" w:rsidR="00560417" w:rsidRPr="006D075E" w:rsidRDefault="00560417" w:rsidP="00560417">
            <w:pPr>
              <w:pStyle w:val="COMTabletext"/>
              <w:jc w:val="center"/>
            </w:pPr>
            <w:r w:rsidRPr="006D075E">
              <w:t>6.36</w:t>
            </w:r>
          </w:p>
        </w:tc>
        <w:tc>
          <w:tcPr>
            <w:tcW w:w="1146" w:type="pct"/>
            <w:tcBorders>
              <w:top w:val="single" w:sz="2" w:space="0" w:color="auto"/>
              <w:left w:val="single" w:sz="2" w:space="0" w:color="auto"/>
              <w:bottom w:val="single" w:sz="2" w:space="0" w:color="auto"/>
              <w:right w:val="single" w:sz="2" w:space="0" w:color="auto"/>
            </w:tcBorders>
            <w:vAlign w:val="center"/>
          </w:tcPr>
          <w:p w14:paraId="7AD9A423" w14:textId="4207B893" w:rsidR="00560417" w:rsidRPr="006D075E" w:rsidRDefault="00560417" w:rsidP="00560417">
            <w:pPr>
              <w:pStyle w:val="COMTabletext"/>
              <w:jc w:val="center"/>
            </w:pPr>
            <w:r w:rsidRPr="006D075E">
              <w:t>0.527</w:t>
            </w:r>
          </w:p>
        </w:tc>
      </w:tr>
      <w:tr w:rsidR="00422681" w:rsidRPr="006D075E" w14:paraId="0A083053" w14:textId="77777777" w:rsidTr="0079544F">
        <w:tc>
          <w:tcPr>
            <w:tcW w:w="3854" w:type="pct"/>
            <w:gridSpan w:val="3"/>
            <w:tcBorders>
              <w:top w:val="single" w:sz="2" w:space="0" w:color="auto"/>
              <w:left w:val="single" w:sz="2" w:space="0" w:color="auto"/>
              <w:bottom w:val="single" w:sz="2" w:space="0" w:color="auto"/>
              <w:right w:val="single" w:sz="2" w:space="0" w:color="auto"/>
            </w:tcBorders>
            <w:vAlign w:val="center"/>
          </w:tcPr>
          <w:p w14:paraId="24539A9F" w14:textId="77777777" w:rsidR="00422681" w:rsidRPr="006D075E" w:rsidRDefault="00422681">
            <w:pPr>
              <w:pStyle w:val="COMTabletext"/>
              <w:rPr>
                <w:b/>
                <w:bCs w:val="0"/>
              </w:rPr>
            </w:pPr>
            <w:r w:rsidRPr="006D075E">
              <w:rPr>
                <w:b/>
                <w:bCs w:val="0"/>
              </w:rPr>
              <w:t>Incremental cost per QALY gained</w:t>
            </w:r>
          </w:p>
        </w:tc>
        <w:tc>
          <w:tcPr>
            <w:tcW w:w="1146" w:type="pct"/>
            <w:tcBorders>
              <w:top w:val="single" w:sz="2" w:space="0" w:color="auto"/>
              <w:left w:val="single" w:sz="2" w:space="0" w:color="auto"/>
              <w:bottom w:val="single" w:sz="2" w:space="0" w:color="auto"/>
              <w:right w:val="single" w:sz="2" w:space="0" w:color="auto"/>
            </w:tcBorders>
            <w:vAlign w:val="center"/>
          </w:tcPr>
          <w:p w14:paraId="365F8899" w14:textId="2B1DFF71" w:rsidR="00422681" w:rsidRPr="002B519E" w:rsidRDefault="00422681">
            <w:pPr>
              <w:pStyle w:val="COMTabletext"/>
              <w:jc w:val="center"/>
              <w:rPr>
                <w:b/>
                <w:bCs w:val="0"/>
                <w:vertAlign w:val="superscript"/>
              </w:rPr>
            </w:pPr>
            <w:r w:rsidRPr="006D075E">
              <w:rPr>
                <w:b/>
                <w:bCs w:val="0"/>
              </w:rPr>
              <w:t>$</w:t>
            </w:r>
            <w:r w:rsidR="00800963" w:rsidRPr="007542BF">
              <w:rPr>
                <w:b/>
                <w:bCs w:val="0"/>
                <w:color w:val="000000"/>
                <w:spacing w:val="54"/>
                <w:shd w:val="solid" w:color="000000" w:fill="000000"/>
                <w:fitText w:val="348" w:id="-629433333"/>
                <w14:textFill>
                  <w14:solidFill>
                    <w14:srgbClr w14:val="000000">
                      <w14:alpha w14:val="100000"/>
                    </w14:srgbClr>
                  </w14:solidFill>
                </w14:textFill>
              </w:rPr>
              <w:t>|||</w:t>
            </w:r>
            <w:r w:rsidR="00800963" w:rsidRPr="007542BF">
              <w:rPr>
                <w:b/>
                <w:bCs w:val="0"/>
                <w:color w:val="000000"/>
                <w:spacing w:val="3"/>
                <w:shd w:val="solid" w:color="000000" w:fill="000000"/>
                <w:fitText w:val="348" w:id="-629433333"/>
                <w14:textFill>
                  <w14:solidFill>
                    <w14:srgbClr w14:val="000000">
                      <w14:alpha w14:val="100000"/>
                    </w14:srgbClr>
                  </w14:solidFill>
                </w14:textFill>
              </w:rPr>
              <w:t>|</w:t>
            </w:r>
            <w:r w:rsidR="002B519E">
              <w:rPr>
                <w:b/>
                <w:bCs w:val="0"/>
                <w:vertAlign w:val="superscript"/>
              </w:rPr>
              <w:t>1</w:t>
            </w:r>
          </w:p>
        </w:tc>
      </w:tr>
      <w:tr w:rsidR="000A37F0" w:rsidRPr="006D075E" w14:paraId="743F4BF5" w14:textId="77777777" w:rsidTr="0079544F">
        <w:tc>
          <w:tcPr>
            <w:tcW w:w="5000" w:type="pct"/>
            <w:gridSpan w:val="4"/>
            <w:tcBorders>
              <w:top w:val="single" w:sz="2" w:space="0" w:color="auto"/>
              <w:left w:val="single" w:sz="2" w:space="0" w:color="auto"/>
              <w:bottom w:val="single" w:sz="2" w:space="0" w:color="auto"/>
              <w:right w:val="single" w:sz="2" w:space="0" w:color="auto"/>
            </w:tcBorders>
            <w:vAlign w:val="center"/>
          </w:tcPr>
          <w:p w14:paraId="0762CC2B" w14:textId="77777777" w:rsidR="000A37F0" w:rsidRPr="006D075E" w:rsidRDefault="000A37F0">
            <w:pPr>
              <w:pStyle w:val="COMTableheadingrow"/>
              <w:rPr>
                <w:lang w:val="en-AU"/>
              </w:rPr>
            </w:pPr>
            <w:r w:rsidRPr="006D075E">
              <w:rPr>
                <w:lang w:val="en-AU"/>
              </w:rPr>
              <w:t>FAS (without censoring for COVID-19 related deaths)</w:t>
            </w:r>
          </w:p>
        </w:tc>
      </w:tr>
      <w:tr w:rsidR="000A37F0" w:rsidRPr="006D075E" w14:paraId="0CEFCACA" w14:textId="77777777" w:rsidTr="0079544F">
        <w:tc>
          <w:tcPr>
            <w:tcW w:w="1540" w:type="pct"/>
            <w:tcBorders>
              <w:top w:val="single" w:sz="2" w:space="0" w:color="auto"/>
              <w:left w:val="single" w:sz="2" w:space="0" w:color="auto"/>
              <w:bottom w:val="single" w:sz="2" w:space="0" w:color="auto"/>
              <w:right w:val="single" w:sz="2" w:space="0" w:color="auto"/>
            </w:tcBorders>
            <w:vAlign w:val="center"/>
          </w:tcPr>
          <w:p w14:paraId="3B51FB01" w14:textId="77777777" w:rsidR="000A37F0" w:rsidRPr="006D075E" w:rsidRDefault="000A37F0">
            <w:pPr>
              <w:pStyle w:val="COMTabletext"/>
              <w:rPr>
                <w:rFonts w:ascii="Times" w:hAnsi="Times"/>
              </w:rPr>
            </w:pPr>
            <w:r w:rsidRPr="006D075E">
              <w:t>Costs</w:t>
            </w:r>
          </w:p>
        </w:tc>
        <w:tc>
          <w:tcPr>
            <w:tcW w:w="1153" w:type="pct"/>
            <w:tcBorders>
              <w:top w:val="single" w:sz="2" w:space="0" w:color="auto"/>
              <w:left w:val="single" w:sz="2" w:space="0" w:color="auto"/>
              <w:bottom w:val="single" w:sz="2" w:space="0" w:color="auto"/>
              <w:right w:val="single" w:sz="2" w:space="0" w:color="auto"/>
            </w:tcBorders>
            <w:vAlign w:val="center"/>
          </w:tcPr>
          <w:p w14:paraId="531718B9" w14:textId="1118EDB0" w:rsidR="000A37F0" w:rsidRPr="006D075E" w:rsidRDefault="000A37F0">
            <w:pPr>
              <w:pStyle w:val="COMTabletext"/>
              <w:jc w:val="center"/>
            </w:pPr>
            <w:r w:rsidRPr="006D075E">
              <w:t>$</w:t>
            </w:r>
            <w:r w:rsidR="00800963" w:rsidRPr="007542BF">
              <w:rPr>
                <w:color w:val="000000"/>
                <w:spacing w:val="55"/>
                <w:shd w:val="solid" w:color="000000" w:fill="000000"/>
                <w:fitText w:val="336" w:id="-629433332"/>
                <w14:textFill>
                  <w14:solidFill>
                    <w14:srgbClr w14:val="000000">
                      <w14:alpha w14:val="100000"/>
                    </w14:srgbClr>
                  </w14:solidFill>
                </w14:textFill>
              </w:rPr>
              <w:t>|||</w:t>
            </w:r>
            <w:r w:rsidR="00800963" w:rsidRPr="007542BF">
              <w:rPr>
                <w:color w:val="000000"/>
                <w:spacing w:val="1"/>
                <w:shd w:val="solid" w:color="000000" w:fill="000000"/>
                <w:fitText w:val="336" w:id="-629433332"/>
                <w14:textFill>
                  <w14:solidFill>
                    <w14:srgbClr w14:val="000000">
                      <w14:alpha w14:val="100000"/>
                    </w14:srgbClr>
                  </w14:solidFill>
                </w14:textFill>
              </w:rPr>
              <w:t>|</w:t>
            </w:r>
          </w:p>
        </w:tc>
        <w:tc>
          <w:tcPr>
            <w:tcW w:w="1160" w:type="pct"/>
            <w:tcBorders>
              <w:top w:val="single" w:sz="2" w:space="0" w:color="auto"/>
              <w:left w:val="single" w:sz="2" w:space="0" w:color="auto"/>
              <w:bottom w:val="single" w:sz="2" w:space="0" w:color="auto"/>
              <w:right w:val="single" w:sz="2" w:space="0" w:color="auto"/>
            </w:tcBorders>
            <w:vAlign w:val="center"/>
          </w:tcPr>
          <w:p w14:paraId="381C565C" w14:textId="77777777" w:rsidR="000A37F0" w:rsidRPr="006D075E" w:rsidRDefault="000A37F0">
            <w:pPr>
              <w:pStyle w:val="COMTabletext"/>
              <w:jc w:val="center"/>
            </w:pPr>
            <w:r w:rsidRPr="006D075E">
              <w:t>$58,072</w:t>
            </w:r>
          </w:p>
        </w:tc>
        <w:tc>
          <w:tcPr>
            <w:tcW w:w="1146" w:type="pct"/>
            <w:tcBorders>
              <w:top w:val="single" w:sz="2" w:space="0" w:color="auto"/>
              <w:left w:val="single" w:sz="2" w:space="0" w:color="auto"/>
              <w:bottom w:val="single" w:sz="2" w:space="0" w:color="auto"/>
              <w:right w:val="single" w:sz="2" w:space="0" w:color="auto"/>
            </w:tcBorders>
            <w:vAlign w:val="center"/>
          </w:tcPr>
          <w:p w14:paraId="3229E981" w14:textId="38678EB1" w:rsidR="000A37F0" w:rsidRPr="006D075E" w:rsidRDefault="000A37F0">
            <w:pPr>
              <w:pStyle w:val="COMTabletext"/>
              <w:jc w:val="center"/>
            </w:pPr>
            <w:r w:rsidRPr="006D075E">
              <w:t>$</w:t>
            </w:r>
            <w:r w:rsidR="00800963" w:rsidRPr="007542BF">
              <w:rPr>
                <w:color w:val="000000"/>
                <w:spacing w:val="51"/>
                <w:shd w:val="solid" w:color="000000" w:fill="000000"/>
                <w:fitText w:val="324" w:id="-629433331"/>
                <w14:textFill>
                  <w14:solidFill>
                    <w14:srgbClr w14:val="000000">
                      <w14:alpha w14:val="100000"/>
                    </w14:srgbClr>
                  </w14:solidFill>
                </w14:textFill>
              </w:rPr>
              <w:t>|||</w:t>
            </w:r>
            <w:r w:rsidR="00800963" w:rsidRPr="007542BF">
              <w:rPr>
                <w:color w:val="000000"/>
                <w:spacing w:val="1"/>
                <w:shd w:val="solid" w:color="000000" w:fill="000000"/>
                <w:fitText w:val="324" w:id="-629433331"/>
                <w14:textFill>
                  <w14:solidFill>
                    <w14:srgbClr w14:val="000000">
                      <w14:alpha w14:val="100000"/>
                    </w14:srgbClr>
                  </w14:solidFill>
                </w14:textFill>
              </w:rPr>
              <w:t>|</w:t>
            </w:r>
          </w:p>
        </w:tc>
      </w:tr>
      <w:tr w:rsidR="000A37F0" w:rsidRPr="006D075E" w14:paraId="67AA08C7" w14:textId="77777777" w:rsidTr="0079544F">
        <w:tc>
          <w:tcPr>
            <w:tcW w:w="1540" w:type="pct"/>
            <w:tcBorders>
              <w:top w:val="single" w:sz="2" w:space="0" w:color="auto"/>
              <w:left w:val="single" w:sz="2" w:space="0" w:color="auto"/>
              <w:bottom w:val="single" w:sz="2" w:space="0" w:color="auto"/>
              <w:right w:val="single" w:sz="2" w:space="0" w:color="auto"/>
            </w:tcBorders>
            <w:vAlign w:val="center"/>
          </w:tcPr>
          <w:p w14:paraId="66436173" w14:textId="77777777" w:rsidR="000A37F0" w:rsidRPr="006D075E" w:rsidRDefault="000A37F0">
            <w:pPr>
              <w:pStyle w:val="COMTabletext"/>
              <w:rPr>
                <w:rFonts w:ascii="Times" w:hAnsi="Times"/>
              </w:rPr>
            </w:pPr>
            <w:r w:rsidRPr="006D075E">
              <w:t>QALYs</w:t>
            </w:r>
          </w:p>
        </w:tc>
        <w:tc>
          <w:tcPr>
            <w:tcW w:w="1153" w:type="pct"/>
            <w:tcBorders>
              <w:top w:val="single" w:sz="2" w:space="0" w:color="auto"/>
              <w:left w:val="single" w:sz="2" w:space="0" w:color="auto"/>
              <w:bottom w:val="single" w:sz="2" w:space="0" w:color="auto"/>
              <w:right w:val="single" w:sz="2" w:space="0" w:color="auto"/>
            </w:tcBorders>
            <w:vAlign w:val="center"/>
          </w:tcPr>
          <w:p w14:paraId="41FE7037" w14:textId="77777777" w:rsidR="000A37F0" w:rsidRPr="006D075E" w:rsidRDefault="000A37F0">
            <w:pPr>
              <w:pStyle w:val="COMTabletext"/>
              <w:jc w:val="center"/>
            </w:pPr>
            <w:r w:rsidRPr="006D075E">
              <w:t>5.7263</w:t>
            </w:r>
          </w:p>
        </w:tc>
        <w:tc>
          <w:tcPr>
            <w:tcW w:w="1160" w:type="pct"/>
            <w:tcBorders>
              <w:top w:val="single" w:sz="2" w:space="0" w:color="auto"/>
              <w:left w:val="single" w:sz="2" w:space="0" w:color="auto"/>
              <w:bottom w:val="single" w:sz="2" w:space="0" w:color="auto"/>
              <w:right w:val="single" w:sz="2" w:space="0" w:color="auto"/>
            </w:tcBorders>
            <w:vAlign w:val="center"/>
          </w:tcPr>
          <w:p w14:paraId="5923B5FC" w14:textId="77777777" w:rsidR="000A37F0" w:rsidRPr="006D075E" w:rsidRDefault="000A37F0">
            <w:pPr>
              <w:pStyle w:val="COMTabletext"/>
              <w:jc w:val="center"/>
            </w:pPr>
            <w:r w:rsidRPr="006D075E">
              <w:t>5.4065</w:t>
            </w:r>
          </w:p>
        </w:tc>
        <w:tc>
          <w:tcPr>
            <w:tcW w:w="1146" w:type="pct"/>
            <w:tcBorders>
              <w:top w:val="single" w:sz="2" w:space="0" w:color="auto"/>
              <w:left w:val="single" w:sz="2" w:space="0" w:color="auto"/>
              <w:bottom w:val="single" w:sz="2" w:space="0" w:color="auto"/>
              <w:right w:val="single" w:sz="2" w:space="0" w:color="auto"/>
            </w:tcBorders>
            <w:vAlign w:val="center"/>
          </w:tcPr>
          <w:p w14:paraId="4A0973BD" w14:textId="77777777" w:rsidR="000A37F0" w:rsidRPr="006D075E" w:rsidRDefault="000A37F0">
            <w:pPr>
              <w:pStyle w:val="COMTabletext"/>
              <w:jc w:val="center"/>
            </w:pPr>
            <w:r w:rsidRPr="006D075E">
              <w:t>0.3197</w:t>
            </w:r>
          </w:p>
        </w:tc>
      </w:tr>
      <w:tr w:rsidR="000A37F0" w:rsidRPr="006D075E" w14:paraId="7DE3F6AF" w14:textId="77777777" w:rsidTr="0079544F">
        <w:tc>
          <w:tcPr>
            <w:tcW w:w="3854" w:type="pct"/>
            <w:gridSpan w:val="3"/>
            <w:tcBorders>
              <w:top w:val="single" w:sz="2" w:space="0" w:color="auto"/>
              <w:left w:val="single" w:sz="2" w:space="0" w:color="auto"/>
              <w:bottom w:val="single" w:sz="2" w:space="0" w:color="auto"/>
              <w:right w:val="single" w:sz="2" w:space="0" w:color="auto"/>
            </w:tcBorders>
            <w:vAlign w:val="center"/>
          </w:tcPr>
          <w:p w14:paraId="011FA273" w14:textId="77777777" w:rsidR="000A37F0" w:rsidRPr="006D075E" w:rsidRDefault="000A37F0">
            <w:pPr>
              <w:pStyle w:val="COMTabletext"/>
              <w:rPr>
                <w:b/>
                <w:bCs w:val="0"/>
              </w:rPr>
            </w:pPr>
            <w:r w:rsidRPr="006D075E">
              <w:rPr>
                <w:b/>
                <w:bCs w:val="0"/>
              </w:rPr>
              <w:t>Incremental cost per QALY gained</w:t>
            </w:r>
          </w:p>
        </w:tc>
        <w:tc>
          <w:tcPr>
            <w:tcW w:w="1146" w:type="pct"/>
            <w:tcBorders>
              <w:top w:val="single" w:sz="2" w:space="0" w:color="auto"/>
              <w:left w:val="single" w:sz="2" w:space="0" w:color="auto"/>
              <w:bottom w:val="single" w:sz="2" w:space="0" w:color="auto"/>
              <w:right w:val="single" w:sz="2" w:space="0" w:color="auto"/>
            </w:tcBorders>
            <w:vAlign w:val="center"/>
          </w:tcPr>
          <w:p w14:paraId="35A7B553" w14:textId="68E828FD" w:rsidR="000A37F0" w:rsidRPr="007B3977" w:rsidRDefault="000A37F0">
            <w:pPr>
              <w:pStyle w:val="COMTabletext"/>
              <w:jc w:val="center"/>
              <w:rPr>
                <w:b/>
                <w:bCs w:val="0"/>
                <w:vertAlign w:val="superscript"/>
              </w:rPr>
            </w:pPr>
            <w:r w:rsidRPr="006D075E">
              <w:rPr>
                <w:b/>
                <w:bCs w:val="0"/>
              </w:rPr>
              <w:t>$</w:t>
            </w:r>
            <w:r w:rsidR="00800963" w:rsidRPr="007542BF">
              <w:rPr>
                <w:b/>
                <w:bCs w:val="0"/>
                <w:color w:val="000000"/>
                <w:spacing w:val="54"/>
                <w:shd w:val="solid" w:color="000000" w:fill="000000"/>
                <w:fitText w:val="348" w:id="-629433330"/>
                <w14:textFill>
                  <w14:solidFill>
                    <w14:srgbClr w14:val="000000">
                      <w14:alpha w14:val="100000"/>
                    </w14:srgbClr>
                  </w14:solidFill>
                </w14:textFill>
              </w:rPr>
              <w:t>|||</w:t>
            </w:r>
            <w:r w:rsidR="00800963" w:rsidRPr="007542BF">
              <w:rPr>
                <w:b/>
                <w:bCs w:val="0"/>
                <w:color w:val="000000"/>
                <w:spacing w:val="3"/>
                <w:shd w:val="solid" w:color="000000" w:fill="000000"/>
                <w:fitText w:val="348" w:id="-629433330"/>
                <w14:textFill>
                  <w14:solidFill>
                    <w14:srgbClr w14:val="000000">
                      <w14:alpha w14:val="100000"/>
                    </w14:srgbClr>
                  </w14:solidFill>
                </w14:textFill>
              </w:rPr>
              <w:t>|</w:t>
            </w:r>
            <w:r w:rsidR="007B3977">
              <w:rPr>
                <w:b/>
                <w:bCs w:val="0"/>
                <w:vertAlign w:val="superscript"/>
              </w:rPr>
              <w:t>2</w:t>
            </w:r>
          </w:p>
        </w:tc>
      </w:tr>
      <w:tr w:rsidR="00422681" w:rsidRPr="006D075E" w14:paraId="1EE78003" w14:textId="77777777" w:rsidTr="0079544F">
        <w:tc>
          <w:tcPr>
            <w:tcW w:w="5000" w:type="pct"/>
            <w:gridSpan w:val="4"/>
            <w:tcBorders>
              <w:top w:val="single" w:sz="2" w:space="0" w:color="auto"/>
              <w:left w:val="single" w:sz="2" w:space="0" w:color="auto"/>
              <w:bottom w:val="single" w:sz="2" w:space="0" w:color="auto"/>
              <w:right w:val="single" w:sz="2" w:space="0" w:color="auto"/>
            </w:tcBorders>
            <w:vAlign w:val="center"/>
          </w:tcPr>
          <w:p w14:paraId="64BC17BC" w14:textId="33D9854C" w:rsidR="00422681" w:rsidRPr="006D075E" w:rsidRDefault="00422681">
            <w:pPr>
              <w:pStyle w:val="COMTableheadingrow"/>
              <w:rPr>
                <w:lang w:val="en-AU"/>
              </w:rPr>
            </w:pPr>
            <w:r w:rsidRPr="006D075E">
              <w:rPr>
                <w:lang w:val="en-AU"/>
              </w:rPr>
              <w:t>PSCR: FAS without</w:t>
            </w:r>
            <w:r w:rsidR="00E4085F" w:rsidRPr="006D075E">
              <w:rPr>
                <w:lang w:val="en-AU"/>
              </w:rPr>
              <w:t xml:space="preserve"> </w:t>
            </w:r>
            <w:r w:rsidRPr="006D075E">
              <w:rPr>
                <w:lang w:val="en-AU"/>
              </w:rPr>
              <w:t>censoring for COVID-19 related deaths and corrected for time to subsequent treatment curves</w:t>
            </w:r>
            <w:r w:rsidR="009E75B9" w:rsidRPr="006D075E">
              <w:rPr>
                <w:lang w:val="en-AU"/>
              </w:rPr>
              <w:t xml:space="preserve"> </w:t>
            </w:r>
            <w:r w:rsidR="009E75B9" w:rsidRPr="006D075E">
              <w:rPr>
                <w:rFonts w:eastAsia="Aptos"/>
                <w:kern w:val="2"/>
                <w:szCs w:val="20"/>
                <w:vertAlign w:val="superscript"/>
                <w:lang w:val="en-AU" w:eastAsia="en-US"/>
                <w14:ligatures w14:val="standardContextual"/>
              </w:rPr>
              <w:t>a</w:t>
            </w:r>
          </w:p>
        </w:tc>
      </w:tr>
      <w:tr w:rsidR="00560417" w:rsidRPr="006D075E" w14:paraId="45268A4B" w14:textId="77777777" w:rsidTr="0079544F">
        <w:tc>
          <w:tcPr>
            <w:tcW w:w="1540" w:type="pct"/>
            <w:tcBorders>
              <w:top w:val="single" w:sz="2" w:space="0" w:color="auto"/>
              <w:left w:val="single" w:sz="2" w:space="0" w:color="auto"/>
              <w:bottom w:val="single" w:sz="2" w:space="0" w:color="auto"/>
              <w:right w:val="single" w:sz="2" w:space="0" w:color="auto"/>
            </w:tcBorders>
            <w:vAlign w:val="center"/>
          </w:tcPr>
          <w:p w14:paraId="3226AF1C" w14:textId="77777777" w:rsidR="00560417" w:rsidRPr="006D075E" w:rsidRDefault="00560417" w:rsidP="00560417">
            <w:pPr>
              <w:pStyle w:val="COMTabletext"/>
              <w:rPr>
                <w:rFonts w:ascii="Times" w:hAnsi="Times"/>
              </w:rPr>
            </w:pPr>
            <w:r w:rsidRPr="006D075E">
              <w:t>Costs</w:t>
            </w:r>
          </w:p>
        </w:tc>
        <w:tc>
          <w:tcPr>
            <w:tcW w:w="1153" w:type="pct"/>
            <w:tcBorders>
              <w:top w:val="single" w:sz="2" w:space="0" w:color="auto"/>
              <w:left w:val="single" w:sz="2" w:space="0" w:color="auto"/>
              <w:bottom w:val="single" w:sz="2" w:space="0" w:color="auto"/>
              <w:right w:val="single" w:sz="2" w:space="0" w:color="auto"/>
            </w:tcBorders>
          </w:tcPr>
          <w:p w14:paraId="11188B9C" w14:textId="0726070D" w:rsidR="00560417" w:rsidRPr="006D075E" w:rsidRDefault="00560417" w:rsidP="00560417">
            <w:pPr>
              <w:pStyle w:val="COMTabletext"/>
              <w:jc w:val="center"/>
            </w:pPr>
            <w:r w:rsidRPr="006D075E">
              <w:t>$</w:t>
            </w:r>
            <w:r w:rsidR="00800963" w:rsidRPr="007542BF">
              <w:rPr>
                <w:color w:val="000000"/>
                <w:spacing w:val="55"/>
                <w:shd w:val="solid" w:color="000000" w:fill="000000"/>
                <w:fitText w:val="336" w:id="-629433329"/>
                <w14:textFill>
                  <w14:solidFill>
                    <w14:srgbClr w14:val="000000">
                      <w14:alpha w14:val="100000"/>
                    </w14:srgbClr>
                  </w14:solidFill>
                </w14:textFill>
              </w:rPr>
              <w:t>|||</w:t>
            </w:r>
            <w:r w:rsidR="00800963" w:rsidRPr="007542BF">
              <w:rPr>
                <w:color w:val="000000"/>
                <w:spacing w:val="1"/>
                <w:shd w:val="solid" w:color="000000" w:fill="000000"/>
                <w:fitText w:val="336" w:id="-629433329"/>
                <w14:textFill>
                  <w14:solidFill>
                    <w14:srgbClr w14:val="000000">
                      <w14:alpha w14:val="100000"/>
                    </w14:srgbClr>
                  </w14:solidFill>
                </w14:textFill>
              </w:rPr>
              <w:t>|</w:t>
            </w:r>
          </w:p>
        </w:tc>
        <w:tc>
          <w:tcPr>
            <w:tcW w:w="1160" w:type="pct"/>
            <w:tcBorders>
              <w:top w:val="single" w:sz="2" w:space="0" w:color="auto"/>
              <w:left w:val="single" w:sz="2" w:space="0" w:color="auto"/>
              <w:bottom w:val="single" w:sz="2" w:space="0" w:color="auto"/>
              <w:right w:val="single" w:sz="2" w:space="0" w:color="auto"/>
            </w:tcBorders>
          </w:tcPr>
          <w:p w14:paraId="75B08941" w14:textId="7ABE03D9" w:rsidR="00560417" w:rsidRPr="006D075E" w:rsidRDefault="00560417" w:rsidP="00560417">
            <w:pPr>
              <w:pStyle w:val="COMTabletext"/>
              <w:jc w:val="center"/>
            </w:pPr>
            <w:r w:rsidRPr="006D075E">
              <w:t>$51,433</w:t>
            </w:r>
          </w:p>
        </w:tc>
        <w:tc>
          <w:tcPr>
            <w:tcW w:w="1146" w:type="pct"/>
            <w:tcBorders>
              <w:top w:val="single" w:sz="2" w:space="0" w:color="auto"/>
              <w:left w:val="single" w:sz="2" w:space="0" w:color="auto"/>
              <w:bottom w:val="single" w:sz="2" w:space="0" w:color="auto"/>
              <w:right w:val="single" w:sz="2" w:space="0" w:color="auto"/>
            </w:tcBorders>
          </w:tcPr>
          <w:p w14:paraId="108E7B8D" w14:textId="1297E95D" w:rsidR="00560417" w:rsidRPr="006D075E" w:rsidRDefault="00560417" w:rsidP="00560417">
            <w:pPr>
              <w:pStyle w:val="COMTabletext"/>
              <w:jc w:val="center"/>
            </w:pPr>
            <w:r w:rsidRPr="006D075E">
              <w:t>$</w:t>
            </w:r>
            <w:r w:rsidR="00800963" w:rsidRPr="007542BF">
              <w:rPr>
                <w:color w:val="000000"/>
                <w:spacing w:val="51"/>
                <w:shd w:val="solid" w:color="000000" w:fill="000000"/>
                <w:fitText w:val="324" w:id="-629433328"/>
                <w14:textFill>
                  <w14:solidFill>
                    <w14:srgbClr w14:val="000000">
                      <w14:alpha w14:val="100000"/>
                    </w14:srgbClr>
                  </w14:solidFill>
                </w14:textFill>
              </w:rPr>
              <w:t>|||</w:t>
            </w:r>
            <w:r w:rsidR="00800963" w:rsidRPr="007542BF">
              <w:rPr>
                <w:color w:val="000000"/>
                <w:spacing w:val="1"/>
                <w:shd w:val="solid" w:color="000000" w:fill="000000"/>
                <w:fitText w:val="324" w:id="-629433328"/>
                <w14:textFill>
                  <w14:solidFill>
                    <w14:srgbClr w14:val="000000">
                      <w14:alpha w14:val="100000"/>
                    </w14:srgbClr>
                  </w14:solidFill>
                </w14:textFill>
              </w:rPr>
              <w:t>|</w:t>
            </w:r>
          </w:p>
        </w:tc>
      </w:tr>
      <w:tr w:rsidR="00560417" w:rsidRPr="006D075E" w14:paraId="72D2BF60" w14:textId="77777777" w:rsidTr="0079544F">
        <w:tc>
          <w:tcPr>
            <w:tcW w:w="1540" w:type="pct"/>
            <w:tcBorders>
              <w:top w:val="single" w:sz="2" w:space="0" w:color="auto"/>
              <w:left w:val="single" w:sz="2" w:space="0" w:color="auto"/>
              <w:bottom w:val="single" w:sz="2" w:space="0" w:color="auto"/>
              <w:right w:val="single" w:sz="2" w:space="0" w:color="auto"/>
            </w:tcBorders>
            <w:vAlign w:val="center"/>
          </w:tcPr>
          <w:p w14:paraId="72943051" w14:textId="77777777" w:rsidR="00560417" w:rsidRPr="006D075E" w:rsidRDefault="00560417" w:rsidP="00560417">
            <w:pPr>
              <w:pStyle w:val="COMTabletext"/>
              <w:rPr>
                <w:rFonts w:ascii="Times" w:hAnsi="Times"/>
              </w:rPr>
            </w:pPr>
            <w:r w:rsidRPr="006D075E">
              <w:t>QALYs</w:t>
            </w:r>
          </w:p>
        </w:tc>
        <w:tc>
          <w:tcPr>
            <w:tcW w:w="1153" w:type="pct"/>
            <w:tcBorders>
              <w:top w:val="single" w:sz="2" w:space="0" w:color="auto"/>
              <w:left w:val="single" w:sz="2" w:space="0" w:color="auto"/>
              <w:bottom w:val="single" w:sz="2" w:space="0" w:color="auto"/>
              <w:right w:val="single" w:sz="2" w:space="0" w:color="auto"/>
            </w:tcBorders>
          </w:tcPr>
          <w:p w14:paraId="3A0E81CC" w14:textId="3009342F" w:rsidR="00560417" w:rsidRPr="006D075E" w:rsidRDefault="00560417" w:rsidP="00560417">
            <w:pPr>
              <w:pStyle w:val="COMTabletext"/>
              <w:jc w:val="center"/>
            </w:pPr>
            <w:r w:rsidRPr="006D075E">
              <w:t>5.73</w:t>
            </w:r>
          </w:p>
        </w:tc>
        <w:tc>
          <w:tcPr>
            <w:tcW w:w="1160" w:type="pct"/>
            <w:tcBorders>
              <w:top w:val="single" w:sz="2" w:space="0" w:color="auto"/>
              <w:left w:val="single" w:sz="2" w:space="0" w:color="auto"/>
              <w:bottom w:val="single" w:sz="2" w:space="0" w:color="auto"/>
              <w:right w:val="single" w:sz="2" w:space="0" w:color="auto"/>
            </w:tcBorders>
          </w:tcPr>
          <w:p w14:paraId="59963803" w14:textId="1BF30770" w:rsidR="00560417" w:rsidRPr="006D075E" w:rsidRDefault="00560417" w:rsidP="00560417">
            <w:pPr>
              <w:pStyle w:val="COMTabletext"/>
              <w:jc w:val="center"/>
            </w:pPr>
            <w:r w:rsidRPr="006D075E">
              <w:t>5.41</w:t>
            </w:r>
          </w:p>
        </w:tc>
        <w:tc>
          <w:tcPr>
            <w:tcW w:w="1146" w:type="pct"/>
            <w:tcBorders>
              <w:top w:val="single" w:sz="2" w:space="0" w:color="auto"/>
              <w:left w:val="single" w:sz="2" w:space="0" w:color="auto"/>
              <w:bottom w:val="single" w:sz="2" w:space="0" w:color="auto"/>
              <w:right w:val="single" w:sz="2" w:space="0" w:color="auto"/>
            </w:tcBorders>
          </w:tcPr>
          <w:p w14:paraId="72EFC12D" w14:textId="37F8AB36" w:rsidR="00560417" w:rsidRPr="006D075E" w:rsidRDefault="00560417" w:rsidP="00560417">
            <w:pPr>
              <w:pStyle w:val="COMTabletext"/>
              <w:jc w:val="center"/>
            </w:pPr>
            <w:r w:rsidRPr="006D075E">
              <w:t>0.320</w:t>
            </w:r>
          </w:p>
        </w:tc>
      </w:tr>
      <w:tr w:rsidR="00560417" w:rsidRPr="006D075E" w14:paraId="773C2ADF" w14:textId="77777777" w:rsidTr="0079544F">
        <w:tc>
          <w:tcPr>
            <w:tcW w:w="3854" w:type="pct"/>
            <w:gridSpan w:val="3"/>
            <w:tcBorders>
              <w:top w:val="single" w:sz="2" w:space="0" w:color="auto"/>
              <w:left w:val="single" w:sz="2" w:space="0" w:color="auto"/>
              <w:bottom w:val="single" w:sz="2" w:space="0" w:color="auto"/>
              <w:right w:val="single" w:sz="2" w:space="0" w:color="auto"/>
            </w:tcBorders>
            <w:vAlign w:val="center"/>
          </w:tcPr>
          <w:p w14:paraId="1A04B299" w14:textId="77777777" w:rsidR="00560417" w:rsidRPr="006D075E" w:rsidRDefault="00560417" w:rsidP="00560417">
            <w:pPr>
              <w:pStyle w:val="COMTabletext"/>
              <w:rPr>
                <w:b/>
                <w:bCs w:val="0"/>
              </w:rPr>
            </w:pPr>
            <w:r w:rsidRPr="006D075E">
              <w:rPr>
                <w:b/>
                <w:bCs w:val="0"/>
              </w:rPr>
              <w:t>Incremental cost per QALY gained</w:t>
            </w:r>
          </w:p>
        </w:tc>
        <w:tc>
          <w:tcPr>
            <w:tcW w:w="1146" w:type="pct"/>
            <w:tcBorders>
              <w:top w:val="single" w:sz="2" w:space="0" w:color="auto"/>
              <w:left w:val="single" w:sz="2" w:space="0" w:color="auto"/>
              <w:bottom w:val="single" w:sz="2" w:space="0" w:color="auto"/>
              <w:right w:val="single" w:sz="2" w:space="0" w:color="auto"/>
            </w:tcBorders>
            <w:vAlign w:val="center"/>
          </w:tcPr>
          <w:p w14:paraId="414460A3" w14:textId="16A40397" w:rsidR="00560417" w:rsidRPr="007B3977" w:rsidRDefault="00560417" w:rsidP="00560417">
            <w:pPr>
              <w:pStyle w:val="COMTabletext"/>
              <w:jc w:val="center"/>
              <w:rPr>
                <w:b/>
                <w:bCs w:val="0"/>
                <w:vertAlign w:val="superscript"/>
              </w:rPr>
            </w:pPr>
            <w:r w:rsidRPr="006D075E">
              <w:rPr>
                <w:b/>
                <w:bCs w:val="0"/>
              </w:rPr>
              <w:t>$</w:t>
            </w:r>
            <w:r w:rsidR="00800963" w:rsidRPr="007542BF">
              <w:rPr>
                <w:b/>
                <w:bCs w:val="0"/>
                <w:color w:val="000000"/>
                <w:spacing w:val="54"/>
                <w:shd w:val="solid" w:color="000000" w:fill="000000"/>
                <w:fitText w:val="348" w:id="-629433088"/>
                <w14:textFill>
                  <w14:solidFill>
                    <w14:srgbClr w14:val="000000">
                      <w14:alpha w14:val="100000"/>
                    </w14:srgbClr>
                  </w14:solidFill>
                </w14:textFill>
              </w:rPr>
              <w:t>|||</w:t>
            </w:r>
            <w:r w:rsidR="00800963" w:rsidRPr="007542BF">
              <w:rPr>
                <w:b/>
                <w:bCs w:val="0"/>
                <w:color w:val="000000"/>
                <w:spacing w:val="3"/>
                <w:shd w:val="solid" w:color="000000" w:fill="000000"/>
                <w:fitText w:val="348" w:id="-629433088"/>
                <w14:textFill>
                  <w14:solidFill>
                    <w14:srgbClr w14:val="000000">
                      <w14:alpha w14:val="100000"/>
                    </w14:srgbClr>
                  </w14:solidFill>
                </w14:textFill>
              </w:rPr>
              <w:t>|</w:t>
            </w:r>
            <w:r w:rsidR="007B3977">
              <w:rPr>
                <w:b/>
                <w:bCs w:val="0"/>
                <w:vertAlign w:val="superscript"/>
              </w:rPr>
              <w:t>3</w:t>
            </w:r>
          </w:p>
        </w:tc>
      </w:tr>
    </w:tbl>
    <w:p w14:paraId="2D7B9275" w14:textId="77777777" w:rsidR="000A37F0" w:rsidRPr="006D075E" w:rsidRDefault="000A37F0" w:rsidP="000A37F0">
      <w:pPr>
        <w:pStyle w:val="COMTablefooter"/>
      </w:pPr>
      <w:r w:rsidRPr="006D075E">
        <w:t>Source: Table 3-29, p141 of the submission; ‘3.1 ACAL_Section3model_March2025’ model spreadsheet provided with the submission.</w:t>
      </w:r>
    </w:p>
    <w:p w14:paraId="78AE6825" w14:textId="77777777" w:rsidR="000A37F0" w:rsidRPr="006D075E" w:rsidRDefault="000A37F0" w:rsidP="000A37F0">
      <w:pPr>
        <w:pStyle w:val="COMTablefooter"/>
      </w:pPr>
      <w:r w:rsidRPr="006D075E">
        <w:t xml:space="preserve">Abbreviations: BR, </w:t>
      </w:r>
      <w:proofErr w:type="spellStart"/>
      <w:r w:rsidRPr="006D075E">
        <w:t>bendamustine</w:t>
      </w:r>
      <w:proofErr w:type="spellEnd"/>
      <w:r w:rsidRPr="006D075E">
        <w:t xml:space="preserve"> and rituximab; FAS, full analysis set; QALY, quality adjusted life year</w:t>
      </w:r>
    </w:p>
    <w:p w14:paraId="7AF7EB8E" w14:textId="77777777" w:rsidR="00C17CF2" w:rsidRDefault="009E75B9" w:rsidP="004F65F6">
      <w:pPr>
        <w:pStyle w:val="COMTablefooter"/>
      </w:pPr>
      <w:proofErr w:type="spellStart"/>
      <w:proofErr w:type="gramStart"/>
      <w:r w:rsidRPr="006D075E">
        <w:rPr>
          <w:rFonts w:eastAsia="Aptos" w:cs="Times New Roman"/>
          <w:kern w:val="2"/>
          <w:sz w:val="20"/>
          <w:szCs w:val="20"/>
          <w:vertAlign w:val="superscript"/>
          <w:lang w:eastAsia="en-US"/>
          <w14:ligatures w14:val="standardContextual"/>
        </w:rPr>
        <w:t>a</w:t>
      </w:r>
      <w:proofErr w:type="spellEnd"/>
      <w:proofErr w:type="gramEnd"/>
      <w:r w:rsidR="007959DB" w:rsidRPr="006D075E">
        <w:t xml:space="preserve"> added during preparation of the ESC Advice based on the economic model spreadsheet provided with the PSCR.</w:t>
      </w:r>
      <w:r w:rsidR="004F65F6" w:rsidRPr="004F65F6">
        <w:t xml:space="preserve"> </w:t>
      </w:r>
    </w:p>
    <w:p w14:paraId="4C140164" w14:textId="2200277F" w:rsidR="004F65F6" w:rsidRPr="004F65F6" w:rsidRDefault="004F65F6" w:rsidP="004F65F6">
      <w:pPr>
        <w:pStyle w:val="COMTablefooter"/>
        <w:rPr>
          <w:i/>
          <w:iCs/>
        </w:rPr>
      </w:pPr>
      <w:r>
        <w:t xml:space="preserve">The redacted values </w:t>
      </w:r>
      <w:r w:rsidRPr="004F65F6">
        <w:rPr>
          <w:i/>
          <w:iCs/>
        </w:rPr>
        <w:t xml:space="preserve">correspond to the following ranges: </w:t>
      </w:r>
    </w:p>
    <w:p w14:paraId="36863D22" w14:textId="09DB5063" w:rsidR="004F65F6" w:rsidRPr="002B519E" w:rsidRDefault="004F65F6" w:rsidP="004F65F6">
      <w:pPr>
        <w:pStyle w:val="COMTablefooter"/>
        <w:rPr>
          <w:i/>
          <w:iCs/>
        </w:rPr>
      </w:pPr>
      <w:r w:rsidRPr="004F65F6">
        <w:rPr>
          <w:i/>
          <w:iCs/>
          <w:vertAlign w:val="superscript"/>
        </w:rPr>
        <w:t xml:space="preserve">1 </w:t>
      </w:r>
      <w:r w:rsidR="002B519E" w:rsidRPr="002B519E">
        <w:rPr>
          <w:i/>
          <w:iCs/>
        </w:rPr>
        <w:t xml:space="preserve">$55,000 to &lt; $75,000 </w:t>
      </w:r>
    </w:p>
    <w:p w14:paraId="56E41917" w14:textId="02E68A6C" w:rsidR="004F65F6" w:rsidRPr="007B3977" w:rsidRDefault="004F65F6" w:rsidP="004F65F6">
      <w:pPr>
        <w:pStyle w:val="COMTablefooter"/>
        <w:rPr>
          <w:i/>
          <w:iCs/>
        </w:rPr>
      </w:pPr>
      <w:r w:rsidRPr="004F65F6">
        <w:rPr>
          <w:i/>
          <w:iCs/>
          <w:vertAlign w:val="superscript"/>
        </w:rPr>
        <w:t xml:space="preserve">2 </w:t>
      </w:r>
      <w:r w:rsidR="007B3977" w:rsidRPr="007B3977">
        <w:rPr>
          <w:i/>
          <w:iCs/>
        </w:rPr>
        <w:t>$75,000 to &lt; $95,000</w:t>
      </w:r>
    </w:p>
    <w:p w14:paraId="07A37C19" w14:textId="0B5A1B1F" w:rsidR="004F65F6" w:rsidRPr="007B30EA" w:rsidRDefault="004F65F6" w:rsidP="004F65F6">
      <w:pPr>
        <w:pStyle w:val="COMTablefooter"/>
        <w:rPr>
          <w:i/>
          <w:iCs/>
        </w:rPr>
      </w:pPr>
      <w:r w:rsidRPr="004F65F6">
        <w:rPr>
          <w:i/>
          <w:iCs/>
          <w:vertAlign w:val="superscript"/>
        </w:rPr>
        <w:t xml:space="preserve">3 </w:t>
      </w:r>
      <w:r w:rsidR="007B30EA" w:rsidRPr="007B30EA">
        <w:rPr>
          <w:i/>
          <w:iCs/>
        </w:rPr>
        <w:t xml:space="preserve">$95,000 to &lt; $115,000 </w:t>
      </w:r>
    </w:p>
    <w:bookmarkEnd w:id="57"/>
    <w:p w14:paraId="27B4518A" w14:textId="6650ABA4" w:rsidR="00375DD3" w:rsidRPr="006D075E" w:rsidRDefault="00375DD3" w:rsidP="00560417">
      <w:pPr>
        <w:pStyle w:val="COMexecsummnumbered"/>
      </w:pPr>
      <w:r w:rsidRPr="006D075E">
        <w:t xml:space="preserve">Based on the </w:t>
      </w:r>
      <w:r w:rsidR="00422681" w:rsidRPr="006D075E">
        <w:t xml:space="preserve">submission’s </w:t>
      </w:r>
      <w:r w:rsidRPr="006D075E">
        <w:t xml:space="preserve">economic model, treatment with acalabrutinib plus </w:t>
      </w:r>
      <w:proofErr w:type="spellStart"/>
      <w:r w:rsidRPr="006D075E">
        <w:t>bendamustine</w:t>
      </w:r>
      <w:proofErr w:type="spellEnd"/>
      <w:r w:rsidRPr="006D075E">
        <w:t xml:space="preserve"> and rituximab compared to </w:t>
      </w:r>
      <w:proofErr w:type="spellStart"/>
      <w:r w:rsidRPr="006D075E">
        <w:t>bendamustine</w:t>
      </w:r>
      <w:proofErr w:type="spellEnd"/>
      <w:r w:rsidRPr="006D075E">
        <w:t xml:space="preserve"> and rituximab alone was associated with an incremental cost per QALY gained of </w:t>
      </w:r>
      <w:r w:rsidR="00B3721C" w:rsidRPr="00B3721C">
        <w:t xml:space="preserve">$55,000 to &lt; $75,000 </w:t>
      </w:r>
      <w:r w:rsidRPr="006D075E">
        <w:t xml:space="preserve"> using the full analysis set with censoring for COVID-19 related deaths, and an incremental cost per QALY gained of </w:t>
      </w:r>
      <w:r w:rsidR="0022604A" w:rsidRPr="0022604A">
        <w:t>$75,000 to &lt; $95,000</w:t>
      </w:r>
      <w:r w:rsidRPr="006D075E">
        <w:t xml:space="preserve"> based on the full analysis set without censoring for COVID-19 related deaths. </w:t>
      </w:r>
      <w:r w:rsidR="00422681" w:rsidRPr="006D075E">
        <w:t>The PSCR</w:t>
      </w:r>
      <w:r w:rsidR="00560417" w:rsidRPr="006D075E">
        <w:t xml:space="preserve"> corrected model resulted in ICERs of </w:t>
      </w:r>
      <w:r w:rsidR="00B16563" w:rsidRPr="00B16563">
        <w:t xml:space="preserve">$55,000 to &lt; $75,000 </w:t>
      </w:r>
      <w:r w:rsidR="00560417" w:rsidRPr="006D075E">
        <w:t xml:space="preserve"> and </w:t>
      </w:r>
      <w:r w:rsidR="00D21EFD" w:rsidRPr="00D21EFD">
        <w:t>$95,000 to &lt; $115,000</w:t>
      </w:r>
      <w:r w:rsidR="00560417" w:rsidRPr="006D075E">
        <w:t xml:space="preserve"> per QALY for the COVID</w:t>
      </w:r>
      <w:r w:rsidR="00F356A7" w:rsidRPr="006D075E">
        <w:t>-19</w:t>
      </w:r>
      <w:r w:rsidR="00560417" w:rsidRPr="006D075E">
        <w:t xml:space="preserve"> censored </w:t>
      </w:r>
      <w:r w:rsidR="00560417" w:rsidRPr="006D075E">
        <w:lastRenderedPageBreak/>
        <w:t xml:space="preserve">and uncensored analyses, respectively (i.e. increased the ICER by </w:t>
      </w:r>
      <w:r w:rsidR="00800963" w:rsidRPr="007542BF">
        <w:rPr>
          <w:color w:val="000000"/>
          <w:w w:val="61"/>
          <w:shd w:val="solid" w:color="000000" w:fill="000000"/>
          <w:fitText w:val="472" w:id="-629433087"/>
          <w14:textFill>
            <w14:solidFill>
              <w14:srgbClr w14:val="000000">
                <w14:alpha w14:val="100000"/>
              </w14:srgbClr>
            </w14:solidFill>
          </w14:textFill>
        </w:rPr>
        <w:t>|||  |||</w:t>
      </w:r>
      <w:r w:rsidR="00560417" w:rsidRPr="006D075E">
        <w:t xml:space="preserve">% and </w:t>
      </w:r>
      <w:r w:rsidR="00800963" w:rsidRPr="007542BF">
        <w:rPr>
          <w:color w:val="000000"/>
          <w:w w:val="61"/>
          <w:shd w:val="solid" w:color="000000" w:fill="000000"/>
          <w:fitText w:val="472" w:id="-629433086"/>
          <w14:textFill>
            <w14:solidFill>
              <w14:srgbClr w14:val="000000">
                <w14:alpha w14:val="100000"/>
              </w14:srgbClr>
            </w14:solidFill>
          </w14:textFill>
        </w:rPr>
        <w:t>|||  |||</w:t>
      </w:r>
      <w:r w:rsidR="00560417" w:rsidRPr="006D075E">
        <w:t xml:space="preserve">%, respectively, compared with the submission base case). </w:t>
      </w:r>
    </w:p>
    <w:p w14:paraId="4BA8EF80" w14:textId="76B234BA" w:rsidR="00375DD3" w:rsidRPr="006D075E" w:rsidRDefault="00375DD3" w:rsidP="00375DD3">
      <w:pPr>
        <w:pStyle w:val="COMexecsummnumbered"/>
      </w:pPr>
      <w:r w:rsidRPr="006D075E">
        <w:t xml:space="preserve">The submission stated that the base case ICER of </w:t>
      </w:r>
      <w:r w:rsidR="00C66064" w:rsidRPr="00C66064">
        <w:t>$55,000 to &lt; $75,000</w:t>
      </w:r>
      <w:r w:rsidRPr="006D075E">
        <w:t xml:space="preserve"> per QALY gained is consistent with previous PBAC decision making for first line non-Hodgkin lymphoma, with the July 2020 submission for </w:t>
      </w:r>
      <w:proofErr w:type="spellStart"/>
      <w:r w:rsidRPr="006D075E">
        <w:t>venetoclax</w:t>
      </w:r>
      <w:proofErr w:type="spellEnd"/>
      <w:r w:rsidRPr="006D075E">
        <w:t xml:space="preserve"> in combination with </w:t>
      </w:r>
      <w:proofErr w:type="spellStart"/>
      <w:r w:rsidRPr="006D075E">
        <w:t>obinutuzumab</w:t>
      </w:r>
      <w:proofErr w:type="spellEnd"/>
      <w:r w:rsidRPr="006D075E">
        <w:t xml:space="preserve"> for previously untreated chronic lymphocytic leukaemia recommended with an ICER of between </w:t>
      </w:r>
      <w:r w:rsidR="00C66064" w:rsidRPr="00C66064">
        <w:t>$55,000 to &lt; $75,000</w:t>
      </w:r>
      <w:r w:rsidRPr="006D075E">
        <w:t xml:space="preserve"> and </w:t>
      </w:r>
      <w:r w:rsidR="0037370C" w:rsidRPr="0037370C">
        <w:t>$75,000 to &lt; $95,000</w:t>
      </w:r>
      <w:r w:rsidRPr="006D075E">
        <w:t xml:space="preserve"> per QALY gained. </w:t>
      </w:r>
      <w:r w:rsidR="006D6840" w:rsidRPr="006D075E">
        <w:t xml:space="preserve">However, as part of that previous consideration, the PBAC had noted </w:t>
      </w:r>
      <w:r w:rsidRPr="006D075E">
        <w:t xml:space="preserve">that the ICER was not less than </w:t>
      </w:r>
      <w:r w:rsidR="005E1894" w:rsidRPr="005E1894">
        <w:t>$45,000 to &lt; $55,000</w:t>
      </w:r>
      <w:r w:rsidRPr="006D075E">
        <w:t xml:space="preserve"> per QALY gained as previously requested, but accepted the sponsor’s arguments regarding aspects of the modelling being potentially conservative; and considered that the fixed 12 month treatment duration of </w:t>
      </w:r>
      <w:proofErr w:type="spellStart"/>
      <w:r w:rsidRPr="006D075E">
        <w:t>venetoclax</w:t>
      </w:r>
      <w:proofErr w:type="spellEnd"/>
      <w:r w:rsidRPr="006D075E">
        <w:t xml:space="preserve"> mitigated some of the uncertainty regarding the treatment costs per patient (para 6.8, </w:t>
      </w:r>
      <w:proofErr w:type="spellStart"/>
      <w:r w:rsidRPr="006D075E">
        <w:t>venetoclax</w:t>
      </w:r>
      <w:proofErr w:type="spellEnd"/>
      <w:r w:rsidRPr="006D075E">
        <w:t xml:space="preserve"> PSD, July 2020 PBAC meeting).</w:t>
      </w:r>
    </w:p>
    <w:p w14:paraId="580D438E" w14:textId="16DFA687" w:rsidR="00F85DB4" w:rsidRPr="006D075E" w:rsidRDefault="00375DD3" w:rsidP="00CB6963">
      <w:pPr>
        <w:pStyle w:val="COMexecsummnumbered"/>
      </w:pPr>
      <w:r w:rsidRPr="006D075E">
        <w:t xml:space="preserve">The </w:t>
      </w:r>
      <w:r w:rsidR="00EE1193" w:rsidRPr="006D075E">
        <w:t xml:space="preserve">evaluation noted that the </w:t>
      </w:r>
      <w:r w:rsidRPr="006D075E">
        <w:t xml:space="preserve">PBAC has previously accepted an ICER of between </w:t>
      </w:r>
      <w:r w:rsidR="00134C53" w:rsidRPr="00134C53">
        <w:t>$15,000 to &lt; $25,000</w:t>
      </w:r>
      <w:r w:rsidRPr="006D075E">
        <w:t xml:space="preserve"> and </w:t>
      </w:r>
      <w:r w:rsidR="004D02E2" w:rsidRPr="004D02E2">
        <w:t>$45,000 to &lt; $55,000</w:t>
      </w:r>
      <w:r w:rsidRPr="006D075E">
        <w:t xml:space="preserve"> per QALY gained for </w:t>
      </w:r>
      <w:proofErr w:type="spellStart"/>
      <w:r w:rsidRPr="006D075E">
        <w:t>bendamustine</w:t>
      </w:r>
      <w:proofErr w:type="spellEnd"/>
      <w:r w:rsidRPr="006D075E">
        <w:t xml:space="preserve"> in combination with rituximab in previously untreated </w:t>
      </w:r>
      <w:r w:rsidR="008B591E">
        <w:t>MCL</w:t>
      </w:r>
      <w:r w:rsidRPr="006D075E">
        <w:t xml:space="preserve">. While the PBAC remained concerned about the limitations of the </w:t>
      </w:r>
      <w:proofErr w:type="gramStart"/>
      <w:r w:rsidRPr="006D075E">
        <w:t>3 health</w:t>
      </w:r>
      <w:proofErr w:type="gramEnd"/>
      <w:r w:rsidRPr="006D075E">
        <w:t xml:space="preserve"> state model and application of a </w:t>
      </w:r>
      <w:proofErr w:type="gramStart"/>
      <w:r w:rsidRPr="006D075E">
        <w:t>20 year</w:t>
      </w:r>
      <w:proofErr w:type="gramEnd"/>
      <w:r w:rsidRPr="006D075E">
        <w:t xml:space="preserve"> time horizon, these concerns were diminished given project</w:t>
      </w:r>
      <w:r w:rsidR="00786E0B" w:rsidRPr="006D075E">
        <w:t>ed cost savings</w:t>
      </w:r>
      <w:r w:rsidRPr="006D075E">
        <w:t xml:space="preserve"> to the Commonwealth (para 7.8, </w:t>
      </w:r>
      <w:proofErr w:type="spellStart"/>
      <w:r w:rsidRPr="006D075E">
        <w:t>bendamustine</w:t>
      </w:r>
      <w:proofErr w:type="spellEnd"/>
      <w:r w:rsidRPr="006D075E">
        <w:t xml:space="preserve"> PSD, July 2015 PBAC meeting). </w:t>
      </w:r>
      <w:r w:rsidR="00F12272" w:rsidRPr="006D075E">
        <w:t xml:space="preserve"> </w:t>
      </w:r>
    </w:p>
    <w:p w14:paraId="2B0B875C" w14:textId="4CE825BD" w:rsidR="00375DD3" w:rsidRPr="006D075E" w:rsidRDefault="00375DD3" w:rsidP="00375DD3">
      <w:pPr>
        <w:pStyle w:val="COMexecsummnumbered"/>
      </w:pPr>
      <w:r w:rsidRPr="006D075E">
        <w:t xml:space="preserve">The acalabrutinib model uses the same model structure and time horizon that the PBAC was concerned about </w:t>
      </w:r>
      <w:r w:rsidR="00850EB2" w:rsidRPr="006D075E">
        <w:t xml:space="preserve">during </w:t>
      </w:r>
      <w:r w:rsidRPr="006D075E">
        <w:t xml:space="preserve">its consideration of </w:t>
      </w:r>
      <w:proofErr w:type="spellStart"/>
      <w:r w:rsidRPr="006D075E">
        <w:t>bendamustine</w:t>
      </w:r>
      <w:proofErr w:type="spellEnd"/>
      <w:r w:rsidRPr="006D075E">
        <w:t xml:space="preserve">. </w:t>
      </w:r>
      <w:r w:rsidR="008D69A2" w:rsidRPr="006D075E">
        <w:t>U</w:t>
      </w:r>
      <w:r w:rsidRPr="006D075E">
        <w:t xml:space="preserve">nlike </w:t>
      </w:r>
      <w:proofErr w:type="spellStart"/>
      <w:r w:rsidRPr="006D075E">
        <w:t>bendamustine</w:t>
      </w:r>
      <w:proofErr w:type="spellEnd"/>
      <w:r w:rsidRPr="006D075E">
        <w:t xml:space="preserve"> plus rituximab </w:t>
      </w:r>
      <w:r w:rsidR="00DE70EF" w:rsidRPr="006D075E">
        <w:t xml:space="preserve">(maximum treatment duration </w:t>
      </w:r>
      <w:r w:rsidR="00DC3875" w:rsidRPr="006D075E">
        <w:t xml:space="preserve">24 weeks) </w:t>
      </w:r>
      <w:r w:rsidRPr="006D075E">
        <w:t xml:space="preserve">and </w:t>
      </w:r>
      <w:proofErr w:type="spellStart"/>
      <w:r w:rsidRPr="006D075E">
        <w:t>venetoclax</w:t>
      </w:r>
      <w:proofErr w:type="spellEnd"/>
      <w:r w:rsidRPr="006D075E">
        <w:t xml:space="preserve"> plus </w:t>
      </w:r>
      <w:proofErr w:type="spellStart"/>
      <w:r w:rsidRPr="006D075E">
        <w:t>obinutuzumab</w:t>
      </w:r>
      <w:proofErr w:type="spellEnd"/>
      <w:r w:rsidR="00DC3875" w:rsidRPr="006D075E">
        <w:t xml:space="preserve"> (maximum treatment duration 12 months)</w:t>
      </w:r>
      <w:r w:rsidRPr="006D075E">
        <w:t xml:space="preserve">, acalabrutinib treatment in the previously-untreated </w:t>
      </w:r>
      <w:r w:rsidR="008B591E">
        <w:t>MCL</w:t>
      </w:r>
      <w:r w:rsidRPr="006D075E">
        <w:t xml:space="preserve"> setting is ongoing until disease progression or unacceptable toxicity; and a number of assumptions used in the economic model were not conservative (selection of the analysis censoring for COVID-19 related deaths;</w:t>
      </w:r>
      <w:r w:rsidR="008D69A2" w:rsidRPr="006D075E">
        <w:t xml:space="preserve"> and</w:t>
      </w:r>
      <w:r w:rsidRPr="006D075E">
        <w:t xml:space="preserve"> excluding the costs but not the benefits of BTK inhibitor therapy as subsequent therapy in the acalabrutinib arm). </w:t>
      </w:r>
    </w:p>
    <w:p w14:paraId="7454ADA9" w14:textId="0D288345" w:rsidR="00375DD3" w:rsidRPr="006D075E" w:rsidRDefault="00375DD3" w:rsidP="00375DD3">
      <w:pPr>
        <w:pStyle w:val="COMexecsummnumbered"/>
      </w:pPr>
      <w:r w:rsidRPr="006D075E">
        <w:t xml:space="preserve">For every patient treated with acalabrutinib versus placebo (both in combination with </w:t>
      </w:r>
      <w:proofErr w:type="spellStart"/>
      <w:r w:rsidRPr="006D075E">
        <w:t>bendamustine</w:t>
      </w:r>
      <w:proofErr w:type="spellEnd"/>
      <w:r w:rsidRPr="006D075E">
        <w:t xml:space="preserve"> and rituximab) and followed up for 20 years, the </w:t>
      </w:r>
      <w:r w:rsidR="008E1D52" w:rsidRPr="006D075E">
        <w:t xml:space="preserve">submission’s </w:t>
      </w:r>
      <w:r w:rsidRPr="006D075E">
        <w:t>economic evaluation based on the full analysis set with censoring for COVID-19 related deaths (without discounting) estimated that there would be:</w:t>
      </w:r>
    </w:p>
    <w:p w14:paraId="6F97130B" w14:textId="441F7810" w:rsidR="00375DD3" w:rsidRPr="006D075E" w:rsidRDefault="00375DD3" w:rsidP="00375DD3">
      <w:pPr>
        <w:pStyle w:val="COMexecsummbulletlist"/>
        <w:spacing w:after="0"/>
        <w:ind w:hanging="357"/>
      </w:pPr>
      <w:r w:rsidRPr="006D075E">
        <w:t xml:space="preserve">Additional initial treatment costs </w:t>
      </w:r>
      <w:r w:rsidRPr="009D005E">
        <w:t>of $</w:t>
      </w:r>
      <w:r w:rsidR="00800963" w:rsidRPr="007542BF">
        <w:rPr>
          <w:color w:val="000000"/>
          <w:w w:val="61"/>
          <w:shd w:val="solid" w:color="000000" w:fill="000000"/>
          <w:fitText w:val="472" w:id="-629433085"/>
          <w14:textFill>
            <w14:solidFill>
              <w14:srgbClr w14:val="000000">
                <w14:alpha w14:val="100000"/>
              </w14:srgbClr>
            </w14:solidFill>
          </w14:textFill>
        </w:rPr>
        <w:t>|||  |||</w:t>
      </w:r>
      <w:r w:rsidRPr="009D005E">
        <w:t>, additional disease management costs of $1,796, and additional adverse event management</w:t>
      </w:r>
      <w:r w:rsidRPr="006D075E">
        <w:t xml:space="preserve"> costs of $783.</w:t>
      </w:r>
    </w:p>
    <w:p w14:paraId="11C28782" w14:textId="57F70262" w:rsidR="00375DD3" w:rsidRPr="006D075E" w:rsidRDefault="00375DD3" w:rsidP="00375DD3">
      <w:pPr>
        <w:pStyle w:val="COMexecsummbulletlist"/>
        <w:spacing w:after="0"/>
        <w:ind w:hanging="357"/>
      </w:pPr>
      <w:r w:rsidRPr="006D075E">
        <w:t xml:space="preserve">Reduced costs of subsequent therapies of </w:t>
      </w:r>
      <w:r w:rsidR="006D6840" w:rsidRPr="006D075E">
        <w:t>$24,292</w:t>
      </w:r>
      <w:r w:rsidRPr="006D075E">
        <w:t>.</w:t>
      </w:r>
    </w:p>
    <w:p w14:paraId="6ED5391A" w14:textId="77777777" w:rsidR="00375DD3" w:rsidRPr="006D075E" w:rsidRDefault="00375DD3" w:rsidP="00375DD3">
      <w:pPr>
        <w:pStyle w:val="COMexecsummbulletlist"/>
      </w:pPr>
      <w:r w:rsidRPr="006D075E">
        <w:t>An additional 2.14 years of progression free survival, 0.84 years of overall survival and 0.79 quality adjusted life years.</w:t>
      </w:r>
    </w:p>
    <w:p w14:paraId="04FC811A" w14:textId="54795F8E" w:rsidR="00375DD3" w:rsidRPr="006D075E" w:rsidRDefault="00375DD3" w:rsidP="00375DD3">
      <w:pPr>
        <w:pStyle w:val="COMexecsummnumbered"/>
      </w:pPr>
      <w:r w:rsidRPr="006D075E">
        <w:t xml:space="preserve">For every patient treated with acalabrutinib versus placebo (both in combination with </w:t>
      </w:r>
      <w:proofErr w:type="spellStart"/>
      <w:r w:rsidRPr="006D075E">
        <w:t>bendamustine</w:t>
      </w:r>
      <w:proofErr w:type="spellEnd"/>
      <w:r w:rsidRPr="006D075E">
        <w:t xml:space="preserve"> and rituximab) and followed up for 20 years, the </w:t>
      </w:r>
      <w:r w:rsidR="008E1D52" w:rsidRPr="006D075E">
        <w:t xml:space="preserve">submission’s </w:t>
      </w:r>
      <w:r w:rsidRPr="006D075E">
        <w:t>economic evaluation based on the full analysis set (without discounting) estimated that there would be:</w:t>
      </w:r>
    </w:p>
    <w:p w14:paraId="65F17039" w14:textId="32AB3A68" w:rsidR="00375DD3" w:rsidRPr="006D075E" w:rsidRDefault="00375DD3" w:rsidP="00375DD3">
      <w:pPr>
        <w:pStyle w:val="COMexecsummbulletlist"/>
        <w:spacing w:after="0"/>
        <w:ind w:hanging="357"/>
      </w:pPr>
      <w:r w:rsidRPr="006D075E">
        <w:lastRenderedPageBreak/>
        <w:t>Additional initial treatment costs of $</w:t>
      </w:r>
      <w:r w:rsidR="00800963" w:rsidRPr="007542BF">
        <w:rPr>
          <w:color w:val="000000"/>
          <w:w w:val="61"/>
          <w:shd w:val="solid" w:color="000000" w:fill="000000"/>
          <w:fitText w:val="472" w:id="-629433084"/>
          <w14:textFill>
            <w14:solidFill>
              <w14:srgbClr w14:val="000000">
                <w14:alpha w14:val="100000"/>
              </w14:srgbClr>
            </w14:solidFill>
          </w14:textFill>
        </w:rPr>
        <w:t>|||  |||</w:t>
      </w:r>
      <w:r w:rsidRPr="006D075E">
        <w:t>, additional disease management costs of $1,006, and additional adverse event management costs of $363.</w:t>
      </w:r>
    </w:p>
    <w:p w14:paraId="7A6B3A3B" w14:textId="3A235307" w:rsidR="00375DD3" w:rsidRPr="006D075E" w:rsidRDefault="00375DD3" w:rsidP="00375DD3">
      <w:pPr>
        <w:pStyle w:val="COMexecsummbulletlist"/>
        <w:spacing w:after="0"/>
        <w:ind w:hanging="357"/>
      </w:pPr>
      <w:r w:rsidRPr="006D075E">
        <w:t xml:space="preserve">Reduced costs of subsequent therapies of </w:t>
      </w:r>
      <w:r w:rsidR="006D6840" w:rsidRPr="006D075E">
        <w:t>$21,691</w:t>
      </w:r>
      <w:r w:rsidRPr="006D075E">
        <w:t>.</w:t>
      </w:r>
    </w:p>
    <w:p w14:paraId="7EA5EF7A" w14:textId="77777777" w:rsidR="00375DD3" w:rsidRPr="006D075E" w:rsidRDefault="00375DD3" w:rsidP="00375DD3">
      <w:pPr>
        <w:pStyle w:val="COMexecsummbulletlist"/>
      </w:pPr>
      <w:r w:rsidRPr="006D075E">
        <w:t>An additional 1.18 years of progression free survival, 0.47 years of overall survival and 0.44 quality adjusted life years.</w:t>
      </w:r>
    </w:p>
    <w:p w14:paraId="25091940" w14:textId="55C7E291" w:rsidR="00994EA1" w:rsidRPr="006D075E" w:rsidRDefault="00375DD3" w:rsidP="00375DD3">
      <w:pPr>
        <w:pStyle w:val="COMexecsummnumbered"/>
      </w:pPr>
      <w:r w:rsidRPr="006D075E">
        <w:t>The results of key sensitivity analyses are summarised in</w:t>
      </w:r>
      <w:r w:rsidR="00771E42" w:rsidRPr="006D075E">
        <w:t xml:space="preserve"> </w:t>
      </w:r>
      <w:r w:rsidR="0084339C" w:rsidRPr="006D075E">
        <w:fldChar w:fldCharType="begin"/>
      </w:r>
      <w:r w:rsidR="0084339C" w:rsidRPr="006D075E">
        <w:instrText xml:space="preserve"> REF _Ref201478195 \h  \* MERGEFORMAT </w:instrText>
      </w:r>
      <w:r w:rsidR="0084339C" w:rsidRPr="006D075E">
        <w:fldChar w:fldCharType="separate"/>
      </w:r>
      <w:r w:rsidR="00A542E9" w:rsidRPr="006D075E">
        <w:t xml:space="preserve">Table </w:t>
      </w:r>
      <w:r w:rsidR="00A542E9">
        <w:t>11</w:t>
      </w:r>
      <w:r w:rsidR="0084339C" w:rsidRPr="006D075E">
        <w:fldChar w:fldCharType="end"/>
      </w:r>
      <w:r w:rsidRPr="006D075E">
        <w:t>, based on the full analysis set with and without censoring for COVID-19 related deaths</w:t>
      </w:r>
      <w:r w:rsidR="006D6840" w:rsidRPr="006D075E">
        <w:t xml:space="preserve">, using the </w:t>
      </w:r>
      <w:r w:rsidR="0084339C" w:rsidRPr="006D075E">
        <w:t>PSCR</w:t>
      </w:r>
      <w:r w:rsidR="006D6840" w:rsidRPr="006D075E">
        <w:t xml:space="preserve"> model</w:t>
      </w:r>
      <w:r w:rsidRPr="006D075E">
        <w:t>.</w:t>
      </w:r>
    </w:p>
    <w:p w14:paraId="30044896" w14:textId="02B0D3A2" w:rsidR="0008166B" w:rsidRPr="006D075E" w:rsidRDefault="0008166B" w:rsidP="0008166B">
      <w:pPr>
        <w:pStyle w:val="COMtablefigcaption"/>
        <w:keepLines/>
      </w:pPr>
      <w:bookmarkStart w:id="58" w:name="_Ref201270916"/>
      <w:bookmarkStart w:id="59" w:name="_Ref201478195"/>
      <w:bookmarkStart w:id="60" w:name="_Hlk200116877"/>
      <w:r w:rsidRPr="006D075E">
        <w:t xml:space="preserve">Table </w:t>
      </w:r>
      <w:r w:rsidRPr="006D075E">
        <w:fldChar w:fldCharType="begin"/>
      </w:r>
      <w:r w:rsidRPr="006D075E">
        <w:instrText xml:space="preserve"> SEQ Table \* ARABIC </w:instrText>
      </w:r>
      <w:r w:rsidRPr="006D075E">
        <w:fldChar w:fldCharType="separate"/>
      </w:r>
      <w:r w:rsidR="00A542E9">
        <w:rPr>
          <w:noProof/>
        </w:rPr>
        <w:t>11</w:t>
      </w:r>
      <w:r w:rsidRPr="006D075E">
        <w:fldChar w:fldCharType="end"/>
      </w:r>
      <w:bookmarkEnd w:id="58"/>
      <w:bookmarkEnd w:id="59"/>
      <w:r w:rsidRPr="006D075E">
        <w:t>: Results of key sensitivity analyses based on the PSCR model</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Results of key sensitivity analyses based on the PSCR model"/>
      </w:tblPr>
      <w:tblGrid>
        <w:gridCol w:w="3837"/>
        <w:gridCol w:w="1398"/>
        <w:gridCol w:w="1172"/>
        <w:gridCol w:w="1357"/>
        <w:gridCol w:w="1172"/>
      </w:tblGrid>
      <w:tr w:rsidR="0008166B" w:rsidRPr="006D075E" w14:paraId="0643BCEA" w14:textId="77777777" w:rsidTr="00A97DA3">
        <w:trPr>
          <w:tblHeader/>
        </w:trPr>
        <w:tc>
          <w:tcPr>
            <w:tcW w:w="3837" w:type="dxa"/>
            <w:vMerge w:val="restart"/>
            <w:vAlign w:val="center"/>
          </w:tcPr>
          <w:p w14:paraId="2F615D2A" w14:textId="77777777" w:rsidR="0008166B" w:rsidRPr="006D075E" w:rsidRDefault="0008166B">
            <w:pPr>
              <w:pStyle w:val="COMTableheadingrow"/>
              <w:keepLines/>
              <w:rPr>
                <w:lang w:val="en-AU"/>
              </w:rPr>
            </w:pPr>
            <w:r w:rsidRPr="006D075E">
              <w:rPr>
                <w:lang w:val="en-AU"/>
              </w:rPr>
              <w:t>Analysis</w:t>
            </w:r>
          </w:p>
        </w:tc>
        <w:tc>
          <w:tcPr>
            <w:tcW w:w="2570" w:type="dxa"/>
            <w:gridSpan w:val="2"/>
            <w:vAlign w:val="center"/>
          </w:tcPr>
          <w:p w14:paraId="453FD05A" w14:textId="78DA5327" w:rsidR="0008166B" w:rsidRPr="006D075E" w:rsidRDefault="0084339C">
            <w:pPr>
              <w:pStyle w:val="COMTableheadingrow"/>
              <w:keepLines/>
              <w:jc w:val="center"/>
              <w:rPr>
                <w:lang w:val="en-AU"/>
              </w:rPr>
            </w:pPr>
            <w:r w:rsidRPr="006D075E">
              <w:rPr>
                <w:lang w:val="en-AU"/>
              </w:rPr>
              <w:t>C</w:t>
            </w:r>
            <w:r w:rsidR="0008166B" w:rsidRPr="006D075E">
              <w:rPr>
                <w:lang w:val="en-AU"/>
              </w:rPr>
              <w:t>ensored for COVID-19 related deaths</w:t>
            </w:r>
          </w:p>
        </w:tc>
        <w:tc>
          <w:tcPr>
            <w:tcW w:w="2529" w:type="dxa"/>
            <w:gridSpan w:val="2"/>
            <w:vAlign w:val="center"/>
          </w:tcPr>
          <w:p w14:paraId="51369CC0" w14:textId="77777777" w:rsidR="0008166B" w:rsidRPr="006D075E" w:rsidRDefault="0008166B">
            <w:pPr>
              <w:pStyle w:val="COMTableheadingrow"/>
              <w:keepLines/>
              <w:jc w:val="center"/>
              <w:rPr>
                <w:lang w:val="en-AU"/>
              </w:rPr>
            </w:pPr>
            <w:r w:rsidRPr="006D075E">
              <w:rPr>
                <w:lang w:val="en-AU"/>
              </w:rPr>
              <w:t>Full analysis set</w:t>
            </w:r>
          </w:p>
          <w:p w14:paraId="3C28DA19" w14:textId="044D0EF4" w:rsidR="00FC00A4" w:rsidRPr="006D075E" w:rsidRDefault="00FC00A4">
            <w:pPr>
              <w:pStyle w:val="COMTableheadingrow"/>
              <w:keepLines/>
              <w:jc w:val="center"/>
              <w:rPr>
                <w:lang w:val="en-AU"/>
              </w:rPr>
            </w:pPr>
            <w:r w:rsidRPr="006D075E">
              <w:rPr>
                <w:lang w:val="en-AU"/>
              </w:rPr>
              <w:t>(without censoring for COVID)</w:t>
            </w:r>
          </w:p>
        </w:tc>
      </w:tr>
      <w:tr w:rsidR="0008166B" w:rsidRPr="006D075E" w14:paraId="785DDCD0" w14:textId="77777777" w:rsidTr="00A97DA3">
        <w:trPr>
          <w:tblHeader/>
        </w:trPr>
        <w:tc>
          <w:tcPr>
            <w:tcW w:w="3837" w:type="dxa"/>
            <w:vMerge/>
            <w:vAlign w:val="center"/>
          </w:tcPr>
          <w:p w14:paraId="6FB30996" w14:textId="77777777" w:rsidR="0008166B" w:rsidRPr="006D075E" w:rsidRDefault="0008166B">
            <w:pPr>
              <w:pStyle w:val="COMTableheadingrow"/>
              <w:keepLines/>
              <w:rPr>
                <w:lang w:val="en-AU"/>
              </w:rPr>
            </w:pPr>
          </w:p>
        </w:tc>
        <w:tc>
          <w:tcPr>
            <w:tcW w:w="1398" w:type="dxa"/>
            <w:vAlign w:val="center"/>
          </w:tcPr>
          <w:p w14:paraId="4283C29E" w14:textId="77777777" w:rsidR="0008166B" w:rsidRPr="006D075E" w:rsidRDefault="0008166B">
            <w:pPr>
              <w:pStyle w:val="COMTableheadingrow"/>
              <w:keepLines/>
              <w:jc w:val="center"/>
              <w:rPr>
                <w:lang w:val="en-AU"/>
              </w:rPr>
            </w:pPr>
            <w:r w:rsidRPr="006D075E">
              <w:rPr>
                <w:lang w:val="en-AU"/>
              </w:rPr>
              <w:t>ICER</w:t>
            </w:r>
          </w:p>
        </w:tc>
        <w:tc>
          <w:tcPr>
            <w:tcW w:w="1172" w:type="dxa"/>
            <w:vAlign w:val="center"/>
          </w:tcPr>
          <w:p w14:paraId="53CDFC71" w14:textId="77777777" w:rsidR="0008166B" w:rsidRPr="006D075E" w:rsidRDefault="0008166B">
            <w:pPr>
              <w:pStyle w:val="COMTableheadingrow"/>
              <w:keepLines/>
              <w:jc w:val="center"/>
              <w:rPr>
                <w:lang w:val="en-AU"/>
              </w:rPr>
            </w:pPr>
            <w:r w:rsidRPr="006D075E">
              <w:rPr>
                <w:lang w:val="en-AU"/>
              </w:rPr>
              <w:t>% change</w:t>
            </w:r>
          </w:p>
        </w:tc>
        <w:tc>
          <w:tcPr>
            <w:tcW w:w="1357" w:type="dxa"/>
            <w:vAlign w:val="center"/>
          </w:tcPr>
          <w:p w14:paraId="205A5B1C" w14:textId="77777777" w:rsidR="0008166B" w:rsidRPr="006D075E" w:rsidRDefault="0008166B">
            <w:pPr>
              <w:pStyle w:val="COMTableheadingrow"/>
              <w:keepLines/>
              <w:jc w:val="center"/>
              <w:rPr>
                <w:lang w:val="en-AU"/>
              </w:rPr>
            </w:pPr>
            <w:r w:rsidRPr="006D075E">
              <w:rPr>
                <w:lang w:val="en-AU"/>
              </w:rPr>
              <w:t>ICER</w:t>
            </w:r>
          </w:p>
        </w:tc>
        <w:tc>
          <w:tcPr>
            <w:tcW w:w="1172" w:type="dxa"/>
            <w:vAlign w:val="center"/>
          </w:tcPr>
          <w:p w14:paraId="456615C4" w14:textId="77777777" w:rsidR="0008166B" w:rsidRPr="006D075E" w:rsidRDefault="0008166B">
            <w:pPr>
              <w:pStyle w:val="COMTableheadingrow"/>
              <w:keepLines/>
              <w:jc w:val="center"/>
              <w:rPr>
                <w:lang w:val="en-AU"/>
              </w:rPr>
            </w:pPr>
            <w:r w:rsidRPr="006D075E">
              <w:rPr>
                <w:lang w:val="en-AU"/>
              </w:rPr>
              <w:t>% change</w:t>
            </w:r>
          </w:p>
        </w:tc>
      </w:tr>
      <w:tr w:rsidR="0008166B" w:rsidRPr="006D075E" w14:paraId="670AB42F" w14:textId="77777777" w:rsidTr="00A97DA3">
        <w:trPr>
          <w:tblHeader/>
        </w:trPr>
        <w:tc>
          <w:tcPr>
            <w:tcW w:w="3837" w:type="dxa"/>
          </w:tcPr>
          <w:p w14:paraId="43ED04E2" w14:textId="5576AFB8" w:rsidR="0008166B" w:rsidRPr="006D075E" w:rsidRDefault="0008166B">
            <w:pPr>
              <w:pStyle w:val="COMTabletext"/>
              <w:keepLines/>
              <w:rPr>
                <w:b/>
                <w:bCs w:val="0"/>
              </w:rPr>
            </w:pPr>
            <w:r w:rsidRPr="006D075E">
              <w:rPr>
                <w:b/>
                <w:bCs w:val="0"/>
              </w:rPr>
              <w:t xml:space="preserve">Base case – submission </w:t>
            </w:r>
          </w:p>
        </w:tc>
        <w:tc>
          <w:tcPr>
            <w:tcW w:w="1398" w:type="dxa"/>
          </w:tcPr>
          <w:p w14:paraId="76E12C89" w14:textId="3EE6A98E" w:rsidR="0008166B" w:rsidRPr="000E307A" w:rsidRDefault="0008166B">
            <w:pPr>
              <w:pStyle w:val="COMTabletext"/>
              <w:keepLines/>
              <w:jc w:val="center"/>
              <w:rPr>
                <w:b/>
                <w:bCs w:val="0"/>
                <w:vertAlign w:val="superscript"/>
              </w:rPr>
            </w:pPr>
            <w:r w:rsidRPr="006D075E">
              <w:rPr>
                <w:b/>
                <w:bCs w:val="0"/>
              </w:rPr>
              <w:t>$</w:t>
            </w:r>
            <w:r w:rsidR="00800963" w:rsidRPr="007542BF">
              <w:rPr>
                <w:b/>
                <w:bCs w:val="0"/>
                <w:color w:val="000000"/>
                <w:spacing w:val="58"/>
                <w:shd w:val="solid" w:color="000000" w:fill="000000"/>
                <w:fitText w:val="360" w:id="-629433083"/>
                <w14:textFill>
                  <w14:solidFill>
                    <w14:srgbClr w14:val="000000">
                      <w14:alpha w14:val="100000"/>
                    </w14:srgbClr>
                  </w14:solidFill>
                </w14:textFill>
              </w:rPr>
              <w:t>|||</w:t>
            </w:r>
            <w:r w:rsidR="00800963" w:rsidRPr="007542BF">
              <w:rPr>
                <w:b/>
                <w:bCs w:val="0"/>
                <w:color w:val="000000"/>
                <w:spacing w:val="3"/>
                <w:shd w:val="solid" w:color="000000" w:fill="000000"/>
                <w:fitText w:val="360" w:id="-629433083"/>
                <w14:textFill>
                  <w14:solidFill>
                    <w14:srgbClr w14:val="000000">
                      <w14:alpha w14:val="100000"/>
                    </w14:srgbClr>
                  </w14:solidFill>
                </w14:textFill>
              </w:rPr>
              <w:t>|</w:t>
            </w:r>
            <w:r w:rsidR="000E307A">
              <w:rPr>
                <w:b/>
                <w:bCs w:val="0"/>
                <w:vertAlign w:val="superscript"/>
              </w:rPr>
              <w:t>1</w:t>
            </w:r>
          </w:p>
        </w:tc>
        <w:tc>
          <w:tcPr>
            <w:tcW w:w="1172" w:type="dxa"/>
          </w:tcPr>
          <w:p w14:paraId="37768D30" w14:textId="0AEB35CF" w:rsidR="0008166B" w:rsidRPr="006D075E" w:rsidRDefault="0008166B">
            <w:pPr>
              <w:pStyle w:val="COMTabletext"/>
              <w:keepLines/>
              <w:jc w:val="center"/>
              <w:rPr>
                <w:b/>
                <w:bCs w:val="0"/>
              </w:rPr>
            </w:pPr>
          </w:p>
        </w:tc>
        <w:tc>
          <w:tcPr>
            <w:tcW w:w="1357" w:type="dxa"/>
            <w:vAlign w:val="center"/>
          </w:tcPr>
          <w:p w14:paraId="5A13495F" w14:textId="52FE005B" w:rsidR="0008166B" w:rsidRPr="005F3822" w:rsidRDefault="0008166B">
            <w:pPr>
              <w:pStyle w:val="COMTabletext"/>
              <w:keepLines/>
              <w:jc w:val="center"/>
              <w:rPr>
                <w:b/>
                <w:bCs w:val="0"/>
                <w:vertAlign w:val="superscript"/>
              </w:rPr>
            </w:pPr>
            <w:r w:rsidRPr="006D075E">
              <w:rPr>
                <w:rFonts w:cs="Calibri"/>
                <w:b/>
                <w:bCs w:val="0"/>
                <w:color w:val="000000"/>
                <w:szCs w:val="20"/>
              </w:rPr>
              <w:t>$</w:t>
            </w:r>
            <w:r w:rsidR="00800963" w:rsidRPr="007542BF">
              <w:rPr>
                <w:rFonts w:cs="Calibri"/>
                <w:b/>
                <w:bCs w:val="0"/>
                <w:color w:val="000000"/>
                <w:spacing w:val="54"/>
                <w:szCs w:val="20"/>
                <w:shd w:val="solid" w:color="000000" w:fill="000000"/>
                <w:fitText w:val="348" w:id="-629433082"/>
                <w14:textFill>
                  <w14:solidFill>
                    <w14:srgbClr w14:val="000000">
                      <w14:alpha w14:val="100000"/>
                    </w14:srgbClr>
                  </w14:solidFill>
                </w14:textFill>
              </w:rPr>
              <w:t>|||</w:t>
            </w:r>
            <w:r w:rsidR="00800963" w:rsidRPr="007542BF">
              <w:rPr>
                <w:rFonts w:cs="Calibri"/>
                <w:b/>
                <w:bCs w:val="0"/>
                <w:color w:val="000000"/>
                <w:spacing w:val="3"/>
                <w:szCs w:val="20"/>
                <w:shd w:val="solid" w:color="000000" w:fill="000000"/>
                <w:fitText w:val="348" w:id="-629433082"/>
                <w14:textFill>
                  <w14:solidFill>
                    <w14:srgbClr w14:val="000000">
                      <w14:alpha w14:val="100000"/>
                    </w14:srgbClr>
                  </w14:solidFill>
                </w14:textFill>
              </w:rPr>
              <w:t>|</w:t>
            </w:r>
            <w:r w:rsidR="005F3822">
              <w:rPr>
                <w:rFonts w:cs="Calibri"/>
                <w:b/>
                <w:bCs w:val="0"/>
                <w:color w:val="000000"/>
                <w:szCs w:val="20"/>
                <w:vertAlign w:val="superscript"/>
              </w:rPr>
              <w:t>2</w:t>
            </w:r>
          </w:p>
        </w:tc>
        <w:tc>
          <w:tcPr>
            <w:tcW w:w="1172" w:type="dxa"/>
          </w:tcPr>
          <w:p w14:paraId="30F2A0AC" w14:textId="10D9F453" w:rsidR="0008166B" w:rsidRPr="006D075E" w:rsidRDefault="0008166B">
            <w:pPr>
              <w:pStyle w:val="COMTabletext"/>
              <w:keepLines/>
              <w:jc w:val="center"/>
              <w:rPr>
                <w:b/>
                <w:bCs w:val="0"/>
              </w:rPr>
            </w:pPr>
          </w:p>
        </w:tc>
      </w:tr>
      <w:tr w:rsidR="0008166B" w:rsidRPr="006D075E" w14:paraId="2677CEE8" w14:textId="77777777" w:rsidTr="00A97DA3">
        <w:trPr>
          <w:tblHeader/>
        </w:trPr>
        <w:tc>
          <w:tcPr>
            <w:tcW w:w="3837" w:type="dxa"/>
          </w:tcPr>
          <w:p w14:paraId="36B85EDB" w14:textId="76D7DCA5" w:rsidR="0008166B" w:rsidRPr="006D075E" w:rsidRDefault="0008166B">
            <w:pPr>
              <w:pStyle w:val="COMTabletext"/>
              <w:keepLines/>
              <w:rPr>
                <w:b/>
                <w:bCs w:val="0"/>
              </w:rPr>
            </w:pPr>
            <w:r w:rsidRPr="006D075E">
              <w:rPr>
                <w:b/>
                <w:bCs w:val="0"/>
              </w:rPr>
              <w:t xml:space="preserve">Base case – PSCR </w:t>
            </w:r>
          </w:p>
        </w:tc>
        <w:tc>
          <w:tcPr>
            <w:tcW w:w="1398" w:type="dxa"/>
          </w:tcPr>
          <w:p w14:paraId="5A1BC0FD" w14:textId="633DF7BA" w:rsidR="0008166B" w:rsidRPr="000E307A" w:rsidRDefault="0008166B">
            <w:pPr>
              <w:pStyle w:val="COMTabletext"/>
              <w:keepLines/>
              <w:jc w:val="center"/>
              <w:rPr>
                <w:b/>
                <w:bCs w:val="0"/>
                <w:vertAlign w:val="superscript"/>
              </w:rPr>
            </w:pPr>
            <w:r w:rsidRPr="006D075E">
              <w:rPr>
                <w:rFonts w:eastAsia="Times New Roman" w:cs="Arial"/>
                <w:b/>
                <w:bCs w:val="0"/>
                <w:color w:val="000000"/>
                <w:szCs w:val="20"/>
              </w:rPr>
              <w:t>$</w:t>
            </w:r>
            <w:r w:rsidR="00800963" w:rsidRPr="007542BF">
              <w:rPr>
                <w:rFonts w:eastAsia="Times New Roman" w:cs="Arial"/>
                <w:b/>
                <w:bCs w:val="0"/>
                <w:color w:val="000000"/>
                <w:spacing w:val="58"/>
                <w:szCs w:val="20"/>
                <w:shd w:val="solid" w:color="000000" w:fill="000000"/>
                <w:fitText w:val="360" w:id="-629433081"/>
                <w14:textFill>
                  <w14:solidFill>
                    <w14:srgbClr w14:val="000000">
                      <w14:alpha w14:val="100000"/>
                    </w14:srgbClr>
                  </w14:solidFill>
                </w14:textFill>
              </w:rPr>
              <w:t>|||</w:t>
            </w:r>
            <w:r w:rsidR="00800963" w:rsidRPr="007542BF">
              <w:rPr>
                <w:rFonts w:eastAsia="Times New Roman" w:cs="Arial"/>
                <w:b/>
                <w:bCs w:val="0"/>
                <w:color w:val="000000"/>
                <w:spacing w:val="3"/>
                <w:szCs w:val="20"/>
                <w:shd w:val="solid" w:color="000000" w:fill="000000"/>
                <w:fitText w:val="360" w:id="-629433081"/>
                <w14:textFill>
                  <w14:solidFill>
                    <w14:srgbClr w14:val="000000">
                      <w14:alpha w14:val="100000"/>
                    </w14:srgbClr>
                  </w14:solidFill>
                </w14:textFill>
              </w:rPr>
              <w:t>|</w:t>
            </w:r>
            <w:r w:rsidR="000E307A">
              <w:rPr>
                <w:rFonts w:eastAsia="Times New Roman" w:cs="Arial"/>
                <w:b/>
                <w:bCs w:val="0"/>
                <w:color w:val="000000"/>
                <w:szCs w:val="20"/>
                <w:vertAlign w:val="superscript"/>
              </w:rPr>
              <w:t>1</w:t>
            </w:r>
          </w:p>
        </w:tc>
        <w:tc>
          <w:tcPr>
            <w:tcW w:w="1172" w:type="dxa"/>
          </w:tcPr>
          <w:p w14:paraId="75C7840C" w14:textId="77777777" w:rsidR="0008166B" w:rsidRPr="006D075E" w:rsidRDefault="0008166B">
            <w:pPr>
              <w:pStyle w:val="COMTabletext"/>
              <w:keepLines/>
              <w:jc w:val="center"/>
              <w:rPr>
                <w:b/>
                <w:bCs w:val="0"/>
              </w:rPr>
            </w:pPr>
          </w:p>
        </w:tc>
        <w:tc>
          <w:tcPr>
            <w:tcW w:w="1357" w:type="dxa"/>
            <w:vAlign w:val="center"/>
          </w:tcPr>
          <w:p w14:paraId="0221ADE9" w14:textId="0A09F747" w:rsidR="0008166B" w:rsidRPr="00BE5470" w:rsidRDefault="0008166B">
            <w:pPr>
              <w:pStyle w:val="COMTabletext"/>
              <w:keepLines/>
              <w:jc w:val="center"/>
              <w:rPr>
                <w:rFonts w:cs="Calibri"/>
                <w:b/>
                <w:bCs w:val="0"/>
                <w:color w:val="000000"/>
                <w:szCs w:val="20"/>
                <w:vertAlign w:val="superscript"/>
              </w:rPr>
            </w:pPr>
            <w:r w:rsidRPr="006D075E">
              <w:rPr>
                <w:rFonts w:cs="Calibri"/>
                <w:b/>
                <w:bCs w:val="0"/>
                <w:color w:val="000000"/>
                <w:szCs w:val="20"/>
              </w:rPr>
              <w:t>$</w:t>
            </w:r>
            <w:r w:rsidR="00800963" w:rsidRPr="007542BF">
              <w:rPr>
                <w:rFonts w:cs="Calibri"/>
                <w:b/>
                <w:bCs w:val="0"/>
                <w:color w:val="000000"/>
                <w:spacing w:val="54"/>
                <w:szCs w:val="20"/>
                <w:shd w:val="solid" w:color="000000" w:fill="000000"/>
                <w:fitText w:val="348" w:id="-629433080"/>
                <w14:textFill>
                  <w14:solidFill>
                    <w14:srgbClr w14:val="000000">
                      <w14:alpha w14:val="100000"/>
                    </w14:srgbClr>
                  </w14:solidFill>
                </w14:textFill>
              </w:rPr>
              <w:t>|||</w:t>
            </w:r>
            <w:r w:rsidR="00800963" w:rsidRPr="007542BF">
              <w:rPr>
                <w:rFonts w:cs="Calibri"/>
                <w:b/>
                <w:bCs w:val="0"/>
                <w:color w:val="000000"/>
                <w:spacing w:val="3"/>
                <w:szCs w:val="20"/>
                <w:shd w:val="solid" w:color="000000" w:fill="000000"/>
                <w:fitText w:val="348" w:id="-629433080"/>
                <w14:textFill>
                  <w14:solidFill>
                    <w14:srgbClr w14:val="000000">
                      <w14:alpha w14:val="100000"/>
                    </w14:srgbClr>
                  </w14:solidFill>
                </w14:textFill>
              </w:rPr>
              <w:t>|</w:t>
            </w:r>
            <w:r w:rsidR="00BE5470">
              <w:rPr>
                <w:rFonts w:cs="Calibri"/>
                <w:b/>
                <w:bCs w:val="0"/>
                <w:color w:val="000000"/>
                <w:szCs w:val="20"/>
                <w:vertAlign w:val="superscript"/>
              </w:rPr>
              <w:t>3</w:t>
            </w:r>
          </w:p>
        </w:tc>
        <w:tc>
          <w:tcPr>
            <w:tcW w:w="1172" w:type="dxa"/>
          </w:tcPr>
          <w:p w14:paraId="61196656" w14:textId="77777777" w:rsidR="0008166B" w:rsidRPr="006D075E" w:rsidRDefault="0008166B">
            <w:pPr>
              <w:pStyle w:val="COMTabletext"/>
              <w:keepLines/>
              <w:jc w:val="center"/>
              <w:rPr>
                <w:b/>
                <w:bCs w:val="0"/>
              </w:rPr>
            </w:pPr>
          </w:p>
        </w:tc>
      </w:tr>
      <w:tr w:rsidR="0008166B" w:rsidRPr="006D075E" w14:paraId="01A0D2C2" w14:textId="77777777" w:rsidTr="00A97DA3">
        <w:tc>
          <w:tcPr>
            <w:tcW w:w="8936" w:type="dxa"/>
            <w:gridSpan w:val="5"/>
          </w:tcPr>
          <w:p w14:paraId="20AF56C7" w14:textId="77777777" w:rsidR="0008166B" w:rsidRPr="006D075E" w:rsidRDefault="0008166B">
            <w:pPr>
              <w:pStyle w:val="COMTabletext"/>
              <w:keepLines/>
              <w:rPr>
                <w:b/>
                <w:bCs w:val="0"/>
              </w:rPr>
            </w:pPr>
            <w:r w:rsidRPr="006D075E">
              <w:rPr>
                <w:b/>
                <w:bCs w:val="0"/>
              </w:rPr>
              <w:t>Discount rate (base case: 5% costs and outcomes)</w:t>
            </w:r>
          </w:p>
        </w:tc>
      </w:tr>
      <w:tr w:rsidR="00B07771" w:rsidRPr="006D075E" w14:paraId="5044378E" w14:textId="77777777" w:rsidTr="00A97DA3">
        <w:tc>
          <w:tcPr>
            <w:tcW w:w="3837" w:type="dxa"/>
          </w:tcPr>
          <w:p w14:paraId="11C21460" w14:textId="77777777" w:rsidR="00B07771" w:rsidRPr="006D075E" w:rsidRDefault="00B07771" w:rsidP="00B07771">
            <w:pPr>
              <w:pStyle w:val="COMTabletext"/>
              <w:keepLines/>
            </w:pPr>
            <w:r w:rsidRPr="006D075E">
              <w:t>0%</w:t>
            </w:r>
          </w:p>
        </w:tc>
        <w:tc>
          <w:tcPr>
            <w:tcW w:w="1398" w:type="dxa"/>
          </w:tcPr>
          <w:p w14:paraId="5D946DAF" w14:textId="2F1899FA" w:rsidR="00B07771" w:rsidRPr="000E307A" w:rsidRDefault="00B07771" w:rsidP="00DF73FE">
            <w:pPr>
              <w:pStyle w:val="COMTabletext"/>
              <w:keepNext w:val="0"/>
              <w:jc w:val="center"/>
              <w:rPr>
                <w:szCs w:val="20"/>
                <w:vertAlign w:val="superscript"/>
              </w:rPr>
            </w:pPr>
            <w:r w:rsidRPr="006D075E">
              <w:rPr>
                <w:szCs w:val="20"/>
              </w:rPr>
              <w:t>$</w:t>
            </w:r>
            <w:r w:rsidR="00800963" w:rsidRPr="007542BF">
              <w:rPr>
                <w:color w:val="000000"/>
                <w:spacing w:val="51"/>
                <w:szCs w:val="20"/>
                <w:shd w:val="solid" w:color="000000" w:fill="000000"/>
                <w:fitText w:val="324" w:id="-629433079"/>
                <w14:textFill>
                  <w14:solidFill>
                    <w14:srgbClr w14:val="000000">
                      <w14:alpha w14:val="100000"/>
                    </w14:srgbClr>
                  </w14:solidFill>
                </w14:textFill>
              </w:rPr>
              <w:t>|||</w:t>
            </w:r>
            <w:r w:rsidR="00800963" w:rsidRPr="007542BF">
              <w:rPr>
                <w:color w:val="000000"/>
                <w:spacing w:val="1"/>
                <w:szCs w:val="20"/>
                <w:shd w:val="solid" w:color="000000" w:fill="000000"/>
                <w:fitText w:val="324" w:id="-629433079"/>
                <w14:textFill>
                  <w14:solidFill>
                    <w14:srgbClr w14:val="000000">
                      <w14:alpha w14:val="100000"/>
                    </w14:srgbClr>
                  </w14:solidFill>
                </w14:textFill>
              </w:rPr>
              <w:t>|</w:t>
            </w:r>
            <w:r w:rsidR="000E307A">
              <w:rPr>
                <w:szCs w:val="20"/>
                <w:vertAlign w:val="superscript"/>
              </w:rPr>
              <w:t>1</w:t>
            </w:r>
          </w:p>
        </w:tc>
        <w:tc>
          <w:tcPr>
            <w:tcW w:w="1172" w:type="dxa"/>
          </w:tcPr>
          <w:p w14:paraId="2240AA81" w14:textId="4FC2325C" w:rsidR="00B07771" w:rsidRPr="006D075E" w:rsidRDefault="00B07771" w:rsidP="00DF73FE">
            <w:pPr>
              <w:pStyle w:val="COMTabletext"/>
              <w:keepNext w:val="0"/>
              <w:jc w:val="center"/>
              <w:rPr>
                <w:szCs w:val="20"/>
              </w:rPr>
            </w:pPr>
            <w:r w:rsidRPr="006D075E">
              <w:rPr>
                <w:szCs w:val="20"/>
              </w:rPr>
              <w:t>-</w:t>
            </w:r>
            <w:r w:rsidR="00800963" w:rsidRPr="00DC5498">
              <w:rPr>
                <w:color w:val="000000"/>
                <w:spacing w:val="51"/>
                <w:szCs w:val="20"/>
                <w:shd w:val="solid" w:color="000000" w:fill="000000"/>
                <w:fitText w:val="324" w:id="-629433078"/>
                <w14:textFill>
                  <w14:solidFill>
                    <w14:srgbClr w14:val="000000">
                      <w14:alpha w14:val="100000"/>
                    </w14:srgbClr>
                  </w14:solidFill>
                </w14:textFill>
              </w:rPr>
              <w:t>|||</w:t>
            </w:r>
            <w:r w:rsidR="00800963" w:rsidRPr="00DC5498">
              <w:rPr>
                <w:color w:val="000000"/>
                <w:spacing w:val="1"/>
                <w:szCs w:val="20"/>
                <w:shd w:val="solid" w:color="000000" w:fill="000000"/>
                <w:fitText w:val="324" w:id="-629433078"/>
                <w14:textFill>
                  <w14:solidFill>
                    <w14:srgbClr w14:val="000000">
                      <w14:alpha w14:val="100000"/>
                    </w14:srgbClr>
                  </w14:solidFill>
                </w14:textFill>
              </w:rPr>
              <w:t>|</w:t>
            </w:r>
            <w:r w:rsidRPr="006D075E">
              <w:rPr>
                <w:szCs w:val="20"/>
              </w:rPr>
              <w:t>%</w:t>
            </w:r>
          </w:p>
        </w:tc>
        <w:tc>
          <w:tcPr>
            <w:tcW w:w="1357" w:type="dxa"/>
            <w:vAlign w:val="center"/>
          </w:tcPr>
          <w:p w14:paraId="25D9E371" w14:textId="4E10244E" w:rsidR="00B07771" w:rsidRPr="00BE5470" w:rsidRDefault="00B07771" w:rsidP="00DF73FE">
            <w:pPr>
              <w:pStyle w:val="COMTabletext"/>
              <w:keepNext w:val="0"/>
              <w:jc w:val="center"/>
              <w:rPr>
                <w:szCs w:val="20"/>
                <w:vertAlign w:val="superscript"/>
              </w:rPr>
            </w:pPr>
            <w:r w:rsidRPr="006D075E">
              <w:rPr>
                <w:szCs w:val="20"/>
              </w:rPr>
              <w:t>$</w:t>
            </w:r>
            <w:r w:rsidR="00800963" w:rsidRPr="00DC5498">
              <w:rPr>
                <w:color w:val="000000"/>
                <w:spacing w:val="55"/>
                <w:szCs w:val="20"/>
                <w:shd w:val="solid" w:color="000000" w:fill="000000"/>
                <w:fitText w:val="336" w:id="-629433077"/>
                <w14:textFill>
                  <w14:solidFill>
                    <w14:srgbClr w14:val="000000">
                      <w14:alpha w14:val="100000"/>
                    </w14:srgbClr>
                  </w14:solidFill>
                </w14:textFill>
              </w:rPr>
              <w:t>|||</w:t>
            </w:r>
            <w:r w:rsidR="00800963" w:rsidRPr="00DC5498">
              <w:rPr>
                <w:color w:val="000000"/>
                <w:spacing w:val="1"/>
                <w:szCs w:val="20"/>
                <w:shd w:val="solid" w:color="000000" w:fill="000000"/>
                <w:fitText w:val="336" w:id="-629433077"/>
                <w14:textFill>
                  <w14:solidFill>
                    <w14:srgbClr w14:val="000000">
                      <w14:alpha w14:val="100000"/>
                    </w14:srgbClr>
                  </w14:solidFill>
                </w14:textFill>
              </w:rPr>
              <w:t>|</w:t>
            </w:r>
            <w:r w:rsidR="00BE5470">
              <w:rPr>
                <w:szCs w:val="20"/>
                <w:vertAlign w:val="superscript"/>
              </w:rPr>
              <w:t>3</w:t>
            </w:r>
          </w:p>
        </w:tc>
        <w:tc>
          <w:tcPr>
            <w:tcW w:w="1172" w:type="dxa"/>
            <w:vAlign w:val="center"/>
          </w:tcPr>
          <w:p w14:paraId="32F731F4" w14:textId="07447034" w:rsidR="00B07771" w:rsidRPr="006D075E" w:rsidRDefault="00B07771" w:rsidP="00DF73FE">
            <w:pPr>
              <w:pStyle w:val="COMTabletext"/>
              <w:keepNext w:val="0"/>
              <w:jc w:val="center"/>
              <w:rPr>
                <w:szCs w:val="20"/>
              </w:rPr>
            </w:pPr>
            <w:r w:rsidRPr="006D075E">
              <w:rPr>
                <w:szCs w:val="20"/>
              </w:rPr>
              <w:t>-</w:t>
            </w:r>
            <w:r w:rsidR="00800963" w:rsidRPr="00DC5498">
              <w:rPr>
                <w:color w:val="000000"/>
                <w:spacing w:val="51"/>
                <w:szCs w:val="20"/>
                <w:shd w:val="solid" w:color="000000" w:fill="000000"/>
                <w:fitText w:val="324" w:id="-629433076"/>
                <w14:textFill>
                  <w14:solidFill>
                    <w14:srgbClr w14:val="000000">
                      <w14:alpha w14:val="100000"/>
                    </w14:srgbClr>
                  </w14:solidFill>
                </w14:textFill>
              </w:rPr>
              <w:t>|||</w:t>
            </w:r>
            <w:r w:rsidR="00800963" w:rsidRPr="00DC5498">
              <w:rPr>
                <w:color w:val="000000"/>
                <w:spacing w:val="1"/>
                <w:szCs w:val="20"/>
                <w:shd w:val="solid" w:color="000000" w:fill="000000"/>
                <w:fitText w:val="324" w:id="-629433076"/>
                <w14:textFill>
                  <w14:solidFill>
                    <w14:srgbClr w14:val="000000">
                      <w14:alpha w14:val="100000"/>
                    </w14:srgbClr>
                  </w14:solidFill>
                </w14:textFill>
              </w:rPr>
              <w:t>|</w:t>
            </w:r>
            <w:r w:rsidRPr="006D075E">
              <w:rPr>
                <w:szCs w:val="20"/>
              </w:rPr>
              <w:t>%</w:t>
            </w:r>
          </w:p>
        </w:tc>
      </w:tr>
      <w:tr w:rsidR="00B07771" w:rsidRPr="006D075E" w14:paraId="2FD28D4E" w14:textId="77777777" w:rsidTr="00A97DA3">
        <w:tc>
          <w:tcPr>
            <w:tcW w:w="3837" w:type="dxa"/>
          </w:tcPr>
          <w:p w14:paraId="64141B39" w14:textId="77777777" w:rsidR="00B07771" w:rsidRPr="006D075E" w:rsidRDefault="00B07771" w:rsidP="00B07771">
            <w:pPr>
              <w:pStyle w:val="COMTabletext"/>
              <w:keepLines/>
            </w:pPr>
            <w:r w:rsidRPr="006D075E">
              <w:t>3.5%</w:t>
            </w:r>
          </w:p>
        </w:tc>
        <w:tc>
          <w:tcPr>
            <w:tcW w:w="1398" w:type="dxa"/>
          </w:tcPr>
          <w:p w14:paraId="72655556" w14:textId="012B1EC6" w:rsidR="00B07771" w:rsidRPr="000E307A" w:rsidRDefault="00B07771" w:rsidP="00DF73FE">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75"/>
                <w14:textFill>
                  <w14:solidFill>
                    <w14:srgbClr w14:val="000000">
                      <w14:alpha w14:val="100000"/>
                    </w14:srgbClr>
                  </w14:solidFill>
                </w14:textFill>
              </w:rPr>
              <w:t>|||</w:t>
            </w:r>
            <w:r w:rsidR="00800963" w:rsidRPr="00800963">
              <w:rPr>
                <w:color w:val="000000"/>
                <w:spacing w:val="1"/>
                <w:szCs w:val="20"/>
                <w:shd w:val="solid" w:color="000000" w:fill="000000"/>
                <w:fitText w:val="324" w:id="-629433075"/>
                <w14:textFill>
                  <w14:solidFill>
                    <w14:srgbClr w14:val="000000">
                      <w14:alpha w14:val="100000"/>
                    </w14:srgbClr>
                  </w14:solidFill>
                </w14:textFill>
              </w:rPr>
              <w:t>|</w:t>
            </w:r>
            <w:r w:rsidR="000E307A">
              <w:rPr>
                <w:szCs w:val="20"/>
                <w:vertAlign w:val="superscript"/>
              </w:rPr>
              <w:t>1</w:t>
            </w:r>
          </w:p>
        </w:tc>
        <w:tc>
          <w:tcPr>
            <w:tcW w:w="1172" w:type="dxa"/>
          </w:tcPr>
          <w:p w14:paraId="3487B935" w14:textId="41162D0E" w:rsidR="00B07771" w:rsidRPr="006D075E" w:rsidRDefault="00B07771" w:rsidP="00DF73FE">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4"/>
                <w14:textFill>
                  <w14:solidFill>
                    <w14:srgbClr w14:val="000000">
                      <w14:alpha w14:val="100000"/>
                    </w14:srgbClr>
                  </w14:solidFill>
                </w14:textFill>
              </w:rPr>
              <w:t>|||</w:t>
            </w:r>
            <w:r w:rsidR="00800963" w:rsidRPr="00800963">
              <w:rPr>
                <w:color w:val="000000"/>
                <w:spacing w:val="1"/>
                <w:szCs w:val="20"/>
                <w:shd w:val="solid" w:color="000000" w:fill="000000"/>
                <w:fitText w:val="324" w:id="-629433074"/>
                <w14:textFill>
                  <w14:solidFill>
                    <w14:srgbClr w14:val="000000">
                      <w14:alpha w14:val="100000"/>
                    </w14:srgbClr>
                  </w14:solidFill>
                </w14:textFill>
              </w:rPr>
              <w:t>|</w:t>
            </w:r>
            <w:r w:rsidRPr="006D075E">
              <w:rPr>
                <w:szCs w:val="20"/>
              </w:rPr>
              <w:t>%</w:t>
            </w:r>
          </w:p>
        </w:tc>
        <w:tc>
          <w:tcPr>
            <w:tcW w:w="1357" w:type="dxa"/>
            <w:vAlign w:val="center"/>
          </w:tcPr>
          <w:p w14:paraId="55D8EE8F" w14:textId="0CFE2E50" w:rsidR="00B07771" w:rsidRPr="00BE5470" w:rsidRDefault="00B07771" w:rsidP="00DF73FE">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73"/>
                <w14:textFill>
                  <w14:solidFill>
                    <w14:srgbClr w14:val="000000">
                      <w14:alpha w14:val="100000"/>
                    </w14:srgbClr>
                  </w14:solidFill>
                </w14:textFill>
              </w:rPr>
              <w:t>|||</w:t>
            </w:r>
            <w:r w:rsidR="00800963" w:rsidRPr="00800963">
              <w:rPr>
                <w:color w:val="000000"/>
                <w:spacing w:val="1"/>
                <w:szCs w:val="20"/>
                <w:shd w:val="solid" w:color="000000" w:fill="000000"/>
                <w:fitText w:val="336" w:id="-629433073"/>
                <w14:textFill>
                  <w14:solidFill>
                    <w14:srgbClr w14:val="000000">
                      <w14:alpha w14:val="100000"/>
                    </w14:srgbClr>
                  </w14:solidFill>
                </w14:textFill>
              </w:rPr>
              <w:t>|</w:t>
            </w:r>
            <w:r w:rsidR="00BE5470">
              <w:rPr>
                <w:szCs w:val="20"/>
                <w:vertAlign w:val="superscript"/>
              </w:rPr>
              <w:t>3</w:t>
            </w:r>
          </w:p>
        </w:tc>
        <w:tc>
          <w:tcPr>
            <w:tcW w:w="1172" w:type="dxa"/>
            <w:vAlign w:val="center"/>
          </w:tcPr>
          <w:p w14:paraId="7E44C8A6" w14:textId="7A0CA08B" w:rsidR="00B07771" w:rsidRPr="006D075E" w:rsidRDefault="00B07771" w:rsidP="00DF73FE">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2"/>
                <w14:textFill>
                  <w14:solidFill>
                    <w14:srgbClr w14:val="000000">
                      <w14:alpha w14:val="100000"/>
                    </w14:srgbClr>
                  </w14:solidFill>
                </w14:textFill>
              </w:rPr>
              <w:t>|||</w:t>
            </w:r>
            <w:r w:rsidR="00800963" w:rsidRPr="00800963">
              <w:rPr>
                <w:color w:val="000000"/>
                <w:spacing w:val="1"/>
                <w:szCs w:val="20"/>
                <w:shd w:val="solid" w:color="000000" w:fill="000000"/>
                <w:fitText w:val="324" w:id="-629433072"/>
                <w14:textFill>
                  <w14:solidFill>
                    <w14:srgbClr w14:val="000000">
                      <w14:alpha w14:val="100000"/>
                    </w14:srgbClr>
                  </w14:solidFill>
                </w14:textFill>
              </w:rPr>
              <w:t>|</w:t>
            </w:r>
            <w:r w:rsidRPr="006D075E">
              <w:rPr>
                <w:szCs w:val="20"/>
              </w:rPr>
              <w:t>%</w:t>
            </w:r>
          </w:p>
        </w:tc>
      </w:tr>
      <w:tr w:rsidR="0008166B" w:rsidRPr="006D075E" w14:paraId="45850DD1" w14:textId="77777777" w:rsidTr="00A97DA3">
        <w:tc>
          <w:tcPr>
            <w:tcW w:w="8936" w:type="dxa"/>
            <w:gridSpan w:val="5"/>
          </w:tcPr>
          <w:p w14:paraId="3B83ACB2" w14:textId="77777777" w:rsidR="0008166B" w:rsidRPr="006D075E" w:rsidRDefault="0008166B">
            <w:pPr>
              <w:pStyle w:val="COMTabletext"/>
              <w:keepNext w:val="0"/>
            </w:pPr>
            <w:r w:rsidRPr="006D075E">
              <w:rPr>
                <w:b/>
                <w:bCs w:val="0"/>
              </w:rPr>
              <w:t>Time horizon (base case: 20 years)</w:t>
            </w:r>
          </w:p>
        </w:tc>
      </w:tr>
      <w:tr w:rsidR="00B07771" w:rsidRPr="006D075E" w14:paraId="3A1B6E3E" w14:textId="77777777" w:rsidTr="00A97DA3">
        <w:tc>
          <w:tcPr>
            <w:tcW w:w="3837" w:type="dxa"/>
          </w:tcPr>
          <w:p w14:paraId="1C6FED02" w14:textId="37D324D1" w:rsidR="00B07771" w:rsidRPr="006D075E" w:rsidRDefault="0084339C" w:rsidP="00B07771">
            <w:pPr>
              <w:pStyle w:val="COMTabletext"/>
              <w:keepNext w:val="0"/>
            </w:pPr>
            <w:r w:rsidRPr="006D075E">
              <w:rPr>
                <w:b/>
                <w:bCs w:val="0"/>
              </w:rPr>
              <w:t>#</w:t>
            </w:r>
            <w:proofErr w:type="gramStart"/>
            <w:r w:rsidRPr="006D075E">
              <w:rPr>
                <w:b/>
                <w:bCs w:val="0"/>
              </w:rPr>
              <w:t xml:space="preserve">A </w:t>
            </w:r>
            <w:r w:rsidR="00B07771" w:rsidRPr="006D075E">
              <w:t>10 years</w:t>
            </w:r>
            <w:proofErr w:type="gramEnd"/>
          </w:p>
        </w:tc>
        <w:tc>
          <w:tcPr>
            <w:tcW w:w="1398" w:type="dxa"/>
          </w:tcPr>
          <w:p w14:paraId="0CE436A7" w14:textId="679A1F5F" w:rsidR="00B07771" w:rsidRPr="005F3822" w:rsidRDefault="00B07771" w:rsidP="00B07771">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88"/>
                <w14:textFill>
                  <w14:solidFill>
                    <w14:srgbClr w14:val="000000">
                      <w14:alpha w14:val="100000"/>
                    </w14:srgbClr>
                  </w14:solidFill>
                </w14:textFill>
              </w:rPr>
              <w:t>|||</w:t>
            </w:r>
            <w:r w:rsidR="00800963" w:rsidRPr="00800963">
              <w:rPr>
                <w:color w:val="000000"/>
                <w:spacing w:val="1"/>
                <w:szCs w:val="20"/>
                <w:shd w:val="solid" w:color="000000" w:fill="000000"/>
                <w:fitText w:val="324" w:id="-629433088"/>
                <w14:textFill>
                  <w14:solidFill>
                    <w14:srgbClr w14:val="000000">
                      <w14:alpha w14:val="100000"/>
                    </w14:srgbClr>
                  </w14:solidFill>
                </w14:textFill>
              </w:rPr>
              <w:t>|</w:t>
            </w:r>
            <w:r w:rsidR="005F3822">
              <w:rPr>
                <w:szCs w:val="20"/>
                <w:vertAlign w:val="superscript"/>
              </w:rPr>
              <w:t>2</w:t>
            </w:r>
          </w:p>
        </w:tc>
        <w:tc>
          <w:tcPr>
            <w:tcW w:w="1172" w:type="dxa"/>
          </w:tcPr>
          <w:p w14:paraId="2A115EBD" w14:textId="126C8AF8" w:rsidR="00B07771" w:rsidRPr="006D075E" w:rsidRDefault="00800963" w:rsidP="00B07771">
            <w:pPr>
              <w:pStyle w:val="COMTabletext"/>
              <w:keepNext w:val="0"/>
              <w:jc w:val="center"/>
              <w:rPr>
                <w:szCs w:val="20"/>
              </w:rPr>
            </w:pPr>
            <w:r w:rsidRPr="00800963">
              <w:rPr>
                <w:color w:val="000000"/>
                <w:spacing w:val="55"/>
                <w:szCs w:val="20"/>
                <w:shd w:val="solid" w:color="000000" w:fill="000000"/>
                <w:fitText w:val="336" w:id="-629433087"/>
                <w14:textFill>
                  <w14:solidFill>
                    <w14:srgbClr w14:val="000000">
                      <w14:alpha w14:val="100000"/>
                    </w14:srgbClr>
                  </w14:solidFill>
                </w14:textFill>
              </w:rPr>
              <w:t>|||</w:t>
            </w:r>
            <w:r w:rsidRPr="00800963">
              <w:rPr>
                <w:color w:val="000000"/>
                <w:spacing w:val="1"/>
                <w:szCs w:val="20"/>
                <w:shd w:val="solid" w:color="000000" w:fill="000000"/>
                <w:fitText w:val="336" w:id="-629433087"/>
                <w14:textFill>
                  <w14:solidFill>
                    <w14:srgbClr w14:val="000000">
                      <w14:alpha w14:val="100000"/>
                    </w14:srgbClr>
                  </w14:solidFill>
                </w14:textFill>
              </w:rPr>
              <w:t>|</w:t>
            </w:r>
            <w:r w:rsidR="00B07771" w:rsidRPr="006D075E">
              <w:rPr>
                <w:szCs w:val="20"/>
              </w:rPr>
              <w:t>%</w:t>
            </w:r>
          </w:p>
        </w:tc>
        <w:tc>
          <w:tcPr>
            <w:tcW w:w="1357" w:type="dxa"/>
          </w:tcPr>
          <w:p w14:paraId="776C49BB" w14:textId="370B4E28" w:rsidR="00B07771" w:rsidRPr="00BE5470" w:rsidRDefault="00B07771" w:rsidP="00B07771">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86"/>
                <w14:textFill>
                  <w14:solidFill>
                    <w14:srgbClr w14:val="000000">
                      <w14:alpha w14:val="100000"/>
                    </w14:srgbClr>
                  </w14:solidFill>
                </w14:textFill>
              </w:rPr>
              <w:t>|||</w:t>
            </w:r>
            <w:r w:rsidR="00800963" w:rsidRPr="00800963">
              <w:rPr>
                <w:color w:val="000000"/>
                <w:spacing w:val="1"/>
                <w:szCs w:val="20"/>
                <w:shd w:val="solid" w:color="000000" w:fill="000000"/>
                <w:fitText w:val="336" w:id="-629433086"/>
                <w14:textFill>
                  <w14:solidFill>
                    <w14:srgbClr w14:val="000000">
                      <w14:alpha w14:val="100000"/>
                    </w14:srgbClr>
                  </w14:solidFill>
                </w14:textFill>
              </w:rPr>
              <w:t>|</w:t>
            </w:r>
            <w:r w:rsidR="00BE5470">
              <w:rPr>
                <w:szCs w:val="20"/>
                <w:vertAlign w:val="superscript"/>
              </w:rPr>
              <w:t>3</w:t>
            </w:r>
          </w:p>
        </w:tc>
        <w:tc>
          <w:tcPr>
            <w:tcW w:w="1172" w:type="dxa"/>
          </w:tcPr>
          <w:p w14:paraId="1055794E" w14:textId="0B05C2CE" w:rsidR="00B07771" w:rsidRPr="006D075E" w:rsidRDefault="00800963" w:rsidP="00B07771">
            <w:pPr>
              <w:pStyle w:val="COMTabletext"/>
              <w:keepNext w:val="0"/>
              <w:jc w:val="center"/>
              <w:rPr>
                <w:szCs w:val="20"/>
              </w:rPr>
            </w:pPr>
            <w:r w:rsidRPr="00800963">
              <w:rPr>
                <w:color w:val="000000"/>
                <w:spacing w:val="55"/>
                <w:szCs w:val="20"/>
                <w:shd w:val="solid" w:color="000000" w:fill="000000"/>
                <w:fitText w:val="336" w:id="-629433085"/>
                <w14:textFill>
                  <w14:solidFill>
                    <w14:srgbClr w14:val="000000">
                      <w14:alpha w14:val="100000"/>
                    </w14:srgbClr>
                  </w14:solidFill>
                </w14:textFill>
              </w:rPr>
              <w:t>|||</w:t>
            </w:r>
            <w:r w:rsidRPr="00800963">
              <w:rPr>
                <w:color w:val="000000"/>
                <w:spacing w:val="1"/>
                <w:szCs w:val="20"/>
                <w:shd w:val="solid" w:color="000000" w:fill="000000"/>
                <w:fitText w:val="336" w:id="-629433085"/>
                <w14:textFill>
                  <w14:solidFill>
                    <w14:srgbClr w14:val="000000">
                      <w14:alpha w14:val="100000"/>
                    </w14:srgbClr>
                  </w14:solidFill>
                </w14:textFill>
              </w:rPr>
              <w:t>|</w:t>
            </w:r>
            <w:r w:rsidR="00B07771" w:rsidRPr="006D075E">
              <w:rPr>
                <w:szCs w:val="20"/>
              </w:rPr>
              <w:t>%</w:t>
            </w:r>
          </w:p>
        </w:tc>
      </w:tr>
      <w:tr w:rsidR="00B07771" w:rsidRPr="006D075E" w14:paraId="75E940AD" w14:textId="77777777" w:rsidTr="00A97DA3">
        <w:tc>
          <w:tcPr>
            <w:tcW w:w="3837" w:type="dxa"/>
          </w:tcPr>
          <w:p w14:paraId="4961103F" w14:textId="77777777" w:rsidR="00B07771" w:rsidRPr="006D075E" w:rsidRDefault="00B07771" w:rsidP="00B07771">
            <w:pPr>
              <w:pStyle w:val="COMTabletext"/>
              <w:keepNext w:val="0"/>
            </w:pPr>
            <w:r w:rsidRPr="006D075E">
              <w:t>15 years</w:t>
            </w:r>
          </w:p>
        </w:tc>
        <w:tc>
          <w:tcPr>
            <w:tcW w:w="1398" w:type="dxa"/>
          </w:tcPr>
          <w:p w14:paraId="2BB924EB" w14:textId="31C84684" w:rsidR="00B07771" w:rsidRPr="005F3822" w:rsidRDefault="00B07771" w:rsidP="00B07771">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84"/>
                <w14:textFill>
                  <w14:solidFill>
                    <w14:srgbClr w14:val="000000">
                      <w14:alpha w14:val="100000"/>
                    </w14:srgbClr>
                  </w14:solidFill>
                </w14:textFill>
              </w:rPr>
              <w:t>|||</w:t>
            </w:r>
            <w:r w:rsidR="00800963" w:rsidRPr="00800963">
              <w:rPr>
                <w:color w:val="000000"/>
                <w:spacing w:val="1"/>
                <w:szCs w:val="20"/>
                <w:shd w:val="solid" w:color="000000" w:fill="000000"/>
                <w:fitText w:val="324" w:id="-629433084"/>
                <w14:textFill>
                  <w14:solidFill>
                    <w14:srgbClr w14:val="000000">
                      <w14:alpha w14:val="100000"/>
                    </w14:srgbClr>
                  </w14:solidFill>
                </w14:textFill>
              </w:rPr>
              <w:t>|</w:t>
            </w:r>
            <w:r w:rsidR="005F3822">
              <w:rPr>
                <w:szCs w:val="20"/>
                <w:vertAlign w:val="superscript"/>
              </w:rPr>
              <w:t>2</w:t>
            </w:r>
          </w:p>
        </w:tc>
        <w:tc>
          <w:tcPr>
            <w:tcW w:w="1172" w:type="dxa"/>
          </w:tcPr>
          <w:p w14:paraId="78CA11A7" w14:textId="4FE2553A" w:rsidR="00B07771" w:rsidRPr="006D075E" w:rsidRDefault="00800963" w:rsidP="00B07771">
            <w:pPr>
              <w:pStyle w:val="COMTabletext"/>
              <w:keepNext w:val="0"/>
              <w:jc w:val="center"/>
              <w:rPr>
                <w:szCs w:val="20"/>
              </w:rPr>
            </w:pPr>
            <w:r w:rsidRPr="00800963">
              <w:rPr>
                <w:color w:val="000000"/>
                <w:spacing w:val="55"/>
                <w:szCs w:val="20"/>
                <w:shd w:val="solid" w:color="000000" w:fill="000000"/>
                <w:fitText w:val="336" w:id="-629433083"/>
                <w14:textFill>
                  <w14:solidFill>
                    <w14:srgbClr w14:val="000000">
                      <w14:alpha w14:val="100000"/>
                    </w14:srgbClr>
                  </w14:solidFill>
                </w14:textFill>
              </w:rPr>
              <w:t>|||</w:t>
            </w:r>
            <w:r w:rsidRPr="00800963">
              <w:rPr>
                <w:color w:val="000000"/>
                <w:spacing w:val="1"/>
                <w:szCs w:val="20"/>
                <w:shd w:val="solid" w:color="000000" w:fill="000000"/>
                <w:fitText w:val="336" w:id="-629433083"/>
                <w14:textFill>
                  <w14:solidFill>
                    <w14:srgbClr w14:val="000000">
                      <w14:alpha w14:val="100000"/>
                    </w14:srgbClr>
                  </w14:solidFill>
                </w14:textFill>
              </w:rPr>
              <w:t>|</w:t>
            </w:r>
            <w:r w:rsidR="00B07771" w:rsidRPr="006D075E">
              <w:rPr>
                <w:szCs w:val="20"/>
              </w:rPr>
              <w:t>%</w:t>
            </w:r>
          </w:p>
        </w:tc>
        <w:tc>
          <w:tcPr>
            <w:tcW w:w="1357" w:type="dxa"/>
          </w:tcPr>
          <w:p w14:paraId="7B141C0A" w14:textId="7452D149" w:rsidR="00B07771" w:rsidRPr="00BE5470" w:rsidRDefault="00B07771" w:rsidP="00B07771">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82"/>
                <w14:textFill>
                  <w14:solidFill>
                    <w14:srgbClr w14:val="000000">
                      <w14:alpha w14:val="100000"/>
                    </w14:srgbClr>
                  </w14:solidFill>
                </w14:textFill>
              </w:rPr>
              <w:t>|||</w:t>
            </w:r>
            <w:r w:rsidR="00800963" w:rsidRPr="00800963">
              <w:rPr>
                <w:color w:val="000000"/>
                <w:spacing w:val="1"/>
                <w:szCs w:val="20"/>
                <w:shd w:val="solid" w:color="000000" w:fill="000000"/>
                <w:fitText w:val="336" w:id="-629433082"/>
                <w14:textFill>
                  <w14:solidFill>
                    <w14:srgbClr w14:val="000000">
                      <w14:alpha w14:val="100000"/>
                    </w14:srgbClr>
                  </w14:solidFill>
                </w14:textFill>
              </w:rPr>
              <w:t>|</w:t>
            </w:r>
            <w:r w:rsidR="00BE5470">
              <w:rPr>
                <w:szCs w:val="20"/>
                <w:vertAlign w:val="superscript"/>
              </w:rPr>
              <w:t>3</w:t>
            </w:r>
          </w:p>
        </w:tc>
        <w:tc>
          <w:tcPr>
            <w:tcW w:w="1172" w:type="dxa"/>
          </w:tcPr>
          <w:p w14:paraId="4D84ACE2" w14:textId="3E263EF5" w:rsidR="00B07771" w:rsidRPr="006D075E" w:rsidRDefault="00800963" w:rsidP="00B07771">
            <w:pPr>
              <w:pStyle w:val="COMTabletext"/>
              <w:keepNext w:val="0"/>
              <w:jc w:val="center"/>
              <w:rPr>
                <w:szCs w:val="20"/>
              </w:rPr>
            </w:pPr>
            <w:r w:rsidRPr="00800963">
              <w:rPr>
                <w:color w:val="000000"/>
                <w:spacing w:val="55"/>
                <w:szCs w:val="20"/>
                <w:shd w:val="solid" w:color="000000" w:fill="000000"/>
                <w:fitText w:val="336" w:id="-629433081"/>
                <w14:textFill>
                  <w14:solidFill>
                    <w14:srgbClr w14:val="000000">
                      <w14:alpha w14:val="100000"/>
                    </w14:srgbClr>
                  </w14:solidFill>
                </w14:textFill>
              </w:rPr>
              <w:t>|||</w:t>
            </w:r>
            <w:r w:rsidRPr="00800963">
              <w:rPr>
                <w:color w:val="000000"/>
                <w:spacing w:val="1"/>
                <w:szCs w:val="20"/>
                <w:shd w:val="solid" w:color="000000" w:fill="000000"/>
                <w:fitText w:val="336" w:id="-629433081"/>
                <w14:textFill>
                  <w14:solidFill>
                    <w14:srgbClr w14:val="000000">
                      <w14:alpha w14:val="100000"/>
                    </w14:srgbClr>
                  </w14:solidFill>
                </w14:textFill>
              </w:rPr>
              <w:t>|</w:t>
            </w:r>
            <w:r w:rsidR="00B07771" w:rsidRPr="006D075E">
              <w:rPr>
                <w:szCs w:val="20"/>
              </w:rPr>
              <w:t>%</w:t>
            </w:r>
          </w:p>
        </w:tc>
      </w:tr>
      <w:tr w:rsidR="00B07771" w:rsidRPr="006D075E" w14:paraId="6DC98509" w14:textId="77777777" w:rsidTr="00A97DA3">
        <w:tc>
          <w:tcPr>
            <w:tcW w:w="3837" w:type="dxa"/>
          </w:tcPr>
          <w:p w14:paraId="1063203E" w14:textId="77777777" w:rsidR="00B07771" w:rsidRPr="006D075E" w:rsidRDefault="00B07771" w:rsidP="00B07771">
            <w:pPr>
              <w:pStyle w:val="COMTabletext"/>
              <w:keepNext w:val="0"/>
            </w:pPr>
            <w:r w:rsidRPr="006D075E">
              <w:t>25 years</w:t>
            </w:r>
          </w:p>
        </w:tc>
        <w:tc>
          <w:tcPr>
            <w:tcW w:w="1398" w:type="dxa"/>
          </w:tcPr>
          <w:p w14:paraId="45D89382" w14:textId="69FF582B" w:rsidR="00B07771" w:rsidRPr="000E307A" w:rsidRDefault="00B07771" w:rsidP="00B07771">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80"/>
                <w14:textFill>
                  <w14:solidFill>
                    <w14:srgbClr w14:val="000000">
                      <w14:alpha w14:val="100000"/>
                    </w14:srgbClr>
                  </w14:solidFill>
                </w14:textFill>
              </w:rPr>
              <w:t>|||</w:t>
            </w:r>
            <w:r w:rsidR="00800963" w:rsidRPr="00800963">
              <w:rPr>
                <w:color w:val="000000"/>
                <w:spacing w:val="1"/>
                <w:szCs w:val="20"/>
                <w:shd w:val="solid" w:color="000000" w:fill="000000"/>
                <w:fitText w:val="324" w:id="-629433080"/>
                <w14:textFill>
                  <w14:solidFill>
                    <w14:srgbClr w14:val="000000">
                      <w14:alpha w14:val="100000"/>
                    </w14:srgbClr>
                  </w14:solidFill>
                </w14:textFill>
              </w:rPr>
              <w:t>|</w:t>
            </w:r>
            <w:r w:rsidR="000E307A">
              <w:rPr>
                <w:szCs w:val="20"/>
                <w:vertAlign w:val="superscript"/>
              </w:rPr>
              <w:t>1</w:t>
            </w:r>
          </w:p>
        </w:tc>
        <w:tc>
          <w:tcPr>
            <w:tcW w:w="1172" w:type="dxa"/>
          </w:tcPr>
          <w:p w14:paraId="209FC9C8" w14:textId="1ECD87B7" w:rsidR="00B07771" w:rsidRPr="006D075E" w:rsidRDefault="00B07771" w:rsidP="00B07771">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9"/>
                <w14:textFill>
                  <w14:solidFill>
                    <w14:srgbClr w14:val="000000">
                      <w14:alpha w14:val="100000"/>
                    </w14:srgbClr>
                  </w14:solidFill>
                </w14:textFill>
              </w:rPr>
              <w:t>|||</w:t>
            </w:r>
            <w:r w:rsidR="00800963" w:rsidRPr="00800963">
              <w:rPr>
                <w:color w:val="000000"/>
                <w:spacing w:val="1"/>
                <w:szCs w:val="20"/>
                <w:shd w:val="solid" w:color="000000" w:fill="000000"/>
                <w:fitText w:val="324" w:id="-629433079"/>
                <w14:textFill>
                  <w14:solidFill>
                    <w14:srgbClr w14:val="000000">
                      <w14:alpha w14:val="100000"/>
                    </w14:srgbClr>
                  </w14:solidFill>
                </w14:textFill>
              </w:rPr>
              <w:t>|</w:t>
            </w:r>
            <w:r w:rsidRPr="006D075E">
              <w:rPr>
                <w:szCs w:val="20"/>
              </w:rPr>
              <w:t>%</w:t>
            </w:r>
          </w:p>
        </w:tc>
        <w:tc>
          <w:tcPr>
            <w:tcW w:w="1357" w:type="dxa"/>
          </w:tcPr>
          <w:p w14:paraId="2D0CB22F" w14:textId="47FB7401" w:rsidR="00B07771" w:rsidRPr="00BE5470" w:rsidRDefault="00B07771" w:rsidP="00B07771">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78"/>
                <w14:textFill>
                  <w14:solidFill>
                    <w14:srgbClr w14:val="000000">
                      <w14:alpha w14:val="100000"/>
                    </w14:srgbClr>
                  </w14:solidFill>
                </w14:textFill>
              </w:rPr>
              <w:t>|||</w:t>
            </w:r>
            <w:r w:rsidR="00800963" w:rsidRPr="00800963">
              <w:rPr>
                <w:color w:val="000000"/>
                <w:spacing w:val="1"/>
                <w:szCs w:val="20"/>
                <w:shd w:val="solid" w:color="000000" w:fill="000000"/>
                <w:fitText w:val="336" w:id="-629433078"/>
                <w14:textFill>
                  <w14:solidFill>
                    <w14:srgbClr w14:val="000000">
                      <w14:alpha w14:val="100000"/>
                    </w14:srgbClr>
                  </w14:solidFill>
                </w14:textFill>
              </w:rPr>
              <w:t>|</w:t>
            </w:r>
            <w:r w:rsidR="00BE5470">
              <w:rPr>
                <w:szCs w:val="20"/>
                <w:vertAlign w:val="superscript"/>
              </w:rPr>
              <w:t>3</w:t>
            </w:r>
          </w:p>
        </w:tc>
        <w:tc>
          <w:tcPr>
            <w:tcW w:w="1172" w:type="dxa"/>
          </w:tcPr>
          <w:p w14:paraId="5B1C7536" w14:textId="03BAAC3B" w:rsidR="00B07771" w:rsidRPr="006D075E" w:rsidRDefault="00800963" w:rsidP="00B07771">
            <w:pPr>
              <w:pStyle w:val="COMTabletext"/>
              <w:keepNext w:val="0"/>
              <w:jc w:val="center"/>
              <w:rPr>
                <w:szCs w:val="20"/>
              </w:rPr>
            </w:pPr>
            <w:r w:rsidRPr="00800963">
              <w:rPr>
                <w:color w:val="000000"/>
                <w:spacing w:val="55"/>
                <w:szCs w:val="20"/>
                <w:shd w:val="solid" w:color="000000" w:fill="000000"/>
                <w:fitText w:val="336" w:id="-629433077"/>
                <w14:textFill>
                  <w14:solidFill>
                    <w14:srgbClr w14:val="000000">
                      <w14:alpha w14:val="100000"/>
                    </w14:srgbClr>
                  </w14:solidFill>
                </w14:textFill>
              </w:rPr>
              <w:t>|||</w:t>
            </w:r>
            <w:r w:rsidRPr="00800963">
              <w:rPr>
                <w:color w:val="000000"/>
                <w:spacing w:val="1"/>
                <w:szCs w:val="20"/>
                <w:shd w:val="solid" w:color="000000" w:fill="000000"/>
                <w:fitText w:val="336" w:id="-629433077"/>
                <w14:textFill>
                  <w14:solidFill>
                    <w14:srgbClr w14:val="000000">
                      <w14:alpha w14:val="100000"/>
                    </w14:srgbClr>
                  </w14:solidFill>
                </w14:textFill>
              </w:rPr>
              <w:t>|</w:t>
            </w:r>
            <w:r w:rsidR="00B07771" w:rsidRPr="006D075E">
              <w:rPr>
                <w:szCs w:val="20"/>
              </w:rPr>
              <w:t>%</w:t>
            </w:r>
          </w:p>
        </w:tc>
      </w:tr>
      <w:tr w:rsidR="0008166B" w:rsidRPr="006D075E" w14:paraId="450160C5" w14:textId="77777777" w:rsidTr="00A97DA3">
        <w:tc>
          <w:tcPr>
            <w:tcW w:w="8936" w:type="dxa"/>
            <w:gridSpan w:val="5"/>
          </w:tcPr>
          <w:p w14:paraId="6701A41A" w14:textId="77777777" w:rsidR="0008166B" w:rsidRPr="006D075E" w:rsidRDefault="0008166B">
            <w:pPr>
              <w:pStyle w:val="COMTabletext"/>
              <w:keepNext w:val="0"/>
              <w:rPr>
                <w:b/>
                <w:bCs w:val="0"/>
              </w:rPr>
            </w:pPr>
            <w:r w:rsidRPr="006D075E">
              <w:rPr>
                <w:b/>
                <w:bCs w:val="0"/>
              </w:rPr>
              <w:t>Extrapolation of survival curves (base case: Kaplan-Meier data used for 45 months, based on median follow-up of the ECHO trial)</w:t>
            </w:r>
          </w:p>
        </w:tc>
      </w:tr>
      <w:tr w:rsidR="00B07771" w:rsidRPr="006D075E" w14:paraId="7823962C" w14:textId="77777777" w:rsidTr="00A97DA3">
        <w:tc>
          <w:tcPr>
            <w:tcW w:w="3837" w:type="dxa"/>
          </w:tcPr>
          <w:p w14:paraId="60EA51E9" w14:textId="77777777" w:rsidR="00B07771" w:rsidRPr="006D075E" w:rsidRDefault="00B07771" w:rsidP="00B07771">
            <w:pPr>
              <w:pStyle w:val="COMTabletext"/>
              <w:keepNext w:val="0"/>
            </w:pPr>
            <w:r w:rsidRPr="006D075E">
              <w:t>Extrapolation of KM curves from 50 months</w:t>
            </w:r>
          </w:p>
        </w:tc>
        <w:tc>
          <w:tcPr>
            <w:tcW w:w="1398" w:type="dxa"/>
          </w:tcPr>
          <w:p w14:paraId="18554A83" w14:textId="24A8C53F" w:rsidR="00B07771" w:rsidRPr="000E307A" w:rsidRDefault="00B07771" w:rsidP="00B07771">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76"/>
                <w14:textFill>
                  <w14:solidFill>
                    <w14:srgbClr w14:val="000000">
                      <w14:alpha w14:val="100000"/>
                    </w14:srgbClr>
                  </w14:solidFill>
                </w14:textFill>
              </w:rPr>
              <w:t>|||</w:t>
            </w:r>
            <w:r w:rsidR="00800963" w:rsidRPr="00800963">
              <w:rPr>
                <w:color w:val="000000"/>
                <w:spacing w:val="1"/>
                <w:szCs w:val="20"/>
                <w:shd w:val="solid" w:color="000000" w:fill="000000"/>
                <w:fitText w:val="324" w:id="-629433076"/>
                <w14:textFill>
                  <w14:solidFill>
                    <w14:srgbClr w14:val="000000">
                      <w14:alpha w14:val="100000"/>
                    </w14:srgbClr>
                  </w14:solidFill>
                </w14:textFill>
              </w:rPr>
              <w:t>|</w:t>
            </w:r>
            <w:r w:rsidR="000E307A">
              <w:rPr>
                <w:szCs w:val="20"/>
                <w:vertAlign w:val="superscript"/>
              </w:rPr>
              <w:t>1</w:t>
            </w:r>
          </w:p>
        </w:tc>
        <w:tc>
          <w:tcPr>
            <w:tcW w:w="1172" w:type="dxa"/>
          </w:tcPr>
          <w:p w14:paraId="1B184887" w14:textId="0818B4D2" w:rsidR="00B07771" w:rsidRPr="006D075E" w:rsidRDefault="00B07771" w:rsidP="00B07771">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5"/>
                <w14:textFill>
                  <w14:solidFill>
                    <w14:srgbClr w14:val="000000">
                      <w14:alpha w14:val="100000"/>
                    </w14:srgbClr>
                  </w14:solidFill>
                </w14:textFill>
              </w:rPr>
              <w:t>|||</w:t>
            </w:r>
            <w:r w:rsidR="00800963" w:rsidRPr="00800963">
              <w:rPr>
                <w:color w:val="000000"/>
                <w:spacing w:val="1"/>
                <w:szCs w:val="20"/>
                <w:shd w:val="solid" w:color="000000" w:fill="000000"/>
                <w:fitText w:val="324" w:id="-629433075"/>
                <w14:textFill>
                  <w14:solidFill>
                    <w14:srgbClr w14:val="000000">
                      <w14:alpha w14:val="100000"/>
                    </w14:srgbClr>
                  </w14:solidFill>
                </w14:textFill>
              </w:rPr>
              <w:t>|</w:t>
            </w:r>
            <w:r w:rsidRPr="006D075E">
              <w:rPr>
                <w:szCs w:val="20"/>
              </w:rPr>
              <w:t>%</w:t>
            </w:r>
          </w:p>
        </w:tc>
        <w:tc>
          <w:tcPr>
            <w:tcW w:w="1357" w:type="dxa"/>
          </w:tcPr>
          <w:p w14:paraId="0DA31AB8" w14:textId="3C682D74" w:rsidR="00B07771" w:rsidRPr="00BE5470" w:rsidRDefault="00B07771" w:rsidP="00B07771">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74"/>
                <w14:textFill>
                  <w14:solidFill>
                    <w14:srgbClr w14:val="000000">
                      <w14:alpha w14:val="100000"/>
                    </w14:srgbClr>
                  </w14:solidFill>
                </w14:textFill>
              </w:rPr>
              <w:t>|||</w:t>
            </w:r>
            <w:r w:rsidR="00800963" w:rsidRPr="00800963">
              <w:rPr>
                <w:color w:val="000000"/>
                <w:spacing w:val="1"/>
                <w:szCs w:val="20"/>
                <w:shd w:val="solid" w:color="000000" w:fill="000000"/>
                <w:fitText w:val="336" w:id="-629433074"/>
                <w14:textFill>
                  <w14:solidFill>
                    <w14:srgbClr w14:val="000000">
                      <w14:alpha w14:val="100000"/>
                    </w14:srgbClr>
                  </w14:solidFill>
                </w14:textFill>
              </w:rPr>
              <w:t>|</w:t>
            </w:r>
            <w:r w:rsidR="00BE5470">
              <w:rPr>
                <w:szCs w:val="20"/>
                <w:vertAlign w:val="superscript"/>
              </w:rPr>
              <w:t>3</w:t>
            </w:r>
          </w:p>
        </w:tc>
        <w:tc>
          <w:tcPr>
            <w:tcW w:w="1172" w:type="dxa"/>
          </w:tcPr>
          <w:p w14:paraId="4544B6BF" w14:textId="47C1C11E" w:rsidR="00B07771" w:rsidRPr="006D075E" w:rsidRDefault="00B07771" w:rsidP="00B07771">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3"/>
                <w14:textFill>
                  <w14:solidFill>
                    <w14:srgbClr w14:val="000000">
                      <w14:alpha w14:val="100000"/>
                    </w14:srgbClr>
                  </w14:solidFill>
                </w14:textFill>
              </w:rPr>
              <w:t>|||</w:t>
            </w:r>
            <w:r w:rsidR="00800963" w:rsidRPr="00800963">
              <w:rPr>
                <w:color w:val="000000"/>
                <w:spacing w:val="1"/>
                <w:szCs w:val="20"/>
                <w:shd w:val="solid" w:color="000000" w:fill="000000"/>
                <w:fitText w:val="324" w:id="-629433073"/>
                <w14:textFill>
                  <w14:solidFill>
                    <w14:srgbClr w14:val="000000">
                      <w14:alpha w14:val="100000"/>
                    </w14:srgbClr>
                  </w14:solidFill>
                </w14:textFill>
              </w:rPr>
              <w:t>|</w:t>
            </w:r>
            <w:r w:rsidRPr="006D075E">
              <w:rPr>
                <w:szCs w:val="20"/>
              </w:rPr>
              <w:t>%</w:t>
            </w:r>
          </w:p>
        </w:tc>
      </w:tr>
      <w:tr w:rsidR="00B07771" w:rsidRPr="006D075E" w14:paraId="602B6ABF" w14:textId="77777777" w:rsidTr="00A97DA3">
        <w:tc>
          <w:tcPr>
            <w:tcW w:w="3837" w:type="dxa"/>
          </w:tcPr>
          <w:p w14:paraId="08451F8E" w14:textId="77777777" w:rsidR="00B07771" w:rsidRPr="006D075E" w:rsidRDefault="00B07771" w:rsidP="00B07771">
            <w:pPr>
              <w:pStyle w:val="COMTabletext"/>
              <w:keepNext w:val="0"/>
            </w:pPr>
            <w:r w:rsidRPr="006D075E">
              <w:t>Extrapolation of KM curves from 55 months</w:t>
            </w:r>
          </w:p>
        </w:tc>
        <w:tc>
          <w:tcPr>
            <w:tcW w:w="1398" w:type="dxa"/>
          </w:tcPr>
          <w:p w14:paraId="5ED850F1" w14:textId="214FBE28" w:rsidR="00B07771" w:rsidRPr="005F3822" w:rsidRDefault="00B07771" w:rsidP="00B07771">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72"/>
                <w14:textFill>
                  <w14:solidFill>
                    <w14:srgbClr w14:val="000000">
                      <w14:alpha w14:val="100000"/>
                    </w14:srgbClr>
                  </w14:solidFill>
                </w14:textFill>
              </w:rPr>
              <w:t>|||</w:t>
            </w:r>
            <w:r w:rsidR="00800963" w:rsidRPr="00800963">
              <w:rPr>
                <w:color w:val="000000"/>
                <w:spacing w:val="1"/>
                <w:szCs w:val="20"/>
                <w:shd w:val="solid" w:color="000000" w:fill="000000"/>
                <w:fitText w:val="324" w:id="-629433072"/>
                <w14:textFill>
                  <w14:solidFill>
                    <w14:srgbClr w14:val="000000">
                      <w14:alpha w14:val="100000"/>
                    </w14:srgbClr>
                  </w14:solidFill>
                </w14:textFill>
              </w:rPr>
              <w:t>|</w:t>
            </w:r>
            <w:r w:rsidR="005F3822">
              <w:rPr>
                <w:szCs w:val="20"/>
                <w:vertAlign w:val="superscript"/>
              </w:rPr>
              <w:t>2</w:t>
            </w:r>
          </w:p>
        </w:tc>
        <w:tc>
          <w:tcPr>
            <w:tcW w:w="1172" w:type="dxa"/>
          </w:tcPr>
          <w:p w14:paraId="2BA61CE5" w14:textId="58ACC5C4" w:rsidR="00B07771" w:rsidRPr="006D075E" w:rsidRDefault="00800963" w:rsidP="00B07771">
            <w:pPr>
              <w:pStyle w:val="COMTabletext"/>
              <w:keepNext w:val="0"/>
              <w:jc w:val="center"/>
              <w:rPr>
                <w:szCs w:val="20"/>
              </w:rPr>
            </w:pPr>
            <w:r w:rsidRPr="00800963">
              <w:rPr>
                <w:color w:val="000000"/>
                <w:spacing w:val="55"/>
                <w:szCs w:val="20"/>
                <w:shd w:val="solid" w:color="000000" w:fill="000000"/>
                <w:fitText w:val="336" w:id="-629433088"/>
                <w14:textFill>
                  <w14:solidFill>
                    <w14:srgbClr w14:val="000000">
                      <w14:alpha w14:val="100000"/>
                    </w14:srgbClr>
                  </w14:solidFill>
                </w14:textFill>
              </w:rPr>
              <w:t>|||</w:t>
            </w:r>
            <w:r w:rsidRPr="00800963">
              <w:rPr>
                <w:color w:val="000000"/>
                <w:spacing w:val="1"/>
                <w:szCs w:val="20"/>
                <w:shd w:val="solid" w:color="000000" w:fill="000000"/>
                <w:fitText w:val="336" w:id="-629433088"/>
                <w14:textFill>
                  <w14:solidFill>
                    <w14:srgbClr w14:val="000000">
                      <w14:alpha w14:val="100000"/>
                    </w14:srgbClr>
                  </w14:solidFill>
                </w14:textFill>
              </w:rPr>
              <w:t>|</w:t>
            </w:r>
            <w:r w:rsidR="00B07771" w:rsidRPr="006D075E">
              <w:rPr>
                <w:szCs w:val="20"/>
              </w:rPr>
              <w:t>%</w:t>
            </w:r>
          </w:p>
        </w:tc>
        <w:tc>
          <w:tcPr>
            <w:tcW w:w="1357" w:type="dxa"/>
          </w:tcPr>
          <w:p w14:paraId="1EAF53E3" w14:textId="344A45AC" w:rsidR="00B07771" w:rsidRPr="00BB3C18" w:rsidRDefault="00B07771" w:rsidP="00B07771">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87"/>
                <w14:textFill>
                  <w14:solidFill>
                    <w14:srgbClr w14:val="000000">
                      <w14:alpha w14:val="100000"/>
                    </w14:srgbClr>
                  </w14:solidFill>
                </w14:textFill>
              </w:rPr>
              <w:t>|||</w:t>
            </w:r>
            <w:r w:rsidR="00800963" w:rsidRPr="00800963">
              <w:rPr>
                <w:color w:val="000000"/>
                <w:spacing w:val="1"/>
                <w:szCs w:val="20"/>
                <w:shd w:val="solid" w:color="000000" w:fill="000000"/>
                <w:fitText w:val="336" w:id="-629433087"/>
                <w14:textFill>
                  <w14:solidFill>
                    <w14:srgbClr w14:val="000000">
                      <w14:alpha w14:val="100000"/>
                    </w14:srgbClr>
                  </w14:solidFill>
                </w14:textFill>
              </w:rPr>
              <w:t>|</w:t>
            </w:r>
            <w:r w:rsidR="00BB3C18">
              <w:rPr>
                <w:szCs w:val="20"/>
                <w:vertAlign w:val="superscript"/>
              </w:rPr>
              <w:t>4</w:t>
            </w:r>
          </w:p>
        </w:tc>
        <w:tc>
          <w:tcPr>
            <w:tcW w:w="1172" w:type="dxa"/>
          </w:tcPr>
          <w:p w14:paraId="4731E502" w14:textId="4A1EFF24" w:rsidR="00B07771" w:rsidRPr="006D075E" w:rsidRDefault="00800963" w:rsidP="00B07771">
            <w:pPr>
              <w:pStyle w:val="COMTabletext"/>
              <w:keepNext w:val="0"/>
              <w:jc w:val="center"/>
              <w:rPr>
                <w:szCs w:val="20"/>
              </w:rPr>
            </w:pPr>
            <w:r w:rsidRPr="00800963">
              <w:rPr>
                <w:color w:val="000000"/>
                <w:spacing w:val="55"/>
                <w:szCs w:val="20"/>
                <w:shd w:val="solid" w:color="000000" w:fill="000000"/>
                <w:fitText w:val="336" w:id="-629433086"/>
                <w14:textFill>
                  <w14:solidFill>
                    <w14:srgbClr w14:val="000000">
                      <w14:alpha w14:val="100000"/>
                    </w14:srgbClr>
                  </w14:solidFill>
                </w14:textFill>
              </w:rPr>
              <w:t>|||</w:t>
            </w:r>
            <w:r w:rsidRPr="00800963">
              <w:rPr>
                <w:color w:val="000000"/>
                <w:spacing w:val="1"/>
                <w:szCs w:val="20"/>
                <w:shd w:val="solid" w:color="000000" w:fill="000000"/>
                <w:fitText w:val="336" w:id="-629433086"/>
                <w14:textFill>
                  <w14:solidFill>
                    <w14:srgbClr w14:val="000000">
                      <w14:alpha w14:val="100000"/>
                    </w14:srgbClr>
                  </w14:solidFill>
                </w14:textFill>
              </w:rPr>
              <w:t>|</w:t>
            </w:r>
            <w:r w:rsidR="00B07771" w:rsidRPr="006D075E">
              <w:rPr>
                <w:szCs w:val="20"/>
              </w:rPr>
              <w:t>%</w:t>
            </w:r>
          </w:p>
        </w:tc>
      </w:tr>
      <w:tr w:rsidR="00B07771" w:rsidRPr="006D075E" w14:paraId="6995DD26" w14:textId="77777777" w:rsidTr="00A97DA3">
        <w:trPr>
          <w:trHeight w:val="70"/>
        </w:trPr>
        <w:tc>
          <w:tcPr>
            <w:tcW w:w="3837" w:type="dxa"/>
          </w:tcPr>
          <w:p w14:paraId="7CAB063D" w14:textId="77777777" w:rsidR="00B07771" w:rsidRPr="006D075E" w:rsidRDefault="00B07771" w:rsidP="00B07771">
            <w:pPr>
              <w:pStyle w:val="COMTabletext"/>
              <w:keepNext w:val="0"/>
            </w:pPr>
            <w:r w:rsidRPr="006D075E">
              <w:t>Extrapolation of KM curves from 60 months</w:t>
            </w:r>
          </w:p>
        </w:tc>
        <w:tc>
          <w:tcPr>
            <w:tcW w:w="1398" w:type="dxa"/>
            <w:vAlign w:val="bottom"/>
          </w:tcPr>
          <w:p w14:paraId="481B3EBB" w14:textId="3323E921" w:rsidR="00B07771" w:rsidRPr="005F3822" w:rsidRDefault="00B07771" w:rsidP="00B07771">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85"/>
                <w14:textFill>
                  <w14:solidFill>
                    <w14:srgbClr w14:val="000000">
                      <w14:alpha w14:val="100000"/>
                    </w14:srgbClr>
                  </w14:solidFill>
                </w14:textFill>
              </w:rPr>
              <w:t>|||</w:t>
            </w:r>
            <w:r w:rsidR="00800963" w:rsidRPr="00800963">
              <w:rPr>
                <w:color w:val="000000"/>
                <w:spacing w:val="1"/>
                <w:szCs w:val="20"/>
                <w:shd w:val="solid" w:color="000000" w:fill="000000"/>
                <w:fitText w:val="324" w:id="-629433085"/>
                <w14:textFill>
                  <w14:solidFill>
                    <w14:srgbClr w14:val="000000">
                      <w14:alpha w14:val="100000"/>
                    </w14:srgbClr>
                  </w14:solidFill>
                </w14:textFill>
              </w:rPr>
              <w:t>|</w:t>
            </w:r>
            <w:r w:rsidR="005F3822">
              <w:rPr>
                <w:szCs w:val="20"/>
                <w:vertAlign w:val="superscript"/>
              </w:rPr>
              <w:t>2</w:t>
            </w:r>
          </w:p>
        </w:tc>
        <w:tc>
          <w:tcPr>
            <w:tcW w:w="1172" w:type="dxa"/>
            <w:vAlign w:val="bottom"/>
          </w:tcPr>
          <w:p w14:paraId="58426D6A" w14:textId="64ADAB04" w:rsidR="00B07771" w:rsidRPr="006D075E" w:rsidRDefault="00800963" w:rsidP="00B07771">
            <w:pPr>
              <w:pStyle w:val="COMTabletext"/>
              <w:keepNext w:val="0"/>
              <w:jc w:val="center"/>
              <w:rPr>
                <w:szCs w:val="20"/>
              </w:rPr>
            </w:pPr>
            <w:r w:rsidRPr="00800963">
              <w:rPr>
                <w:color w:val="000000"/>
                <w:spacing w:val="55"/>
                <w:szCs w:val="20"/>
                <w:shd w:val="solid" w:color="000000" w:fill="000000"/>
                <w:fitText w:val="336" w:id="-629433084"/>
                <w14:textFill>
                  <w14:solidFill>
                    <w14:srgbClr w14:val="000000">
                      <w14:alpha w14:val="100000"/>
                    </w14:srgbClr>
                  </w14:solidFill>
                </w14:textFill>
              </w:rPr>
              <w:t>|||</w:t>
            </w:r>
            <w:r w:rsidRPr="00800963">
              <w:rPr>
                <w:color w:val="000000"/>
                <w:spacing w:val="1"/>
                <w:szCs w:val="20"/>
                <w:shd w:val="solid" w:color="000000" w:fill="000000"/>
                <w:fitText w:val="336" w:id="-629433084"/>
                <w14:textFill>
                  <w14:solidFill>
                    <w14:srgbClr w14:val="000000">
                      <w14:alpha w14:val="100000"/>
                    </w14:srgbClr>
                  </w14:solidFill>
                </w14:textFill>
              </w:rPr>
              <w:t>|</w:t>
            </w:r>
            <w:r w:rsidR="00B07771" w:rsidRPr="006D075E">
              <w:rPr>
                <w:szCs w:val="20"/>
              </w:rPr>
              <w:t>%</w:t>
            </w:r>
          </w:p>
        </w:tc>
        <w:tc>
          <w:tcPr>
            <w:tcW w:w="1357" w:type="dxa"/>
            <w:vAlign w:val="bottom"/>
          </w:tcPr>
          <w:p w14:paraId="076C616A" w14:textId="4D8D2255" w:rsidR="00B07771" w:rsidRPr="00BE5470" w:rsidRDefault="00B07771" w:rsidP="00B07771">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83"/>
                <w14:textFill>
                  <w14:solidFill>
                    <w14:srgbClr w14:val="000000">
                      <w14:alpha w14:val="100000"/>
                    </w14:srgbClr>
                  </w14:solidFill>
                </w14:textFill>
              </w:rPr>
              <w:t>|||</w:t>
            </w:r>
            <w:r w:rsidR="00800963" w:rsidRPr="00800963">
              <w:rPr>
                <w:color w:val="000000"/>
                <w:spacing w:val="1"/>
                <w:szCs w:val="20"/>
                <w:shd w:val="solid" w:color="000000" w:fill="000000"/>
                <w:fitText w:val="336" w:id="-629433083"/>
                <w14:textFill>
                  <w14:solidFill>
                    <w14:srgbClr w14:val="000000">
                      <w14:alpha w14:val="100000"/>
                    </w14:srgbClr>
                  </w14:solidFill>
                </w14:textFill>
              </w:rPr>
              <w:t>|</w:t>
            </w:r>
            <w:r w:rsidR="00BE5470">
              <w:rPr>
                <w:szCs w:val="20"/>
                <w:vertAlign w:val="superscript"/>
              </w:rPr>
              <w:t>3</w:t>
            </w:r>
          </w:p>
        </w:tc>
        <w:tc>
          <w:tcPr>
            <w:tcW w:w="1172" w:type="dxa"/>
            <w:vAlign w:val="bottom"/>
          </w:tcPr>
          <w:p w14:paraId="63E1D42E" w14:textId="69C4A95C" w:rsidR="00B07771" w:rsidRPr="006D075E" w:rsidRDefault="00B07771" w:rsidP="00B07771">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82"/>
                <w14:textFill>
                  <w14:solidFill>
                    <w14:srgbClr w14:val="000000">
                      <w14:alpha w14:val="100000"/>
                    </w14:srgbClr>
                  </w14:solidFill>
                </w14:textFill>
              </w:rPr>
              <w:t>|||</w:t>
            </w:r>
            <w:r w:rsidR="00800963" w:rsidRPr="00800963">
              <w:rPr>
                <w:color w:val="000000"/>
                <w:spacing w:val="1"/>
                <w:szCs w:val="20"/>
                <w:shd w:val="solid" w:color="000000" w:fill="000000"/>
                <w:fitText w:val="324" w:id="-629433082"/>
                <w14:textFill>
                  <w14:solidFill>
                    <w14:srgbClr w14:val="000000">
                      <w14:alpha w14:val="100000"/>
                    </w14:srgbClr>
                  </w14:solidFill>
                </w14:textFill>
              </w:rPr>
              <w:t>|</w:t>
            </w:r>
            <w:r w:rsidRPr="006D075E">
              <w:rPr>
                <w:szCs w:val="20"/>
              </w:rPr>
              <w:t>%</w:t>
            </w:r>
          </w:p>
        </w:tc>
      </w:tr>
      <w:tr w:rsidR="0008166B" w:rsidRPr="006D075E" w14:paraId="20E43DC5" w14:textId="77777777" w:rsidTr="00A97DA3">
        <w:trPr>
          <w:trHeight w:val="70"/>
        </w:trPr>
        <w:tc>
          <w:tcPr>
            <w:tcW w:w="8936" w:type="dxa"/>
            <w:gridSpan w:val="5"/>
          </w:tcPr>
          <w:p w14:paraId="3551DEFC" w14:textId="4763B417" w:rsidR="0008166B" w:rsidRPr="006D075E" w:rsidRDefault="0008166B">
            <w:pPr>
              <w:pStyle w:val="COMTabletext"/>
              <w:keepNext w:val="0"/>
              <w:rPr>
                <w:rFonts w:cs="Calibri"/>
                <w:color w:val="000000"/>
                <w:szCs w:val="20"/>
              </w:rPr>
            </w:pPr>
            <w:r w:rsidRPr="006D075E">
              <w:rPr>
                <w:b/>
                <w:bCs w:val="0"/>
              </w:rPr>
              <w:t>Overall survival (OS) extrapolation (base case: log-normal function</w:t>
            </w:r>
            <w:r w:rsidR="008F1022" w:rsidRPr="006D075E">
              <w:rPr>
                <w:b/>
                <w:bCs w:val="0"/>
              </w:rPr>
              <w:t xml:space="preserve"> for COVID- censored and gen-gamma for FAS</w:t>
            </w:r>
            <w:r w:rsidRPr="006D075E">
              <w:rPr>
                <w:b/>
                <w:bCs w:val="0"/>
              </w:rPr>
              <w:t>)</w:t>
            </w:r>
          </w:p>
        </w:tc>
      </w:tr>
      <w:tr w:rsidR="00B07771" w:rsidRPr="006D075E" w14:paraId="36D161BC" w14:textId="77777777" w:rsidTr="00A97DA3">
        <w:tc>
          <w:tcPr>
            <w:tcW w:w="3837" w:type="dxa"/>
          </w:tcPr>
          <w:p w14:paraId="6F226855" w14:textId="77777777" w:rsidR="00B07771" w:rsidRPr="006D075E" w:rsidRDefault="00B07771" w:rsidP="00B07771">
            <w:pPr>
              <w:pStyle w:val="COMTabletext"/>
              <w:keepNext w:val="0"/>
            </w:pPr>
            <w:r w:rsidRPr="006D075E">
              <w:t>OS extrapolated using an exponential function</w:t>
            </w:r>
          </w:p>
        </w:tc>
        <w:tc>
          <w:tcPr>
            <w:tcW w:w="1398" w:type="dxa"/>
          </w:tcPr>
          <w:p w14:paraId="160986CF" w14:textId="191BD9FE" w:rsidR="00B07771" w:rsidRPr="00802621" w:rsidRDefault="00B07771" w:rsidP="00B07771">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81"/>
                <w14:textFill>
                  <w14:solidFill>
                    <w14:srgbClr w14:val="000000">
                      <w14:alpha w14:val="100000"/>
                    </w14:srgbClr>
                  </w14:solidFill>
                </w14:textFill>
              </w:rPr>
              <w:t>|||</w:t>
            </w:r>
            <w:r w:rsidR="00800963" w:rsidRPr="00800963">
              <w:rPr>
                <w:color w:val="000000"/>
                <w:spacing w:val="1"/>
                <w:szCs w:val="20"/>
                <w:shd w:val="solid" w:color="000000" w:fill="000000"/>
                <w:fitText w:val="324" w:id="-629433081"/>
                <w14:textFill>
                  <w14:solidFill>
                    <w14:srgbClr w14:val="000000">
                      <w14:alpha w14:val="100000"/>
                    </w14:srgbClr>
                  </w14:solidFill>
                </w14:textFill>
              </w:rPr>
              <w:t>|</w:t>
            </w:r>
            <w:r w:rsidR="00802621">
              <w:rPr>
                <w:szCs w:val="20"/>
                <w:vertAlign w:val="superscript"/>
              </w:rPr>
              <w:t>7</w:t>
            </w:r>
          </w:p>
        </w:tc>
        <w:tc>
          <w:tcPr>
            <w:tcW w:w="1172" w:type="dxa"/>
          </w:tcPr>
          <w:p w14:paraId="0685657B" w14:textId="6C73D802" w:rsidR="00B07771" w:rsidRPr="006D075E" w:rsidRDefault="00B07771" w:rsidP="00B07771">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80"/>
                <w14:textFill>
                  <w14:solidFill>
                    <w14:srgbClr w14:val="000000">
                      <w14:alpha w14:val="100000"/>
                    </w14:srgbClr>
                  </w14:solidFill>
                </w14:textFill>
              </w:rPr>
              <w:t>|||</w:t>
            </w:r>
            <w:r w:rsidR="00800963" w:rsidRPr="00800963">
              <w:rPr>
                <w:color w:val="000000"/>
                <w:spacing w:val="1"/>
                <w:szCs w:val="20"/>
                <w:shd w:val="solid" w:color="000000" w:fill="000000"/>
                <w:fitText w:val="324" w:id="-629433080"/>
                <w14:textFill>
                  <w14:solidFill>
                    <w14:srgbClr w14:val="000000">
                      <w14:alpha w14:val="100000"/>
                    </w14:srgbClr>
                  </w14:solidFill>
                </w14:textFill>
              </w:rPr>
              <w:t>|</w:t>
            </w:r>
            <w:r w:rsidRPr="006D075E">
              <w:rPr>
                <w:szCs w:val="20"/>
              </w:rPr>
              <w:t>%</w:t>
            </w:r>
          </w:p>
        </w:tc>
        <w:tc>
          <w:tcPr>
            <w:tcW w:w="1357" w:type="dxa"/>
          </w:tcPr>
          <w:p w14:paraId="4692CE97" w14:textId="25C6AB84" w:rsidR="00B07771" w:rsidRPr="000E307A" w:rsidRDefault="00B07771" w:rsidP="00B07771">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79"/>
                <w14:textFill>
                  <w14:solidFill>
                    <w14:srgbClr w14:val="000000">
                      <w14:alpha w14:val="100000"/>
                    </w14:srgbClr>
                  </w14:solidFill>
                </w14:textFill>
              </w:rPr>
              <w:t>|||</w:t>
            </w:r>
            <w:r w:rsidR="00800963" w:rsidRPr="00800963">
              <w:rPr>
                <w:color w:val="000000"/>
                <w:spacing w:val="1"/>
                <w:szCs w:val="20"/>
                <w:shd w:val="solid" w:color="000000" w:fill="000000"/>
                <w:fitText w:val="336" w:id="-629433079"/>
                <w14:textFill>
                  <w14:solidFill>
                    <w14:srgbClr w14:val="000000">
                      <w14:alpha w14:val="100000"/>
                    </w14:srgbClr>
                  </w14:solidFill>
                </w14:textFill>
              </w:rPr>
              <w:t>|</w:t>
            </w:r>
            <w:r w:rsidR="000E307A">
              <w:rPr>
                <w:szCs w:val="20"/>
                <w:vertAlign w:val="superscript"/>
              </w:rPr>
              <w:t>1</w:t>
            </w:r>
          </w:p>
        </w:tc>
        <w:tc>
          <w:tcPr>
            <w:tcW w:w="1172" w:type="dxa"/>
          </w:tcPr>
          <w:p w14:paraId="090C4575" w14:textId="74D842E1" w:rsidR="00B07771" w:rsidRPr="006D075E" w:rsidRDefault="00B07771" w:rsidP="00B07771">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8"/>
                <w14:textFill>
                  <w14:solidFill>
                    <w14:srgbClr w14:val="000000">
                      <w14:alpha w14:val="100000"/>
                    </w14:srgbClr>
                  </w14:solidFill>
                </w14:textFill>
              </w:rPr>
              <w:t>|||</w:t>
            </w:r>
            <w:r w:rsidR="00800963" w:rsidRPr="00800963">
              <w:rPr>
                <w:color w:val="000000"/>
                <w:spacing w:val="1"/>
                <w:szCs w:val="20"/>
                <w:shd w:val="solid" w:color="000000" w:fill="000000"/>
                <w:fitText w:val="324" w:id="-629433078"/>
                <w14:textFill>
                  <w14:solidFill>
                    <w14:srgbClr w14:val="000000">
                      <w14:alpha w14:val="100000"/>
                    </w14:srgbClr>
                  </w14:solidFill>
                </w14:textFill>
              </w:rPr>
              <w:t>|</w:t>
            </w:r>
            <w:r w:rsidRPr="006D075E">
              <w:rPr>
                <w:szCs w:val="20"/>
              </w:rPr>
              <w:t>%</w:t>
            </w:r>
          </w:p>
        </w:tc>
      </w:tr>
      <w:tr w:rsidR="00B07771" w:rsidRPr="006D075E" w14:paraId="44AA678B" w14:textId="77777777" w:rsidTr="00A97DA3">
        <w:tc>
          <w:tcPr>
            <w:tcW w:w="3837" w:type="dxa"/>
          </w:tcPr>
          <w:p w14:paraId="199F4709" w14:textId="77777777" w:rsidR="00B07771" w:rsidRPr="006D075E" w:rsidRDefault="00B07771" w:rsidP="00B07771">
            <w:pPr>
              <w:pStyle w:val="COMTabletext"/>
              <w:keepNext w:val="0"/>
            </w:pPr>
            <w:r w:rsidRPr="006D075E">
              <w:t>OS extrapolated using a Gompertz function</w:t>
            </w:r>
          </w:p>
        </w:tc>
        <w:tc>
          <w:tcPr>
            <w:tcW w:w="1398" w:type="dxa"/>
          </w:tcPr>
          <w:p w14:paraId="0E74E0AA" w14:textId="2B34D3AA" w:rsidR="00B07771" w:rsidRPr="000E307A" w:rsidRDefault="00B07771" w:rsidP="00B07771">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77"/>
                <w14:textFill>
                  <w14:solidFill>
                    <w14:srgbClr w14:val="000000">
                      <w14:alpha w14:val="100000"/>
                    </w14:srgbClr>
                  </w14:solidFill>
                </w14:textFill>
              </w:rPr>
              <w:t>|||</w:t>
            </w:r>
            <w:r w:rsidR="00800963" w:rsidRPr="00800963">
              <w:rPr>
                <w:color w:val="000000"/>
                <w:spacing w:val="1"/>
                <w:szCs w:val="20"/>
                <w:shd w:val="solid" w:color="000000" w:fill="000000"/>
                <w:fitText w:val="324" w:id="-629433077"/>
                <w14:textFill>
                  <w14:solidFill>
                    <w14:srgbClr w14:val="000000">
                      <w14:alpha w14:val="100000"/>
                    </w14:srgbClr>
                  </w14:solidFill>
                </w14:textFill>
              </w:rPr>
              <w:t>|</w:t>
            </w:r>
            <w:r w:rsidR="000E307A">
              <w:rPr>
                <w:szCs w:val="20"/>
                <w:vertAlign w:val="superscript"/>
              </w:rPr>
              <w:t>1</w:t>
            </w:r>
          </w:p>
        </w:tc>
        <w:tc>
          <w:tcPr>
            <w:tcW w:w="1172" w:type="dxa"/>
          </w:tcPr>
          <w:p w14:paraId="34DB9CAB" w14:textId="7A9DF76C" w:rsidR="00B07771" w:rsidRPr="006D075E" w:rsidRDefault="00B07771" w:rsidP="00B07771">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6"/>
                <w14:textFill>
                  <w14:solidFill>
                    <w14:srgbClr w14:val="000000">
                      <w14:alpha w14:val="100000"/>
                    </w14:srgbClr>
                  </w14:solidFill>
                </w14:textFill>
              </w:rPr>
              <w:t>|||</w:t>
            </w:r>
            <w:r w:rsidR="00800963" w:rsidRPr="00800963">
              <w:rPr>
                <w:color w:val="000000"/>
                <w:spacing w:val="1"/>
                <w:szCs w:val="20"/>
                <w:shd w:val="solid" w:color="000000" w:fill="000000"/>
                <w:fitText w:val="324" w:id="-629433076"/>
                <w14:textFill>
                  <w14:solidFill>
                    <w14:srgbClr w14:val="000000">
                      <w14:alpha w14:val="100000"/>
                    </w14:srgbClr>
                  </w14:solidFill>
                </w14:textFill>
              </w:rPr>
              <w:t>|</w:t>
            </w:r>
            <w:r w:rsidRPr="006D075E">
              <w:rPr>
                <w:szCs w:val="20"/>
              </w:rPr>
              <w:t>%</w:t>
            </w:r>
          </w:p>
        </w:tc>
        <w:tc>
          <w:tcPr>
            <w:tcW w:w="1357" w:type="dxa"/>
          </w:tcPr>
          <w:p w14:paraId="68162DD3" w14:textId="6353BEB6" w:rsidR="00B07771" w:rsidRPr="0060622F" w:rsidRDefault="00B07771" w:rsidP="00B07771">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75"/>
                <w14:textFill>
                  <w14:solidFill>
                    <w14:srgbClr w14:val="000000">
                      <w14:alpha w14:val="100000"/>
                    </w14:srgbClr>
                  </w14:solidFill>
                </w14:textFill>
              </w:rPr>
              <w:t>|||</w:t>
            </w:r>
            <w:r w:rsidR="00800963" w:rsidRPr="00800963">
              <w:rPr>
                <w:color w:val="000000"/>
                <w:spacing w:val="1"/>
                <w:szCs w:val="20"/>
                <w:shd w:val="solid" w:color="000000" w:fill="000000"/>
                <w:fitText w:val="336" w:id="-629433075"/>
                <w14:textFill>
                  <w14:solidFill>
                    <w14:srgbClr w14:val="000000">
                      <w14:alpha w14:val="100000"/>
                    </w14:srgbClr>
                  </w14:solidFill>
                </w14:textFill>
              </w:rPr>
              <w:t>|</w:t>
            </w:r>
            <w:r w:rsidR="0060622F">
              <w:rPr>
                <w:szCs w:val="20"/>
                <w:vertAlign w:val="superscript"/>
              </w:rPr>
              <w:t>5</w:t>
            </w:r>
          </w:p>
        </w:tc>
        <w:tc>
          <w:tcPr>
            <w:tcW w:w="1172" w:type="dxa"/>
          </w:tcPr>
          <w:p w14:paraId="35E8F276" w14:textId="1C761E94" w:rsidR="00B07771" w:rsidRPr="006D075E" w:rsidRDefault="00800963" w:rsidP="00B07771">
            <w:pPr>
              <w:pStyle w:val="COMTabletext"/>
              <w:keepNext w:val="0"/>
              <w:jc w:val="center"/>
              <w:rPr>
                <w:szCs w:val="20"/>
              </w:rPr>
            </w:pPr>
            <w:r w:rsidRPr="00800963">
              <w:rPr>
                <w:color w:val="000000"/>
                <w:spacing w:val="55"/>
                <w:szCs w:val="20"/>
                <w:shd w:val="solid" w:color="000000" w:fill="000000"/>
                <w:fitText w:val="336" w:id="-629433074"/>
                <w14:textFill>
                  <w14:solidFill>
                    <w14:srgbClr w14:val="000000">
                      <w14:alpha w14:val="100000"/>
                    </w14:srgbClr>
                  </w14:solidFill>
                </w14:textFill>
              </w:rPr>
              <w:t>|||</w:t>
            </w:r>
            <w:r w:rsidRPr="00800963">
              <w:rPr>
                <w:color w:val="000000"/>
                <w:spacing w:val="1"/>
                <w:szCs w:val="20"/>
                <w:shd w:val="solid" w:color="000000" w:fill="000000"/>
                <w:fitText w:val="336" w:id="-629433074"/>
                <w14:textFill>
                  <w14:solidFill>
                    <w14:srgbClr w14:val="000000">
                      <w14:alpha w14:val="100000"/>
                    </w14:srgbClr>
                  </w14:solidFill>
                </w14:textFill>
              </w:rPr>
              <w:t>|</w:t>
            </w:r>
            <w:r w:rsidR="00B07771" w:rsidRPr="006D075E">
              <w:rPr>
                <w:szCs w:val="20"/>
              </w:rPr>
              <w:t>%</w:t>
            </w:r>
          </w:p>
        </w:tc>
      </w:tr>
      <w:tr w:rsidR="00B07771" w:rsidRPr="006D075E" w14:paraId="0EA634A7" w14:textId="77777777" w:rsidTr="00A97DA3">
        <w:tc>
          <w:tcPr>
            <w:tcW w:w="3837" w:type="dxa"/>
          </w:tcPr>
          <w:p w14:paraId="58530EB2" w14:textId="2D60D65E" w:rsidR="00B07771" w:rsidRPr="006D075E" w:rsidRDefault="0084339C" w:rsidP="00B07771">
            <w:pPr>
              <w:pStyle w:val="COMTabletext"/>
              <w:keepNext w:val="0"/>
            </w:pPr>
            <w:r w:rsidRPr="006D075E">
              <w:rPr>
                <w:b/>
                <w:bCs w:val="0"/>
              </w:rPr>
              <w:t>#B</w:t>
            </w:r>
            <w:r w:rsidRPr="006D075E">
              <w:t xml:space="preserve"> </w:t>
            </w:r>
            <w:r w:rsidR="00B07771" w:rsidRPr="006D075E">
              <w:t>OS extrapolated using a log-logistic function</w:t>
            </w:r>
          </w:p>
        </w:tc>
        <w:tc>
          <w:tcPr>
            <w:tcW w:w="1398" w:type="dxa"/>
          </w:tcPr>
          <w:p w14:paraId="05679C48" w14:textId="4E710F52" w:rsidR="00B07771" w:rsidRPr="000E307A" w:rsidRDefault="00B07771" w:rsidP="00B07771">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73"/>
                <w14:textFill>
                  <w14:solidFill>
                    <w14:srgbClr w14:val="000000">
                      <w14:alpha w14:val="100000"/>
                    </w14:srgbClr>
                  </w14:solidFill>
                </w14:textFill>
              </w:rPr>
              <w:t>|||</w:t>
            </w:r>
            <w:r w:rsidR="00800963" w:rsidRPr="00800963">
              <w:rPr>
                <w:color w:val="000000"/>
                <w:spacing w:val="1"/>
                <w:szCs w:val="20"/>
                <w:shd w:val="solid" w:color="000000" w:fill="000000"/>
                <w:fitText w:val="324" w:id="-629433073"/>
                <w14:textFill>
                  <w14:solidFill>
                    <w14:srgbClr w14:val="000000">
                      <w14:alpha w14:val="100000"/>
                    </w14:srgbClr>
                  </w14:solidFill>
                </w14:textFill>
              </w:rPr>
              <w:t>|</w:t>
            </w:r>
            <w:r w:rsidR="000E307A">
              <w:rPr>
                <w:szCs w:val="20"/>
                <w:vertAlign w:val="superscript"/>
              </w:rPr>
              <w:t>1</w:t>
            </w:r>
          </w:p>
        </w:tc>
        <w:tc>
          <w:tcPr>
            <w:tcW w:w="1172" w:type="dxa"/>
          </w:tcPr>
          <w:p w14:paraId="72E332EC" w14:textId="0D6D3BFC" w:rsidR="00B07771" w:rsidRPr="006D075E" w:rsidRDefault="00B07771" w:rsidP="00B07771">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2"/>
                <w14:textFill>
                  <w14:solidFill>
                    <w14:srgbClr w14:val="000000">
                      <w14:alpha w14:val="100000"/>
                    </w14:srgbClr>
                  </w14:solidFill>
                </w14:textFill>
              </w:rPr>
              <w:t>|||</w:t>
            </w:r>
            <w:r w:rsidR="00800963" w:rsidRPr="00800963">
              <w:rPr>
                <w:color w:val="000000"/>
                <w:spacing w:val="1"/>
                <w:szCs w:val="20"/>
                <w:shd w:val="solid" w:color="000000" w:fill="000000"/>
                <w:fitText w:val="324" w:id="-629433072"/>
                <w14:textFill>
                  <w14:solidFill>
                    <w14:srgbClr w14:val="000000">
                      <w14:alpha w14:val="100000"/>
                    </w14:srgbClr>
                  </w14:solidFill>
                </w14:textFill>
              </w:rPr>
              <w:t>|</w:t>
            </w:r>
            <w:r w:rsidRPr="006D075E">
              <w:rPr>
                <w:szCs w:val="20"/>
              </w:rPr>
              <w:t>%</w:t>
            </w:r>
          </w:p>
        </w:tc>
        <w:tc>
          <w:tcPr>
            <w:tcW w:w="1357" w:type="dxa"/>
          </w:tcPr>
          <w:p w14:paraId="11256D7D" w14:textId="096C3E35" w:rsidR="00B07771" w:rsidRPr="00BB3C18" w:rsidRDefault="00B07771" w:rsidP="00B07771">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88"/>
                <w14:textFill>
                  <w14:solidFill>
                    <w14:srgbClr w14:val="000000">
                      <w14:alpha w14:val="100000"/>
                    </w14:srgbClr>
                  </w14:solidFill>
                </w14:textFill>
              </w:rPr>
              <w:t>|||</w:t>
            </w:r>
            <w:r w:rsidR="00800963" w:rsidRPr="00800963">
              <w:rPr>
                <w:color w:val="000000"/>
                <w:spacing w:val="1"/>
                <w:szCs w:val="20"/>
                <w:shd w:val="solid" w:color="000000" w:fill="000000"/>
                <w:fitText w:val="336" w:id="-629433088"/>
                <w14:textFill>
                  <w14:solidFill>
                    <w14:srgbClr w14:val="000000">
                      <w14:alpha w14:val="100000"/>
                    </w14:srgbClr>
                  </w14:solidFill>
                </w14:textFill>
              </w:rPr>
              <w:t>|</w:t>
            </w:r>
            <w:r w:rsidR="00BB3C18">
              <w:rPr>
                <w:szCs w:val="20"/>
                <w:vertAlign w:val="superscript"/>
              </w:rPr>
              <w:t>4</w:t>
            </w:r>
          </w:p>
        </w:tc>
        <w:tc>
          <w:tcPr>
            <w:tcW w:w="1172" w:type="dxa"/>
          </w:tcPr>
          <w:p w14:paraId="63E621A9" w14:textId="68D00077" w:rsidR="00B07771" w:rsidRPr="006D075E" w:rsidRDefault="00800963" w:rsidP="00B07771">
            <w:pPr>
              <w:pStyle w:val="COMTabletext"/>
              <w:keepNext w:val="0"/>
              <w:jc w:val="center"/>
              <w:rPr>
                <w:szCs w:val="20"/>
              </w:rPr>
            </w:pPr>
            <w:r w:rsidRPr="00800963">
              <w:rPr>
                <w:color w:val="000000"/>
                <w:spacing w:val="55"/>
                <w:szCs w:val="20"/>
                <w:shd w:val="solid" w:color="000000" w:fill="000000"/>
                <w:fitText w:val="336" w:id="-629433087"/>
                <w14:textFill>
                  <w14:solidFill>
                    <w14:srgbClr w14:val="000000">
                      <w14:alpha w14:val="100000"/>
                    </w14:srgbClr>
                  </w14:solidFill>
                </w14:textFill>
              </w:rPr>
              <w:t>|||</w:t>
            </w:r>
            <w:r w:rsidRPr="00800963">
              <w:rPr>
                <w:color w:val="000000"/>
                <w:spacing w:val="1"/>
                <w:szCs w:val="20"/>
                <w:shd w:val="solid" w:color="000000" w:fill="000000"/>
                <w:fitText w:val="336" w:id="-629433087"/>
                <w14:textFill>
                  <w14:solidFill>
                    <w14:srgbClr w14:val="000000">
                      <w14:alpha w14:val="100000"/>
                    </w14:srgbClr>
                  </w14:solidFill>
                </w14:textFill>
              </w:rPr>
              <w:t>|</w:t>
            </w:r>
            <w:r w:rsidR="00B07771" w:rsidRPr="006D075E">
              <w:rPr>
                <w:szCs w:val="20"/>
              </w:rPr>
              <w:t>%</w:t>
            </w:r>
          </w:p>
        </w:tc>
      </w:tr>
      <w:tr w:rsidR="00B07771" w:rsidRPr="006D075E" w14:paraId="31CE3D93" w14:textId="77777777" w:rsidTr="00A97DA3">
        <w:tc>
          <w:tcPr>
            <w:tcW w:w="3837" w:type="dxa"/>
          </w:tcPr>
          <w:p w14:paraId="193E9F7F" w14:textId="77777777" w:rsidR="00B07771" w:rsidRPr="006D075E" w:rsidRDefault="00B07771" w:rsidP="00B07771">
            <w:pPr>
              <w:pStyle w:val="COMTabletext"/>
              <w:keepNext w:val="0"/>
            </w:pPr>
            <w:r w:rsidRPr="006D075E">
              <w:t>OS extrapolated using a Weibull function</w:t>
            </w:r>
          </w:p>
        </w:tc>
        <w:tc>
          <w:tcPr>
            <w:tcW w:w="1398" w:type="dxa"/>
          </w:tcPr>
          <w:p w14:paraId="127980CA" w14:textId="0DCB11B4" w:rsidR="00B07771" w:rsidRPr="00CA5E84" w:rsidRDefault="00B07771" w:rsidP="00B07771">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86"/>
                <w14:textFill>
                  <w14:solidFill>
                    <w14:srgbClr w14:val="000000">
                      <w14:alpha w14:val="100000"/>
                    </w14:srgbClr>
                  </w14:solidFill>
                </w14:textFill>
              </w:rPr>
              <w:t>|||</w:t>
            </w:r>
            <w:r w:rsidR="00800963" w:rsidRPr="00800963">
              <w:rPr>
                <w:color w:val="000000"/>
                <w:spacing w:val="1"/>
                <w:szCs w:val="20"/>
                <w:shd w:val="solid" w:color="000000" w:fill="000000"/>
                <w:fitText w:val="324" w:id="-629433086"/>
                <w14:textFill>
                  <w14:solidFill>
                    <w14:srgbClr w14:val="000000">
                      <w14:alpha w14:val="100000"/>
                    </w14:srgbClr>
                  </w14:solidFill>
                </w14:textFill>
              </w:rPr>
              <w:t>|</w:t>
            </w:r>
            <w:r w:rsidR="00CA5E84">
              <w:rPr>
                <w:szCs w:val="20"/>
                <w:vertAlign w:val="superscript"/>
              </w:rPr>
              <w:t>8</w:t>
            </w:r>
          </w:p>
        </w:tc>
        <w:tc>
          <w:tcPr>
            <w:tcW w:w="1172" w:type="dxa"/>
          </w:tcPr>
          <w:p w14:paraId="5A4E7AF5" w14:textId="1BC629B8" w:rsidR="00B07771" w:rsidRPr="006D075E" w:rsidRDefault="00B07771" w:rsidP="00B07771">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85"/>
                <w14:textFill>
                  <w14:solidFill>
                    <w14:srgbClr w14:val="000000">
                      <w14:alpha w14:val="100000"/>
                    </w14:srgbClr>
                  </w14:solidFill>
                </w14:textFill>
              </w:rPr>
              <w:t>|||</w:t>
            </w:r>
            <w:r w:rsidR="00800963" w:rsidRPr="00800963">
              <w:rPr>
                <w:color w:val="000000"/>
                <w:spacing w:val="1"/>
                <w:szCs w:val="20"/>
                <w:shd w:val="solid" w:color="000000" w:fill="000000"/>
                <w:fitText w:val="324" w:id="-629433085"/>
                <w14:textFill>
                  <w14:solidFill>
                    <w14:srgbClr w14:val="000000">
                      <w14:alpha w14:val="100000"/>
                    </w14:srgbClr>
                  </w14:solidFill>
                </w14:textFill>
              </w:rPr>
              <w:t>|</w:t>
            </w:r>
            <w:r w:rsidRPr="006D075E">
              <w:rPr>
                <w:szCs w:val="20"/>
              </w:rPr>
              <w:t>%</w:t>
            </w:r>
          </w:p>
        </w:tc>
        <w:tc>
          <w:tcPr>
            <w:tcW w:w="1357" w:type="dxa"/>
          </w:tcPr>
          <w:p w14:paraId="0FCFDDFA" w14:textId="1C250E3C" w:rsidR="00B07771" w:rsidRPr="00D37893" w:rsidRDefault="00B07771" w:rsidP="00B07771">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84"/>
                <w14:textFill>
                  <w14:solidFill>
                    <w14:srgbClr w14:val="000000">
                      <w14:alpha w14:val="100000"/>
                    </w14:srgbClr>
                  </w14:solidFill>
                </w14:textFill>
              </w:rPr>
              <w:t>|||</w:t>
            </w:r>
            <w:r w:rsidR="00800963" w:rsidRPr="00800963">
              <w:rPr>
                <w:color w:val="000000"/>
                <w:spacing w:val="1"/>
                <w:szCs w:val="20"/>
                <w:shd w:val="solid" w:color="000000" w:fill="000000"/>
                <w:fitText w:val="336" w:id="-629433084"/>
                <w14:textFill>
                  <w14:solidFill>
                    <w14:srgbClr w14:val="000000">
                      <w14:alpha w14:val="100000"/>
                    </w14:srgbClr>
                  </w14:solidFill>
                </w14:textFill>
              </w:rPr>
              <w:t>|</w:t>
            </w:r>
            <w:r w:rsidR="00D37893">
              <w:rPr>
                <w:szCs w:val="20"/>
                <w:vertAlign w:val="superscript"/>
              </w:rPr>
              <w:t>6</w:t>
            </w:r>
          </w:p>
        </w:tc>
        <w:tc>
          <w:tcPr>
            <w:tcW w:w="1172" w:type="dxa"/>
          </w:tcPr>
          <w:p w14:paraId="3483728C" w14:textId="7F60435A" w:rsidR="00B07771" w:rsidRPr="006D075E" w:rsidRDefault="00B07771" w:rsidP="00B07771">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83"/>
                <w14:textFill>
                  <w14:solidFill>
                    <w14:srgbClr w14:val="000000">
                      <w14:alpha w14:val="100000"/>
                    </w14:srgbClr>
                  </w14:solidFill>
                </w14:textFill>
              </w:rPr>
              <w:t>|||</w:t>
            </w:r>
            <w:r w:rsidR="00800963" w:rsidRPr="00800963">
              <w:rPr>
                <w:color w:val="000000"/>
                <w:spacing w:val="1"/>
                <w:szCs w:val="20"/>
                <w:shd w:val="solid" w:color="000000" w:fill="000000"/>
                <w:fitText w:val="324" w:id="-629433083"/>
                <w14:textFill>
                  <w14:solidFill>
                    <w14:srgbClr w14:val="000000">
                      <w14:alpha w14:val="100000"/>
                    </w14:srgbClr>
                  </w14:solidFill>
                </w14:textFill>
              </w:rPr>
              <w:t>|</w:t>
            </w:r>
            <w:r w:rsidRPr="006D075E">
              <w:rPr>
                <w:szCs w:val="20"/>
              </w:rPr>
              <w:t>%</w:t>
            </w:r>
          </w:p>
        </w:tc>
      </w:tr>
      <w:tr w:rsidR="00B07771" w:rsidRPr="006D075E" w14:paraId="1CB05569" w14:textId="77777777" w:rsidTr="00A97DA3">
        <w:tc>
          <w:tcPr>
            <w:tcW w:w="3837" w:type="dxa"/>
          </w:tcPr>
          <w:p w14:paraId="501D0CA3" w14:textId="77777777" w:rsidR="00B07771" w:rsidRPr="006D075E" w:rsidRDefault="00B07771" w:rsidP="00B07771">
            <w:pPr>
              <w:pStyle w:val="COMTabletext"/>
              <w:keepNext w:val="0"/>
            </w:pPr>
            <w:r w:rsidRPr="006D075E">
              <w:t>OS extrapolated using a gamma function</w:t>
            </w:r>
          </w:p>
        </w:tc>
        <w:tc>
          <w:tcPr>
            <w:tcW w:w="1398" w:type="dxa"/>
          </w:tcPr>
          <w:p w14:paraId="057ABA10" w14:textId="00D993A7" w:rsidR="00B07771" w:rsidRPr="000E307A" w:rsidRDefault="00B07771" w:rsidP="00B07771">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82"/>
                <w14:textFill>
                  <w14:solidFill>
                    <w14:srgbClr w14:val="000000">
                      <w14:alpha w14:val="100000"/>
                    </w14:srgbClr>
                  </w14:solidFill>
                </w14:textFill>
              </w:rPr>
              <w:t>|||</w:t>
            </w:r>
            <w:r w:rsidR="00800963" w:rsidRPr="00800963">
              <w:rPr>
                <w:color w:val="000000"/>
                <w:spacing w:val="1"/>
                <w:szCs w:val="20"/>
                <w:shd w:val="solid" w:color="000000" w:fill="000000"/>
                <w:fitText w:val="324" w:id="-629433082"/>
                <w14:textFill>
                  <w14:solidFill>
                    <w14:srgbClr w14:val="000000">
                      <w14:alpha w14:val="100000"/>
                    </w14:srgbClr>
                  </w14:solidFill>
                </w14:textFill>
              </w:rPr>
              <w:t>|</w:t>
            </w:r>
            <w:r w:rsidR="000E307A">
              <w:rPr>
                <w:szCs w:val="20"/>
                <w:vertAlign w:val="superscript"/>
              </w:rPr>
              <w:t>1</w:t>
            </w:r>
          </w:p>
        </w:tc>
        <w:tc>
          <w:tcPr>
            <w:tcW w:w="1172" w:type="dxa"/>
          </w:tcPr>
          <w:p w14:paraId="50409A0E" w14:textId="3496D9E2" w:rsidR="00B07771" w:rsidRPr="006D075E" w:rsidRDefault="00B07771" w:rsidP="00B07771">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81"/>
                <w14:textFill>
                  <w14:solidFill>
                    <w14:srgbClr w14:val="000000">
                      <w14:alpha w14:val="100000"/>
                    </w14:srgbClr>
                  </w14:solidFill>
                </w14:textFill>
              </w:rPr>
              <w:t>|||</w:t>
            </w:r>
            <w:r w:rsidR="00800963" w:rsidRPr="00800963">
              <w:rPr>
                <w:color w:val="000000"/>
                <w:spacing w:val="1"/>
                <w:szCs w:val="20"/>
                <w:shd w:val="solid" w:color="000000" w:fill="000000"/>
                <w:fitText w:val="324" w:id="-629433081"/>
                <w14:textFill>
                  <w14:solidFill>
                    <w14:srgbClr w14:val="000000">
                      <w14:alpha w14:val="100000"/>
                    </w14:srgbClr>
                  </w14:solidFill>
                </w14:textFill>
              </w:rPr>
              <w:t>|</w:t>
            </w:r>
            <w:r w:rsidRPr="006D075E">
              <w:rPr>
                <w:szCs w:val="20"/>
              </w:rPr>
              <w:t>%</w:t>
            </w:r>
          </w:p>
        </w:tc>
        <w:tc>
          <w:tcPr>
            <w:tcW w:w="1357" w:type="dxa"/>
          </w:tcPr>
          <w:p w14:paraId="5962E54C" w14:textId="35C9FFB9" w:rsidR="00B07771" w:rsidRPr="006D075E" w:rsidRDefault="00B07771" w:rsidP="00B07771">
            <w:pPr>
              <w:pStyle w:val="COMTabletext"/>
              <w:keepNext w:val="0"/>
              <w:jc w:val="center"/>
              <w:rPr>
                <w:szCs w:val="20"/>
              </w:rPr>
            </w:pPr>
            <w:r w:rsidRPr="006D075E">
              <w:rPr>
                <w:szCs w:val="20"/>
              </w:rPr>
              <w:t>-</w:t>
            </w:r>
          </w:p>
        </w:tc>
        <w:tc>
          <w:tcPr>
            <w:tcW w:w="1172" w:type="dxa"/>
          </w:tcPr>
          <w:p w14:paraId="42038920" w14:textId="34537BF9" w:rsidR="00B07771" w:rsidRPr="006D075E" w:rsidRDefault="00B07771" w:rsidP="00B07771">
            <w:pPr>
              <w:pStyle w:val="COMTabletext"/>
              <w:keepNext w:val="0"/>
              <w:jc w:val="center"/>
              <w:rPr>
                <w:szCs w:val="20"/>
              </w:rPr>
            </w:pPr>
            <w:r w:rsidRPr="006D075E">
              <w:rPr>
                <w:szCs w:val="20"/>
              </w:rPr>
              <w:t>-</w:t>
            </w:r>
          </w:p>
        </w:tc>
      </w:tr>
      <w:tr w:rsidR="001C2063" w:rsidRPr="006D075E" w14:paraId="42381022" w14:textId="77777777" w:rsidTr="00A97DA3">
        <w:tc>
          <w:tcPr>
            <w:tcW w:w="3837" w:type="dxa"/>
          </w:tcPr>
          <w:p w14:paraId="6A1F0A2F" w14:textId="324A7098" w:rsidR="001C2063" w:rsidRPr="006D075E" w:rsidRDefault="001C2063" w:rsidP="001C2063">
            <w:pPr>
              <w:pStyle w:val="COMTabletext"/>
              <w:keepNext w:val="0"/>
            </w:pPr>
            <w:r w:rsidRPr="006D075E">
              <w:t>OS extrapolated using a log-normal function</w:t>
            </w:r>
          </w:p>
        </w:tc>
        <w:tc>
          <w:tcPr>
            <w:tcW w:w="1398" w:type="dxa"/>
            <w:vAlign w:val="center"/>
          </w:tcPr>
          <w:p w14:paraId="43D6918E" w14:textId="16A5E5F9" w:rsidR="001C2063" w:rsidRPr="006D075E" w:rsidRDefault="00B07771" w:rsidP="001C2063">
            <w:pPr>
              <w:pStyle w:val="COMTabletext"/>
              <w:keepNext w:val="0"/>
              <w:jc w:val="center"/>
              <w:rPr>
                <w:szCs w:val="20"/>
              </w:rPr>
            </w:pPr>
            <w:r w:rsidRPr="006D075E">
              <w:rPr>
                <w:szCs w:val="20"/>
              </w:rPr>
              <w:t>-</w:t>
            </w:r>
          </w:p>
        </w:tc>
        <w:tc>
          <w:tcPr>
            <w:tcW w:w="1172" w:type="dxa"/>
            <w:vAlign w:val="center"/>
          </w:tcPr>
          <w:p w14:paraId="199ABE51" w14:textId="5D3F0B15" w:rsidR="001C2063" w:rsidRPr="006D075E" w:rsidRDefault="00B07771" w:rsidP="001C2063">
            <w:pPr>
              <w:pStyle w:val="COMTabletext"/>
              <w:keepNext w:val="0"/>
              <w:jc w:val="center"/>
              <w:rPr>
                <w:szCs w:val="20"/>
              </w:rPr>
            </w:pPr>
            <w:r w:rsidRPr="006D075E">
              <w:rPr>
                <w:szCs w:val="20"/>
              </w:rPr>
              <w:t>-</w:t>
            </w:r>
          </w:p>
        </w:tc>
        <w:tc>
          <w:tcPr>
            <w:tcW w:w="1357" w:type="dxa"/>
          </w:tcPr>
          <w:p w14:paraId="6083F913" w14:textId="0FF64546" w:rsidR="001C2063" w:rsidRPr="00BB3C18" w:rsidRDefault="001C2063" w:rsidP="001C2063">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80"/>
                <w14:textFill>
                  <w14:solidFill>
                    <w14:srgbClr w14:val="000000">
                      <w14:alpha w14:val="100000"/>
                    </w14:srgbClr>
                  </w14:solidFill>
                </w14:textFill>
              </w:rPr>
              <w:t>|||</w:t>
            </w:r>
            <w:r w:rsidR="00800963" w:rsidRPr="00800963">
              <w:rPr>
                <w:color w:val="000000"/>
                <w:spacing w:val="1"/>
                <w:szCs w:val="20"/>
                <w:shd w:val="solid" w:color="000000" w:fill="000000"/>
                <w:fitText w:val="336" w:id="-629433080"/>
                <w14:textFill>
                  <w14:solidFill>
                    <w14:srgbClr w14:val="000000">
                      <w14:alpha w14:val="100000"/>
                    </w14:srgbClr>
                  </w14:solidFill>
                </w14:textFill>
              </w:rPr>
              <w:t>|</w:t>
            </w:r>
            <w:r w:rsidR="00BB3C18">
              <w:rPr>
                <w:szCs w:val="20"/>
                <w:vertAlign w:val="superscript"/>
              </w:rPr>
              <w:t>4</w:t>
            </w:r>
          </w:p>
        </w:tc>
        <w:tc>
          <w:tcPr>
            <w:tcW w:w="1172" w:type="dxa"/>
          </w:tcPr>
          <w:p w14:paraId="41F72AF7" w14:textId="0CDCB757" w:rsidR="001C2063" w:rsidRPr="006D075E" w:rsidRDefault="00800963" w:rsidP="001C2063">
            <w:pPr>
              <w:pStyle w:val="COMTabletext"/>
              <w:keepNext w:val="0"/>
              <w:jc w:val="center"/>
              <w:rPr>
                <w:szCs w:val="20"/>
              </w:rPr>
            </w:pPr>
            <w:r w:rsidRPr="00800963">
              <w:rPr>
                <w:color w:val="000000"/>
                <w:spacing w:val="55"/>
                <w:szCs w:val="20"/>
                <w:shd w:val="solid" w:color="000000" w:fill="000000"/>
                <w:fitText w:val="336" w:id="-629433079"/>
                <w14:textFill>
                  <w14:solidFill>
                    <w14:srgbClr w14:val="000000">
                      <w14:alpha w14:val="100000"/>
                    </w14:srgbClr>
                  </w14:solidFill>
                </w14:textFill>
              </w:rPr>
              <w:t>|||</w:t>
            </w:r>
            <w:r w:rsidRPr="00800963">
              <w:rPr>
                <w:color w:val="000000"/>
                <w:spacing w:val="1"/>
                <w:szCs w:val="20"/>
                <w:shd w:val="solid" w:color="000000" w:fill="000000"/>
                <w:fitText w:val="336" w:id="-629433079"/>
                <w14:textFill>
                  <w14:solidFill>
                    <w14:srgbClr w14:val="000000">
                      <w14:alpha w14:val="100000"/>
                    </w14:srgbClr>
                  </w14:solidFill>
                </w14:textFill>
              </w:rPr>
              <w:t>|</w:t>
            </w:r>
            <w:r w:rsidR="001C2063" w:rsidRPr="006D075E">
              <w:rPr>
                <w:szCs w:val="20"/>
              </w:rPr>
              <w:t>%</w:t>
            </w:r>
          </w:p>
        </w:tc>
      </w:tr>
      <w:tr w:rsidR="0008166B" w:rsidRPr="006D075E" w14:paraId="5170C408" w14:textId="77777777" w:rsidTr="00A97DA3">
        <w:tc>
          <w:tcPr>
            <w:tcW w:w="8936" w:type="dxa"/>
            <w:gridSpan w:val="5"/>
          </w:tcPr>
          <w:p w14:paraId="33C96D3E" w14:textId="77777777" w:rsidR="0008166B" w:rsidRPr="006D075E" w:rsidRDefault="0008166B">
            <w:pPr>
              <w:pStyle w:val="COMTabletext"/>
              <w:keepNext w:val="0"/>
              <w:rPr>
                <w:rFonts w:cs="Calibri"/>
                <w:color w:val="000000"/>
                <w:szCs w:val="20"/>
              </w:rPr>
            </w:pPr>
            <w:r w:rsidRPr="006D075E">
              <w:rPr>
                <w:b/>
                <w:bCs w:val="0"/>
              </w:rPr>
              <w:t>Progression free survival (PFS) extrapolation (base case: log-logistic function)</w:t>
            </w:r>
          </w:p>
        </w:tc>
      </w:tr>
      <w:tr w:rsidR="00C57BED" w:rsidRPr="006D075E" w14:paraId="7617EE5E" w14:textId="77777777" w:rsidTr="00A97DA3">
        <w:tc>
          <w:tcPr>
            <w:tcW w:w="3837" w:type="dxa"/>
          </w:tcPr>
          <w:p w14:paraId="6E1D3EF2" w14:textId="77777777" w:rsidR="00C57BED" w:rsidRPr="006D075E" w:rsidRDefault="00C57BED" w:rsidP="00C57BED">
            <w:pPr>
              <w:pStyle w:val="COMTabletext"/>
              <w:keepNext w:val="0"/>
            </w:pPr>
            <w:r w:rsidRPr="006D075E">
              <w:t>PFS extrapolated using an exponential function</w:t>
            </w:r>
          </w:p>
        </w:tc>
        <w:tc>
          <w:tcPr>
            <w:tcW w:w="1398" w:type="dxa"/>
          </w:tcPr>
          <w:p w14:paraId="7304B429" w14:textId="7BE011EC" w:rsidR="00C57BED" w:rsidRPr="0068648A" w:rsidRDefault="00C57BED" w:rsidP="00C57BED">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78"/>
                <w14:textFill>
                  <w14:solidFill>
                    <w14:srgbClr w14:val="000000">
                      <w14:alpha w14:val="100000"/>
                    </w14:srgbClr>
                  </w14:solidFill>
                </w14:textFill>
              </w:rPr>
              <w:t>|||</w:t>
            </w:r>
            <w:r w:rsidR="00800963" w:rsidRPr="00800963">
              <w:rPr>
                <w:color w:val="000000"/>
                <w:spacing w:val="1"/>
                <w:szCs w:val="20"/>
                <w:shd w:val="solid" w:color="000000" w:fill="000000"/>
                <w:fitText w:val="324" w:id="-629433078"/>
                <w14:textFill>
                  <w14:solidFill>
                    <w14:srgbClr w14:val="000000">
                      <w14:alpha w14:val="100000"/>
                    </w14:srgbClr>
                  </w14:solidFill>
                </w14:textFill>
              </w:rPr>
              <w:t>|</w:t>
            </w:r>
            <w:r w:rsidR="0068648A">
              <w:rPr>
                <w:szCs w:val="20"/>
                <w:vertAlign w:val="superscript"/>
              </w:rPr>
              <w:t>1</w:t>
            </w:r>
          </w:p>
        </w:tc>
        <w:tc>
          <w:tcPr>
            <w:tcW w:w="1172" w:type="dxa"/>
          </w:tcPr>
          <w:p w14:paraId="1680789E" w14:textId="549A29C5" w:rsidR="00C57BED" w:rsidRPr="006D075E" w:rsidRDefault="00C57BED" w:rsidP="00C57BED">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7"/>
                <w14:textFill>
                  <w14:solidFill>
                    <w14:srgbClr w14:val="000000">
                      <w14:alpha w14:val="100000"/>
                    </w14:srgbClr>
                  </w14:solidFill>
                </w14:textFill>
              </w:rPr>
              <w:t>|||</w:t>
            </w:r>
            <w:r w:rsidR="00800963" w:rsidRPr="00800963">
              <w:rPr>
                <w:color w:val="000000"/>
                <w:spacing w:val="1"/>
                <w:szCs w:val="20"/>
                <w:shd w:val="solid" w:color="000000" w:fill="000000"/>
                <w:fitText w:val="324" w:id="-629433077"/>
                <w14:textFill>
                  <w14:solidFill>
                    <w14:srgbClr w14:val="000000">
                      <w14:alpha w14:val="100000"/>
                    </w14:srgbClr>
                  </w14:solidFill>
                </w14:textFill>
              </w:rPr>
              <w:t>|</w:t>
            </w:r>
            <w:r w:rsidRPr="006D075E">
              <w:rPr>
                <w:szCs w:val="20"/>
              </w:rPr>
              <w:t>%</w:t>
            </w:r>
          </w:p>
        </w:tc>
        <w:tc>
          <w:tcPr>
            <w:tcW w:w="1357" w:type="dxa"/>
            <w:vAlign w:val="bottom"/>
          </w:tcPr>
          <w:p w14:paraId="599FF247" w14:textId="34B84E32" w:rsidR="00C57BED" w:rsidRPr="00BE5470" w:rsidRDefault="00C57BED" w:rsidP="00C57BED">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76"/>
                <w14:textFill>
                  <w14:solidFill>
                    <w14:srgbClr w14:val="000000">
                      <w14:alpha w14:val="100000"/>
                    </w14:srgbClr>
                  </w14:solidFill>
                </w14:textFill>
              </w:rPr>
              <w:t>|||</w:t>
            </w:r>
            <w:r w:rsidR="00800963" w:rsidRPr="00800963">
              <w:rPr>
                <w:color w:val="000000"/>
                <w:spacing w:val="1"/>
                <w:szCs w:val="20"/>
                <w:shd w:val="solid" w:color="000000" w:fill="000000"/>
                <w:fitText w:val="336" w:id="-629433076"/>
                <w14:textFill>
                  <w14:solidFill>
                    <w14:srgbClr w14:val="000000">
                      <w14:alpha w14:val="100000"/>
                    </w14:srgbClr>
                  </w14:solidFill>
                </w14:textFill>
              </w:rPr>
              <w:t>|</w:t>
            </w:r>
            <w:r w:rsidR="00BE5470">
              <w:rPr>
                <w:szCs w:val="20"/>
                <w:vertAlign w:val="superscript"/>
              </w:rPr>
              <w:t>3</w:t>
            </w:r>
          </w:p>
        </w:tc>
        <w:tc>
          <w:tcPr>
            <w:tcW w:w="1172" w:type="dxa"/>
            <w:vAlign w:val="bottom"/>
          </w:tcPr>
          <w:p w14:paraId="681E866D" w14:textId="76E4A234" w:rsidR="00C57BED" w:rsidRPr="006D075E" w:rsidRDefault="00C57BED" w:rsidP="00C57BED">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5"/>
                <w14:textFill>
                  <w14:solidFill>
                    <w14:srgbClr w14:val="000000">
                      <w14:alpha w14:val="100000"/>
                    </w14:srgbClr>
                  </w14:solidFill>
                </w14:textFill>
              </w:rPr>
              <w:t>|||</w:t>
            </w:r>
            <w:r w:rsidR="00800963" w:rsidRPr="00800963">
              <w:rPr>
                <w:color w:val="000000"/>
                <w:spacing w:val="1"/>
                <w:szCs w:val="20"/>
                <w:shd w:val="solid" w:color="000000" w:fill="000000"/>
                <w:fitText w:val="324" w:id="-629433075"/>
                <w14:textFill>
                  <w14:solidFill>
                    <w14:srgbClr w14:val="000000">
                      <w14:alpha w14:val="100000"/>
                    </w14:srgbClr>
                  </w14:solidFill>
                </w14:textFill>
              </w:rPr>
              <w:t>|</w:t>
            </w:r>
            <w:r w:rsidRPr="006D075E">
              <w:rPr>
                <w:szCs w:val="20"/>
              </w:rPr>
              <w:t>%</w:t>
            </w:r>
          </w:p>
        </w:tc>
      </w:tr>
      <w:tr w:rsidR="00C57BED" w:rsidRPr="006D075E" w14:paraId="6823FEBE" w14:textId="77777777" w:rsidTr="00A97DA3">
        <w:tc>
          <w:tcPr>
            <w:tcW w:w="3837" w:type="dxa"/>
          </w:tcPr>
          <w:p w14:paraId="0F208623" w14:textId="77777777" w:rsidR="00C57BED" w:rsidRPr="006D075E" w:rsidRDefault="00C57BED" w:rsidP="00C57BED">
            <w:pPr>
              <w:pStyle w:val="COMTabletext"/>
              <w:keepNext w:val="0"/>
            </w:pPr>
            <w:r w:rsidRPr="006D075E">
              <w:t>PFS extrapolated using a Gompertz function</w:t>
            </w:r>
          </w:p>
        </w:tc>
        <w:tc>
          <w:tcPr>
            <w:tcW w:w="1398" w:type="dxa"/>
          </w:tcPr>
          <w:p w14:paraId="6DC69519" w14:textId="5AD2CD21" w:rsidR="00C57BED" w:rsidRPr="0068648A" w:rsidRDefault="00C57BED" w:rsidP="00C57BED">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74"/>
                <w14:textFill>
                  <w14:solidFill>
                    <w14:srgbClr w14:val="000000">
                      <w14:alpha w14:val="100000"/>
                    </w14:srgbClr>
                  </w14:solidFill>
                </w14:textFill>
              </w:rPr>
              <w:t>|||</w:t>
            </w:r>
            <w:r w:rsidR="00800963" w:rsidRPr="00800963">
              <w:rPr>
                <w:color w:val="000000"/>
                <w:spacing w:val="1"/>
                <w:szCs w:val="20"/>
                <w:shd w:val="solid" w:color="000000" w:fill="000000"/>
                <w:fitText w:val="324" w:id="-629433074"/>
                <w14:textFill>
                  <w14:solidFill>
                    <w14:srgbClr w14:val="000000">
                      <w14:alpha w14:val="100000"/>
                    </w14:srgbClr>
                  </w14:solidFill>
                </w14:textFill>
              </w:rPr>
              <w:t>|</w:t>
            </w:r>
            <w:r w:rsidR="0068648A">
              <w:rPr>
                <w:szCs w:val="20"/>
                <w:vertAlign w:val="superscript"/>
              </w:rPr>
              <w:t>1</w:t>
            </w:r>
          </w:p>
        </w:tc>
        <w:tc>
          <w:tcPr>
            <w:tcW w:w="1172" w:type="dxa"/>
          </w:tcPr>
          <w:p w14:paraId="7652DC9C" w14:textId="0C3EA44A" w:rsidR="00C57BED" w:rsidRPr="006D075E" w:rsidRDefault="00C57BED" w:rsidP="00C57BED">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3"/>
                <w14:textFill>
                  <w14:solidFill>
                    <w14:srgbClr w14:val="000000">
                      <w14:alpha w14:val="100000"/>
                    </w14:srgbClr>
                  </w14:solidFill>
                </w14:textFill>
              </w:rPr>
              <w:t>|||</w:t>
            </w:r>
            <w:r w:rsidR="00800963" w:rsidRPr="00800963">
              <w:rPr>
                <w:color w:val="000000"/>
                <w:spacing w:val="1"/>
                <w:szCs w:val="20"/>
                <w:shd w:val="solid" w:color="000000" w:fill="000000"/>
                <w:fitText w:val="324" w:id="-629433073"/>
                <w14:textFill>
                  <w14:solidFill>
                    <w14:srgbClr w14:val="000000">
                      <w14:alpha w14:val="100000"/>
                    </w14:srgbClr>
                  </w14:solidFill>
                </w14:textFill>
              </w:rPr>
              <w:t>|</w:t>
            </w:r>
            <w:r w:rsidRPr="006D075E">
              <w:rPr>
                <w:szCs w:val="20"/>
              </w:rPr>
              <w:t>%</w:t>
            </w:r>
          </w:p>
        </w:tc>
        <w:tc>
          <w:tcPr>
            <w:tcW w:w="1357" w:type="dxa"/>
            <w:vAlign w:val="bottom"/>
          </w:tcPr>
          <w:p w14:paraId="63E648AD" w14:textId="449957FB" w:rsidR="00C57BED" w:rsidRPr="00BB3C18" w:rsidRDefault="00C57BED" w:rsidP="00C57BED">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72"/>
                <w14:textFill>
                  <w14:solidFill>
                    <w14:srgbClr w14:val="000000">
                      <w14:alpha w14:val="100000"/>
                    </w14:srgbClr>
                  </w14:solidFill>
                </w14:textFill>
              </w:rPr>
              <w:t>|||</w:t>
            </w:r>
            <w:r w:rsidR="00800963" w:rsidRPr="00800963">
              <w:rPr>
                <w:color w:val="000000"/>
                <w:spacing w:val="1"/>
                <w:szCs w:val="20"/>
                <w:shd w:val="solid" w:color="000000" w:fill="000000"/>
                <w:fitText w:val="336" w:id="-629433072"/>
                <w14:textFill>
                  <w14:solidFill>
                    <w14:srgbClr w14:val="000000">
                      <w14:alpha w14:val="100000"/>
                    </w14:srgbClr>
                  </w14:solidFill>
                </w14:textFill>
              </w:rPr>
              <w:t>|</w:t>
            </w:r>
            <w:r w:rsidR="00BB3C18">
              <w:rPr>
                <w:szCs w:val="20"/>
                <w:vertAlign w:val="superscript"/>
              </w:rPr>
              <w:t>4</w:t>
            </w:r>
          </w:p>
        </w:tc>
        <w:tc>
          <w:tcPr>
            <w:tcW w:w="1172" w:type="dxa"/>
            <w:vAlign w:val="bottom"/>
          </w:tcPr>
          <w:p w14:paraId="147F065E" w14:textId="534645A8" w:rsidR="00C57BED" w:rsidRPr="006D075E" w:rsidRDefault="00800963" w:rsidP="00C57BED">
            <w:pPr>
              <w:pStyle w:val="COMTabletext"/>
              <w:keepNext w:val="0"/>
              <w:jc w:val="center"/>
              <w:rPr>
                <w:szCs w:val="20"/>
              </w:rPr>
            </w:pPr>
            <w:r w:rsidRPr="00800963">
              <w:rPr>
                <w:color w:val="000000"/>
                <w:spacing w:val="55"/>
                <w:szCs w:val="20"/>
                <w:shd w:val="solid" w:color="000000" w:fill="000000"/>
                <w:fitText w:val="336" w:id="-629433088"/>
                <w14:textFill>
                  <w14:solidFill>
                    <w14:srgbClr w14:val="000000">
                      <w14:alpha w14:val="100000"/>
                    </w14:srgbClr>
                  </w14:solidFill>
                </w14:textFill>
              </w:rPr>
              <w:t>|||</w:t>
            </w:r>
            <w:r w:rsidRPr="00800963">
              <w:rPr>
                <w:color w:val="000000"/>
                <w:spacing w:val="1"/>
                <w:szCs w:val="20"/>
                <w:shd w:val="solid" w:color="000000" w:fill="000000"/>
                <w:fitText w:val="336" w:id="-629433088"/>
                <w14:textFill>
                  <w14:solidFill>
                    <w14:srgbClr w14:val="000000">
                      <w14:alpha w14:val="100000"/>
                    </w14:srgbClr>
                  </w14:solidFill>
                </w14:textFill>
              </w:rPr>
              <w:t>|</w:t>
            </w:r>
            <w:r w:rsidR="00C57BED" w:rsidRPr="006D075E">
              <w:rPr>
                <w:szCs w:val="20"/>
              </w:rPr>
              <w:t>%</w:t>
            </w:r>
          </w:p>
        </w:tc>
      </w:tr>
      <w:tr w:rsidR="00C57BED" w:rsidRPr="006D075E" w14:paraId="51A1EF6F" w14:textId="77777777" w:rsidTr="00A97DA3">
        <w:tc>
          <w:tcPr>
            <w:tcW w:w="3837" w:type="dxa"/>
          </w:tcPr>
          <w:p w14:paraId="47F09A83" w14:textId="77777777" w:rsidR="00C57BED" w:rsidRPr="006D075E" w:rsidRDefault="00C57BED" w:rsidP="00C57BED">
            <w:pPr>
              <w:pStyle w:val="COMTabletext"/>
              <w:keepNext w:val="0"/>
            </w:pPr>
            <w:r w:rsidRPr="006D075E">
              <w:t>PFS extrapolated using a Weibull function</w:t>
            </w:r>
          </w:p>
        </w:tc>
        <w:tc>
          <w:tcPr>
            <w:tcW w:w="1398" w:type="dxa"/>
          </w:tcPr>
          <w:p w14:paraId="7464651C" w14:textId="4A6294C7" w:rsidR="00C57BED" w:rsidRPr="0068648A" w:rsidRDefault="00C57BED" w:rsidP="00C57BED">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87"/>
                <w14:textFill>
                  <w14:solidFill>
                    <w14:srgbClr w14:val="000000">
                      <w14:alpha w14:val="100000"/>
                    </w14:srgbClr>
                  </w14:solidFill>
                </w14:textFill>
              </w:rPr>
              <w:t>|||</w:t>
            </w:r>
            <w:r w:rsidR="00800963" w:rsidRPr="00800963">
              <w:rPr>
                <w:color w:val="000000"/>
                <w:spacing w:val="1"/>
                <w:szCs w:val="20"/>
                <w:shd w:val="solid" w:color="000000" w:fill="000000"/>
                <w:fitText w:val="324" w:id="-629433087"/>
                <w14:textFill>
                  <w14:solidFill>
                    <w14:srgbClr w14:val="000000">
                      <w14:alpha w14:val="100000"/>
                    </w14:srgbClr>
                  </w14:solidFill>
                </w14:textFill>
              </w:rPr>
              <w:t>|</w:t>
            </w:r>
            <w:r w:rsidR="0068648A">
              <w:rPr>
                <w:szCs w:val="20"/>
                <w:vertAlign w:val="superscript"/>
              </w:rPr>
              <w:t>1</w:t>
            </w:r>
          </w:p>
        </w:tc>
        <w:tc>
          <w:tcPr>
            <w:tcW w:w="1172" w:type="dxa"/>
          </w:tcPr>
          <w:p w14:paraId="4A87D4FD" w14:textId="0E1156B3" w:rsidR="00C57BED" w:rsidRPr="006D075E" w:rsidRDefault="00800963" w:rsidP="00C57BED">
            <w:pPr>
              <w:pStyle w:val="COMTabletext"/>
              <w:keepNext w:val="0"/>
              <w:jc w:val="center"/>
              <w:rPr>
                <w:szCs w:val="20"/>
              </w:rPr>
            </w:pPr>
            <w:r w:rsidRPr="00800963">
              <w:rPr>
                <w:color w:val="000000"/>
                <w:spacing w:val="55"/>
                <w:szCs w:val="20"/>
                <w:shd w:val="solid" w:color="000000" w:fill="000000"/>
                <w:fitText w:val="336" w:id="-629433086"/>
                <w14:textFill>
                  <w14:solidFill>
                    <w14:srgbClr w14:val="000000">
                      <w14:alpha w14:val="100000"/>
                    </w14:srgbClr>
                  </w14:solidFill>
                </w14:textFill>
              </w:rPr>
              <w:t>|||</w:t>
            </w:r>
            <w:r w:rsidRPr="00800963">
              <w:rPr>
                <w:color w:val="000000"/>
                <w:spacing w:val="1"/>
                <w:szCs w:val="20"/>
                <w:shd w:val="solid" w:color="000000" w:fill="000000"/>
                <w:fitText w:val="336" w:id="-629433086"/>
                <w14:textFill>
                  <w14:solidFill>
                    <w14:srgbClr w14:val="000000">
                      <w14:alpha w14:val="100000"/>
                    </w14:srgbClr>
                  </w14:solidFill>
                </w14:textFill>
              </w:rPr>
              <w:t>|</w:t>
            </w:r>
            <w:r w:rsidR="00C57BED" w:rsidRPr="006D075E">
              <w:rPr>
                <w:szCs w:val="20"/>
              </w:rPr>
              <w:t>%</w:t>
            </w:r>
          </w:p>
        </w:tc>
        <w:tc>
          <w:tcPr>
            <w:tcW w:w="1357" w:type="dxa"/>
          </w:tcPr>
          <w:p w14:paraId="5802C474" w14:textId="503BED16" w:rsidR="00C57BED" w:rsidRPr="005F3822" w:rsidRDefault="00C57BED" w:rsidP="00C57BED">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85"/>
                <w14:textFill>
                  <w14:solidFill>
                    <w14:srgbClr w14:val="000000">
                      <w14:alpha w14:val="100000"/>
                    </w14:srgbClr>
                  </w14:solidFill>
                </w14:textFill>
              </w:rPr>
              <w:t>|||</w:t>
            </w:r>
            <w:r w:rsidR="00800963" w:rsidRPr="00800963">
              <w:rPr>
                <w:color w:val="000000"/>
                <w:spacing w:val="1"/>
                <w:szCs w:val="20"/>
                <w:shd w:val="solid" w:color="000000" w:fill="000000"/>
                <w:fitText w:val="336" w:id="-629433085"/>
                <w14:textFill>
                  <w14:solidFill>
                    <w14:srgbClr w14:val="000000">
                      <w14:alpha w14:val="100000"/>
                    </w14:srgbClr>
                  </w14:solidFill>
                </w14:textFill>
              </w:rPr>
              <w:t>|</w:t>
            </w:r>
            <w:r w:rsidR="005F3822">
              <w:rPr>
                <w:szCs w:val="20"/>
                <w:vertAlign w:val="superscript"/>
              </w:rPr>
              <w:t>2</w:t>
            </w:r>
          </w:p>
        </w:tc>
        <w:tc>
          <w:tcPr>
            <w:tcW w:w="1172" w:type="dxa"/>
          </w:tcPr>
          <w:p w14:paraId="7D37681C" w14:textId="1DE2AC3A" w:rsidR="00C57BED" w:rsidRPr="006D075E" w:rsidRDefault="00C57BED" w:rsidP="00C57BED">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84"/>
                <w14:textFill>
                  <w14:solidFill>
                    <w14:srgbClr w14:val="000000">
                      <w14:alpha w14:val="100000"/>
                    </w14:srgbClr>
                  </w14:solidFill>
                </w14:textFill>
              </w:rPr>
              <w:t>|||</w:t>
            </w:r>
            <w:r w:rsidR="00800963" w:rsidRPr="00800963">
              <w:rPr>
                <w:color w:val="000000"/>
                <w:spacing w:val="1"/>
                <w:szCs w:val="20"/>
                <w:shd w:val="solid" w:color="000000" w:fill="000000"/>
                <w:fitText w:val="324" w:id="-629433084"/>
                <w14:textFill>
                  <w14:solidFill>
                    <w14:srgbClr w14:val="000000">
                      <w14:alpha w14:val="100000"/>
                    </w14:srgbClr>
                  </w14:solidFill>
                </w14:textFill>
              </w:rPr>
              <w:t>|</w:t>
            </w:r>
            <w:r w:rsidRPr="006D075E">
              <w:rPr>
                <w:szCs w:val="20"/>
              </w:rPr>
              <w:t>%</w:t>
            </w:r>
          </w:p>
        </w:tc>
      </w:tr>
      <w:tr w:rsidR="00C57BED" w:rsidRPr="006D075E" w14:paraId="6A8327F9" w14:textId="77777777" w:rsidTr="00A97DA3">
        <w:tc>
          <w:tcPr>
            <w:tcW w:w="3837" w:type="dxa"/>
          </w:tcPr>
          <w:p w14:paraId="4C6B5981" w14:textId="77777777" w:rsidR="00C57BED" w:rsidRPr="006D075E" w:rsidRDefault="00C57BED" w:rsidP="00C57BED">
            <w:pPr>
              <w:pStyle w:val="COMTabletext"/>
              <w:keepNext w:val="0"/>
            </w:pPr>
            <w:r w:rsidRPr="006D075E">
              <w:t>PFS extrapolated using a lognormal function</w:t>
            </w:r>
          </w:p>
        </w:tc>
        <w:tc>
          <w:tcPr>
            <w:tcW w:w="1398" w:type="dxa"/>
            <w:vAlign w:val="bottom"/>
          </w:tcPr>
          <w:p w14:paraId="4D557E15" w14:textId="60AA6B8D" w:rsidR="00C57BED" w:rsidRPr="0068648A" w:rsidRDefault="00C57BED" w:rsidP="00C57BED">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83"/>
                <w14:textFill>
                  <w14:solidFill>
                    <w14:srgbClr w14:val="000000">
                      <w14:alpha w14:val="100000"/>
                    </w14:srgbClr>
                  </w14:solidFill>
                </w14:textFill>
              </w:rPr>
              <w:t>|||</w:t>
            </w:r>
            <w:r w:rsidR="00800963" w:rsidRPr="00800963">
              <w:rPr>
                <w:color w:val="000000"/>
                <w:spacing w:val="1"/>
                <w:szCs w:val="20"/>
                <w:shd w:val="solid" w:color="000000" w:fill="000000"/>
                <w:fitText w:val="324" w:id="-629433083"/>
                <w14:textFill>
                  <w14:solidFill>
                    <w14:srgbClr w14:val="000000">
                      <w14:alpha w14:val="100000"/>
                    </w14:srgbClr>
                  </w14:solidFill>
                </w14:textFill>
              </w:rPr>
              <w:t>|</w:t>
            </w:r>
            <w:r w:rsidR="0068648A">
              <w:rPr>
                <w:szCs w:val="20"/>
                <w:vertAlign w:val="superscript"/>
              </w:rPr>
              <w:t>1</w:t>
            </w:r>
          </w:p>
        </w:tc>
        <w:tc>
          <w:tcPr>
            <w:tcW w:w="1172" w:type="dxa"/>
            <w:vAlign w:val="bottom"/>
          </w:tcPr>
          <w:p w14:paraId="63D2CBC3" w14:textId="5522E6BB" w:rsidR="00C57BED" w:rsidRPr="006D075E" w:rsidRDefault="00800963" w:rsidP="00C57BED">
            <w:pPr>
              <w:pStyle w:val="COMTabletext"/>
              <w:keepNext w:val="0"/>
              <w:jc w:val="center"/>
              <w:rPr>
                <w:szCs w:val="20"/>
              </w:rPr>
            </w:pPr>
            <w:r w:rsidRPr="00800963">
              <w:rPr>
                <w:color w:val="000000"/>
                <w:spacing w:val="55"/>
                <w:szCs w:val="20"/>
                <w:shd w:val="solid" w:color="000000" w:fill="000000"/>
                <w:fitText w:val="336" w:id="-629433082"/>
                <w14:textFill>
                  <w14:solidFill>
                    <w14:srgbClr w14:val="000000">
                      <w14:alpha w14:val="100000"/>
                    </w14:srgbClr>
                  </w14:solidFill>
                </w14:textFill>
              </w:rPr>
              <w:t>|||</w:t>
            </w:r>
            <w:r w:rsidRPr="00800963">
              <w:rPr>
                <w:color w:val="000000"/>
                <w:spacing w:val="1"/>
                <w:szCs w:val="20"/>
                <w:shd w:val="solid" w:color="000000" w:fill="000000"/>
                <w:fitText w:val="336" w:id="-629433082"/>
                <w14:textFill>
                  <w14:solidFill>
                    <w14:srgbClr w14:val="000000">
                      <w14:alpha w14:val="100000"/>
                    </w14:srgbClr>
                  </w14:solidFill>
                </w14:textFill>
              </w:rPr>
              <w:t>|</w:t>
            </w:r>
            <w:r w:rsidR="00C57BED" w:rsidRPr="006D075E">
              <w:rPr>
                <w:szCs w:val="20"/>
              </w:rPr>
              <w:t>%</w:t>
            </w:r>
          </w:p>
        </w:tc>
        <w:tc>
          <w:tcPr>
            <w:tcW w:w="1357" w:type="dxa"/>
          </w:tcPr>
          <w:p w14:paraId="28DFD367" w14:textId="7BF45462" w:rsidR="00C57BED" w:rsidRPr="00BE5470" w:rsidRDefault="00C57BED" w:rsidP="00C57BED">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81"/>
                <w14:textFill>
                  <w14:solidFill>
                    <w14:srgbClr w14:val="000000">
                      <w14:alpha w14:val="100000"/>
                    </w14:srgbClr>
                  </w14:solidFill>
                </w14:textFill>
              </w:rPr>
              <w:t>|||</w:t>
            </w:r>
            <w:r w:rsidR="00800963" w:rsidRPr="00800963">
              <w:rPr>
                <w:color w:val="000000"/>
                <w:spacing w:val="1"/>
                <w:szCs w:val="20"/>
                <w:shd w:val="solid" w:color="000000" w:fill="000000"/>
                <w:fitText w:val="336" w:id="-629433081"/>
                <w14:textFill>
                  <w14:solidFill>
                    <w14:srgbClr w14:val="000000">
                      <w14:alpha w14:val="100000"/>
                    </w14:srgbClr>
                  </w14:solidFill>
                </w14:textFill>
              </w:rPr>
              <w:t>|</w:t>
            </w:r>
            <w:r w:rsidR="00BE5470">
              <w:rPr>
                <w:szCs w:val="20"/>
                <w:vertAlign w:val="superscript"/>
              </w:rPr>
              <w:t>3</w:t>
            </w:r>
          </w:p>
        </w:tc>
        <w:tc>
          <w:tcPr>
            <w:tcW w:w="1172" w:type="dxa"/>
          </w:tcPr>
          <w:p w14:paraId="2DBDEEE9" w14:textId="53DE8F77" w:rsidR="00C57BED" w:rsidRPr="006D075E" w:rsidRDefault="00C57BED" w:rsidP="00C57BED">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80"/>
                <w14:textFill>
                  <w14:solidFill>
                    <w14:srgbClr w14:val="000000">
                      <w14:alpha w14:val="100000"/>
                    </w14:srgbClr>
                  </w14:solidFill>
                </w14:textFill>
              </w:rPr>
              <w:t>|||</w:t>
            </w:r>
            <w:r w:rsidR="00800963" w:rsidRPr="00800963">
              <w:rPr>
                <w:color w:val="000000"/>
                <w:spacing w:val="1"/>
                <w:szCs w:val="20"/>
                <w:shd w:val="solid" w:color="000000" w:fill="000000"/>
                <w:fitText w:val="324" w:id="-629433080"/>
                <w14:textFill>
                  <w14:solidFill>
                    <w14:srgbClr w14:val="000000">
                      <w14:alpha w14:val="100000"/>
                    </w14:srgbClr>
                  </w14:solidFill>
                </w14:textFill>
              </w:rPr>
              <w:t>|</w:t>
            </w:r>
            <w:r w:rsidRPr="006D075E">
              <w:rPr>
                <w:szCs w:val="20"/>
              </w:rPr>
              <w:t>%</w:t>
            </w:r>
          </w:p>
        </w:tc>
      </w:tr>
      <w:tr w:rsidR="00C57BED" w:rsidRPr="006D075E" w14:paraId="2546E46B" w14:textId="77777777" w:rsidTr="00A97DA3">
        <w:tc>
          <w:tcPr>
            <w:tcW w:w="3837" w:type="dxa"/>
          </w:tcPr>
          <w:p w14:paraId="44A178AA" w14:textId="77777777" w:rsidR="00C57BED" w:rsidRPr="006D075E" w:rsidRDefault="00C57BED" w:rsidP="00C57BED">
            <w:pPr>
              <w:pStyle w:val="COMTabletext"/>
              <w:keepNext w:val="0"/>
            </w:pPr>
            <w:r w:rsidRPr="006D075E">
              <w:t>PFS extrapolated using a gamma function</w:t>
            </w:r>
          </w:p>
        </w:tc>
        <w:tc>
          <w:tcPr>
            <w:tcW w:w="1398" w:type="dxa"/>
          </w:tcPr>
          <w:p w14:paraId="019ED93E" w14:textId="73C182A6" w:rsidR="00C57BED" w:rsidRPr="0068648A" w:rsidRDefault="00C57BED" w:rsidP="00C57BED">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79"/>
                <w14:textFill>
                  <w14:solidFill>
                    <w14:srgbClr w14:val="000000">
                      <w14:alpha w14:val="100000"/>
                    </w14:srgbClr>
                  </w14:solidFill>
                </w14:textFill>
              </w:rPr>
              <w:t>|||</w:t>
            </w:r>
            <w:r w:rsidR="00800963" w:rsidRPr="00800963">
              <w:rPr>
                <w:color w:val="000000"/>
                <w:spacing w:val="1"/>
                <w:szCs w:val="20"/>
                <w:shd w:val="solid" w:color="000000" w:fill="000000"/>
                <w:fitText w:val="324" w:id="-629433079"/>
                <w14:textFill>
                  <w14:solidFill>
                    <w14:srgbClr w14:val="000000">
                      <w14:alpha w14:val="100000"/>
                    </w14:srgbClr>
                  </w14:solidFill>
                </w14:textFill>
              </w:rPr>
              <w:t>|</w:t>
            </w:r>
            <w:r w:rsidR="0068648A">
              <w:rPr>
                <w:szCs w:val="20"/>
                <w:vertAlign w:val="superscript"/>
              </w:rPr>
              <w:t>1</w:t>
            </w:r>
          </w:p>
        </w:tc>
        <w:tc>
          <w:tcPr>
            <w:tcW w:w="1172" w:type="dxa"/>
          </w:tcPr>
          <w:p w14:paraId="4600DDF0" w14:textId="4AC0F15E" w:rsidR="00C57BED" w:rsidRPr="006D075E" w:rsidRDefault="00C57BED" w:rsidP="00C57BED">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8"/>
                <w14:textFill>
                  <w14:solidFill>
                    <w14:srgbClr w14:val="000000">
                      <w14:alpha w14:val="100000"/>
                    </w14:srgbClr>
                  </w14:solidFill>
                </w14:textFill>
              </w:rPr>
              <w:t>|||</w:t>
            </w:r>
            <w:r w:rsidR="00800963" w:rsidRPr="00800963">
              <w:rPr>
                <w:color w:val="000000"/>
                <w:spacing w:val="1"/>
                <w:szCs w:val="20"/>
                <w:shd w:val="solid" w:color="000000" w:fill="000000"/>
                <w:fitText w:val="324" w:id="-629433078"/>
                <w14:textFill>
                  <w14:solidFill>
                    <w14:srgbClr w14:val="000000">
                      <w14:alpha w14:val="100000"/>
                    </w14:srgbClr>
                  </w14:solidFill>
                </w14:textFill>
              </w:rPr>
              <w:t>|</w:t>
            </w:r>
            <w:r w:rsidRPr="006D075E">
              <w:rPr>
                <w:szCs w:val="20"/>
              </w:rPr>
              <w:t>%</w:t>
            </w:r>
          </w:p>
        </w:tc>
        <w:tc>
          <w:tcPr>
            <w:tcW w:w="1357" w:type="dxa"/>
          </w:tcPr>
          <w:p w14:paraId="2A4F25CB" w14:textId="02684AE0" w:rsidR="00C57BED" w:rsidRPr="00BE5470" w:rsidRDefault="00C57BED" w:rsidP="00C57BED">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77"/>
                <w14:textFill>
                  <w14:solidFill>
                    <w14:srgbClr w14:val="000000">
                      <w14:alpha w14:val="100000"/>
                    </w14:srgbClr>
                  </w14:solidFill>
                </w14:textFill>
              </w:rPr>
              <w:t>|||</w:t>
            </w:r>
            <w:r w:rsidR="00800963" w:rsidRPr="00800963">
              <w:rPr>
                <w:color w:val="000000"/>
                <w:spacing w:val="1"/>
                <w:szCs w:val="20"/>
                <w:shd w:val="solid" w:color="000000" w:fill="000000"/>
                <w:fitText w:val="336" w:id="-629433077"/>
                <w14:textFill>
                  <w14:solidFill>
                    <w14:srgbClr w14:val="000000">
                      <w14:alpha w14:val="100000"/>
                    </w14:srgbClr>
                  </w14:solidFill>
                </w14:textFill>
              </w:rPr>
              <w:t>|</w:t>
            </w:r>
            <w:r w:rsidR="00BE5470">
              <w:rPr>
                <w:szCs w:val="20"/>
                <w:vertAlign w:val="superscript"/>
              </w:rPr>
              <w:t>3</w:t>
            </w:r>
          </w:p>
        </w:tc>
        <w:tc>
          <w:tcPr>
            <w:tcW w:w="1172" w:type="dxa"/>
          </w:tcPr>
          <w:p w14:paraId="3969A760" w14:textId="321D480A" w:rsidR="00C57BED" w:rsidRPr="006D075E" w:rsidRDefault="00C57BED" w:rsidP="00C57BED">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6"/>
                <w14:textFill>
                  <w14:solidFill>
                    <w14:srgbClr w14:val="000000">
                      <w14:alpha w14:val="100000"/>
                    </w14:srgbClr>
                  </w14:solidFill>
                </w14:textFill>
              </w:rPr>
              <w:t>|||</w:t>
            </w:r>
            <w:r w:rsidR="00800963" w:rsidRPr="00800963">
              <w:rPr>
                <w:color w:val="000000"/>
                <w:spacing w:val="1"/>
                <w:szCs w:val="20"/>
                <w:shd w:val="solid" w:color="000000" w:fill="000000"/>
                <w:fitText w:val="324" w:id="-629433076"/>
                <w14:textFill>
                  <w14:solidFill>
                    <w14:srgbClr w14:val="000000">
                      <w14:alpha w14:val="100000"/>
                    </w14:srgbClr>
                  </w14:solidFill>
                </w14:textFill>
              </w:rPr>
              <w:t>|</w:t>
            </w:r>
            <w:r w:rsidRPr="006D075E">
              <w:rPr>
                <w:szCs w:val="20"/>
              </w:rPr>
              <w:t>%</w:t>
            </w:r>
          </w:p>
        </w:tc>
      </w:tr>
      <w:tr w:rsidR="0008166B" w:rsidRPr="006D075E" w14:paraId="7401635E" w14:textId="77777777" w:rsidTr="00A97DA3">
        <w:tc>
          <w:tcPr>
            <w:tcW w:w="8936" w:type="dxa"/>
            <w:gridSpan w:val="5"/>
          </w:tcPr>
          <w:p w14:paraId="2BB5AED8" w14:textId="77777777" w:rsidR="0008166B" w:rsidRPr="006D075E" w:rsidRDefault="0008166B">
            <w:pPr>
              <w:pStyle w:val="COMTabletext"/>
              <w:keepNext w:val="0"/>
              <w:rPr>
                <w:rFonts w:cs="Calibri"/>
                <w:color w:val="000000"/>
                <w:szCs w:val="20"/>
              </w:rPr>
            </w:pPr>
            <w:r w:rsidRPr="006D075E">
              <w:rPr>
                <w:b/>
                <w:bCs w:val="0"/>
              </w:rPr>
              <w:t>Time on (initial) treatment (TOT) extrapolation (base case: log-logistic function)</w:t>
            </w:r>
          </w:p>
        </w:tc>
      </w:tr>
      <w:tr w:rsidR="00CA16CF" w:rsidRPr="006D075E" w14:paraId="01FA2514" w14:textId="77777777" w:rsidTr="00A97DA3">
        <w:tc>
          <w:tcPr>
            <w:tcW w:w="3837" w:type="dxa"/>
            <w:tcBorders>
              <w:right w:val="single" w:sz="2" w:space="0" w:color="auto"/>
            </w:tcBorders>
          </w:tcPr>
          <w:p w14:paraId="744DF140" w14:textId="77777777" w:rsidR="00CA16CF" w:rsidRPr="006D075E" w:rsidRDefault="00CA16CF" w:rsidP="00CA16CF">
            <w:pPr>
              <w:pStyle w:val="COMTabletext"/>
              <w:keepNext w:val="0"/>
            </w:pPr>
            <w:r w:rsidRPr="006D075E">
              <w:t>TOT extrapolated using an exponential function</w:t>
            </w:r>
          </w:p>
        </w:tc>
        <w:tc>
          <w:tcPr>
            <w:tcW w:w="1398" w:type="dxa"/>
            <w:tcBorders>
              <w:top w:val="single" w:sz="2" w:space="0" w:color="auto"/>
              <w:left w:val="single" w:sz="2" w:space="0" w:color="auto"/>
              <w:bottom w:val="single" w:sz="2" w:space="0" w:color="auto"/>
              <w:right w:val="single" w:sz="2" w:space="0" w:color="auto"/>
            </w:tcBorders>
            <w:vAlign w:val="bottom"/>
          </w:tcPr>
          <w:p w14:paraId="6D2D17DD" w14:textId="73B7032F" w:rsidR="00CA16CF" w:rsidRPr="00802621" w:rsidRDefault="00CA16CF" w:rsidP="00CA16CF">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75"/>
                <w14:textFill>
                  <w14:solidFill>
                    <w14:srgbClr w14:val="000000">
                      <w14:alpha w14:val="100000"/>
                    </w14:srgbClr>
                  </w14:solidFill>
                </w14:textFill>
              </w:rPr>
              <w:t>|||</w:t>
            </w:r>
            <w:r w:rsidR="00800963" w:rsidRPr="00800963">
              <w:rPr>
                <w:color w:val="000000"/>
                <w:spacing w:val="1"/>
                <w:szCs w:val="20"/>
                <w:shd w:val="solid" w:color="000000" w:fill="000000"/>
                <w:fitText w:val="324" w:id="-629433075"/>
                <w14:textFill>
                  <w14:solidFill>
                    <w14:srgbClr w14:val="000000">
                      <w14:alpha w14:val="100000"/>
                    </w14:srgbClr>
                  </w14:solidFill>
                </w14:textFill>
              </w:rPr>
              <w:t>|</w:t>
            </w:r>
            <w:r w:rsidR="00802621">
              <w:rPr>
                <w:szCs w:val="20"/>
                <w:vertAlign w:val="superscript"/>
              </w:rPr>
              <w:t>7</w:t>
            </w:r>
          </w:p>
        </w:tc>
        <w:tc>
          <w:tcPr>
            <w:tcW w:w="1172" w:type="dxa"/>
            <w:tcBorders>
              <w:top w:val="nil"/>
              <w:left w:val="single" w:sz="2" w:space="0" w:color="auto"/>
              <w:bottom w:val="nil"/>
              <w:right w:val="nil"/>
            </w:tcBorders>
            <w:vAlign w:val="bottom"/>
          </w:tcPr>
          <w:p w14:paraId="75F95D9C" w14:textId="05B51858" w:rsidR="00CA16CF" w:rsidRPr="006D075E" w:rsidRDefault="00CA16CF" w:rsidP="00CA16CF">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4"/>
                <w14:textFill>
                  <w14:solidFill>
                    <w14:srgbClr w14:val="000000">
                      <w14:alpha w14:val="100000"/>
                    </w14:srgbClr>
                  </w14:solidFill>
                </w14:textFill>
              </w:rPr>
              <w:t>|||</w:t>
            </w:r>
            <w:r w:rsidR="00800963" w:rsidRPr="00800963">
              <w:rPr>
                <w:color w:val="000000"/>
                <w:spacing w:val="1"/>
                <w:szCs w:val="20"/>
                <w:shd w:val="solid" w:color="000000" w:fill="000000"/>
                <w:fitText w:val="324" w:id="-629433074"/>
                <w14:textFill>
                  <w14:solidFill>
                    <w14:srgbClr w14:val="000000">
                      <w14:alpha w14:val="100000"/>
                    </w14:srgbClr>
                  </w14:solidFill>
                </w14:textFill>
              </w:rPr>
              <w:t>|</w:t>
            </w:r>
            <w:r w:rsidRPr="006D075E">
              <w:rPr>
                <w:szCs w:val="20"/>
              </w:rPr>
              <w:t>%</w:t>
            </w:r>
          </w:p>
        </w:tc>
        <w:tc>
          <w:tcPr>
            <w:tcW w:w="1357" w:type="dxa"/>
          </w:tcPr>
          <w:p w14:paraId="7A893243" w14:textId="28EE522C" w:rsidR="00CA16CF" w:rsidRPr="0068648A" w:rsidRDefault="00CA16CF" w:rsidP="00CA16CF">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73"/>
                <w14:textFill>
                  <w14:solidFill>
                    <w14:srgbClr w14:val="000000">
                      <w14:alpha w14:val="100000"/>
                    </w14:srgbClr>
                  </w14:solidFill>
                </w14:textFill>
              </w:rPr>
              <w:t>|||</w:t>
            </w:r>
            <w:r w:rsidR="00800963" w:rsidRPr="00800963">
              <w:rPr>
                <w:color w:val="000000"/>
                <w:spacing w:val="1"/>
                <w:szCs w:val="20"/>
                <w:shd w:val="solid" w:color="000000" w:fill="000000"/>
                <w:fitText w:val="336" w:id="-629433073"/>
                <w14:textFill>
                  <w14:solidFill>
                    <w14:srgbClr w14:val="000000">
                      <w14:alpha w14:val="100000"/>
                    </w14:srgbClr>
                  </w14:solidFill>
                </w14:textFill>
              </w:rPr>
              <w:t>|</w:t>
            </w:r>
            <w:r w:rsidR="0068648A">
              <w:rPr>
                <w:szCs w:val="20"/>
                <w:vertAlign w:val="superscript"/>
              </w:rPr>
              <w:t>1</w:t>
            </w:r>
          </w:p>
        </w:tc>
        <w:tc>
          <w:tcPr>
            <w:tcW w:w="1172" w:type="dxa"/>
          </w:tcPr>
          <w:p w14:paraId="7C5A39A2" w14:textId="12BCF75A" w:rsidR="00CA16CF" w:rsidRPr="006D075E" w:rsidRDefault="00CA16CF" w:rsidP="00CA16CF">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2"/>
                <w14:textFill>
                  <w14:solidFill>
                    <w14:srgbClr w14:val="000000">
                      <w14:alpha w14:val="100000"/>
                    </w14:srgbClr>
                  </w14:solidFill>
                </w14:textFill>
              </w:rPr>
              <w:t>|||</w:t>
            </w:r>
            <w:r w:rsidR="00800963" w:rsidRPr="00800963">
              <w:rPr>
                <w:color w:val="000000"/>
                <w:spacing w:val="1"/>
                <w:szCs w:val="20"/>
                <w:shd w:val="solid" w:color="000000" w:fill="000000"/>
                <w:fitText w:val="324" w:id="-629433072"/>
                <w14:textFill>
                  <w14:solidFill>
                    <w14:srgbClr w14:val="000000">
                      <w14:alpha w14:val="100000"/>
                    </w14:srgbClr>
                  </w14:solidFill>
                </w14:textFill>
              </w:rPr>
              <w:t>|</w:t>
            </w:r>
            <w:r w:rsidRPr="006D075E">
              <w:rPr>
                <w:szCs w:val="20"/>
              </w:rPr>
              <w:t>%</w:t>
            </w:r>
          </w:p>
        </w:tc>
      </w:tr>
      <w:tr w:rsidR="00CA16CF" w:rsidRPr="006D075E" w14:paraId="1FB253A5" w14:textId="77777777" w:rsidTr="00A97DA3">
        <w:tc>
          <w:tcPr>
            <w:tcW w:w="3837" w:type="dxa"/>
            <w:tcBorders>
              <w:top w:val="single" w:sz="2" w:space="0" w:color="auto"/>
            </w:tcBorders>
          </w:tcPr>
          <w:p w14:paraId="46DE6D85" w14:textId="77777777" w:rsidR="00CA16CF" w:rsidRPr="006D075E" w:rsidRDefault="00CA16CF" w:rsidP="00CA16CF">
            <w:pPr>
              <w:pStyle w:val="COMTabletext"/>
              <w:keepNext w:val="0"/>
            </w:pPr>
            <w:r w:rsidRPr="006D075E">
              <w:t>TOT extrapolated using a Gompertz function</w:t>
            </w:r>
          </w:p>
        </w:tc>
        <w:tc>
          <w:tcPr>
            <w:tcW w:w="1398" w:type="dxa"/>
            <w:tcBorders>
              <w:top w:val="single" w:sz="2" w:space="0" w:color="auto"/>
            </w:tcBorders>
          </w:tcPr>
          <w:p w14:paraId="5E1C71DD" w14:textId="366A5AF3" w:rsidR="00CA16CF" w:rsidRPr="005F3822" w:rsidRDefault="00CA16CF" w:rsidP="00CA16CF">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88"/>
                <w14:textFill>
                  <w14:solidFill>
                    <w14:srgbClr w14:val="000000">
                      <w14:alpha w14:val="100000"/>
                    </w14:srgbClr>
                  </w14:solidFill>
                </w14:textFill>
              </w:rPr>
              <w:t>|||</w:t>
            </w:r>
            <w:r w:rsidR="00800963" w:rsidRPr="00800963">
              <w:rPr>
                <w:color w:val="000000"/>
                <w:spacing w:val="1"/>
                <w:szCs w:val="20"/>
                <w:shd w:val="solid" w:color="000000" w:fill="000000"/>
                <w:fitText w:val="324" w:id="-629433088"/>
                <w14:textFill>
                  <w14:solidFill>
                    <w14:srgbClr w14:val="000000">
                      <w14:alpha w14:val="100000"/>
                    </w14:srgbClr>
                  </w14:solidFill>
                </w14:textFill>
              </w:rPr>
              <w:t>|</w:t>
            </w:r>
            <w:r w:rsidR="005F3822">
              <w:rPr>
                <w:szCs w:val="20"/>
                <w:vertAlign w:val="superscript"/>
              </w:rPr>
              <w:t>2</w:t>
            </w:r>
          </w:p>
        </w:tc>
        <w:tc>
          <w:tcPr>
            <w:tcW w:w="1172" w:type="dxa"/>
          </w:tcPr>
          <w:p w14:paraId="0449105E" w14:textId="2EB15C98" w:rsidR="00CA16CF" w:rsidRPr="006D075E" w:rsidRDefault="00800963" w:rsidP="00CA16CF">
            <w:pPr>
              <w:pStyle w:val="COMTabletext"/>
              <w:keepNext w:val="0"/>
              <w:jc w:val="center"/>
              <w:rPr>
                <w:szCs w:val="20"/>
              </w:rPr>
            </w:pPr>
            <w:r w:rsidRPr="00800963">
              <w:rPr>
                <w:color w:val="000000"/>
                <w:spacing w:val="55"/>
                <w:szCs w:val="20"/>
                <w:shd w:val="solid" w:color="000000" w:fill="000000"/>
                <w:fitText w:val="336" w:id="-629433087"/>
                <w14:textFill>
                  <w14:solidFill>
                    <w14:srgbClr w14:val="000000">
                      <w14:alpha w14:val="100000"/>
                    </w14:srgbClr>
                  </w14:solidFill>
                </w14:textFill>
              </w:rPr>
              <w:t>|||</w:t>
            </w:r>
            <w:r w:rsidRPr="00800963">
              <w:rPr>
                <w:color w:val="000000"/>
                <w:spacing w:val="1"/>
                <w:szCs w:val="20"/>
                <w:shd w:val="solid" w:color="000000" w:fill="000000"/>
                <w:fitText w:val="336" w:id="-629433087"/>
                <w14:textFill>
                  <w14:solidFill>
                    <w14:srgbClr w14:val="000000">
                      <w14:alpha w14:val="100000"/>
                    </w14:srgbClr>
                  </w14:solidFill>
                </w14:textFill>
              </w:rPr>
              <w:t>|</w:t>
            </w:r>
            <w:r w:rsidR="00CA16CF" w:rsidRPr="006D075E">
              <w:rPr>
                <w:szCs w:val="20"/>
              </w:rPr>
              <w:t>%</w:t>
            </w:r>
          </w:p>
        </w:tc>
        <w:tc>
          <w:tcPr>
            <w:tcW w:w="1357" w:type="dxa"/>
          </w:tcPr>
          <w:p w14:paraId="02059AE7" w14:textId="40294C36" w:rsidR="00CA16CF" w:rsidRPr="00BE5470" w:rsidRDefault="00CA16CF" w:rsidP="00CA16CF">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86"/>
                <w14:textFill>
                  <w14:solidFill>
                    <w14:srgbClr w14:val="000000">
                      <w14:alpha w14:val="100000"/>
                    </w14:srgbClr>
                  </w14:solidFill>
                </w14:textFill>
              </w:rPr>
              <w:t>|||</w:t>
            </w:r>
            <w:r w:rsidR="00800963" w:rsidRPr="00800963">
              <w:rPr>
                <w:color w:val="000000"/>
                <w:spacing w:val="1"/>
                <w:szCs w:val="20"/>
                <w:shd w:val="solid" w:color="000000" w:fill="000000"/>
                <w:fitText w:val="336" w:id="-629433086"/>
                <w14:textFill>
                  <w14:solidFill>
                    <w14:srgbClr w14:val="000000">
                      <w14:alpha w14:val="100000"/>
                    </w14:srgbClr>
                  </w14:solidFill>
                </w14:textFill>
              </w:rPr>
              <w:t>|</w:t>
            </w:r>
            <w:r w:rsidR="00BE5470">
              <w:rPr>
                <w:szCs w:val="20"/>
                <w:vertAlign w:val="superscript"/>
              </w:rPr>
              <w:t>3</w:t>
            </w:r>
          </w:p>
        </w:tc>
        <w:tc>
          <w:tcPr>
            <w:tcW w:w="1172" w:type="dxa"/>
          </w:tcPr>
          <w:p w14:paraId="2C143E9A" w14:textId="774FE48F" w:rsidR="00CA16CF" w:rsidRPr="006D075E" w:rsidRDefault="00800963" w:rsidP="00CA16CF">
            <w:pPr>
              <w:pStyle w:val="COMTabletext"/>
              <w:keepNext w:val="0"/>
              <w:jc w:val="center"/>
              <w:rPr>
                <w:szCs w:val="20"/>
              </w:rPr>
            </w:pPr>
            <w:r w:rsidRPr="00800963">
              <w:rPr>
                <w:color w:val="000000"/>
                <w:spacing w:val="55"/>
                <w:szCs w:val="20"/>
                <w:shd w:val="solid" w:color="000000" w:fill="000000"/>
                <w:fitText w:val="336" w:id="-629433085"/>
                <w14:textFill>
                  <w14:solidFill>
                    <w14:srgbClr w14:val="000000">
                      <w14:alpha w14:val="100000"/>
                    </w14:srgbClr>
                  </w14:solidFill>
                </w14:textFill>
              </w:rPr>
              <w:t>|||</w:t>
            </w:r>
            <w:r w:rsidRPr="00800963">
              <w:rPr>
                <w:color w:val="000000"/>
                <w:spacing w:val="1"/>
                <w:szCs w:val="20"/>
                <w:shd w:val="solid" w:color="000000" w:fill="000000"/>
                <w:fitText w:val="336" w:id="-629433085"/>
                <w14:textFill>
                  <w14:solidFill>
                    <w14:srgbClr w14:val="000000">
                      <w14:alpha w14:val="100000"/>
                    </w14:srgbClr>
                  </w14:solidFill>
                </w14:textFill>
              </w:rPr>
              <w:t>|</w:t>
            </w:r>
            <w:r w:rsidR="00CA16CF" w:rsidRPr="006D075E">
              <w:rPr>
                <w:szCs w:val="20"/>
              </w:rPr>
              <w:t>%</w:t>
            </w:r>
          </w:p>
        </w:tc>
      </w:tr>
      <w:tr w:rsidR="00CA16CF" w:rsidRPr="006D075E" w14:paraId="032C948C" w14:textId="77777777" w:rsidTr="00A97DA3">
        <w:tc>
          <w:tcPr>
            <w:tcW w:w="3837" w:type="dxa"/>
          </w:tcPr>
          <w:p w14:paraId="173FA62E" w14:textId="77777777" w:rsidR="00CA16CF" w:rsidRPr="006D075E" w:rsidRDefault="00CA16CF" w:rsidP="00CA16CF">
            <w:pPr>
              <w:pStyle w:val="COMTabletext"/>
              <w:keepNext w:val="0"/>
            </w:pPr>
            <w:r w:rsidRPr="006D075E">
              <w:t>TOT extrapolated using a Weibull function</w:t>
            </w:r>
          </w:p>
        </w:tc>
        <w:tc>
          <w:tcPr>
            <w:tcW w:w="1398" w:type="dxa"/>
          </w:tcPr>
          <w:p w14:paraId="7FD6DFE4" w14:textId="6D8AEBBF" w:rsidR="00CA16CF" w:rsidRPr="00D37893" w:rsidRDefault="00CA16CF" w:rsidP="00CA16CF">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84"/>
                <w14:textFill>
                  <w14:solidFill>
                    <w14:srgbClr w14:val="000000">
                      <w14:alpha w14:val="100000"/>
                    </w14:srgbClr>
                  </w14:solidFill>
                </w14:textFill>
              </w:rPr>
              <w:t>|||</w:t>
            </w:r>
            <w:r w:rsidR="00800963" w:rsidRPr="00800963">
              <w:rPr>
                <w:color w:val="000000"/>
                <w:spacing w:val="1"/>
                <w:szCs w:val="20"/>
                <w:shd w:val="solid" w:color="000000" w:fill="000000"/>
                <w:fitText w:val="324" w:id="-629433084"/>
                <w14:textFill>
                  <w14:solidFill>
                    <w14:srgbClr w14:val="000000">
                      <w14:alpha w14:val="100000"/>
                    </w14:srgbClr>
                  </w14:solidFill>
                </w14:textFill>
              </w:rPr>
              <w:t>|</w:t>
            </w:r>
            <w:r w:rsidR="00D37893">
              <w:rPr>
                <w:szCs w:val="20"/>
                <w:vertAlign w:val="superscript"/>
              </w:rPr>
              <w:t>6</w:t>
            </w:r>
          </w:p>
        </w:tc>
        <w:tc>
          <w:tcPr>
            <w:tcW w:w="1172" w:type="dxa"/>
          </w:tcPr>
          <w:p w14:paraId="71581BF8" w14:textId="24850F0C" w:rsidR="00CA16CF" w:rsidRPr="006D075E" w:rsidRDefault="00CA16CF" w:rsidP="00CA16CF">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83"/>
                <w14:textFill>
                  <w14:solidFill>
                    <w14:srgbClr w14:val="000000">
                      <w14:alpha w14:val="100000"/>
                    </w14:srgbClr>
                  </w14:solidFill>
                </w14:textFill>
              </w:rPr>
              <w:t>|||</w:t>
            </w:r>
            <w:r w:rsidR="00800963" w:rsidRPr="00800963">
              <w:rPr>
                <w:color w:val="000000"/>
                <w:spacing w:val="1"/>
                <w:szCs w:val="20"/>
                <w:shd w:val="solid" w:color="000000" w:fill="000000"/>
                <w:fitText w:val="324" w:id="-629433083"/>
                <w14:textFill>
                  <w14:solidFill>
                    <w14:srgbClr w14:val="000000">
                      <w14:alpha w14:val="100000"/>
                    </w14:srgbClr>
                  </w14:solidFill>
                </w14:textFill>
              </w:rPr>
              <w:t>|</w:t>
            </w:r>
            <w:r w:rsidRPr="006D075E">
              <w:rPr>
                <w:szCs w:val="20"/>
              </w:rPr>
              <w:t>%</w:t>
            </w:r>
          </w:p>
        </w:tc>
        <w:tc>
          <w:tcPr>
            <w:tcW w:w="1357" w:type="dxa"/>
          </w:tcPr>
          <w:p w14:paraId="5C35F9E5" w14:textId="076D8EB8" w:rsidR="00CA16CF" w:rsidRPr="00243714" w:rsidRDefault="00CA16CF" w:rsidP="00CA16CF">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82"/>
                <w14:textFill>
                  <w14:solidFill>
                    <w14:srgbClr w14:val="000000">
                      <w14:alpha w14:val="100000"/>
                    </w14:srgbClr>
                  </w14:solidFill>
                </w14:textFill>
              </w:rPr>
              <w:t>|||</w:t>
            </w:r>
            <w:r w:rsidR="00800963" w:rsidRPr="00800963">
              <w:rPr>
                <w:color w:val="000000"/>
                <w:spacing w:val="1"/>
                <w:szCs w:val="20"/>
                <w:shd w:val="solid" w:color="000000" w:fill="000000"/>
                <w:fitText w:val="336" w:id="-629433082"/>
                <w14:textFill>
                  <w14:solidFill>
                    <w14:srgbClr w14:val="000000">
                      <w14:alpha w14:val="100000"/>
                    </w14:srgbClr>
                  </w14:solidFill>
                </w14:textFill>
              </w:rPr>
              <w:t>|</w:t>
            </w:r>
            <w:r w:rsidR="00243714">
              <w:rPr>
                <w:szCs w:val="20"/>
                <w:vertAlign w:val="superscript"/>
              </w:rPr>
              <w:t>7</w:t>
            </w:r>
          </w:p>
        </w:tc>
        <w:tc>
          <w:tcPr>
            <w:tcW w:w="1172" w:type="dxa"/>
          </w:tcPr>
          <w:p w14:paraId="1DC0A953" w14:textId="7867BB62" w:rsidR="00CA16CF" w:rsidRPr="006D075E" w:rsidRDefault="00CA16CF" w:rsidP="00CA16CF">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81"/>
                <w14:textFill>
                  <w14:solidFill>
                    <w14:srgbClr w14:val="000000">
                      <w14:alpha w14:val="100000"/>
                    </w14:srgbClr>
                  </w14:solidFill>
                </w14:textFill>
              </w:rPr>
              <w:t>|||</w:t>
            </w:r>
            <w:r w:rsidR="00800963" w:rsidRPr="00800963">
              <w:rPr>
                <w:color w:val="000000"/>
                <w:spacing w:val="1"/>
                <w:szCs w:val="20"/>
                <w:shd w:val="solid" w:color="000000" w:fill="000000"/>
                <w:fitText w:val="324" w:id="-629433081"/>
                <w14:textFill>
                  <w14:solidFill>
                    <w14:srgbClr w14:val="000000">
                      <w14:alpha w14:val="100000"/>
                    </w14:srgbClr>
                  </w14:solidFill>
                </w14:textFill>
              </w:rPr>
              <w:t>|</w:t>
            </w:r>
            <w:r w:rsidRPr="006D075E">
              <w:rPr>
                <w:szCs w:val="20"/>
              </w:rPr>
              <w:t>%</w:t>
            </w:r>
          </w:p>
        </w:tc>
      </w:tr>
      <w:tr w:rsidR="00CA16CF" w:rsidRPr="006D075E" w14:paraId="583BB6C6" w14:textId="77777777" w:rsidTr="00A97DA3">
        <w:tc>
          <w:tcPr>
            <w:tcW w:w="3837" w:type="dxa"/>
          </w:tcPr>
          <w:p w14:paraId="604B6598" w14:textId="77777777" w:rsidR="00CA16CF" w:rsidRPr="006D075E" w:rsidRDefault="00CA16CF" w:rsidP="00CA16CF">
            <w:pPr>
              <w:pStyle w:val="COMTabletext"/>
              <w:keepNext w:val="0"/>
            </w:pPr>
            <w:r w:rsidRPr="006D075E">
              <w:t>TOT extrapolated using a lognormal function</w:t>
            </w:r>
          </w:p>
        </w:tc>
        <w:tc>
          <w:tcPr>
            <w:tcW w:w="1398" w:type="dxa"/>
            <w:tcBorders>
              <w:bottom w:val="single" w:sz="2" w:space="0" w:color="auto"/>
            </w:tcBorders>
          </w:tcPr>
          <w:p w14:paraId="478574E7" w14:textId="4466C1C6" w:rsidR="00CA16CF" w:rsidRPr="00B20907" w:rsidRDefault="00CA16CF" w:rsidP="00CA16CF">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80"/>
                <w14:textFill>
                  <w14:solidFill>
                    <w14:srgbClr w14:val="000000">
                      <w14:alpha w14:val="100000"/>
                    </w14:srgbClr>
                  </w14:solidFill>
                </w14:textFill>
              </w:rPr>
              <w:t>|||</w:t>
            </w:r>
            <w:r w:rsidR="00800963" w:rsidRPr="00800963">
              <w:rPr>
                <w:color w:val="000000"/>
                <w:spacing w:val="1"/>
                <w:szCs w:val="20"/>
                <w:shd w:val="solid" w:color="000000" w:fill="000000"/>
                <w:fitText w:val="324" w:id="-629433080"/>
                <w14:textFill>
                  <w14:solidFill>
                    <w14:srgbClr w14:val="000000">
                      <w14:alpha w14:val="100000"/>
                    </w14:srgbClr>
                  </w14:solidFill>
                </w14:textFill>
              </w:rPr>
              <w:t>|</w:t>
            </w:r>
            <w:r w:rsidR="00B20907">
              <w:rPr>
                <w:szCs w:val="20"/>
                <w:vertAlign w:val="superscript"/>
              </w:rPr>
              <w:t>2</w:t>
            </w:r>
          </w:p>
        </w:tc>
        <w:tc>
          <w:tcPr>
            <w:tcW w:w="1172" w:type="dxa"/>
          </w:tcPr>
          <w:p w14:paraId="65E295FC" w14:textId="6A377C92" w:rsidR="00CA16CF" w:rsidRPr="006D075E" w:rsidRDefault="00800963" w:rsidP="00CA16CF">
            <w:pPr>
              <w:pStyle w:val="COMTabletext"/>
              <w:keepNext w:val="0"/>
              <w:jc w:val="center"/>
              <w:rPr>
                <w:szCs w:val="20"/>
              </w:rPr>
            </w:pPr>
            <w:r w:rsidRPr="00800963">
              <w:rPr>
                <w:color w:val="000000"/>
                <w:spacing w:val="55"/>
                <w:szCs w:val="20"/>
                <w:shd w:val="solid" w:color="000000" w:fill="000000"/>
                <w:fitText w:val="336" w:id="-629433079"/>
                <w14:textFill>
                  <w14:solidFill>
                    <w14:srgbClr w14:val="000000">
                      <w14:alpha w14:val="100000"/>
                    </w14:srgbClr>
                  </w14:solidFill>
                </w14:textFill>
              </w:rPr>
              <w:t>|||</w:t>
            </w:r>
            <w:r w:rsidRPr="00800963">
              <w:rPr>
                <w:color w:val="000000"/>
                <w:spacing w:val="1"/>
                <w:szCs w:val="20"/>
                <w:shd w:val="solid" w:color="000000" w:fill="000000"/>
                <w:fitText w:val="336" w:id="-629433079"/>
                <w14:textFill>
                  <w14:solidFill>
                    <w14:srgbClr w14:val="000000">
                      <w14:alpha w14:val="100000"/>
                    </w14:srgbClr>
                  </w14:solidFill>
                </w14:textFill>
              </w:rPr>
              <w:t>|</w:t>
            </w:r>
            <w:r w:rsidR="00CA16CF" w:rsidRPr="006D075E">
              <w:rPr>
                <w:szCs w:val="20"/>
              </w:rPr>
              <w:t>%</w:t>
            </w:r>
          </w:p>
        </w:tc>
        <w:tc>
          <w:tcPr>
            <w:tcW w:w="1357" w:type="dxa"/>
          </w:tcPr>
          <w:p w14:paraId="40A0DD1B" w14:textId="19F1B3DC" w:rsidR="00CA16CF" w:rsidRPr="00BE5470" w:rsidRDefault="00CA16CF" w:rsidP="00CA16CF">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78"/>
                <w14:textFill>
                  <w14:solidFill>
                    <w14:srgbClr w14:val="000000">
                      <w14:alpha w14:val="100000"/>
                    </w14:srgbClr>
                  </w14:solidFill>
                </w14:textFill>
              </w:rPr>
              <w:t>|||</w:t>
            </w:r>
            <w:r w:rsidR="00800963" w:rsidRPr="00800963">
              <w:rPr>
                <w:color w:val="000000"/>
                <w:spacing w:val="1"/>
                <w:szCs w:val="20"/>
                <w:shd w:val="solid" w:color="000000" w:fill="000000"/>
                <w:fitText w:val="336" w:id="-629433078"/>
                <w14:textFill>
                  <w14:solidFill>
                    <w14:srgbClr w14:val="000000">
                      <w14:alpha w14:val="100000"/>
                    </w14:srgbClr>
                  </w14:solidFill>
                </w14:textFill>
              </w:rPr>
              <w:t>|</w:t>
            </w:r>
            <w:r w:rsidR="00BE5470">
              <w:rPr>
                <w:szCs w:val="20"/>
                <w:vertAlign w:val="superscript"/>
              </w:rPr>
              <w:t>3</w:t>
            </w:r>
          </w:p>
        </w:tc>
        <w:tc>
          <w:tcPr>
            <w:tcW w:w="1172" w:type="dxa"/>
          </w:tcPr>
          <w:p w14:paraId="764F389C" w14:textId="4653F07B" w:rsidR="00CA16CF" w:rsidRPr="006D075E" w:rsidRDefault="00800963" w:rsidP="00CA16CF">
            <w:pPr>
              <w:pStyle w:val="COMTabletext"/>
              <w:keepNext w:val="0"/>
              <w:jc w:val="center"/>
              <w:rPr>
                <w:szCs w:val="20"/>
              </w:rPr>
            </w:pPr>
            <w:r w:rsidRPr="00800963">
              <w:rPr>
                <w:color w:val="000000"/>
                <w:spacing w:val="55"/>
                <w:szCs w:val="20"/>
                <w:shd w:val="solid" w:color="000000" w:fill="000000"/>
                <w:fitText w:val="336" w:id="-629433077"/>
                <w14:textFill>
                  <w14:solidFill>
                    <w14:srgbClr w14:val="000000">
                      <w14:alpha w14:val="100000"/>
                    </w14:srgbClr>
                  </w14:solidFill>
                </w14:textFill>
              </w:rPr>
              <w:t>|||</w:t>
            </w:r>
            <w:r w:rsidRPr="00800963">
              <w:rPr>
                <w:color w:val="000000"/>
                <w:spacing w:val="1"/>
                <w:szCs w:val="20"/>
                <w:shd w:val="solid" w:color="000000" w:fill="000000"/>
                <w:fitText w:val="336" w:id="-629433077"/>
                <w14:textFill>
                  <w14:solidFill>
                    <w14:srgbClr w14:val="000000">
                      <w14:alpha w14:val="100000"/>
                    </w14:srgbClr>
                  </w14:solidFill>
                </w14:textFill>
              </w:rPr>
              <w:t>|</w:t>
            </w:r>
            <w:r w:rsidR="00CA16CF" w:rsidRPr="006D075E">
              <w:rPr>
                <w:szCs w:val="20"/>
              </w:rPr>
              <w:t>%</w:t>
            </w:r>
          </w:p>
        </w:tc>
      </w:tr>
      <w:tr w:rsidR="00CA16CF" w:rsidRPr="006D075E" w14:paraId="1CA5BE98" w14:textId="77777777" w:rsidTr="00A97DA3">
        <w:tc>
          <w:tcPr>
            <w:tcW w:w="3837" w:type="dxa"/>
            <w:tcBorders>
              <w:right w:val="single" w:sz="2" w:space="0" w:color="auto"/>
            </w:tcBorders>
          </w:tcPr>
          <w:p w14:paraId="05DFBEBF" w14:textId="77777777" w:rsidR="00CA16CF" w:rsidRPr="006D075E" w:rsidRDefault="00CA16CF" w:rsidP="00CA16CF">
            <w:pPr>
              <w:pStyle w:val="COMTabletext"/>
              <w:keepNext w:val="0"/>
            </w:pPr>
            <w:r w:rsidRPr="006D075E">
              <w:t>TOT extrapolated using a gamma function</w:t>
            </w:r>
          </w:p>
        </w:tc>
        <w:tc>
          <w:tcPr>
            <w:tcW w:w="1398" w:type="dxa"/>
            <w:tcBorders>
              <w:top w:val="single" w:sz="2" w:space="0" w:color="auto"/>
              <w:left w:val="single" w:sz="2" w:space="0" w:color="auto"/>
              <w:bottom w:val="single" w:sz="2" w:space="0" w:color="auto"/>
              <w:right w:val="single" w:sz="2" w:space="0" w:color="auto"/>
            </w:tcBorders>
            <w:vAlign w:val="bottom"/>
          </w:tcPr>
          <w:p w14:paraId="73A55FAE" w14:textId="1F9BADEC" w:rsidR="00CA16CF" w:rsidRPr="0068648A" w:rsidRDefault="00CA16CF" w:rsidP="00CA16CF">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76"/>
                <w14:textFill>
                  <w14:solidFill>
                    <w14:srgbClr w14:val="000000">
                      <w14:alpha w14:val="100000"/>
                    </w14:srgbClr>
                  </w14:solidFill>
                </w14:textFill>
              </w:rPr>
              <w:t>|||</w:t>
            </w:r>
            <w:r w:rsidR="00800963" w:rsidRPr="00800963">
              <w:rPr>
                <w:color w:val="000000"/>
                <w:spacing w:val="1"/>
                <w:szCs w:val="20"/>
                <w:shd w:val="solid" w:color="000000" w:fill="000000"/>
                <w:fitText w:val="324" w:id="-629433076"/>
                <w14:textFill>
                  <w14:solidFill>
                    <w14:srgbClr w14:val="000000">
                      <w14:alpha w14:val="100000"/>
                    </w14:srgbClr>
                  </w14:solidFill>
                </w14:textFill>
              </w:rPr>
              <w:t>|</w:t>
            </w:r>
            <w:r w:rsidR="0068648A">
              <w:rPr>
                <w:szCs w:val="20"/>
                <w:vertAlign w:val="superscript"/>
              </w:rPr>
              <w:t>1</w:t>
            </w:r>
          </w:p>
        </w:tc>
        <w:tc>
          <w:tcPr>
            <w:tcW w:w="1172" w:type="dxa"/>
            <w:tcBorders>
              <w:left w:val="single" w:sz="2" w:space="0" w:color="auto"/>
            </w:tcBorders>
            <w:vAlign w:val="bottom"/>
          </w:tcPr>
          <w:p w14:paraId="2A547C31" w14:textId="0ECC071B" w:rsidR="00CA16CF" w:rsidRPr="006D075E" w:rsidRDefault="00CA16CF" w:rsidP="00CA16CF">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5"/>
                <w14:textFill>
                  <w14:solidFill>
                    <w14:srgbClr w14:val="000000">
                      <w14:alpha w14:val="100000"/>
                    </w14:srgbClr>
                  </w14:solidFill>
                </w14:textFill>
              </w:rPr>
              <w:t>|||</w:t>
            </w:r>
            <w:r w:rsidR="00800963" w:rsidRPr="00800963">
              <w:rPr>
                <w:color w:val="000000"/>
                <w:spacing w:val="1"/>
                <w:szCs w:val="20"/>
                <w:shd w:val="solid" w:color="000000" w:fill="000000"/>
                <w:fitText w:val="324" w:id="-629433075"/>
                <w14:textFill>
                  <w14:solidFill>
                    <w14:srgbClr w14:val="000000">
                      <w14:alpha w14:val="100000"/>
                    </w14:srgbClr>
                  </w14:solidFill>
                </w14:textFill>
              </w:rPr>
              <w:t>|</w:t>
            </w:r>
            <w:r w:rsidRPr="006D075E">
              <w:rPr>
                <w:szCs w:val="20"/>
              </w:rPr>
              <w:t>%</w:t>
            </w:r>
          </w:p>
        </w:tc>
        <w:tc>
          <w:tcPr>
            <w:tcW w:w="1357" w:type="dxa"/>
          </w:tcPr>
          <w:p w14:paraId="062D1F86" w14:textId="465E8DDE" w:rsidR="00CA16CF" w:rsidRPr="005F3822" w:rsidRDefault="00CA16CF" w:rsidP="00CA16CF">
            <w:pPr>
              <w:pStyle w:val="COMTabletext"/>
              <w:keepNext w:val="0"/>
              <w:jc w:val="center"/>
              <w:rPr>
                <w:szCs w:val="20"/>
                <w:vertAlign w:val="superscript"/>
              </w:rPr>
            </w:pPr>
            <w:r w:rsidRPr="006D075E">
              <w:rPr>
                <w:szCs w:val="20"/>
              </w:rPr>
              <w:t>$</w:t>
            </w:r>
            <w:r w:rsidR="00800963" w:rsidRPr="00800963">
              <w:rPr>
                <w:color w:val="000000"/>
                <w:spacing w:val="55"/>
                <w:szCs w:val="20"/>
                <w:shd w:val="solid" w:color="000000" w:fill="000000"/>
                <w:fitText w:val="336" w:id="-629433074"/>
                <w14:textFill>
                  <w14:solidFill>
                    <w14:srgbClr w14:val="000000">
                      <w14:alpha w14:val="100000"/>
                    </w14:srgbClr>
                  </w14:solidFill>
                </w14:textFill>
              </w:rPr>
              <w:t>|||</w:t>
            </w:r>
            <w:r w:rsidR="00800963" w:rsidRPr="00800963">
              <w:rPr>
                <w:color w:val="000000"/>
                <w:spacing w:val="1"/>
                <w:szCs w:val="20"/>
                <w:shd w:val="solid" w:color="000000" w:fill="000000"/>
                <w:fitText w:val="336" w:id="-629433074"/>
                <w14:textFill>
                  <w14:solidFill>
                    <w14:srgbClr w14:val="000000">
                      <w14:alpha w14:val="100000"/>
                    </w14:srgbClr>
                  </w14:solidFill>
                </w14:textFill>
              </w:rPr>
              <w:t>|</w:t>
            </w:r>
            <w:r w:rsidR="005F3822">
              <w:rPr>
                <w:szCs w:val="20"/>
                <w:vertAlign w:val="superscript"/>
              </w:rPr>
              <w:t>2</w:t>
            </w:r>
          </w:p>
        </w:tc>
        <w:tc>
          <w:tcPr>
            <w:tcW w:w="1172" w:type="dxa"/>
          </w:tcPr>
          <w:p w14:paraId="0C1F023E" w14:textId="2DCAB6F3" w:rsidR="00CA16CF" w:rsidRPr="006D075E" w:rsidRDefault="00CA16CF" w:rsidP="00CA16CF">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3"/>
                <w14:textFill>
                  <w14:solidFill>
                    <w14:srgbClr w14:val="000000">
                      <w14:alpha w14:val="100000"/>
                    </w14:srgbClr>
                  </w14:solidFill>
                </w14:textFill>
              </w:rPr>
              <w:t>|||</w:t>
            </w:r>
            <w:r w:rsidR="00800963" w:rsidRPr="00800963">
              <w:rPr>
                <w:color w:val="000000"/>
                <w:spacing w:val="1"/>
                <w:szCs w:val="20"/>
                <w:shd w:val="solid" w:color="000000" w:fill="000000"/>
                <w:fitText w:val="324" w:id="-629433073"/>
                <w14:textFill>
                  <w14:solidFill>
                    <w14:srgbClr w14:val="000000">
                      <w14:alpha w14:val="100000"/>
                    </w14:srgbClr>
                  </w14:solidFill>
                </w14:textFill>
              </w:rPr>
              <w:t>|</w:t>
            </w:r>
            <w:r w:rsidRPr="006D075E">
              <w:rPr>
                <w:szCs w:val="20"/>
              </w:rPr>
              <w:t>%</w:t>
            </w:r>
          </w:p>
        </w:tc>
      </w:tr>
      <w:tr w:rsidR="0008166B" w:rsidRPr="006D075E" w14:paraId="5CFE6B40" w14:textId="77777777" w:rsidTr="00A97DA3">
        <w:tc>
          <w:tcPr>
            <w:tcW w:w="8936" w:type="dxa"/>
            <w:gridSpan w:val="5"/>
            <w:tcBorders>
              <w:bottom w:val="single" w:sz="2" w:space="0" w:color="auto"/>
            </w:tcBorders>
          </w:tcPr>
          <w:p w14:paraId="1D8D9E4B" w14:textId="77777777" w:rsidR="0008166B" w:rsidRPr="006D075E" w:rsidRDefault="0008166B">
            <w:pPr>
              <w:pStyle w:val="COMTabletext"/>
              <w:keepNext w:val="0"/>
              <w:rPr>
                <w:rFonts w:cs="Calibri"/>
                <w:color w:val="000000"/>
                <w:szCs w:val="20"/>
              </w:rPr>
            </w:pPr>
            <w:r w:rsidRPr="006D075E">
              <w:rPr>
                <w:b/>
                <w:bCs w:val="0"/>
              </w:rPr>
              <w:t>Time to first subsequent treatment (TFST) extrapolation (base case: log-logistic function applied to time to initiation of first subsequent therapy or death)</w:t>
            </w:r>
          </w:p>
        </w:tc>
      </w:tr>
      <w:tr w:rsidR="00CA16CF" w:rsidRPr="006D075E" w14:paraId="4E724A31" w14:textId="77777777" w:rsidTr="00A97DA3">
        <w:tc>
          <w:tcPr>
            <w:tcW w:w="3837" w:type="dxa"/>
            <w:tcBorders>
              <w:top w:val="single" w:sz="2" w:space="0" w:color="auto"/>
              <w:left w:val="single" w:sz="2" w:space="0" w:color="auto"/>
              <w:bottom w:val="single" w:sz="2" w:space="0" w:color="auto"/>
              <w:right w:val="single" w:sz="2" w:space="0" w:color="auto"/>
            </w:tcBorders>
          </w:tcPr>
          <w:p w14:paraId="527016EB" w14:textId="77777777" w:rsidR="00CA16CF" w:rsidRPr="006D075E" w:rsidRDefault="00CA16CF" w:rsidP="00CA16CF">
            <w:pPr>
              <w:pStyle w:val="COMTabletext"/>
              <w:keepNext w:val="0"/>
            </w:pPr>
            <w:r w:rsidRPr="006D075E">
              <w:t>TFST extrapolated using an exponential function</w:t>
            </w:r>
          </w:p>
        </w:tc>
        <w:tc>
          <w:tcPr>
            <w:tcW w:w="1398" w:type="dxa"/>
            <w:tcBorders>
              <w:top w:val="single" w:sz="2" w:space="0" w:color="auto"/>
              <w:left w:val="single" w:sz="2" w:space="0" w:color="auto"/>
              <w:bottom w:val="single" w:sz="2" w:space="0" w:color="auto"/>
              <w:right w:val="single" w:sz="2" w:space="0" w:color="auto"/>
            </w:tcBorders>
          </w:tcPr>
          <w:p w14:paraId="312C0A1E" w14:textId="7BD2B871" w:rsidR="00CA16CF" w:rsidRPr="0068648A" w:rsidRDefault="00CA16CF" w:rsidP="00CA16CF">
            <w:pPr>
              <w:pStyle w:val="COMTabletext"/>
              <w:keepNext w:val="0"/>
              <w:jc w:val="center"/>
              <w:rPr>
                <w:rFonts w:cs="Calibri"/>
                <w:color w:val="000000"/>
                <w:szCs w:val="20"/>
                <w:vertAlign w:val="superscript"/>
              </w:rPr>
            </w:pPr>
            <w:r w:rsidRPr="006D075E">
              <w:rPr>
                <w:szCs w:val="20"/>
              </w:rPr>
              <w:t>$</w:t>
            </w:r>
            <w:r w:rsidR="00800963" w:rsidRPr="00800963">
              <w:rPr>
                <w:color w:val="000000"/>
                <w:spacing w:val="51"/>
                <w:szCs w:val="20"/>
                <w:shd w:val="solid" w:color="000000" w:fill="000000"/>
                <w:fitText w:val="324" w:id="-629433072"/>
                <w14:textFill>
                  <w14:solidFill>
                    <w14:srgbClr w14:val="000000">
                      <w14:alpha w14:val="100000"/>
                    </w14:srgbClr>
                  </w14:solidFill>
                </w14:textFill>
              </w:rPr>
              <w:t>|||</w:t>
            </w:r>
            <w:r w:rsidR="00800963" w:rsidRPr="00800963">
              <w:rPr>
                <w:color w:val="000000"/>
                <w:spacing w:val="1"/>
                <w:szCs w:val="20"/>
                <w:shd w:val="solid" w:color="000000" w:fill="000000"/>
                <w:fitText w:val="324" w:id="-629433072"/>
                <w14:textFill>
                  <w14:solidFill>
                    <w14:srgbClr w14:val="000000">
                      <w14:alpha w14:val="100000"/>
                    </w14:srgbClr>
                  </w14:solidFill>
                </w14:textFill>
              </w:rPr>
              <w:t>|</w:t>
            </w:r>
            <w:r w:rsidR="0068648A">
              <w:rPr>
                <w:szCs w:val="20"/>
                <w:vertAlign w:val="superscript"/>
              </w:rPr>
              <w:t>1</w:t>
            </w:r>
          </w:p>
        </w:tc>
        <w:tc>
          <w:tcPr>
            <w:tcW w:w="1172" w:type="dxa"/>
            <w:tcBorders>
              <w:top w:val="single" w:sz="2" w:space="0" w:color="auto"/>
              <w:left w:val="single" w:sz="2" w:space="0" w:color="auto"/>
              <w:bottom w:val="single" w:sz="2" w:space="0" w:color="auto"/>
              <w:right w:val="single" w:sz="2" w:space="0" w:color="auto"/>
            </w:tcBorders>
          </w:tcPr>
          <w:p w14:paraId="018CE516" w14:textId="54D1A4D4" w:rsidR="00CA16CF" w:rsidRPr="006D075E" w:rsidRDefault="00CA16CF" w:rsidP="00CA16CF">
            <w:pPr>
              <w:pStyle w:val="COMTabletext"/>
              <w:keepNext w:val="0"/>
              <w:jc w:val="center"/>
              <w:rPr>
                <w:rFonts w:cs="Calibri"/>
                <w:color w:val="000000"/>
                <w:szCs w:val="20"/>
              </w:rPr>
            </w:pPr>
            <w:r w:rsidRPr="006D075E">
              <w:rPr>
                <w:szCs w:val="20"/>
              </w:rPr>
              <w:t>-</w:t>
            </w:r>
            <w:r w:rsidR="00800963" w:rsidRPr="00800963">
              <w:rPr>
                <w:color w:val="000000"/>
                <w:spacing w:val="51"/>
                <w:szCs w:val="20"/>
                <w:shd w:val="solid" w:color="000000" w:fill="000000"/>
                <w:fitText w:val="324" w:id="-629433088"/>
                <w14:textFill>
                  <w14:solidFill>
                    <w14:srgbClr w14:val="000000">
                      <w14:alpha w14:val="100000"/>
                    </w14:srgbClr>
                  </w14:solidFill>
                </w14:textFill>
              </w:rPr>
              <w:t>|||</w:t>
            </w:r>
            <w:r w:rsidR="00800963" w:rsidRPr="00800963">
              <w:rPr>
                <w:color w:val="000000"/>
                <w:spacing w:val="1"/>
                <w:szCs w:val="20"/>
                <w:shd w:val="solid" w:color="000000" w:fill="000000"/>
                <w:fitText w:val="324" w:id="-629433088"/>
                <w14:textFill>
                  <w14:solidFill>
                    <w14:srgbClr w14:val="000000">
                      <w14:alpha w14:val="100000"/>
                    </w14:srgbClr>
                  </w14:solidFill>
                </w14:textFill>
              </w:rPr>
              <w:t>|</w:t>
            </w:r>
            <w:r w:rsidRPr="006D075E">
              <w:rPr>
                <w:szCs w:val="20"/>
              </w:rPr>
              <w:t>%</w:t>
            </w:r>
          </w:p>
        </w:tc>
        <w:tc>
          <w:tcPr>
            <w:tcW w:w="1357" w:type="dxa"/>
            <w:tcBorders>
              <w:top w:val="single" w:sz="2" w:space="0" w:color="auto"/>
              <w:left w:val="single" w:sz="2" w:space="0" w:color="auto"/>
              <w:bottom w:val="single" w:sz="2" w:space="0" w:color="auto"/>
              <w:right w:val="single" w:sz="2" w:space="0" w:color="auto"/>
            </w:tcBorders>
          </w:tcPr>
          <w:p w14:paraId="153D3BB6" w14:textId="48BBB52D" w:rsidR="00CA16CF" w:rsidRPr="00B20907" w:rsidRDefault="00CA16CF" w:rsidP="00CA16CF">
            <w:pPr>
              <w:pStyle w:val="COMTabletext"/>
              <w:keepNext w:val="0"/>
              <w:jc w:val="center"/>
              <w:rPr>
                <w:rFonts w:cs="Calibri"/>
                <w:color w:val="000000"/>
                <w:szCs w:val="20"/>
                <w:vertAlign w:val="superscript"/>
              </w:rPr>
            </w:pPr>
            <w:r w:rsidRPr="006D075E">
              <w:rPr>
                <w:szCs w:val="20"/>
              </w:rPr>
              <w:t>$</w:t>
            </w:r>
            <w:r w:rsidR="00800963" w:rsidRPr="00800963">
              <w:rPr>
                <w:color w:val="000000"/>
                <w:spacing w:val="55"/>
                <w:szCs w:val="20"/>
                <w:shd w:val="solid" w:color="000000" w:fill="000000"/>
                <w:fitText w:val="336" w:id="-629433087"/>
                <w14:textFill>
                  <w14:solidFill>
                    <w14:srgbClr w14:val="000000">
                      <w14:alpha w14:val="100000"/>
                    </w14:srgbClr>
                  </w14:solidFill>
                </w14:textFill>
              </w:rPr>
              <w:t>|||</w:t>
            </w:r>
            <w:r w:rsidR="00800963" w:rsidRPr="00800963">
              <w:rPr>
                <w:color w:val="000000"/>
                <w:spacing w:val="1"/>
                <w:szCs w:val="20"/>
                <w:shd w:val="solid" w:color="000000" w:fill="000000"/>
                <w:fitText w:val="336" w:id="-629433087"/>
                <w14:textFill>
                  <w14:solidFill>
                    <w14:srgbClr w14:val="000000">
                      <w14:alpha w14:val="100000"/>
                    </w14:srgbClr>
                  </w14:solidFill>
                </w14:textFill>
              </w:rPr>
              <w:t>|</w:t>
            </w:r>
            <w:r w:rsidR="00B20907">
              <w:rPr>
                <w:szCs w:val="20"/>
                <w:vertAlign w:val="superscript"/>
              </w:rPr>
              <w:t>2</w:t>
            </w:r>
          </w:p>
        </w:tc>
        <w:tc>
          <w:tcPr>
            <w:tcW w:w="1172" w:type="dxa"/>
            <w:tcBorders>
              <w:top w:val="single" w:sz="2" w:space="0" w:color="auto"/>
              <w:left w:val="single" w:sz="2" w:space="0" w:color="auto"/>
              <w:bottom w:val="single" w:sz="2" w:space="0" w:color="auto"/>
              <w:right w:val="single" w:sz="2" w:space="0" w:color="auto"/>
            </w:tcBorders>
          </w:tcPr>
          <w:p w14:paraId="692869DE" w14:textId="012ED19B" w:rsidR="00CA16CF" w:rsidRPr="006D075E" w:rsidRDefault="00CA16CF" w:rsidP="00CA16CF">
            <w:pPr>
              <w:pStyle w:val="COMTabletext"/>
              <w:keepNext w:val="0"/>
              <w:jc w:val="center"/>
              <w:rPr>
                <w:rFonts w:cs="Calibri"/>
                <w:color w:val="000000"/>
                <w:szCs w:val="20"/>
              </w:rPr>
            </w:pPr>
            <w:r w:rsidRPr="006D075E">
              <w:rPr>
                <w:szCs w:val="20"/>
              </w:rPr>
              <w:t>-</w:t>
            </w:r>
            <w:r w:rsidR="00800963" w:rsidRPr="00800963">
              <w:rPr>
                <w:color w:val="000000"/>
                <w:spacing w:val="51"/>
                <w:szCs w:val="20"/>
                <w:shd w:val="solid" w:color="000000" w:fill="000000"/>
                <w:fitText w:val="324" w:id="-629433086"/>
                <w14:textFill>
                  <w14:solidFill>
                    <w14:srgbClr w14:val="000000">
                      <w14:alpha w14:val="100000"/>
                    </w14:srgbClr>
                  </w14:solidFill>
                </w14:textFill>
              </w:rPr>
              <w:t>|||</w:t>
            </w:r>
            <w:r w:rsidR="00800963" w:rsidRPr="00800963">
              <w:rPr>
                <w:color w:val="000000"/>
                <w:spacing w:val="1"/>
                <w:szCs w:val="20"/>
                <w:shd w:val="solid" w:color="000000" w:fill="000000"/>
                <w:fitText w:val="324" w:id="-629433086"/>
                <w14:textFill>
                  <w14:solidFill>
                    <w14:srgbClr w14:val="000000">
                      <w14:alpha w14:val="100000"/>
                    </w14:srgbClr>
                  </w14:solidFill>
                </w14:textFill>
              </w:rPr>
              <w:t>|</w:t>
            </w:r>
            <w:r w:rsidRPr="006D075E">
              <w:rPr>
                <w:szCs w:val="20"/>
              </w:rPr>
              <w:t>%</w:t>
            </w:r>
          </w:p>
        </w:tc>
      </w:tr>
      <w:tr w:rsidR="00CA16CF" w:rsidRPr="006D075E" w14:paraId="03B67EBC" w14:textId="77777777" w:rsidTr="00A97DA3">
        <w:tc>
          <w:tcPr>
            <w:tcW w:w="3837" w:type="dxa"/>
            <w:tcBorders>
              <w:top w:val="single" w:sz="2" w:space="0" w:color="auto"/>
              <w:left w:val="single" w:sz="2" w:space="0" w:color="auto"/>
              <w:bottom w:val="single" w:sz="2" w:space="0" w:color="auto"/>
              <w:right w:val="single" w:sz="2" w:space="0" w:color="auto"/>
            </w:tcBorders>
          </w:tcPr>
          <w:p w14:paraId="1195288C" w14:textId="77777777" w:rsidR="00CA16CF" w:rsidRPr="006D075E" w:rsidRDefault="00CA16CF" w:rsidP="00CA16CF">
            <w:pPr>
              <w:pStyle w:val="COMTabletext"/>
              <w:keepNext w:val="0"/>
            </w:pPr>
            <w:r w:rsidRPr="006D075E">
              <w:t>TFST extrapolated using a Gompertz function</w:t>
            </w:r>
          </w:p>
        </w:tc>
        <w:tc>
          <w:tcPr>
            <w:tcW w:w="1398" w:type="dxa"/>
            <w:tcBorders>
              <w:top w:val="single" w:sz="2" w:space="0" w:color="auto"/>
              <w:left w:val="single" w:sz="2" w:space="0" w:color="auto"/>
              <w:bottom w:val="single" w:sz="2" w:space="0" w:color="auto"/>
              <w:right w:val="single" w:sz="2" w:space="0" w:color="auto"/>
            </w:tcBorders>
          </w:tcPr>
          <w:p w14:paraId="2241482C" w14:textId="4A8FB39F" w:rsidR="00CA16CF" w:rsidRPr="00B20907" w:rsidRDefault="00CA16CF" w:rsidP="00CA16CF">
            <w:pPr>
              <w:pStyle w:val="COMTabletext"/>
              <w:keepNext w:val="0"/>
              <w:jc w:val="center"/>
              <w:rPr>
                <w:rFonts w:cs="Calibri"/>
                <w:color w:val="000000"/>
                <w:szCs w:val="20"/>
                <w:vertAlign w:val="superscript"/>
              </w:rPr>
            </w:pPr>
            <w:r w:rsidRPr="006D075E">
              <w:rPr>
                <w:szCs w:val="20"/>
              </w:rPr>
              <w:t>$</w:t>
            </w:r>
            <w:r w:rsidR="00800963" w:rsidRPr="00800963">
              <w:rPr>
                <w:color w:val="000000"/>
                <w:spacing w:val="51"/>
                <w:szCs w:val="20"/>
                <w:shd w:val="solid" w:color="000000" w:fill="000000"/>
                <w:fitText w:val="324" w:id="-629433085"/>
                <w14:textFill>
                  <w14:solidFill>
                    <w14:srgbClr w14:val="000000">
                      <w14:alpha w14:val="100000"/>
                    </w14:srgbClr>
                  </w14:solidFill>
                </w14:textFill>
              </w:rPr>
              <w:t>|||</w:t>
            </w:r>
            <w:r w:rsidR="00800963" w:rsidRPr="00800963">
              <w:rPr>
                <w:color w:val="000000"/>
                <w:spacing w:val="1"/>
                <w:szCs w:val="20"/>
                <w:shd w:val="solid" w:color="000000" w:fill="000000"/>
                <w:fitText w:val="324" w:id="-629433085"/>
                <w14:textFill>
                  <w14:solidFill>
                    <w14:srgbClr w14:val="000000">
                      <w14:alpha w14:val="100000"/>
                    </w14:srgbClr>
                  </w14:solidFill>
                </w14:textFill>
              </w:rPr>
              <w:t>|</w:t>
            </w:r>
            <w:r w:rsidR="00B20907">
              <w:rPr>
                <w:szCs w:val="20"/>
                <w:vertAlign w:val="superscript"/>
              </w:rPr>
              <w:t>2</w:t>
            </w:r>
          </w:p>
        </w:tc>
        <w:tc>
          <w:tcPr>
            <w:tcW w:w="1172" w:type="dxa"/>
            <w:tcBorders>
              <w:top w:val="single" w:sz="2" w:space="0" w:color="auto"/>
              <w:left w:val="single" w:sz="2" w:space="0" w:color="auto"/>
              <w:bottom w:val="single" w:sz="2" w:space="0" w:color="auto"/>
              <w:right w:val="single" w:sz="2" w:space="0" w:color="auto"/>
            </w:tcBorders>
          </w:tcPr>
          <w:p w14:paraId="3D7A7423" w14:textId="293EDC2D" w:rsidR="00CA16CF" w:rsidRPr="006D075E" w:rsidRDefault="00800963" w:rsidP="00CA16CF">
            <w:pPr>
              <w:pStyle w:val="COMTabletext"/>
              <w:keepNext w:val="0"/>
              <w:jc w:val="center"/>
              <w:rPr>
                <w:rFonts w:cs="Calibri"/>
                <w:color w:val="000000"/>
                <w:szCs w:val="20"/>
              </w:rPr>
            </w:pPr>
            <w:r w:rsidRPr="00800963">
              <w:rPr>
                <w:color w:val="000000"/>
                <w:spacing w:val="55"/>
                <w:szCs w:val="20"/>
                <w:shd w:val="solid" w:color="000000" w:fill="000000"/>
                <w:fitText w:val="336" w:id="-629433084"/>
                <w14:textFill>
                  <w14:solidFill>
                    <w14:srgbClr w14:val="000000">
                      <w14:alpha w14:val="100000"/>
                    </w14:srgbClr>
                  </w14:solidFill>
                </w14:textFill>
              </w:rPr>
              <w:t>|||</w:t>
            </w:r>
            <w:r w:rsidRPr="00800963">
              <w:rPr>
                <w:color w:val="000000"/>
                <w:spacing w:val="1"/>
                <w:szCs w:val="20"/>
                <w:shd w:val="solid" w:color="000000" w:fill="000000"/>
                <w:fitText w:val="336" w:id="-629433084"/>
                <w14:textFill>
                  <w14:solidFill>
                    <w14:srgbClr w14:val="000000">
                      <w14:alpha w14:val="100000"/>
                    </w14:srgbClr>
                  </w14:solidFill>
                </w14:textFill>
              </w:rPr>
              <w:t>|</w:t>
            </w:r>
            <w:r w:rsidR="00CA16CF" w:rsidRPr="006D075E">
              <w:rPr>
                <w:szCs w:val="20"/>
              </w:rPr>
              <w:t>%</w:t>
            </w:r>
          </w:p>
        </w:tc>
        <w:tc>
          <w:tcPr>
            <w:tcW w:w="1357" w:type="dxa"/>
            <w:tcBorders>
              <w:top w:val="single" w:sz="2" w:space="0" w:color="auto"/>
              <w:left w:val="single" w:sz="2" w:space="0" w:color="auto"/>
              <w:bottom w:val="single" w:sz="2" w:space="0" w:color="auto"/>
              <w:right w:val="single" w:sz="2" w:space="0" w:color="auto"/>
            </w:tcBorders>
          </w:tcPr>
          <w:p w14:paraId="1DC62661" w14:textId="092CF11B" w:rsidR="00CA16CF" w:rsidRPr="00BE5470" w:rsidRDefault="00CA16CF" w:rsidP="00CA16CF">
            <w:pPr>
              <w:pStyle w:val="COMTabletext"/>
              <w:keepNext w:val="0"/>
              <w:jc w:val="center"/>
              <w:rPr>
                <w:rFonts w:cs="Calibri"/>
                <w:color w:val="000000"/>
                <w:szCs w:val="20"/>
                <w:vertAlign w:val="superscript"/>
              </w:rPr>
            </w:pPr>
            <w:r w:rsidRPr="006D075E">
              <w:rPr>
                <w:szCs w:val="20"/>
              </w:rPr>
              <w:t>$</w:t>
            </w:r>
            <w:r w:rsidR="00800963" w:rsidRPr="00800963">
              <w:rPr>
                <w:color w:val="000000"/>
                <w:spacing w:val="55"/>
                <w:szCs w:val="20"/>
                <w:shd w:val="solid" w:color="000000" w:fill="000000"/>
                <w:fitText w:val="336" w:id="-629433083"/>
                <w14:textFill>
                  <w14:solidFill>
                    <w14:srgbClr w14:val="000000">
                      <w14:alpha w14:val="100000"/>
                    </w14:srgbClr>
                  </w14:solidFill>
                </w14:textFill>
              </w:rPr>
              <w:t>|||</w:t>
            </w:r>
            <w:r w:rsidR="00800963" w:rsidRPr="00800963">
              <w:rPr>
                <w:color w:val="000000"/>
                <w:spacing w:val="1"/>
                <w:szCs w:val="20"/>
                <w:shd w:val="solid" w:color="000000" w:fill="000000"/>
                <w:fitText w:val="336" w:id="-629433083"/>
                <w14:textFill>
                  <w14:solidFill>
                    <w14:srgbClr w14:val="000000">
                      <w14:alpha w14:val="100000"/>
                    </w14:srgbClr>
                  </w14:solidFill>
                </w14:textFill>
              </w:rPr>
              <w:t>|</w:t>
            </w:r>
            <w:r w:rsidR="00BE5470">
              <w:rPr>
                <w:szCs w:val="20"/>
                <w:vertAlign w:val="superscript"/>
              </w:rPr>
              <w:t>3</w:t>
            </w:r>
          </w:p>
        </w:tc>
        <w:tc>
          <w:tcPr>
            <w:tcW w:w="1172" w:type="dxa"/>
            <w:tcBorders>
              <w:top w:val="single" w:sz="2" w:space="0" w:color="auto"/>
              <w:left w:val="single" w:sz="2" w:space="0" w:color="auto"/>
              <w:bottom w:val="single" w:sz="2" w:space="0" w:color="auto"/>
              <w:right w:val="single" w:sz="2" w:space="0" w:color="auto"/>
            </w:tcBorders>
          </w:tcPr>
          <w:p w14:paraId="55BB0B8A" w14:textId="26CE681A" w:rsidR="00CA16CF" w:rsidRPr="006D075E" w:rsidRDefault="00800963" w:rsidP="00CA16CF">
            <w:pPr>
              <w:pStyle w:val="COMTabletext"/>
              <w:keepNext w:val="0"/>
              <w:jc w:val="center"/>
              <w:rPr>
                <w:rFonts w:cs="Calibri"/>
                <w:color w:val="000000"/>
                <w:szCs w:val="20"/>
              </w:rPr>
            </w:pPr>
            <w:r w:rsidRPr="00800963">
              <w:rPr>
                <w:color w:val="000000"/>
                <w:spacing w:val="55"/>
                <w:szCs w:val="20"/>
                <w:shd w:val="solid" w:color="000000" w:fill="000000"/>
                <w:fitText w:val="336" w:id="-629433082"/>
                <w14:textFill>
                  <w14:solidFill>
                    <w14:srgbClr w14:val="000000">
                      <w14:alpha w14:val="100000"/>
                    </w14:srgbClr>
                  </w14:solidFill>
                </w14:textFill>
              </w:rPr>
              <w:t>|||</w:t>
            </w:r>
            <w:r w:rsidRPr="00800963">
              <w:rPr>
                <w:color w:val="000000"/>
                <w:spacing w:val="1"/>
                <w:szCs w:val="20"/>
                <w:shd w:val="solid" w:color="000000" w:fill="000000"/>
                <w:fitText w:val="336" w:id="-629433082"/>
                <w14:textFill>
                  <w14:solidFill>
                    <w14:srgbClr w14:val="000000">
                      <w14:alpha w14:val="100000"/>
                    </w14:srgbClr>
                  </w14:solidFill>
                </w14:textFill>
              </w:rPr>
              <w:t>|</w:t>
            </w:r>
            <w:r w:rsidR="00CA16CF" w:rsidRPr="006D075E">
              <w:rPr>
                <w:szCs w:val="20"/>
              </w:rPr>
              <w:t>%</w:t>
            </w:r>
          </w:p>
        </w:tc>
      </w:tr>
      <w:tr w:rsidR="00CA16CF" w:rsidRPr="006D075E" w14:paraId="7EC30CA5" w14:textId="77777777" w:rsidTr="00A97DA3">
        <w:tc>
          <w:tcPr>
            <w:tcW w:w="3837" w:type="dxa"/>
            <w:tcBorders>
              <w:top w:val="single" w:sz="2" w:space="0" w:color="auto"/>
              <w:left w:val="single" w:sz="2" w:space="0" w:color="auto"/>
              <w:bottom w:val="single" w:sz="2" w:space="0" w:color="auto"/>
              <w:right w:val="single" w:sz="2" w:space="0" w:color="auto"/>
            </w:tcBorders>
          </w:tcPr>
          <w:p w14:paraId="0B289E5C" w14:textId="77777777" w:rsidR="00CA16CF" w:rsidRPr="006D075E" w:rsidRDefault="00CA16CF" w:rsidP="00CA16CF">
            <w:pPr>
              <w:pStyle w:val="COMTabletext"/>
              <w:keepNext w:val="0"/>
            </w:pPr>
            <w:r w:rsidRPr="006D075E">
              <w:t>TFST extrapolated using a Weibull function</w:t>
            </w:r>
          </w:p>
        </w:tc>
        <w:tc>
          <w:tcPr>
            <w:tcW w:w="1398" w:type="dxa"/>
            <w:tcBorders>
              <w:top w:val="single" w:sz="2" w:space="0" w:color="auto"/>
              <w:left w:val="single" w:sz="2" w:space="0" w:color="auto"/>
              <w:bottom w:val="single" w:sz="2" w:space="0" w:color="auto"/>
              <w:right w:val="single" w:sz="2" w:space="0" w:color="auto"/>
            </w:tcBorders>
          </w:tcPr>
          <w:p w14:paraId="304FDB68" w14:textId="2E7C0D08" w:rsidR="00CA16CF" w:rsidRPr="0068648A" w:rsidRDefault="00CA16CF" w:rsidP="00CA16CF">
            <w:pPr>
              <w:pStyle w:val="COMTabletext"/>
              <w:keepNext w:val="0"/>
              <w:jc w:val="center"/>
              <w:rPr>
                <w:rFonts w:cs="Calibri"/>
                <w:color w:val="000000"/>
                <w:szCs w:val="20"/>
                <w:vertAlign w:val="superscript"/>
              </w:rPr>
            </w:pPr>
            <w:r w:rsidRPr="006D075E">
              <w:rPr>
                <w:szCs w:val="20"/>
              </w:rPr>
              <w:t>$</w:t>
            </w:r>
            <w:r w:rsidR="00800963" w:rsidRPr="00800963">
              <w:rPr>
                <w:color w:val="000000"/>
                <w:spacing w:val="51"/>
                <w:szCs w:val="20"/>
                <w:shd w:val="solid" w:color="000000" w:fill="000000"/>
                <w:fitText w:val="324" w:id="-629433081"/>
                <w14:textFill>
                  <w14:solidFill>
                    <w14:srgbClr w14:val="000000">
                      <w14:alpha w14:val="100000"/>
                    </w14:srgbClr>
                  </w14:solidFill>
                </w14:textFill>
              </w:rPr>
              <w:t>|||</w:t>
            </w:r>
            <w:r w:rsidR="00800963" w:rsidRPr="00800963">
              <w:rPr>
                <w:color w:val="000000"/>
                <w:spacing w:val="1"/>
                <w:szCs w:val="20"/>
                <w:shd w:val="solid" w:color="000000" w:fill="000000"/>
                <w:fitText w:val="324" w:id="-629433081"/>
                <w14:textFill>
                  <w14:solidFill>
                    <w14:srgbClr w14:val="000000">
                      <w14:alpha w14:val="100000"/>
                    </w14:srgbClr>
                  </w14:solidFill>
                </w14:textFill>
              </w:rPr>
              <w:t>|</w:t>
            </w:r>
            <w:r w:rsidR="0068648A">
              <w:rPr>
                <w:szCs w:val="20"/>
                <w:vertAlign w:val="superscript"/>
              </w:rPr>
              <w:t>1</w:t>
            </w:r>
          </w:p>
        </w:tc>
        <w:tc>
          <w:tcPr>
            <w:tcW w:w="1172" w:type="dxa"/>
            <w:tcBorders>
              <w:top w:val="single" w:sz="2" w:space="0" w:color="auto"/>
              <w:left w:val="single" w:sz="2" w:space="0" w:color="auto"/>
              <w:bottom w:val="single" w:sz="2" w:space="0" w:color="auto"/>
              <w:right w:val="single" w:sz="2" w:space="0" w:color="auto"/>
            </w:tcBorders>
          </w:tcPr>
          <w:p w14:paraId="02A0F02A" w14:textId="01B5BCB5" w:rsidR="00CA16CF" w:rsidRPr="006D075E" w:rsidRDefault="00CA16CF" w:rsidP="00CA16CF">
            <w:pPr>
              <w:pStyle w:val="COMTabletext"/>
              <w:keepNext w:val="0"/>
              <w:jc w:val="center"/>
              <w:rPr>
                <w:rFonts w:cs="Calibri"/>
                <w:color w:val="000000"/>
                <w:szCs w:val="20"/>
              </w:rPr>
            </w:pPr>
            <w:r w:rsidRPr="006D075E">
              <w:rPr>
                <w:szCs w:val="20"/>
              </w:rPr>
              <w:t>-</w:t>
            </w:r>
            <w:r w:rsidR="00800963" w:rsidRPr="00800963">
              <w:rPr>
                <w:color w:val="000000"/>
                <w:spacing w:val="51"/>
                <w:szCs w:val="20"/>
                <w:shd w:val="solid" w:color="000000" w:fill="000000"/>
                <w:fitText w:val="324" w:id="-629433080"/>
                <w14:textFill>
                  <w14:solidFill>
                    <w14:srgbClr w14:val="000000">
                      <w14:alpha w14:val="100000"/>
                    </w14:srgbClr>
                  </w14:solidFill>
                </w14:textFill>
              </w:rPr>
              <w:t>|||</w:t>
            </w:r>
            <w:r w:rsidR="00800963" w:rsidRPr="00800963">
              <w:rPr>
                <w:color w:val="000000"/>
                <w:spacing w:val="1"/>
                <w:szCs w:val="20"/>
                <w:shd w:val="solid" w:color="000000" w:fill="000000"/>
                <w:fitText w:val="324" w:id="-629433080"/>
                <w14:textFill>
                  <w14:solidFill>
                    <w14:srgbClr w14:val="000000">
                      <w14:alpha w14:val="100000"/>
                    </w14:srgbClr>
                  </w14:solidFill>
                </w14:textFill>
              </w:rPr>
              <w:t>|</w:t>
            </w:r>
            <w:r w:rsidRPr="006D075E">
              <w:rPr>
                <w:szCs w:val="20"/>
              </w:rPr>
              <w:t>%</w:t>
            </w:r>
          </w:p>
        </w:tc>
        <w:tc>
          <w:tcPr>
            <w:tcW w:w="1357" w:type="dxa"/>
            <w:tcBorders>
              <w:top w:val="single" w:sz="2" w:space="0" w:color="auto"/>
              <w:left w:val="single" w:sz="2" w:space="0" w:color="auto"/>
              <w:bottom w:val="single" w:sz="2" w:space="0" w:color="auto"/>
              <w:right w:val="single" w:sz="2" w:space="0" w:color="auto"/>
            </w:tcBorders>
          </w:tcPr>
          <w:p w14:paraId="732A2464" w14:textId="0F5991C3" w:rsidR="00CA16CF" w:rsidRPr="00B20907" w:rsidRDefault="00CA16CF" w:rsidP="00CA16CF">
            <w:pPr>
              <w:pStyle w:val="COMTabletext"/>
              <w:keepNext w:val="0"/>
              <w:jc w:val="center"/>
              <w:rPr>
                <w:rFonts w:cs="Calibri"/>
                <w:color w:val="000000"/>
                <w:szCs w:val="20"/>
                <w:vertAlign w:val="superscript"/>
              </w:rPr>
            </w:pPr>
            <w:r w:rsidRPr="006D075E">
              <w:rPr>
                <w:szCs w:val="20"/>
              </w:rPr>
              <w:t>$</w:t>
            </w:r>
            <w:r w:rsidR="00800963" w:rsidRPr="00800963">
              <w:rPr>
                <w:color w:val="000000"/>
                <w:spacing w:val="55"/>
                <w:szCs w:val="20"/>
                <w:shd w:val="solid" w:color="000000" w:fill="000000"/>
                <w:fitText w:val="336" w:id="-629433079"/>
                <w14:textFill>
                  <w14:solidFill>
                    <w14:srgbClr w14:val="000000">
                      <w14:alpha w14:val="100000"/>
                    </w14:srgbClr>
                  </w14:solidFill>
                </w14:textFill>
              </w:rPr>
              <w:t>|||</w:t>
            </w:r>
            <w:r w:rsidR="00800963" w:rsidRPr="00800963">
              <w:rPr>
                <w:color w:val="000000"/>
                <w:spacing w:val="1"/>
                <w:szCs w:val="20"/>
                <w:shd w:val="solid" w:color="000000" w:fill="000000"/>
                <w:fitText w:val="336" w:id="-629433079"/>
                <w14:textFill>
                  <w14:solidFill>
                    <w14:srgbClr w14:val="000000">
                      <w14:alpha w14:val="100000"/>
                    </w14:srgbClr>
                  </w14:solidFill>
                </w14:textFill>
              </w:rPr>
              <w:t>|</w:t>
            </w:r>
            <w:r w:rsidR="00B20907">
              <w:rPr>
                <w:szCs w:val="20"/>
                <w:vertAlign w:val="superscript"/>
              </w:rPr>
              <w:t>2</w:t>
            </w:r>
          </w:p>
        </w:tc>
        <w:tc>
          <w:tcPr>
            <w:tcW w:w="1172" w:type="dxa"/>
            <w:tcBorders>
              <w:top w:val="single" w:sz="2" w:space="0" w:color="auto"/>
              <w:left w:val="single" w:sz="2" w:space="0" w:color="auto"/>
              <w:bottom w:val="single" w:sz="2" w:space="0" w:color="auto"/>
              <w:right w:val="single" w:sz="2" w:space="0" w:color="auto"/>
            </w:tcBorders>
          </w:tcPr>
          <w:p w14:paraId="32C305D2" w14:textId="38AE9449" w:rsidR="00CA16CF" w:rsidRPr="006D075E" w:rsidRDefault="00CA16CF" w:rsidP="00CA16CF">
            <w:pPr>
              <w:pStyle w:val="COMTabletext"/>
              <w:keepNext w:val="0"/>
              <w:jc w:val="center"/>
              <w:rPr>
                <w:rFonts w:cs="Calibri"/>
                <w:color w:val="000000"/>
                <w:szCs w:val="20"/>
              </w:rPr>
            </w:pPr>
            <w:r w:rsidRPr="006D075E">
              <w:rPr>
                <w:szCs w:val="20"/>
              </w:rPr>
              <w:t>-</w:t>
            </w:r>
            <w:r w:rsidR="00800963" w:rsidRPr="00800963">
              <w:rPr>
                <w:color w:val="000000"/>
                <w:spacing w:val="51"/>
                <w:szCs w:val="20"/>
                <w:shd w:val="solid" w:color="000000" w:fill="000000"/>
                <w:fitText w:val="324" w:id="-629433078"/>
                <w14:textFill>
                  <w14:solidFill>
                    <w14:srgbClr w14:val="000000">
                      <w14:alpha w14:val="100000"/>
                    </w14:srgbClr>
                  </w14:solidFill>
                </w14:textFill>
              </w:rPr>
              <w:t>|||</w:t>
            </w:r>
            <w:r w:rsidR="00800963" w:rsidRPr="00800963">
              <w:rPr>
                <w:color w:val="000000"/>
                <w:spacing w:val="1"/>
                <w:szCs w:val="20"/>
                <w:shd w:val="solid" w:color="000000" w:fill="000000"/>
                <w:fitText w:val="324" w:id="-629433078"/>
                <w14:textFill>
                  <w14:solidFill>
                    <w14:srgbClr w14:val="000000">
                      <w14:alpha w14:val="100000"/>
                    </w14:srgbClr>
                  </w14:solidFill>
                </w14:textFill>
              </w:rPr>
              <w:t>|</w:t>
            </w:r>
            <w:r w:rsidRPr="006D075E">
              <w:rPr>
                <w:szCs w:val="20"/>
              </w:rPr>
              <w:t>%</w:t>
            </w:r>
          </w:p>
        </w:tc>
      </w:tr>
      <w:tr w:rsidR="00CA16CF" w:rsidRPr="006D075E" w14:paraId="7681C6DE" w14:textId="77777777" w:rsidTr="00A97DA3">
        <w:tc>
          <w:tcPr>
            <w:tcW w:w="3837" w:type="dxa"/>
            <w:tcBorders>
              <w:top w:val="single" w:sz="2" w:space="0" w:color="auto"/>
              <w:left w:val="single" w:sz="2" w:space="0" w:color="auto"/>
              <w:bottom w:val="single" w:sz="2" w:space="0" w:color="auto"/>
              <w:right w:val="single" w:sz="2" w:space="0" w:color="auto"/>
            </w:tcBorders>
          </w:tcPr>
          <w:p w14:paraId="1BC92176" w14:textId="77777777" w:rsidR="00CA16CF" w:rsidRPr="006D075E" w:rsidRDefault="00CA16CF" w:rsidP="00CA16CF">
            <w:pPr>
              <w:pStyle w:val="COMTabletext"/>
              <w:keepNext w:val="0"/>
            </w:pPr>
            <w:r w:rsidRPr="006D075E">
              <w:lastRenderedPageBreak/>
              <w:t>TFST extrapolated using a lognormal function</w:t>
            </w:r>
          </w:p>
        </w:tc>
        <w:tc>
          <w:tcPr>
            <w:tcW w:w="1398" w:type="dxa"/>
            <w:tcBorders>
              <w:top w:val="single" w:sz="2" w:space="0" w:color="auto"/>
              <w:left w:val="single" w:sz="2" w:space="0" w:color="auto"/>
              <w:bottom w:val="single" w:sz="2" w:space="0" w:color="auto"/>
              <w:right w:val="single" w:sz="2" w:space="0" w:color="auto"/>
            </w:tcBorders>
          </w:tcPr>
          <w:p w14:paraId="0E1567BD" w14:textId="67B504F5" w:rsidR="00CA16CF" w:rsidRPr="0068648A" w:rsidRDefault="00CA16CF" w:rsidP="00CA16CF">
            <w:pPr>
              <w:pStyle w:val="COMTabletext"/>
              <w:keepNext w:val="0"/>
              <w:jc w:val="center"/>
              <w:rPr>
                <w:rFonts w:cs="Calibri"/>
                <w:color w:val="000000"/>
                <w:szCs w:val="20"/>
                <w:vertAlign w:val="superscript"/>
              </w:rPr>
            </w:pPr>
            <w:r w:rsidRPr="006D075E">
              <w:rPr>
                <w:szCs w:val="20"/>
              </w:rPr>
              <w:t>$</w:t>
            </w:r>
            <w:r w:rsidR="00800963" w:rsidRPr="00800963">
              <w:rPr>
                <w:color w:val="000000"/>
                <w:spacing w:val="51"/>
                <w:szCs w:val="20"/>
                <w:shd w:val="solid" w:color="000000" w:fill="000000"/>
                <w:fitText w:val="324" w:id="-629433077"/>
                <w14:textFill>
                  <w14:solidFill>
                    <w14:srgbClr w14:val="000000">
                      <w14:alpha w14:val="100000"/>
                    </w14:srgbClr>
                  </w14:solidFill>
                </w14:textFill>
              </w:rPr>
              <w:t>|||</w:t>
            </w:r>
            <w:r w:rsidR="00800963" w:rsidRPr="00800963">
              <w:rPr>
                <w:color w:val="000000"/>
                <w:spacing w:val="1"/>
                <w:szCs w:val="20"/>
                <w:shd w:val="solid" w:color="000000" w:fill="000000"/>
                <w:fitText w:val="324" w:id="-629433077"/>
                <w14:textFill>
                  <w14:solidFill>
                    <w14:srgbClr w14:val="000000">
                      <w14:alpha w14:val="100000"/>
                    </w14:srgbClr>
                  </w14:solidFill>
                </w14:textFill>
              </w:rPr>
              <w:t>|</w:t>
            </w:r>
            <w:r w:rsidR="0068648A">
              <w:rPr>
                <w:szCs w:val="20"/>
                <w:vertAlign w:val="superscript"/>
              </w:rPr>
              <w:t>1</w:t>
            </w:r>
          </w:p>
        </w:tc>
        <w:tc>
          <w:tcPr>
            <w:tcW w:w="1172" w:type="dxa"/>
            <w:tcBorders>
              <w:top w:val="single" w:sz="2" w:space="0" w:color="auto"/>
              <w:left w:val="single" w:sz="2" w:space="0" w:color="auto"/>
              <w:bottom w:val="single" w:sz="2" w:space="0" w:color="auto"/>
              <w:right w:val="single" w:sz="2" w:space="0" w:color="auto"/>
            </w:tcBorders>
          </w:tcPr>
          <w:p w14:paraId="66397627" w14:textId="6339CA84" w:rsidR="00CA16CF" w:rsidRPr="006D075E" w:rsidRDefault="00800963" w:rsidP="00CA16CF">
            <w:pPr>
              <w:pStyle w:val="COMTabletext"/>
              <w:keepNext w:val="0"/>
              <w:jc w:val="center"/>
              <w:rPr>
                <w:rFonts w:cs="Calibri"/>
                <w:color w:val="000000"/>
                <w:szCs w:val="20"/>
              </w:rPr>
            </w:pPr>
            <w:r w:rsidRPr="00800963">
              <w:rPr>
                <w:color w:val="000000"/>
                <w:spacing w:val="55"/>
                <w:szCs w:val="20"/>
                <w:shd w:val="solid" w:color="000000" w:fill="000000"/>
                <w:fitText w:val="336" w:id="-629433076"/>
                <w14:textFill>
                  <w14:solidFill>
                    <w14:srgbClr w14:val="000000">
                      <w14:alpha w14:val="100000"/>
                    </w14:srgbClr>
                  </w14:solidFill>
                </w14:textFill>
              </w:rPr>
              <w:t>|||</w:t>
            </w:r>
            <w:r w:rsidRPr="00800963">
              <w:rPr>
                <w:color w:val="000000"/>
                <w:spacing w:val="1"/>
                <w:szCs w:val="20"/>
                <w:shd w:val="solid" w:color="000000" w:fill="000000"/>
                <w:fitText w:val="336" w:id="-629433076"/>
                <w14:textFill>
                  <w14:solidFill>
                    <w14:srgbClr w14:val="000000">
                      <w14:alpha w14:val="100000"/>
                    </w14:srgbClr>
                  </w14:solidFill>
                </w14:textFill>
              </w:rPr>
              <w:t>|</w:t>
            </w:r>
            <w:r w:rsidR="00CA16CF" w:rsidRPr="006D075E">
              <w:rPr>
                <w:szCs w:val="20"/>
              </w:rPr>
              <w:t>%</w:t>
            </w:r>
          </w:p>
        </w:tc>
        <w:tc>
          <w:tcPr>
            <w:tcW w:w="1357" w:type="dxa"/>
            <w:tcBorders>
              <w:top w:val="single" w:sz="2" w:space="0" w:color="auto"/>
              <w:left w:val="single" w:sz="2" w:space="0" w:color="auto"/>
              <w:bottom w:val="single" w:sz="2" w:space="0" w:color="auto"/>
              <w:right w:val="single" w:sz="2" w:space="0" w:color="auto"/>
            </w:tcBorders>
          </w:tcPr>
          <w:p w14:paraId="4576B4B9" w14:textId="447AD087" w:rsidR="00CA16CF" w:rsidRPr="00BE5470" w:rsidRDefault="00CA16CF" w:rsidP="00CA16CF">
            <w:pPr>
              <w:pStyle w:val="COMTabletext"/>
              <w:keepNext w:val="0"/>
              <w:jc w:val="center"/>
              <w:rPr>
                <w:rFonts w:cs="Calibri"/>
                <w:color w:val="000000"/>
                <w:szCs w:val="20"/>
                <w:vertAlign w:val="superscript"/>
              </w:rPr>
            </w:pPr>
            <w:r w:rsidRPr="006D075E">
              <w:rPr>
                <w:szCs w:val="20"/>
              </w:rPr>
              <w:t>$</w:t>
            </w:r>
            <w:r w:rsidR="00800963" w:rsidRPr="00800963">
              <w:rPr>
                <w:color w:val="000000"/>
                <w:spacing w:val="55"/>
                <w:szCs w:val="20"/>
                <w:shd w:val="solid" w:color="000000" w:fill="000000"/>
                <w:fitText w:val="336" w:id="-629433075"/>
                <w14:textFill>
                  <w14:solidFill>
                    <w14:srgbClr w14:val="000000">
                      <w14:alpha w14:val="100000"/>
                    </w14:srgbClr>
                  </w14:solidFill>
                </w14:textFill>
              </w:rPr>
              <w:t>|||</w:t>
            </w:r>
            <w:r w:rsidR="00800963" w:rsidRPr="00800963">
              <w:rPr>
                <w:color w:val="000000"/>
                <w:spacing w:val="1"/>
                <w:szCs w:val="20"/>
                <w:shd w:val="solid" w:color="000000" w:fill="000000"/>
                <w:fitText w:val="336" w:id="-629433075"/>
                <w14:textFill>
                  <w14:solidFill>
                    <w14:srgbClr w14:val="000000">
                      <w14:alpha w14:val="100000"/>
                    </w14:srgbClr>
                  </w14:solidFill>
                </w14:textFill>
              </w:rPr>
              <w:t>|</w:t>
            </w:r>
            <w:r w:rsidR="00BE5470">
              <w:rPr>
                <w:szCs w:val="20"/>
                <w:vertAlign w:val="superscript"/>
              </w:rPr>
              <w:t>3</w:t>
            </w:r>
          </w:p>
        </w:tc>
        <w:tc>
          <w:tcPr>
            <w:tcW w:w="1172" w:type="dxa"/>
            <w:tcBorders>
              <w:top w:val="single" w:sz="2" w:space="0" w:color="auto"/>
              <w:left w:val="single" w:sz="2" w:space="0" w:color="auto"/>
              <w:bottom w:val="single" w:sz="2" w:space="0" w:color="auto"/>
              <w:right w:val="single" w:sz="2" w:space="0" w:color="auto"/>
            </w:tcBorders>
          </w:tcPr>
          <w:p w14:paraId="75FFEF07" w14:textId="20746DAB" w:rsidR="00CA16CF" w:rsidRPr="006D075E" w:rsidRDefault="00800963" w:rsidP="00CA16CF">
            <w:pPr>
              <w:pStyle w:val="COMTabletext"/>
              <w:keepNext w:val="0"/>
              <w:jc w:val="center"/>
              <w:rPr>
                <w:rFonts w:cs="Calibri"/>
                <w:color w:val="000000"/>
                <w:szCs w:val="20"/>
              </w:rPr>
            </w:pPr>
            <w:r w:rsidRPr="00800963">
              <w:rPr>
                <w:color w:val="000000"/>
                <w:spacing w:val="55"/>
                <w:szCs w:val="20"/>
                <w:shd w:val="solid" w:color="000000" w:fill="000000"/>
                <w:fitText w:val="336" w:id="-629433074"/>
                <w14:textFill>
                  <w14:solidFill>
                    <w14:srgbClr w14:val="000000">
                      <w14:alpha w14:val="100000"/>
                    </w14:srgbClr>
                  </w14:solidFill>
                </w14:textFill>
              </w:rPr>
              <w:t>|||</w:t>
            </w:r>
            <w:r w:rsidRPr="00800963">
              <w:rPr>
                <w:color w:val="000000"/>
                <w:spacing w:val="1"/>
                <w:szCs w:val="20"/>
                <w:shd w:val="solid" w:color="000000" w:fill="000000"/>
                <w:fitText w:val="336" w:id="-629433074"/>
                <w14:textFill>
                  <w14:solidFill>
                    <w14:srgbClr w14:val="000000">
                      <w14:alpha w14:val="100000"/>
                    </w14:srgbClr>
                  </w14:solidFill>
                </w14:textFill>
              </w:rPr>
              <w:t>|</w:t>
            </w:r>
            <w:r w:rsidR="00CA16CF" w:rsidRPr="006D075E">
              <w:rPr>
                <w:szCs w:val="20"/>
              </w:rPr>
              <w:t>%</w:t>
            </w:r>
          </w:p>
        </w:tc>
      </w:tr>
      <w:tr w:rsidR="00CA16CF" w:rsidRPr="006D075E" w14:paraId="4BF590C0" w14:textId="77777777" w:rsidTr="00A97DA3">
        <w:tc>
          <w:tcPr>
            <w:tcW w:w="3837" w:type="dxa"/>
            <w:tcBorders>
              <w:top w:val="single" w:sz="2" w:space="0" w:color="auto"/>
              <w:left w:val="single" w:sz="2" w:space="0" w:color="auto"/>
              <w:bottom w:val="single" w:sz="2" w:space="0" w:color="auto"/>
              <w:right w:val="single" w:sz="2" w:space="0" w:color="auto"/>
            </w:tcBorders>
          </w:tcPr>
          <w:p w14:paraId="6BB71F11" w14:textId="77777777" w:rsidR="00CA16CF" w:rsidRPr="006D075E" w:rsidRDefault="00CA16CF" w:rsidP="00CA16CF">
            <w:pPr>
              <w:pStyle w:val="COMTabletext"/>
              <w:keepNext w:val="0"/>
            </w:pPr>
            <w:r w:rsidRPr="006D075E">
              <w:t>TFST extrapolated using a gamma function</w:t>
            </w:r>
          </w:p>
        </w:tc>
        <w:tc>
          <w:tcPr>
            <w:tcW w:w="1398" w:type="dxa"/>
            <w:tcBorders>
              <w:top w:val="single" w:sz="2" w:space="0" w:color="auto"/>
              <w:left w:val="single" w:sz="2" w:space="0" w:color="auto"/>
              <w:bottom w:val="single" w:sz="2" w:space="0" w:color="auto"/>
              <w:right w:val="single" w:sz="2" w:space="0" w:color="auto"/>
            </w:tcBorders>
            <w:vAlign w:val="bottom"/>
          </w:tcPr>
          <w:p w14:paraId="6B2FC915" w14:textId="0435BE9D" w:rsidR="00CA16CF" w:rsidRPr="00B20907" w:rsidRDefault="00CA16CF" w:rsidP="00CA16CF">
            <w:pPr>
              <w:pStyle w:val="COMTabletext"/>
              <w:keepNext w:val="0"/>
              <w:jc w:val="center"/>
              <w:rPr>
                <w:rFonts w:cs="Calibri"/>
                <w:color w:val="000000"/>
                <w:szCs w:val="20"/>
                <w:vertAlign w:val="superscript"/>
              </w:rPr>
            </w:pPr>
            <w:r w:rsidRPr="006D075E">
              <w:rPr>
                <w:rFonts w:cs="Calibri"/>
                <w:color w:val="000000"/>
                <w:szCs w:val="20"/>
              </w:rPr>
              <w:t>$</w:t>
            </w:r>
            <w:r w:rsidR="00800963" w:rsidRPr="00800963">
              <w:rPr>
                <w:rFonts w:cs="Calibri"/>
                <w:color w:val="000000"/>
                <w:spacing w:val="51"/>
                <w:szCs w:val="20"/>
                <w:shd w:val="solid" w:color="000000" w:fill="000000"/>
                <w:fitText w:val="324" w:id="-629433073"/>
                <w14:textFill>
                  <w14:solidFill>
                    <w14:srgbClr w14:val="000000">
                      <w14:alpha w14:val="100000"/>
                    </w14:srgbClr>
                  </w14:solidFill>
                </w14:textFill>
              </w:rPr>
              <w:t>|||</w:t>
            </w:r>
            <w:r w:rsidR="00800963" w:rsidRPr="00800963">
              <w:rPr>
                <w:rFonts w:cs="Calibri"/>
                <w:color w:val="000000"/>
                <w:spacing w:val="1"/>
                <w:szCs w:val="20"/>
                <w:shd w:val="solid" w:color="000000" w:fill="000000"/>
                <w:fitText w:val="324" w:id="-629433073"/>
                <w14:textFill>
                  <w14:solidFill>
                    <w14:srgbClr w14:val="000000">
                      <w14:alpha w14:val="100000"/>
                    </w14:srgbClr>
                  </w14:solidFill>
                </w14:textFill>
              </w:rPr>
              <w:t>|</w:t>
            </w:r>
            <w:r w:rsidR="00B20907">
              <w:rPr>
                <w:rFonts w:cs="Calibri"/>
                <w:color w:val="000000"/>
                <w:szCs w:val="20"/>
                <w:vertAlign w:val="superscript"/>
              </w:rPr>
              <w:t>2</w:t>
            </w:r>
          </w:p>
        </w:tc>
        <w:tc>
          <w:tcPr>
            <w:tcW w:w="1172" w:type="dxa"/>
            <w:tcBorders>
              <w:top w:val="single" w:sz="2" w:space="0" w:color="auto"/>
              <w:left w:val="single" w:sz="2" w:space="0" w:color="auto"/>
              <w:bottom w:val="single" w:sz="2" w:space="0" w:color="auto"/>
              <w:right w:val="single" w:sz="2" w:space="0" w:color="auto"/>
            </w:tcBorders>
            <w:vAlign w:val="bottom"/>
          </w:tcPr>
          <w:p w14:paraId="234218DA" w14:textId="44768D96" w:rsidR="00CA16CF" w:rsidRPr="006D075E" w:rsidRDefault="00800963" w:rsidP="00CA16CF">
            <w:pPr>
              <w:pStyle w:val="COMTabletext"/>
              <w:keepNext w:val="0"/>
              <w:jc w:val="center"/>
              <w:rPr>
                <w:rFonts w:cs="Calibri"/>
                <w:color w:val="000000"/>
                <w:szCs w:val="20"/>
              </w:rPr>
            </w:pPr>
            <w:r w:rsidRPr="00800963">
              <w:rPr>
                <w:rFonts w:cs="Calibri"/>
                <w:color w:val="000000"/>
                <w:spacing w:val="55"/>
                <w:szCs w:val="20"/>
                <w:shd w:val="solid" w:color="000000" w:fill="000000"/>
                <w:fitText w:val="336" w:id="-629433072"/>
                <w14:textFill>
                  <w14:solidFill>
                    <w14:srgbClr w14:val="000000">
                      <w14:alpha w14:val="100000"/>
                    </w14:srgbClr>
                  </w14:solidFill>
                </w14:textFill>
              </w:rPr>
              <w:t>|||</w:t>
            </w:r>
            <w:r w:rsidRPr="00800963">
              <w:rPr>
                <w:rFonts w:cs="Calibri"/>
                <w:color w:val="000000"/>
                <w:spacing w:val="1"/>
                <w:szCs w:val="20"/>
                <w:shd w:val="solid" w:color="000000" w:fill="000000"/>
                <w:fitText w:val="336" w:id="-629433072"/>
                <w14:textFill>
                  <w14:solidFill>
                    <w14:srgbClr w14:val="000000">
                      <w14:alpha w14:val="100000"/>
                    </w14:srgbClr>
                  </w14:solidFill>
                </w14:textFill>
              </w:rPr>
              <w:t>|</w:t>
            </w:r>
            <w:r w:rsidR="00CA16CF" w:rsidRPr="006D075E">
              <w:rPr>
                <w:rFonts w:cs="Calibri"/>
                <w:color w:val="000000"/>
                <w:szCs w:val="20"/>
              </w:rPr>
              <w:t>%</w:t>
            </w:r>
          </w:p>
        </w:tc>
        <w:tc>
          <w:tcPr>
            <w:tcW w:w="1357" w:type="dxa"/>
            <w:tcBorders>
              <w:top w:val="single" w:sz="2" w:space="0" w:color="auto"/>
              <w:left w:val="single" w:sz="2" w:space="0" w:color="auto"/>
              <w:bottom w:val="single" w:sz="2" w:space="0" w:color="auto"/>
              <w:right w:val="single" w:sz="2" w:space="0" w:color="auto"/>
            </w:tcBorders>
          </w:tcPr>
          <w:p w14:paraId="39C01E2A" w14:textId="7407E6D9" w:rsidR="00CA16CF" w:rsidRPr="00BE5470" w:rsidRDefault="00CA16CF" w:rsidP="00CA16CF">
            <w:pPr>
              <w:pStyle w:val="COMTabletext"/>
              <w:keepNext w:val="0"/>
              <w:jc w:val="center"/>
              <w:rPr>
                <w:rFonts w:cs="Calibri"/>
                <w:color w:val="000000"/>
                <w:szCs w:val="20"/>
                <w:vertAlign w:val="superscript"/>
              </w:rPr>
            </w:pPr>
            <w:r w:rsidRPr="006D075E">
              <w:rPr>
                <w:szCs w:val="20"/>
              </w:rPr>
              <w:t>$</w:t>
            </w:r>
            <w:r w:rsidR="00800963" w:rsidRPr="00800963">
              <w:rPr>
                <w:color w:val="000000"/>
                <w:spacing w:val="55"/>
                <w:szCs w:val="20"/>
                <w:shd w:val="solid" w:color="000000" w:fill="000000"/>
                <w:fitText w:val="336" w:id="-629433088"/>
                <w14:textFill>
                  <w14:solidFill>
                    <w14:srgbClr w14:val="000000">
                      <w14:alpha w14:val="100000"/>
                    </w14:srgbClr>
                  </w14:solidFill>
                </w14:textFill>
              </w:rPr>
              <w:t>|||</w:t>
            </w:r>
            <w:r w:rsidR="00800963" w:rsidRPr="00800963">
              <w:rPr>
                <w:color w:val="000000"/>
                <w:spacing w:val="1"/>
                <w:szCs w:val="20"/>
                <w:shd w:val="solid" w:color="000000" w:fill="000000"/>
                <w:fitText w:val="336" w:id="-629433088"/>
                <w14:textFill>
                  <w14:solidFill>
                    <w14:srgbClr w14:val="000000">
                      <w14:alpha w14:val="100000"/>
                    </w14:srgbClr>
                  </w14:solidFill>
                </w14:textFill>
              </w:rPr>
              <w:t>|</w:t>
            </w:r>
            <w:r w:rsidR="00BE5470">
              <w:rPr>
                <w:szCs w:val="20"/>
                <w:vertAlign w:val="superscript"/>
              </w:rPr>
              <w:t>3</w:t>
            </w:r>
          </w:p>
        </w:tc>
        <w:tc>
          <w:tcPr>
            <w:tcW w:w="1172" w:type="dxa"/>
            <w:tcBorders>
              <w:top w:val="single" w:sz="2" w:space="0" w:color="auto"/>
              <w:left w:val="single" w:sz="2" w:space="0" w:color="auto"/>
              <w:bottom w:val="single" w:sz="2" w:space="0" w:color="auto"/>
              <w:right w:val="single" w:sz="2" w:space="0" w:color="auto"/>
            </w:tcBorders>
          </w:tcPr>
          <w:p w14:paraId="1A52093A" w14:textId="08406A2B" w:rsidR="00CA16CF" w:rsidRPr="006D075E" w:rsidRDefault="00800963" w:rsidP="00CA16CF">
            <w:pPr>
              <w:pStyle w:val="COMTabletext"/>
              <w:keepNext w:val="0"/>
              <w:jc w:val="center"/>
              <w:rPr>
                <w:rFonts w:cs="Calibri"/>
                <w:color w:val="000000"/>
                <w:szCs w:val="20"/>
              </w:rPr>
            </w:pPr>
            <w:r w:rsidRPr="00800963">
              <w:rPr>
                <w:color w:val="000000"/>
                <w:spacing w:val="55"/>
                <w:szCs w:val="20"/>
                <w:shd w:val="solid" w:color="000000" w:fill="000000"/>
                <w:fitText w:val="336" w:id="-629433087"/>
                <w14:textFill>
                  <w14:solidFill>
                    <w14:srgbClr w14:val="000000">
                      <w14:alpha w14:val="100000"/>
                    </w14:srgbClr>
                  </w14:solidFill>
                </w14:textFill>
              </w:rPr>
              <w:t>|||</w:t>
            </w:r>
            <w:r w:rsidRPr="00800963">
              <w:rPr>
                <w:color w:val="000000"/>
                <w:spacing w:val="1"/>
                <w:szCs w:val="20"/>
                <w:shd w:val="solid" w:color="000000" w:fill="000000"/>
                <w:fitText w:val="336" w:id="-629433087"/>
                <w14:textFill>
                  <w14:solidFill>
                    <w14:srgbClr w14:val="000000">
                      <w14:alpha w14:val="100000"/>
                    </w14:srgbClr>
                  </w14:solidFill>
                </w14:textFill>
              </w:rPr>
              <w:t>|</w:t>
            </w:r>
            <w:r w:rsidR="00CA16CF" w:rsidRPr="006D075E">
              <w:rPr>
                <w:szCs w:val="20"/>
              </w:rPr>
              <w:t>%</w:t>
            </w:r>
          </w:p>
        </w:tc>
      </w:tr>
      <w:tr w:rsidR="0008166B" w:rsidRPr="006D075E" w14:paraId="719A2604" w14:textId="77777777" w:rsidTr="00A97DA3">
        <w:tc>
          <w:tcPr>
            <w:tcW w:w="8936" w:type="dxa"/>
            <w:gridSpan w:val="5"/>
            <w:tcBorders>
              <w:top w:val="single" w:sz="2" w:space="0" w:color="auto"/>
            </w:tcBorders>
          </w:tcPr>
          <w:p w14:paraId="1237613D" w14:textId="77777777" w:rsidR="0008166B" w:rsidRPr="006D075E" w:rsidRDefault="0008166B">
            <w:pPr>
              <w:pStyle w:val="COMTabletext"/>
              <w:keepNext w:val="0"/>
              <w:rPr>
                <w:rFonts w:cs="Calibri"/>
                <w:b/>
                <w:bCs w:val="0"/>
                <w:color w:val="000000"/>
                <w:szCs w:val="20"/>
              </w:rPr>
            </w:pPr>
            <w:r w:rsidRPr="006D075E">
              <w:rPr>
                <w:b/>
                <w:bCs w:val="0"/>
              </w:rPr>
              <w:t>Health state utilities (base case: progression free utility (0.830) based on ECHO trial; progressed disease utility (0.759) derived from van Keep 2016)</w:t>
            </w:r>
          </w:p>
        </w:tc>
      </w:tr>
      <w:tr w:rsidR="00CA16CF" w:rsidRPr="006D075E" w14:paraId="29624EBD" w14:textId="77777777" w:rsidTr="00A97DA3">
        <w:tc>
          <w:tcPr>
            <w:tcW w:w="3837" w:type="dxa"/>
          </w:tcPr>
          <w:p w14:paraId="41B164E2" w14:textId="154FBFF1" w:rsidR="00CA16CF" w:rsidRPr="006D075E" w:rsidRDefault="0084339C" w:rsidP="00CA16CF">
            <w:pPr>
              <w:pStyle w:val="COMTabletext"/>
              <w:keepNext w:val="0"/>
              <w:rPr>
                <w:u w:val="single"/>
              </w:rPr>
            </w:pPr>
            <w:r w:rsidRPr="006D075E">
              <w:rPr>
                <w:b/>
                <w:bCs w:val="0"/>
              </w:rPr>
              <w:t xml:space="preserve">#C </w:t>
            </w:r>
            <w:r w:rsidR="00CA16CF" w:rsidRPr="006D075E">
              <w:t>van Keep health state utilities (progression free 0.764; progressed disease 0.693)</w:t>
            </w:r>
          </w:p>
        </w:tc>
        <w:tc>
          <w:tcPr>
            <w:tcW w:w="1398" w:type="dxa"/>
            <w:vAlign w:val="center"/>
          </w:tcPr>
          <w:p w14:paraId="4D780EA3" w14:textId="0C966652" w:rsidR="00CA16CF" w:rsidRPr="00B20907" w:rsidRDefault="00CA16CF" w:rsidP="00DF73FE">
            <w:pPr>
              <w:pStyle w:val="COMTabletext"/>
              <w:keepNext w:val="0"/>
              <w:jc w:val="center"/>
              <w:rPr>
                <w:rFonts w:cs="Calibri"/>
                <w:color w:val="000000"/>
                <w:szCs w:val="20"/>
                <w:vertAlign w:val="superscript"/>
              </w:rPr>
            </w:pPr>
            <w:r w:rsidRPr="006D075E">
              <w:t>$</w:t>
            </w:r>
            <w:r w:rsidR="00800963" w:rsidRPr="00800963">
              <w:rPr>
                <w:color w:val="000000"/>
                <w:spacing w:val="51"/>
                <w:shd w:val="solid" w:color="000000" w:fill="000000"/>
                <w:fitText w:val="324" w:id="-629433086"/>
                <w14:textFill>
                  <w14:solidFill>
                    <w14:srgbClr w14:val="000000">
                      <w14:alpha w14:val="100000"/>
                    </w14:srgbClr>
                  </w14:solidFill>
                </w14:textFill>
              </w:rPr>
              <w:t>|||</w:t>
            </w:r>
            <w:r w:rsidR="00800963" w:rsidRPr="00800963">
              <w:rPr>
                <w:color w:val="000000"/>
                <w:spacing w:val="1"/>
                <w:shd w:val="solid" w:color="000000" w:fill="000000"/>
                <w:fitText w:val="324" w:id="-629433086"/>
                <w14:textFill>
                  <w14:solidFill>
                    <w14:srgbClr w14:val="000000">
                      <w14:alpha w14:val="100000"/>
                    </w14:srgbClr>
                  </w14:solidFill>
                </w14:textFill>
              </w:rPr>
              <w:t>|</w:t>
            </w:r>
            <w:r w:rsidR="00B20907">
              <w:rPr>
                <w:vertAlign w:val="superscript"/>
              </w:rPr>
              <w:t>2</w:t>
            </w:r>
          </w:p>
        </w:tc>
        <w:tc>
          <w:tcPr>
            <w:tcW w:w="1172" w:type="dxa"/>
            <w:vAlign w:val="center"/>
          </w:tcPr>
          <w:p w14:paraId="11D66992" w14:textId="71FA2233" w:rsidR="00CA16CF" w:rsidRPr="006D075E" w:rsidRDefault="00800963" w:rsidP="00DF73FE">
            <w:pPr>
              <w:pStyle w:val="COMTabletext"/>
              <w:keepNext w:val="0"/>
              <w:jc w:val="center"/>
              <w:rPr>
                <w:rFonts w:cs="Calibri"/>
                <w:color w:val="000000"/>
                <w:szCs w:val="20"/>
              </w:rPr>
            </w:pPr>
            <w:r w:rsidRPr="00800963">
              <w:rPr>
                <w:color w:val="000000"/>
                <w:spacing w:val="55"/>
                <w:shd w:val="solid" w:color="000000" w:fill="000000"/>
                <w:fitText w:val="336" w:id="-629433085"/>
                <w14:textFill>
                  <w14:solidFill>
                    <w14:srgbClr w14:val="000000">
                      <w14:alpha w14:val="100000"/>
                    </w14:srgbClr>
                  </w14:solidFill>
                </w14:textFill>
              </w:rPr>
              <w:t>|||</w:t>
            </w:r>
            <w:r w:rsidRPr="00800963">
              <w:rPr>
                <w:color w:val="000000"/>
                <w:spacing w:val="1"/>
                <w:shd w:val="solid" w:color="000000" w:fill="000000"/>
                <w:fitText w:val="336" w:id="-629433085"/>
                <w14:textFill>
                  <w14:solidFill>
                    <w14:srgbClr w14:val="000000">
                      <w14:alpha w14:val="100000"/>
                    </w14:srgbClr>
                  </w14:solidFill>
                </w14:textFill>
              </w:rPr>
              <w:t>|</w:t>
            </w:r>
            <w:r w:rsidR="00CA16CF" w:rsidRPr="006D075E">
              <w:t>%</w:t>
            </w:r>
          </w:p>
        </w:tc>
        <w:tc>
          <w:tcPr>
            <w:tcW w:w="1357" w:type="dxa"/>
            <w:vAlign w:val="center"/>
          </w:tcPr>
          <w:p w14:paraId="699CBE28" w14:textId="0228F71B" w:rsidR="00CA16CF" w:rsidRPr="00BE5470" w:rsidRDefault="00CA16CF" w:rsidP="00DF73FE">
            <w:pPr>
              <w:pStyle w:val="COMTabletext"/>
              <w:keepNext w:val="0"/>
              <w:jc w:val="center"/>
              <w:rPr>
                <w:rFonts w:cs="Calibri"/>
                <w:color w:val="000000"/>
                <w:szCs w:val="20"/>
                <w:vertAlign w:val="superscript"/>
              </w:rPr>
            </w:pPr>
            <w:r w:rsidRPr="006D075E">
              <w:t>$</w:t>
            </w:r>
            <w:r w:rsidR="00800963" w:rsidRPr="00800963">
              <w:rPr>
                <w:color w:val="000000"/>
                <w:spacing w:val="55"/>
                <w:shd w:val="solid" w:color="000000" w:fill="000000"/>
                <w:fitText w:val="336" w:id="-629433084"/>
                <w14:textFill>
                  <w14:solidFill>
                    <w14:srgbClr w14:val="000000">
                      <w14:alpha w14:val="100000"/>
                    </w14:srgbClr>
                  </w14:solidFill>
                </w14:textFill>
              </w:rPr>
              <w:t>|||</w:t>
            </w:r>
            <w:r w:rsidR="00800963" w:rsidRPr="00800963">
              <w:rPr>
                <w:color w:val="000000"/>
                <w:spacing w:val="1"/>
                <w:shd w:val="solid" w:color="000000" w:fill="000000"/>
                <w:fitText w:val="336" w:id="-629433084"/>
                <w14:textFill>
                  <w14:solidFill>
                    <w14:srgbClr w14:val="000000">
                      <w14:alpha w14:val="100000"/>
                    </w14:srgbClr>
                  </w14:solidFill>
                </w14:textFill>
              </w:rPr>
              <w:t>|</w:t>
            </w:r>
            <w:r w:rsidR="00BE5470">
              <w:rPr>
                <w:vertAlign w:val="superscript"/>
              </w:rPr>
              <w:t>3</w:t>
            </w:r>
          </w:p>
        </w:tc>
        <w:tc>
          <w:tcPr>
            <w:tcW w:w="1172" w:type="dxa"/>
            <w:vAlign w:val="center"/>
          </w:tcPr>
          <w:p w14:paraId="3D38069B" w14:textId="4E190994" w:rsidR="00CA16CF" w:rsidRPr="006D075E" w:rsidRDefault="00800963" w:rsidP="00DF73FE">
            <w:pPr>
              <w:pStyle w:val="COMTabletext"/>
              <w:keepNext w:val="0"/>
              <w:jc w:val="center"/>
              <w:rPr>
                <w:rFonts w:cs="Calibri"/>
                <w:color w:val="000000"/>
                <w:szCs w:val="20"/>
              </w:rPr>
            </w:pPr>
            <w:r w:rsidRPr="00800963">
              <w:rPr>
                <w:color w:val="000000"/>
                <w:spacing w:val="55"/>
                <w:shd w:val="solid" w:color="000000" w:fill="000000"/>
                <w:fitText w:val="336" w:id="-629433083"/>
                <w14:textFill>
                  <w14:solidFill>
                    <w14:srgbClr w14:val="000000">
                      <w14:alpha w14:val="100000"/>
                    </w14:srgbClr>
                  </w14:solidFill>
                </w14:textFill>
              </w:rPr>
              <w:t>|||</w:t>
            </w:r>
            <w:r w:rsidRPr="00800963">
              <w:rPr>
                <w:color w:val="000000"/>
                <w:spacing w:val="1"/>
                <w:shd w:val="solid" w:color="000000" w:fill="000000"/>
                <w:fitText w:val="336" w:id="-629433083"/>
                <w14:textFill>
                  <w14:solidFill>
                    <w14:srgbClr w14:val="000000">
                      <w14:alpha w14:val="100000"/>
                    </w14:srgbClr>
                  </w14:solidFill>
                </w14:textFill>
              </w:rPr>
              <w:t>|</w:t>
            </w:r>
            <w:r w:rsidR="00CA16CF" w:rsidRPr="006D075E">
              <w:t>%</w:t>
            </w:r>
          </w:p>
        </w:tc>
      </w:tr>
      <w:tr w:rsidR="0008166B" w:rsidRPr="006D075E" w14:paraId="55600857" w14:textId="77777777" w:rsidTr="00A97DA3">
        <w:tc>
          <w:tcPr>
            <w:tcW w:w="8936" w:type="dxa"/>
            <w:gridSpan w:val="5"/>
          </w:tcPr>
          <w:p w14:paraId="3B7367C0" w14:textId="77777777" w:rsidR="0008166B" w:rsidRPr="006D075E" w:rsidRDefault="0008166B">
            <w:pPr>
              <w:pStyle w:val="COMTabletext"/>
              <w:rPr>
                <w:rFonts w:cs="Calibri"/>
                <w:b/>
                <w:bCs w:val="0"/>
                <w:szCs w:val="20"/>
              </w:rPr>
            </w:pPr>
            <w:r w:rsidRPr="006D075E">
              <w:rPr>
                <w:b/>
                <w:bCs w:val="0"/>
              </w:rPr>
              <w:t xml:space="preserve">Average adverse event disutility and cost per cycle (base case: weighted average costs and </w:t>
            </w:r>
            <w:proofErr w:type="spellStart"/>
            <w:r w:rsidRPr="006D075E">
              <w:rPr>
                <w:b/>
                <w:bCs w:val="0"/>
              </w:rPr>
              <w:t>disutilities</w:t>
            </w:r>
            <w:proofErr w:type="spellEnd"/>
            <w:r w:rsidRPr="006D075E">
              <w:rPr>
                <w:b/>
                <w:bCs w:val="0"/>
              </w:rPr>
              <w:t xml:space="preserve"> per patient per treatment arm divided by 60 months to derive an average cost per cycle) </w:t>
            </w:r>
          </w:p>
        </w:tc>
      </w:tr>
      <w:tr w:rsidR="00DF73FE" w:rsidRPr="006D075E" w14:paraId="72D61C4D" w14:textId="77777777" w:rsidTr="00A97DA3">
        <w:tc>
          <w:tcPr>
            <w:tcW w:w="3837" w:type="dxa"/>
          </w:tcPr>
          <w:p w14:paraId="602CD868" w14:textId="77777777" w:rsidR="00DF73FE" w:rsidRPr="006D075E" w:rsidRDefault="00DF73FE" w:rsidP="00DF73FE">
            <w:pPr>
              <w:pStyle w:val="COMTabletext"/>
              <w:keepNext w:val="0"/>
            </w:pPr>
            <w:r w:rsidRPr="006D075E">
              <w:t>Average adverse event disutility and cost per cycle derived based on mean duration of treatment (ABR 32.461 months; PBR 29.121 months)</w:t>
            </w:r>
          </w:p>
        </w:tc>
        <w:tc>
          <w:tcPr>
            <w:tcW w:w="1398" w:type="dxa"/>
            <w:vAlign w:val="center"/>
          </w:tcPr>
          <w:p w14:paraId="3376EFB7" w14:textId="2DB9C26D" w:rsidR="00DF73FE" w:rsidRPr="0068648A" w:rsidRDefault="00DF73FE" w:rsidP="00DF73FE">
            <w:pPr>
              <w:pStyle w:val="COMTabletext"/>
              <w:keepNext w:val="0"/>
              <w:jc w:val="center"/>
              <w:rPr>
                <w:rFonts w:cs="Calibri"/>
                <w:color w:val="000000"/>
                <w:szCs w:val="20"/>
                <w:vertAlign w:val="superscript"/>
              </w:rPr>
            </w:pPr>
            <w:r w:rsidRPr="006D075E">
              <w:rPr>
                <w:rFonts w:cs="Calibri"/>
                <w:color w:val="000000"/>
                <w:szCs w:val="20"/>
              </w:rPr>
              <w:t>$</w:t>
            </w:r>
            <w:r w:rsidR="00800963" w:rsidRPr="00800963">
              <w:rPr>
                <w:rFonts w:cs="Calibri"/>
                <w:color w:val="000000"/>
                <w:spacing w:val="51"/>
                <w:szCs w:val="20"/>
                <w:shd w:val="solid" w:color="000000" w:fill="000000"/>
                <w:fitText w:val="324" w:id="-629433082"/>
                <w14:textFill>
                  <w14:solidFill>
                    <w14:srgbClr w14:val="000000">
                      <w14:alpha w14:val="100000"/>
                    </w14:srgbClr>
                  </w14:solidFill>
                </w14:textFill>
              </w:rPr>
              <w:t>|||</w:t>
            </w:r>
            <w:r w:rsidR="00800963" w:rsidRPr="00800963">
              <w:rPr>
                <w:rFonts w:cs="Calibri"/>
                <w:color w:val="000000"/>
                <w:spacing w:val="1"/>
                <w:szCs w:val="20"/>
                <w:shd w:val="solid" w:color="000000" w:fill="000000"/>
                <w:fitText w:val="324" w:id="-629433082"/>
                <w14:textFill>
                  <w14:solidFill>
                    <w14:srgbClr w14:val="000000">
                      <w14:alpha w14:val="100000"/>
                    </w14:srgbClr>
                  </w14:solidFill>
                </w14:textFill>
              </w:rPr>
              <w:t>|</w:t>
            </w:r>
            <w:r w:rsidR="0068648A">
              <w:rPr>
                <w:rFonts w:cs="Calibri"/>
                <w:color w:val="000000"/>
                <w:szCs w:val="20"/>
                <w:vertAlign w:val="superscript"/>
              </w:rPr>
              <w:t>1</w:t>
            </w:r>
          </w:p>
        </w:tc>
        <w:tc>
          <w:tcPr>
            <w:tcW w:w="1172" w:type="dxa"/>
            <w:vAlign w:val="center"/>
          </w:tcPr>
          <w:p w14:paraId="74D70277" w14:textId="3192A94B" w:rsidR="00DF73FE" w:rsidRPr="006D075E" w:rsidRDefault="00800963" w:rsidP="00DF73FE">
            <w:pPr>
              <w:pStyle w:val="COMTabletext"/>
              <w:keepNext w:val="0"/>
              <w:jc w:val="center"/>
              <w:rPr>
                <w:rFonts w:cs="Calibri"/>
                <w:color w:val="000000"/>
                <w:szCs w:val="20"/>
              </w:rPr>
            </w:pPr>
            <w:r w:rsidRPr="00800963">
              <w:rPr>
                <w:rFonts w:cs="Calibri"/>
                <w:color w:val="000000"/>
                <w:spacing w:val="55"/>
                <w:szCs w:val="20"/>
                <w:shd w:val="solid" w:color="000000" w:fill="000000"/>
                <w:fitText w:val="336" w:id="-629433081"/>
                <w14:textFill>
                  <w14:solidFill>
                    <w14:srgbClr w14:val="000000">
                      <w14:alpha w14:val="100000"/>
                    </w14:srgbClr>
                  </w14:solidFill>
                </w14:textFill>
              </w:rPr>
              <w:t>|||</w:t>
            </w:r>
            <w:r w:rsidRPr="00800963">
              <w:rPr>
                <w:rFonts w:cs="Calibri"/>
                <w:color w:val="000000"/>
                <w:spacing w:val="1"/>
                <w:szCs w:val="20"/>
                <w:shd w:val="solid" w:color="000000" w:fill="000000"/>
                <w:fitText w:val="336" w:id="-629433081"/>
                <w14:textFill>
                  <w14:solidFill>
                    <w14:srgbClr w14:val="000000">
                      <w14:alpha w14:val="100000"/>
                    </w14:srgbClr>
                  </w14:solidFill>
                </w14:textFill>
              </w:rPr>
              <w:t>|</w:t>
            </w:r>
            <w:r w:rsidR="00DF73FE" w:rsidRPr="006D075E">
              <w:rPr>
                <w:rFonts w:cs="Calibri"/>
                <w:color w:val="000000"/>
                <w:szCs w:val="20"/>
              </w:rPr>
              <w:t>%</w:t>
            </w:r>
          </w:p>
        </w:tc>
        <w:tc>
          <w:tcPr>
            <w:tcW w:w="1357" w:type="dxa"/>
            <w:vAlign w:val="center"/>
          </w:tcPr>
          <w:p w14:paraId="778677E7" w14:textId="62913D32" w:rsidR="00DF73FE" w:rsidRPr="00BE5470" w:rsidRDefault="00DF73FE" w:rsidP="00DF73FE">
            <w:pPr>
              <w:jc w:val="center"/>
              <w:rPr>
                <w:rFonts w:ascii="Arial Narrow" w:hAnsi="Arial Narrow" w:cs="Calibri"/>
                <w:color w:val="000000"/>
                <w:sz w:val="20"/>
                <w:szCs w:val="20"/>
                <w:vertAlign w:val="superscript"/>
              </w:rPr>
            </w:pPr>
            <w:r w:rsidRPr="006D075E">
              <w:rPr>
                <w:rFonts w:ascii="Arial Narrow" w:hAnsi="Arial Narrow" w:cs="Calibri"/>
                <w:color w:val="000000"/>
                <w:sz w:val="20"/>
                <w:szCs w:val="20"/>
              </w:rPr>
              <w:t>$</w:t>
            </w:r>
            <w:r w:rsidR="00800963" w:rsidRPr="00800963">
              <w:rPr>
                <w:rFonts w:ascii="Arial Narrow" w:hAnsi="Arial Narrow" w:cs="Calibri"/>
                <w:color w:val="000000"/>
                <w:spacing w:val="55"/>
                <w:sz w:val="20"/>
                <w:szCs w:val="20"/>
                <w:shd w:val="solid" w:color="000000" w:fill="000000"/>
                <w:fitText w:val="336" w:id="-629433080"/>
                <w14:textFill>
                  <w14:solidFill>
                    <w14:srgbClr w14:val="000000">
                      <w14:alpha w14:val="100000"/>
                    </w14:srgbClr>
                  </w14:solidFill>
                </w14:textFill>
              </w:rPr>
              <w:t>|||</w:t>
            </w:r>
            <w:r w:rsidR="00800963" w:rsidRPr="00800963">
              <w:rPr>
                <w:rFonts w:ascii="Arial Narrow" w:hAnsi="Arial Narrow" w:cs="Calibri"/>
                <w:color w:val="000000"/>
                <w:spacing w:val="1"/>
                <w:sz w:val="20"/>
                <w:szCs w:val="20"/>
                <w:shd w:val="solid" w:color="000000" w:fill="000000"/>
                <w:fitText w:val="336" w:id="-629433080"/>
                <w14:textFill>
                  <w14:solidFill>
                    <w14:srgbClr w14:val="000000">
                      <w14:alpha w14:val="100000"/>
                    </w14:srgbClr>
                  </w14:solidFill>
                </w14:textFill>
              </w:rPr>
              <w:t>|</w:t>
            </w:r>
            <w:r w:rsidR="00BE5470">
              <w:rPr>
                <w:rFonts w:ascii="Arial Narrow" w:hAnsi="Arial Narrow" w:cs="Calibri"/>
                <w:color w:val="000000"/>
                <w:sz w:val="20"/>
                <w:szCs w:val="20"/>
                <w:vertAlign w:val="superscript"/>
              </w:rPr>
              <w:t>3</w:t>
            </w:r>
          </w:p>
        </w:tc>
        <w:tc>
          <w:tcPr>
            <w:tcW w:w="1172" w:type="dxa"/>
            <w:vAlign w:val="center"/>
          </w:tcPr>
          <w:p w14:paraId="7CB2CFAD" w14:textId="1DEE1BE1" w:rsidR="00DF73FE" w:rsidRPr="006D075E" w:rsidRDefault="00800963" w:rsidP="00DF73FE">
            <w:pPr>
              <w:pStyle w:val="COMTabletext"/>
              <w:keepNext w:val="0"/>
              <w:jc w:val="center"/>
              <w:rPr>
                <w:rFonts w:cs="Calibri"/>
                <w:color w:val="000000"/>
                <w:szCs w:val="20"/>
              </w:rPr>
            </w:pPr>
            <w:r w:rsidRPr="00800963">
              <w:rPr>
                <w:rFonts w:cs="Calibri"/>
                <w:color w:val="000000"/>
                <w:spacing w:val="55"/>
                <w:szCs w:val="20"/>
                <w:shd w:val="solid" w:color="000000" w:fill="000000"/>
                <w:fitText w:val="336" w:id="-629433079"/>
                <w14:textFill>
                  <w14:solidFill>
                    <w14:srgbClr w14:val="000000">
                      <w14:alpha w14:val="100000"/>
                    </w14:srgbClr>
                  </w14:solidFill>
                </w14:textFill>
              </w:rPr>
              <w:t>|||</w:t>
            </w:r>
            <w:r w:rsidRPr="00800963">
              <w:rPr>
                <w:rFonts w:cs="Calibri"/>
                <w:color w:val="000000"/>
                <w:spacing w:val="1"/>
                <w:szCs w:val="20"/>
                <w:shd w:val="solid" w:color="000000" w:fill="000000"/>
                <w:fitText w:val="336" w:id="-629433079"/>
                <w14:textFill>
                  <w14:solidFill>
                    <w14:srgbClr w14:val="000000">
                      <w14:alpha w14:val="100000"/>
                    </w14:srgbClr>
                  </w14:solidFill>
                </w14:textFill>
              </w:rPr>
              <w:t>|</w:t>
            </w:r>
            <w:r w:rsidR="00DF73FE" w:rsidRPr="006D075E">
              <w:rPr>
                <w:rFonts w:cs="Calibri"/>
                <w:color w:val="000000"/>
                <w:szCs w:val="20"/>
              </w:rPr>
              <w:t>%</w:t>
            </w:r>
          </w:p>
        </w:tc>
      </w:tr>
      <w:tr w:rsidR="0008166B" w:rsidRPr="006D075E" w14:paraId="3692817F" w14:textId="77777777" w:rsidTr="00A97DA3">
        <w:tc>
          <w:tcPr>
            <w:tcW w:w="8936" w:type="dxa"/>
            <w:gridSpan w:val="5"/>
          </w:tcPr>
          <w:p w14:paraId="1B08AAF0" w14:textId="59DBFEF6" w:rsidR="0008166B" w:rsidRPr="006D075E" w:rsidRDefault="0008166B">
            <w:pPr>
              <w:pStyle w:val="COMTabletext"/>
              <w:keepNext w:val="0"/>
              <w:rPr>
                <w:rFonts w:cs="Calibri"/>
                <w:color w:val="000000"/>
                <w:szCs w:val="20"/>
              </w:rPr>
            </w:pPr>
            <w:r w:rsidRPr="006D075E">
              <w:rPr>
                <w:b/>
                <w:bCs w:val="0"/>
              </w:rPr>
              <w:t>Subsequent therapy costs (base case: patients in the acalabrutinib arm who received subsequent BTK inhibitor therapy assumed to receive chemotherapy; duration of subsequent BTK inhibitor therapy in placebo arm 17.8 months at a cost of $63,144; duration of chemotherapy 3.7 months at a cost of $9,123)</w:t>
            </w:r>
          </w:p>
        </w:tc>
      </w:tr>
      <w:tr w:rsidR="00DF73FE" w:rsidRPr="006D075E" w14:paraId="69D14391" w14:textId="77777777" w:rsidTr="00A97DA3">
        <w:tc>
          <w:tcPr>
            <w:tcW w:w="3837" w:type="dxa"/>
          </w:tcPr>
          <w:p w14:paraId="2D7EA37B" w14:textId="2F67441D" w:rsidR="00DF73FE" w:rsidRPr="006D075E" w:rsidRDefault="0084339C" w:rsidP="003378BD">
            <w:pPr>
              <w:pStyle w:val="COMTabletext"/>
              <w:keepNext w:val="0"/>
              <w:rPr>
                <w:szCs w:val="20"/>
              </w:rPr>
            </w:pPr>
            <w:r w:rsidRPr="006D075E">
              <w:rPr>
                <w:b/>
                <w:bCs w:val="0"/>
                <w:szCs w:val="20"/>
              </w:rPr>
              <w:t>#D</w:t>
            </w:r>
            <w:r w:rsidRPr="006D075E">
              <w:rPr>
                <w:szCs w:val="20"/>
              </w:rPr>
              <w:t xml:space="preserve"> </w:t>
            </w:r>
            <w:r w:rsidR="00DF73FE" w:rsidRPr="006D075E">
              <w:rPr>
                <w:szCs w:val="20"/>
              </w:rPr>
              <w:t xml:space="preserve">Use of BTK inhibitors as first subsequent therapy for the acalabrutinib arm, consistent with ECHO </w:t>
            </w:r>
            <w:proofErr w:type="spellStart"/>
            <w:r w:rsidR="00DF73FE" w:rsidRPr="006D075E">
              <w:rPr>
                <w:szCs w:val="20"/>
              </w:rPr>
              <w:t>trial</w:t>
            </w:r>
            <w:r w:rsidR="00DF73FE" w:rsidRPr="006D075E">
              <w:rPr>
                <w:szCs w:val="20"/>
                <w:vertAlign w:val="superscript"/>
              </w:rPr>
              <w:t>a</w:t>
            </w:r>
            <w:proofErr w:type="spellEnd"/>
          </w:p>
        </w:tc>
        <w:tc>
          <w:tcPr>
            <w:tcW w:w="1398" w:type="dxa"/>
            <w:vAlign w:val="center"/>
          </w:tcPr>
          <w:p w14:paraId="6E525DF4" w14:textId="7D99266F" w:rsidR="00DF73FE" w:rsidRPr="00B20907" w:rsidRDefault="00DF73FE" w:rsidP="00DF73FE">
            <w:pPr>
              <w:pStyle w:val="COMTabletext"/>
              <w:keepNext w:val="0"/>
              <w:jc w:val="center"/>
              <w:rPr>
                <w:rFonts w:cs="Calibri"/>
                <w:color w:val="000000"/>
                <w:szCs w:val="20"/>
                <w:vertAlign w:val="superscript"/>
              </w:rPr>
            </w:pPr>
            <w:r w:rsidRPr="006D075E">
              <w:rPr>
                <w:szCs w:val="20"/>
              </w:rPr>
              <w:t>$</w:t>
            </w:r>
            <w:r w:rsidR="00800963" w:rsidRPr="00800963">
              <w:rPr>
                <w:color w:val="000000"/>
                <w:spacing w:val="51"/>
                <w:szCs w:val="20"/>
                <w:shd w:val="solid" w:color="000000" w:fill="000000"/>
                <w:fitText w:val="324" w:id="-629433078"/>
                <w14:textFill>
                  <w14:solidFill>
                    <w14:srgbClr w14:val="000000">
                      <w14:alpha w14:val="100000"/>
                    </w14:srgbClr>
                  </w14:solidFill>
                </w14:textFill>
              </w:rPr>
              <w:t>|||</w:t>
            </w:r>
            <w:r w:rsidR="00800963" w:rsidRPr="00800963">
              <w:rPr>
                <w:color w:val="000000"/>
                <w:spacing w:val="1"/>
                <w:szCs w:val="20"/>
                <w:shd w:val="solid" w:color="000000" w:fill="000000"/>
                <w:fitText w:val="324" w:id="-629433078"/>
                <w14:textFill>
                  <w14:solidFill>
                    <w14:srgbClr w14:val="000000">
                      <w14:alpha w14:val="100000"/>
                    </w14:srgbClr>
                  </w14:solidFill>
                </w14:textFill>
              </w:rPr>
              <w:t>|</w:t>
            </w:r>
            <w:r w:rsidR="00B20907">
              <w:rPr>
                <w:szCs w:val="20"/>
                <w:vertAlign w:val="superscript"/>
              </w:rPr>
              <w:t>2</w:t>
            </w:r>
          </w:p>
        </w:tc>
        <w:tc>
          <w:tcPr>
            <w:tcW w:w="1172" w:type="dxa"/>
            <w:vAlign w:val="center"/>
          </w:tcPr>
          <w:p w14:paraId="68EB434A" w14:textId="770A7340" w:rsidR="00DF73FE" w:rsidRPr="006D075E" w:rsidRDefault="00800963" w:rsidP="00DF73FE">
            <w:pPr>
              <w:pStyle w:val="COMTabletext"/>
              <w:keepNext w:val="0"/>
              <w:jc w:val="center"/>
              <w:rPr>
                <w:rFonts w:cs="Calibri"/>
                <w:color w:val="000000"/>
                <w:szCs w:val="20"/>
              </w:rPr>
            </w:pPr>
            <w:r w:rsidRPr="00800963">
              <w:rPr>
                <w:color w:val="000000"/>
                <w:spacing w:val="55"/>
                <w:szCs w:val="20"/>
                <w:shd w:val="solid" w:color="000000" w:fill="000000"/>
                <w:fitText w:val="336" w:id="-629433077"/>
                <w14:textFill>
                  <w14:solidFill>
                    <w14:srgbClr w14:val="000000">
                      <w14:alpha w14:val="100000"/>
                    </w14:srgbClr>
                  </w14:solidFill>
                </w14:textFill>
              </w:rPr>
              <w:t>|||</w:t>
            </w:r>
            <w:r w:rsidRPr="00800963">
              <w:rPr>
                <w:color w:val="000000"/>
                <w:spacing w:val="1"/>
                <w:szCs w:val="20"/>
                <w:shd w:val="solid" w:color="000000" w:fill="000000"/>
                <w:fitText w:val="336" w:id="-629433077"/>
                <w14:textFill>
                  <w14:solidFill>
                    <w14:srgbClr w14:val="000000">
                      <w14:alpha w14:val="100000"/>
                    </w14:srgbClr>
                  </w14:solidFill>
                </w14:textFill>
              </w:rPr>
              <w:t>|</w:t>
            </w:r>
            <w:r w:rsidR="00DF73FE" w:rsidRPr="006D075E">
              <w:rPr>
                <w:szCs w:val="20"/>
              </w:rPr>
              <w:t>%</w:t>
            </w:r>
          </w:p>
        </w:tc>
        <w:tc>
          <w:tcPr>
            <w:tcW w:w="1357" w:type="dxa"/>
            <w:vAlign w:val="center"/>
          </w:tcPr>
          <w:p w14:paraId="24814C38" w14:textId="77AEC54E" w:rsidR="00DF73FE" w:rsidRPr="00BE5470" w:rsidRDefault="00DF73FE" w:rsidP="00DF73FE">
            <w:pPr>
              <w:pStyle w:val="COMTabletext"/>
              <w:keepNext w:val="0"/>
              <w:jc w:val="center"/>
              <w:rPr>
                <w:rFonts w:cs="Calibri"/>
                <w:color w:val="000000"/>
                <w:szCs w:val="20"/>
                <w:vertAlign w:val="superscript"/>
              </w:rPr>
            </w:pPr>
            <w:r w:rsidRPr="006D075E">
              <w:rPr>
                <w:rFonts w:cs="Calibri"/>
                <w:color w:val="000000"/>
                <w:szCs w:val="20"/>
              </w:rPr>
              <w:t>$</w:t>
            </w:r>
            <w:r w:rsidR="00800963" w:rsidRPr="00800963">
              <w:rPr>
                <w:rFonts w:cs="Calibri"/>
                <w:color w:val="000000"/>
                <w:spacing w:val="55"/>
                <w:szCs w:val="20"/>
                <w:shd w:val="solid" w:color="000000" w:fill="000000"/>
                <w:fitText w:val="336" w:id="-629433076"/>
                <w14:textFill>
                  <w14:solidFill>
                    <w14:srgbClr w14:val="000000">
                      <w14:alpha w14:val="100000"/>
                    </w14:srgbClr>
                  </w14:solidFill>
                </w14:textFill>
              </w:rPr>
              <w:t>|||</w:t>
            </w:r>
            <w:r w:rsidR="00800963" w:rsidRPr="00800963">
              <w:rPr>
                <w:rFonts w:cs="Calibri"/>
                <w:color w:val="000000"/>
                <w:spacing w:val="1"/>
                <w:szCs w:val="20"/>
                <w:shd w:val="solid" w:color="000000" w:fill="000000"/>
                <w:fitText w:val="336" w:id="-629433076"/>
                <w14:textFill>
                  <w14:solidFill>
                    <w14:srgbClr w14:val="000000">
                      <w14:alpha w14:val="100000"/>
                    </w14:srgbClr>
                  </w14:solidFill>
                </w14:textFill>
              </w:rPr>
              <w:t>|</w:t>
            </w:r>
            <w:r w:rsidR="00BE5470">
              <w:rPr>
                <w:rFonts w:cs="Calibri"/>
                <w:color w:val="000000"/>
                <w:szCs w:val="20"/>
                <w:vertAlign w:val="superscript"/>
              </w:rPr>
              <w:t>3</w:t>
            </w:r>
          </w:p>
        </w:tc>
        <w:tc>
          <w:tcPr>
            <w:tcW w:w="1172" w:type="dxa"/>
            <w:vAlign w:val="center"/>
          </w:tcPr>
          <w:p w14:paraId="0F55CE1F" w14:textId="497B48C3" w:rsidR="00DF73FE" w:rsidRPr="006D075E" w:rsidRDefault="00800963" w:rsidP="00DF73FE">
            <w:pPr>
              <w:pStyle w:val="COMTabletext"/>
              <w:keepNext w:val="0"/>
              <w:jc w:val="center"/>
              <w:rPr>
                <w:rFonts w:cs="Calibri"/>
                <w:color w:val="000000"/>
                <w:szCs w:val="20"/>
              </w:rPr>
            </w:pPr>
            <w:r w:rsidRPr="00800963">
              <w:rPr>
                <w:color w:val="000000"/>
                <w:spacing w:val="55"/>
                <w:szCs w:val="20"/>
                <w:shd w:val="solid" w:color="000000" w:fill="000000"/>
                <w:fitText w:val="336" w:id="-629433075"/>
                <w14:textFill>
                  <w14:solidFill>
                    <w14:srgbClr w14:val="000000">
                      <w14:alpha w14:val="100000"/>
                    </w14:srgbClr>
                  </w14:solidFill>
                </w14:textFill>
              </w:rPr>
              <w:t>|||</w:t>
            </w:r>
            <w:r w:rsidRPr="00800963">
              <w:rPr>
                <w:color w:val="000000"/>
                <w:spacing w:val="1"/>
                <w:szCs w:val="20"/>
                <w:shd w:val="solid" w:color="000000" w:fill="000000"/>
                <w:fitText w:val="336" w:id="-629433075"/>
                <w14:textFill>
                  <w14:solidFill>
                    <w14:srgbClr w14:val="000000">
                      <w14:alpha w14:val="100000"/>
                    </w14:srgbClr>
                  </w14:solidFill>
                </w14:textFill>
              </w:rPr>
              <w:t>|</w:t>
            </w:r>
            <w:r w:rsidR="00DF73FE" w:rsidRPr="006D075E">
              <w:rPr>
                <w:szCs w:val="20"/>
              </w:rPr>
              <w:t>%</w:t>
            </w:r>
          </w:p>
        </w:tc>
      </w:tr>
      <w:tr w:rsidR="00DF73FE" w:rsidRPr="006D075E" w14:paraId="03F3D3A5" w14:textId="77777777" w:rsidTr="00A97DA3">
        <w:tc>
          <w:tcPr>
            <w:tcW w:w="3837" w:type="dxa"/>
          </w:tcPr>
          <w:p w14:paraId="1C19F662" w14:textId="4C8DAA65" w:rsidR="00DF73FE" w:rsidRPr="006D075E" w:rsidRDefault="00DF73FE" w:rsidP="003378BD">
            <w:pPr>
              <w:pStyle w:val="COMTabletext"/>
              <w:keepNext w:val="0"/>
              <w:rPr>
                <w:szCs w:val="20"/>
              </w:rPr>
            </w:pPr>
            <w:r w:rsidRPr="006D075E">
              <w:rPr>
                <w:szCs w:val="20"/>
              </w:rPr>
              <w:t>Duration of subsequent BTK inhibitor therapy 15 months</w:t>
            </w:r>
          </w:p>
        </w:tc>
        <w:tc>
          <w:tcPr>
            <w:tcW w:w="1398" w:type="dxa"/>
            <w:vAlign w:val="center"/>
          </w:tcPr>
          <w:p w14:paraId="2B0DC5E0" w14:textId="7EE0D90A" w:rsidR="00DF73FE" w:rsidRPr="00B20907" w:rsidRDefault="00DF73FE" w:rsidP="00DF73FE">
            <w:pPr>
              <w:pStyle w:val="COMTabletext"/>
              <w:keepNext w:val="0"/>
              <w:jc w:val="center"/>
              <w:rPr>
                <w:rFonts w:cs="Calibri"/>
                <w:color w:val="000000"/>
                <w:szCs w:val="20"/>
                <w:vertAlign w:val="superscript"/>
              </w:rPr>
            </w:pPr>
            <w:r w:rsidRPr="006D075E">
              <w:rPr>
                <w:rFonts w:cs="Calibri"/>
                <w:color w:val="000000"/>
                <w:szCs w:val="20"/>
              </w:rPr>
              <w:t>$</w:t>
            </w:r>
            <w:r w:rsidR="00800963" w:rsidRPr="00800963">
              <w:rPr>
                <w:rFonts w:cs="Calibri"/>
                <w:color w:val="000000"/>
                <w:spacing w:val="51"/>
                <w:szCs w:val="20"/>
                <w:shd w:val="solid" w:color="000000" w:fill="000000"/>
                <w:fitText w:val="324" w:id="-629433074"/>
                <w14:textFill>
                  <w14:solidFill>
                    <w14:srgbClr w14:val="000000">
                      <w14:alpha w14:val="100000"/>
                    </w14:srgbClr>
                  </w14:solidFill>
                </w14:textFill>
              </w:rPr>
              <w:t>|||</w:t>
            </w:r>
            <w:r w:rsidR="00800963" w:rsidRPr="00800963">
              <w:rPr>
                <w:rFonts w:cs="Calibri"/>
                <w:color w:val="000000"/>
                <w:spacing w:val="1"/>
                <w:szCs w:val="20"/>
                <w:shd w:val="solid" w:color="000000" w:fill="000000"/>
                <w:fitText w:val="324" w:id="-629433074"/>
                <w14:textFill>
                  <w14:solidFill>
                    <w14:srgbClr w14:val="000000">
                      <w14:alpha w14:val="100000"/>
                    </w14:srgbClr>
                  </w14:solidFill>
                </w14:textFill>
              </w:rPr>
              <w:t>|</w:t>
            </w:r>
            <w:r w:rsidR="00B20907">
              <w:rPr>
                <w:rFonts w:cs="Calibri"/>
                <w:color w:val="000000"/>
                <w:szCs w:val="20"/>
                <w:vertAlign w:val="superscript"/>
              </w:rPr>
              <w:t>2</w:t>
            </w:r>
          </w:p>
        </w:tc>
        <w:tc>
          <w:tcPr>
            <w:tcW w:w="1172" w:type="dxa"/>
            <w:vAlign w:val="center"/>
          </w:tcPr>
          <w:p w14:paraId="4A6CE5A9" w14:textId="692D1887" w:rsidR="00DF73FE" w:rsidRPr="006D075E" w:rsidRDefault="00800963" w:rsidP="00DF73FE">
            <w:pPr>
              <w:pStyle w:val="COMTabletext"/>
              <w:keepNext w:val="0"/>
              <w:jc w:val="center"/>
              <w:rPr>
                <w:rFonts w:cs="Calibri"/>
                <w:color w:val="000000"/>
                <w:szCs w:val="20"/>
              </w:rPr>
            </w:pPr>
            <w:r w:rsidRPr="00800963">
              <w:rPr>
                <w:rFonts w:cs="Calibri"/>
                <w:color w:val="000000"/>
                <w:spacing w:val="55"/>
                <w:szCs w:val="20"/>
                <w:shd w:val="solid" w:color="000000" w:fill="000000"/>
                <w:fitText w:val="336" w:id="-629433073"/>
                <w14:textFill>
                  <w14:solidFill>
                    <w14:srgbClr w14:val="000000">
                      <w14:alpha w14:val="100000"/>
                    </w14:srgbClr>
                  </w14:solidFill>
                </w14:textFill>
              </w:rPr>
              <w:t>|||</w:t>
            </w:r>
            <w:r w:rsidRPr="00800963">
              <w:rPr>
                <w:rFonts w:cs="Calibri"/>
                <w:color w:val="000000"/>
                <w:spacing w:val="1"/>
                <w:szCs w:val="20"/>
                <w:shd w:val="solid" w:color="000000" w:fill="000000"/>
                <w:fitText w:val="336" w:id="-629433073"/>
                <w14:textFill>
                  <w14:solidFill>
                    <w14:srgbClr w14:val="000000">
                      <w14:alpha w14:val="100000"/>
                    </w14:srgbClr>
                  </w14:solidFill>
                </w14:textFill>
              </w:rPr>
              <w:t>|</w:t>
            </w:r>
            <w:r w:rsidR="00DF73FE" w:rsidRPr="006D075E">
              <w:rPr>
                <w:rFonts w:cs="Calibri"/>
                <w:color w:val="000000"/>
                <w:szCs w:val="20"/>
              </w:rPr>
              <w:t>%</w:t>
            </w:r>
          </w:p>
        </w:tc>
        <w:tc>
          <w:tcPr>
            <w:tcW w:w="1357" w:type="dxa"/>
            <w:vAlign w:val="center"/>
          </w:tcPr>
          <w:p w14:paraId="4EB36294" w14:textId="40983B1C" w:rsidR="00DF73FE" w:rsidRPr="00BE5470" w:rsidRDefault="00DF73FE" w:rsidP="00DF73FE">
            <w:pPr>
              <w:jc w:val="center"/>
              <w:rPr>
                <w:rFonts w:ascii="Arial Narrow" w:hAnsi="Arial Narrow" w:cs="Calibri"/>
                <w:color w:val="000000"/>
                <w:sz w:val="20"/>
                <w:szCs w:val="20"/>
                <w:vertAlign w:val="superscript"/>
              </w:rPr>
            </w:pPr>
            <w:r w:rsidRPr="006D075E">
              <w:rPr>
                <w:rFonts w:ascii="Arial Narrow" w:hAnsi="Arial Narrow" w:cs="Calibri"/>
                <w:color w:val="000000"/>
                <w:sz w:val="20"/>
                <w:szCs w:val="20"/>
              </w:rPr>
              <w:t>$</w:t>
            </w:r>
            <w:r w:rsidR="00800963" w:rsidRPr="00800963">
              <w:rPr>
                <w:rFonts w:ascii="Arial Narrow" w:hAnsi="Arial Narrow" w:cs="Calibri"/>
                <w:color w:val="000000"/>
                <w:spacing w:val="55"/>
                <w:sz w:val="20"/>
                <w:szCs w:val="20"/>
                <w:shd w:val="solid" w:color="000000" w:fill="000000"/>
                <w:fitText w:val="336" w:id="-629433072"/>
                <w14:textFill>
                  <w14:solidFill>
                    <w14:srgbClr w14:val="000000">
                      <w14:alpha w14:val="100000"/>
                    </w14:srgbClr>
                  </w14:solidFill>
                </w14:textFill>
              </w:rPr>
              <w:t>|||</w:t>
            </w:r>
            <w:r w:rsidR="00800963" w:rsidRPr="00800963">
              <w:rPr>
                <w:rFonts w:ascii="Arial Narrow" w:hAnsi="Arial Narrow" w:cs="Calibri"/>
                <w:color w:val="000000"/>
                <w:spacing w:val="1"/>
                <w:sz w:val="20"/>
                <w:szCs w:val="20"/>
                <w:shd w:val="solid" w:color="000000" w:fill="000000"/>
                <w:fitText w:val="336" w:id="-629433072"/>
                <w14:textFill>
                  <w14:solidFill>
                    <w14:srgbClr w14:val="000000">
                      <w14:alpha w14:val="100000"/>
                    </w14:srgbClr>
                  </w14:solidFill>
                </w14:textFill>
              </w:rPr>
              <w:t>|</w:t>
            </w:r>
            <w:r w:rsidR="00BE5470">
              <w:rPr>
                <w:rFonts w:ascii="Arial Narrow" w:hAnsi="Arial Narrow" w:cs="Calibri"/>
                <w:color w:val="000000"/>
                <w:sz w:val="20"/>
                <w:szCs w:val="20"/>
                <w:vertAlign w:val="superscript"/>
              </w:rPr>
              <w:t>3</w:t>
            </w:r>
          </w:p>
        </w:tc>
        <w:tc>
          <w:tcPr>
            <w:tcW w:w="1172" w:type="dxa"/>
            <w:vAlign w:val="center"/>
          </w:tcPr>
          <w:p w14:paraId="52D9ADF8" w14:textId="025645B1" w:rsidR="00DF73FE" w:rsidRPr="006D075E" w:rsidRDefault="00800963" w:rsidP="00DF73FE">
            <w:pPr>
              <w:pStyle w:val="COMTabletext"/>
              <w:keepNext w:val="0"/>
              <w:jc w:val="center"/>
              <w:rPr>
                <w:rFonts w:cs="Calibri"/>
                <w:color w:val="000000"/>
                <w:szCs w:val="20"/>
              </w:rPr>
            </w:pPr>
            <w:r w:rsidRPr="00800963">
              <w:rPr>
                <w:color w:val="000000"/>
                <w:spacing w:val="55"/>
                <w:szCs w:val="20"/>
                <w:shd w:val="solid" w:color="000000" w:fill="000000"/>
                <w:fitText w:val="336" w:id="-629433088"/>
                <w14:textFill>
                  <w14:solidFill>
                    <w14:srgbClr w14:val="000000">
                      <w14:alpha w14:val="100000"/>
                    </w14:srgbClr>
                  </w14:solidFill>
                </w14:textFill>
              </w:rPr>
              <w:t>|||</w:t>
            </w:r>
            <w:r w:rsidRPr="00800963">
              <w:rPr>
                <w:color w:val="000000"/>
                <w:spacing w:val="1"/>
                <w:szCs w:val="20"/>
                <w:shd w:val="solid" w:color="000000" w:fill="000000"/>
                <w:fitText w:val="336" w:id="-629433088"/>
                <w14:textFill>
                  <w14:solidFill>
                    <w14:srgbClr w14:val="000000">
                      <w14:alpha w14:val="100000"/>
                    </w14:srgbClr>
                  </w14:solidFill>
                </w14:textFill>
              </w:rPr>
              <w:t>|</w:t>
            </w:r>
            <w:r w:rsidR="00DF73FE" w:rsidRPr="006D075E">
              <w:rPr>
                <w:szCs w:val="20"/>
              </w:rPr>
              <w:t>%</w:t>
            </w:r>
          </w:p>
        </w:tc>
      </w:tr>
      <w:tr w:rsidR="00DF73FE" w:rsidRPr="006D075E" w14:paraId="5043B86F" w14:textId="77777777" w:rsidTr="00A97DA3">
        <w:tc>
          <w:tcPr>
            <w:tcW w:w="3837" w:type="dxa"/>
          </w:tcPr>
          <w:p w14:paraId="3C0B1E88" w14:textId="734CF9C2" w:rsidR="00DF73FE" w:rsidRPr="006D075E" w:rsidRDefault="00DF73FE" w:rsidP="003378BD">
            <w:pPr>
              <w:pStyle w:val="COMTabletext"/>
              <w:keepNext w:val="0"/>
              <w:rPr>
                <w:szCs w:val="20"/>
              </w:rPr>
            </w:pPr>
            <w:r w:rsidRPr="006D075E">
              <w:rPr>
                <w:szCs w:val="20"/>
              </w:rPr>
              <w:t>Duration of subsequent BTK inhibitor therapy 20 months</w:t>
            </w:r>
          </w:p>
        </w:tc>
        <w:tc>
          <w:tcPr>
            <w:tcW w:w="1398" w:type="dxa"/>
            <w:vAlign w:val="center"/>
          </w:tcPr>
          <w:p w14:paraId="119F2D16" w14:textId="431E10C6" w:rsidR="00DF73FE" w:rsidRPr="0068648A" w:rsidRDefault="00DF73FE" w:rsidP="00DF73FE">
            <w:pPr>
              <w:pStyle w:val="COMTabletext"/>
              <w:keepNext w:val="0"/>
              <w:jc w:val="center"/>
              <w:rPr>
                <w:rFonts w:cs="Calibri"/>
                <w:color w:val="000000"/>
                <w:szCs w:val="20"/>
                <w:vertAlign w:val="superscript"/>
              </w:rPr>
            </w:pPr>
            <w:r w:rsidRPr="006D075E">
              <w:rPr>
                <w:szCs w:val="20"/>
              </w:rPr>
              <w:t>$</w:t>
            </w:r>
            <w:r w:rsidR="00800963" w:rsidRPr="00800963">
              <w:rPr>
                <w:color w:val="000000"/>
                <w:spacing w:val="51"/>
                <w:szCs w:val="20"/>
                <w:shd w:val="solid" w:color="000000" w:fill="000000"/>
                <w:fitText w:val="324" w:id="-629433087"/>
                <w14:textFill>
                  <w14:solidFill>
                    <w14:srgbClr w14:val="000000">
                      <w14:alpha w14:val="100000"/>
                    </w14:srgbClr>
                  </w14:solidFill>
                </w14:textFill>
              </w:rPr>
              <w:t>|||</w:t>
            </w:r>
            <w:r w:rsidR="00800963" w:rsidRPr="00800963">
              <w:rPr>
                <w:color w:val="000000"/>
                <w:spacing w:val="1"/>
                <w:szCs w:val="20"/>
                <w:shd w:val="solid" w:color="000000" w:fill="000000"/>
                <w:fitText w:val="324" w:id="-629433087"/>
                <w14:textFill>
                  <w14:solidFill>
                    <w14:srgbClr w14:val="000000">
                      <w14:alpha w14:val="100000"/>
                    </w14:srgbClr>
                  </w14:solidFill>
                </w14:textFill>
              </w:rPr>
              <w:t>|</w:t>
            </w:r>
            <w:r w:rsidR="0068648A">
              <w:rPr>
                <w:szCs w:val="20"/>
                <w:vertAlign w:val="superscript"/>
              </w:rPr>
              <w:t>1</w:t>
            </w:r>
          </w:p>
        </w:tc>
        <w:tc>
          <w:tcPr>
            <w:tcW w:w="1172" w:type="dxa"/>
            <w:vAlign w:val="center"/>
          </w:tcPr>
          <w:p w14:paraId="22916B21" w14:textId="39EA4B51" w:rsidR="00DF73FE" w:rsidRPr="006D075E" w:rsidRDefault="00DF73FE" w:rsidP="00DF73FE">
            <w:pPr>
              <w:pStyle w:val="COMTabletext"/>
              <w:keepNext w:val="0"/>
              <w:jc w:val="center"/>
              <w:rPr>
                <w:rFonts w:cs="Calibri"/>
                <w:color w:val="000000"/>
                <w:szCs w:val="20"/>
              </w:rPr>
            </w:pPr>
            <w:r w:rsidRPr="006D075E">
              <w:rPr>
                <w:szCs w:val="20"/>
              </w:rPr>
              <w:t>-</w:t>
            </w:r>
            <w:r w:rsidR="00800963" w:rsidRPr="00800963">
              <w:rPr>
                <w:color w:val="000000"/>
                <w:spacing w:val="51"/>
                <w:szCs w:val="20"/>
                <w:shd w:val="solid" w:color="000000" w:fill="000000"/>
                <w:fitText w:val="324" w:id="-629433086"/>
                <w14:textFill>
                  <w14:solidFill>
                    <w14:srgbClr w14:val="000000">
                      <w14:alpha w14:val="100000"/>
                    </w14:srgbClr>
                  </w14:solidFill>
                </w14:textFill>
              </w:rPr>
              <w:t>|||</w:t>
            </w:r>
            <w:r w:rsidR="00800963" w:rsidRPr="00800963">
              <w:rPr>
                <w:color w:val="000000"/>
                <w:spacing w:val="1"/>
                <w:szCs w:val="20"/>
                <w:shd w:val="solid" w:color="000000" w:fill="000000"/>
                <w:fitText w:val="324" w:id="-629433086"/>
                <w14:textFill>
                  <w14:solidFill>
                    <w14:srgbClr w14:val="000000">
                      <w14:alpha w14:val="100000"/>
                    </w14:srgbClr>
                  </w14:solidFill>
                </w14:textFill>
              </w:rPr>
              <w:t>|</w:t>
            </w:r>
            <w:r w:rsidRPr="006D075E">
              <w:rPr>
                <w:szCs w:val="20"/>
              </w:rPr>
              <w:t>%</w:t>
            </w:r>
          </w:p>
        </w:tc>
        <w:tc>
          <w:tcPr>
            <w:tcW w:w="1357" w:type="dxa"/>
            <w:vAlign w:val="center"/>
          </w:tcPr>
          <w:p w14:paraId="3FC78510" w14:textId="3E827EF1" w:rsidR="00DF73FE" w:rsidRPr="00B20907" w:rsidRDefault="00DF73FE" w:rsidP="00DF73FE">
            <w:pPr>
              <w:jc w:val="center"/>
              <w:rPr>
                <w:rFonts w:ascii="Arial Narrow" w:hAnsi="Arial Narrow" w:cs="Calibri"/>
                <w:color w:val="000000"/>
                <w:sz w:val="20"/>
                <w:szCs w:val="20"/>
                <w:vertAlign w:val="superscript"/>
              </w:rPr>
            </w:pPr>
            <w:r w:rsidRPr="006D075E">
              <w:rPr>
                <w:rFonts w:ascii="Arial Narrow" w:hAnsi="Arial Narrow" w:cs="Calibri"/>
                <w:color w:val="000000"/>
                <w:sz w:val="20"/>
                <w:szCs w:val="20"/>
              </w:rPr>
              <w:t>$</w:t>
            </w:r>
            <w:r w:rsidR="00800963" w:rsidRPr="00800963">
              <w:rPr>
                <w:rFonts w:ascii="Arial Narrow" w:hAnsi="Arial Narrow" w:cs="Calibri"/>
                <w:color w:val="000000"/>
                <w:spacing w:val="55"/>
                <w:sz w:val="20"/>
                <w:szCs w:val="20"/>
                <w:shd w:val="solid" w:color="000000" w:fill="000000"/>
                <w:fitText w:val="336" w:id="-629433085"/>
                <w14:textFill>
                  <w14:solidFill>
                    <w14:srgbClr w14:val="000000">
                      <w14:alpha w14:val="100000"/>
                    </w14:srgbClr>
                  </w14:solidFill>
                </w14:textFill>
              </w:rPr>
              <w:t>|||</w:t>
            </w:r>
            <w:r w:rsidR="00800963" w:rsidRPr="00800963">
              <w:rPr>
                <w:rFonts w:ascii="Arial Narrow" w:hAnsi="Arial Narrow" w:cs="Calibri"/>
                <w:color w:val="000000"/>
                <w:spacing w:val="1"/>
                <w:sz w:val="20"/>
                <w:szCs w:val="20"/>
                <w:shd w:val="solid" w:color="000000" w:fill="000000"/>
                <w:fitText w:val="336" w:id="-629433085"/>
                <w14:textFill>
                  <w14:solidFill>
                    <w14:srgbClr w14:val="000000">
                      <w14:alpha w14:val="100000"/>
                    </w14:srgbClr>
                  </w14:solidFill>
                </w14:textFill>
              </w:rPr>
              <w:t>|</w:t>
            </w:r>
            <w:r w:rsidR="00B20907">
              <w:rPr>
                <w:rFonts w:ascii="Arial Narrow" w:hAnsi="Arial Narrow" w:cs="Calibri"/>
                <w:color w:val="000000"/>
                <w:sz w:val="20"/>
                <w:szCs w:val="20"/>
                <w:vertAlign w:val="superscript"/>
              </w:rPr>
              <w:t>2</w:t>
            </w:r>
          </w:p>
        </w:tc>
        <w:tc>
          <w:tcPr>
            <w:tcW w:w="1172" w:type="dxa"/>
            <w:vAlign w:val="center"/>
          </w:tcPr>
          <w:p w14:paraId="644899DE" w14:textId="40DDC35C" w:rsidR="00DF73FE" w:rsidRPr="006D075E" w:rsidRDefault="00DF73FE" w:rsidP="00DF73FE">
            <w:pPr>
              <w:pStyle w:val="COMTabletext"/>
              <w:keepNext w:val="0"/>
              <w:jc w:val="center"/>
              <w:rPr>
                <w:rFonts w:cs="Calibri"/>
                <w:color w:val="000000"/>
                <w:szCs w:val="20"/>
              </w:rPr>
            </w:pPr>
            <w:r w:rsidRPr="006D075E">
              <w:rPr>
                <w:szCs w:val="20"/>
              </w:rPr>
              <w:t>-</w:t>
            </w:r>
            <w:r w:rsidR="00800963" w:rsidRPr="00800963">
              <w:rPr>
                <w:color w:val="000000"/>
                <w:spacing w:val="51"/>
                <w:szCs w:val="20"/>
                <w:shd w:val="solid" w:color="000000" w:fill="000000"/>
                <w:fitText w:val="324" w:id="-629433084"/>
                <w14:textFill>
                  <w14:solidFill>
                    <w14:srgbClr w14:val="000000">
                      <w14:alpha w14:val="100000"/>
                    </w14:srgbClr>
                  </w14:solidFill>
                </w14:textFill>
              </w:rPr>
              <w:t>|||</w:t>
            </w:r>
            <w:r w:rsidR="00800963" w:rsidRPr="00800963">
              <w:rPr>
                <w:color w:val="000000"/>
                <w:spacing w:val="1"/>
                <w:szCs w:val="20"/>
                <w:shd w:val="solid" w:color="000000" w:fill="000000"/>
                <w:fitText w:val="324" w:id="-629433084"/>
                <w14:textFill>
                  <w14:solidFill>
                    <w14:srgbClr w14:val="000000">
                      <w14:alpha w14:val="100000"/>
                    </w14:srgbClr>
                  </w14:solidFill>
                </w14:textFill>
              </w:rPr>
              <w:t>|</w:t>
            </w:r>
            <w:r w:rsidRPr="006D075E">
              <w:rPr>
                <w:szCs w:val="20"/>
              </w:rPr>
              <w:t>%</w:t>
            </w:r>
          </w:p>
        </w:tc>
      </w:tr>
      <w:tr w:rsidR="00DF73FE" w:rsidRPr="006D075E" w14:paraId="1B928985" w14:textId="77777777" w:rsidTr="00A97DA3">
        <w:tc>
          <w:tcPr>
            <w:tcW w:w="3837" w:type="dxa"/>
          </w:tcPr>
          <w:p w14:paraId="51074B8C" w14:textId="77777777" w:rsidR="00DF73FE" w:rsidRPr="006D075E" w:rsidRDefault="00DF73FE" w:rsidP="003378BD">
            <w:pPr>
              <w:pStyle w:val="COMTabletext"/>
              <w:keepNext w:val="0"/>
              <w:rPr>
                <w:szCs w:val="20"/>
              </w:rPr>
            </w:pPr>
            <w:r w:rsidRPr="006D075E">
              <w:rPr>
                <w:szCs w:val="20"/>
              </w:rPr>
              <w:t>Costs of subsequent chemotherapy doubled</w:t>
            </w:r>
          </w:p>
        </w:tc>
        <w:tc>
          <w:tcPr>
            <w:tcW w:w="1398" w:type="dxa"/>
            <w:vAlign w:val="center"/>
          </w:tcPr>
          <w:p w14:paraId="1FEA0FCE" w14:textId="5EE095C6" w:rsidR="00DF73FE" w:rsidRPr="00B20907" w:rsidRDefault="00DF73FE" w:rsidP="00DF73FE">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83"/>
                <w14:textFill>
                  <w14:solidFill>
                    <w14:srgbClr w14:val="000000">
                      <w14:alpha w14:val="100000"/>
                    </w14:srgbClr>
                  </w14:solidFill>
                </w14:textFill>
              </w:rPr>
              <w:t>|||</w:t>
            </w:r>
            <w:r w:rsidR="00800963" w:rsidRPr="00800963">
              <w:rPr>
                <w:color w:val="000000"/>
                <w:spacing w:val="1"/>
                <w:szCs w:val="20"/>
                <w:shd w:val="solid" w:color="000000" w:fill="000000"/>
                <w:fitText w:val="324" w:id="-629433083"/>
                <w14:textFill>
                  <w14:solidFill>
                    <w14:srgbClr w14:val="000000">
                      <w14:alpha w14:val="100000"/>
                    </w14:srgbClr>
                  </w14:solidFill>
                </w14:textFill>
              </w:rPr>
              <w:t>|</w:t>
            </w:r>
            <w:r w:rsidR="00B20907">
              <w:rPr>
                <w:szCs w:val="20"/>
                <w:vertAlign w:val="superscript"/>
              </w:rPr>
              <w:t>2</w:t>
            </w:r>
          </w:p>
        </w:tc>
        <w:tc>
          <w:tcPr>
            <w:tcW w:w="1172" w:type="dxa"/>
            <w:vAlign w:val="center"/>
          </w:tcPr>
          <w:p w14:paraId="716D126C" w14:textId="537EA498" w:rsidR="00DF73FE" w:rsidRPr="006D075E" w:rsidRDefault="00800963" w:rsidP="00DF73FE">
            <w:pPr>
              <w:pStyle w:val="COMTabletext"/>
              <w:keepNext w:val="0"/>
              <w:jc w:val="center"/>
              <w:rPr>
                <w:szCs w:val="20"/>
              </w:rPr>
            </w:pPr>
            <w:r w:rsidRPr="00800963">
              <w:rPr>
                <w:color w:val="000000"/>
                <w:spacing w:val="55"/>
                <w:szCs w:val="20"/>
                <w:shd w:val="solid" w:color="000000" w:fill="000000"/>
                <w:fitText w:val="336" w:id="-629433082"/>
                <w14:textFill>
                  <w14:solidFill>
                    <w14:srgbClr w14:val="000000">
                      <w14:alpha w14:val="100000"/>
                    </w14:srgbClr>
                  </w14:solidFill>
                </w14:textFill>
              </w:rPr>
              <w:t>|||</w:t>
            </w:r>
            <w:r w:rsidRPr="00800963">
              <w:rPr>
                <w:color w:val="000000"/>
                <w:spacing w:val="1"/>
                <w:szCs w:val="20"/>
                <w:shd w:val="solid" w:color="000000" w:fill="000000"/>
                <w:fitText w:val="336" w:id="-629433082"/>
                <w14:textFill>
                  <w14:solidFill>
                    <w14:srgbClr w14:val="000000">
                      <w14:alpha w14:val="100000"/>
                    </w14:srgbClr>
                  </w14:solidFill>
                </w14:textFill>
              </w:rPr>
              <w:t>|</w:t>
            </w:r>
            <w:r w:rsidR="00DF73FE" w:rsidRPr="006D075E">
              <w:rPr>
                <w:szCs w:val="20"/>
              </w:rPr>
              <w:t>%</w:t>
            </w:r>
          </w:p>
        </w:tc>
        <w:tc>
          <w:tcPr>
            <w:tcW w:w="1357" w:type="dxa"/>
            <w:vAlign w:val="center"/>
          </w:tcPr>
          <w:p w14:paraId="0068A91B" w14:textId="73A4D40D" w:rsidR="00DF73FE" w:rsidRPr="00BE5470" w:rsidRDefault="00DF73FE" w:rsidP="00DF73FE">
            <w:pPr>
              <w:jc w:val="center"/>
              <w:rPr>
                <w:rFonts w:ascii="Arial Narrow" w:eastAsiaTheme="majorEastAsia" w:hAnsi="Arial Narrow" w:cstheme="majorBidi"/>
                <w:bCs/>
                <w:sz w:val="20"/>
                <w:szCs w:val="20"/>
                <w:vertAlign w:val="superscript"/>
              </w:rPr>
            </w:pPr>
            <w:r w:rsidRPr="006D075E">
              <w:rPr>
                <w:rFonts w:ascii="Arial Narrow" w:eastAsiaTheme="majorEastAsia" w:hAnsi="Arial Narrow" w:cstheme="majorBidi"/>
                <w:bCs/>
                <w:sz w:val="20"/>
                <w:szCs w:val="20"/>
              </w:rPr>
              <w:t>$</w:t>
            </w:r>
            <w:r w:rsidR="00800963" w:rsidRPr="00800963">
              <w:rPr>
                <w:rFonts w:ascii="Arial Narrow" w:eastAsiaTheme="majorEastAsia" w:hAnsi="Arial Narrow" w:cstheme="majorBidi"/>
                <w:bCs/>
                <w:color w:val="000000"/>
                <w:spacing w:val="55"/>
                <w:sz w:val="20"/>
                <w:szCs w:val="20"/>
                <w:shd w:val="solid" w:color="000000" w:fill="000000"/>
                <w:fitText w:val="336" w:id="-629433081"/>
                <w14:textFill>
                  <w14:solidFill>
                    <w14:srgbClr w14:val="000000">
                      <w14:alpha w14:val="100000"/>
                    </w14:srgbClr>
                  </w14:solidFill>
                </w14:textFill>
              </w:rPr>
              <w:t>|||</w:t>
            </w:r>
            <w:r w:rsidR="00800963" w:rsidRPr="00800963">
              <w:rPr>
                <w:rFonts w:ascii="Arial Narrow" w:eastAsiaTheme="majorEastAsia" w:hAnsi="Arial Narrow" w:cstheme="majorBidi"/>
                <w:bCs/>
                <w:color w:val="000000"/>
                <w:spacing w:val="1"/>
                <w:sz w:val="20"/>
                <w:szCs w:val="20"/>
                <w:shd w:val="solid" w:color="000000" w:fill="000000"/>
                <w:fitText w:val="336" w:id="-629433081"/>
                <w14:textFill>
                  <w14:solidFill>
                    <w14:srgbClr w14:val="000000">
                      <w14:alpha w14:val="100000"/>
                    </w14:srgbClr>
                  </w14:solidFill>
                </w14:textFill>
              </w:rPr>
              <w:t>|</w:t>
            </w:r>
            <w:r w:rsidR="00BE5470">
              <w:rPr>
                <w:rFonts w:ascii="Arial Narrow" w:eastAsiaTheme="majorEastAsia" w:hAnsi="Arial Narrow" w:cstheme="majorBidi"/>
                <w:bCs/>
                <w:sz w:val="20"/>
                <w:szCs w:val="20"/>
                <w:vertAlign w:val="superscript"/>
              </w:rPr>
              <w:t>3</w:t>
            </w:r>
          </w:p>
        </w:tc>
        <w:tc>
          <w:tcPr>
            <w:tcW w:w="1172" w:type="dxa"/>
            <w:vAlign w:val="center"/>
          </w:tcPr>
          <w:p w14:paraId="4A2C2BA1" w14:textId="676AE9E1" w:rsidR="00DF73FE" w:rsidRPr="006D075E" w:rsidRDefault="00800963" w:rsidP="00DF73FE">
            <w:pPr>
              <w:pStyle w:val="COMTabletext"/>
              <w:keepNext w:val="0"/>
              <w:jc w:val="center"/>
              <w:rPr>
                <w:szCs w:val="20"/>
              </w:rPr>
            </w:pPr>
            <w:r w:rsidRPr="00800963">
              <w:rPr>
                <w:color w:val="000000"/>
                <w:spacing w:val="55"/>
                <w:szCs w:val="20"/>
                <w:shd w:val="solid" w:color="000000" w:fill="000000"/>
                <w:fitText w:val="336" w:id="-629433080"/>
                <w14:textFill>
                  <w14:solidFill>
                    <w14:srgbClr w14:val="000000">
                      <w14:alpha w14:val="100000"/>
                    </w14:srgbClr>
                  </w14:solidFill>
                </w14:textFill>
              </w:rPr>
              <w:t>|||</w:t>
            </w:r>
            <w:r w:rsidRPr="00800963">
              <w:rPr>
                <w:color w:val="000000"/>
                <w:spacing w:val="1"/>
                <w:szCs w:val="20"/>
                <w:shd w:val="solid" w:color="000000" w:fill="000000"/>
                <w:fitText w:val="336" w:id="-629433080"/>
                <w14:textFill>
                  <w14:solidFill>
                    <w14:srgbClr w14:val="000000">
                      <w14:alpha w14:val="100000"/>
                    </w14:srgbClr>
                  </w14:solidFill>
                </w14:textFill>
              </w:rPr>
              <w:t>|</w:t>
            </w:r>
            <w:r w:rsidR="00DF73FE" w:rsidRPr="006D075E">
              <w:rPr>
                <w:szCs w:val="20"/>
              </w:rPr>
              <w:t>%</w:t>
            </w:r>
          </w:p>
        </w:tc>
      </w:tr>
      <w:tr w:rsidR="003378BD" w:rsidRPr="006D075E" w14:paraId="6CF40EE4" w14:textId="77777777" w:rsidTr="00A97DA3">
        <w:tc>
          <w:tcPr>
            <w:tcW w:w="3837" w:type="dxa"/>
          </w:tcPr>
          <w:p w14:paraId="5FB286DC" w14:textId="77777777" w:rsidR="003378BD" w:rsidRPr="006D075E" w:rsidRDefault="003378BD" w:rsidP="003378BD">
            <w:pPr>
              <w:pStyle w:val="COMTabletext"/>
              <w:keepNext w:val="0"/>
              <w:rPr>
                <w:szCs w:val="20"/>
              </w:rPr>
            </w:pPr>
            <w:r w:rsidRPr="006D075E">
              <w:rPr>
                <w:szCs w:val="20"/>
              </w:rPr>
              <w:t>Costs of subsequent chemotherapy halved</w:t>
            </w:r>
          </w:p>
        </w:tc>
        <w:tc>
          <w:tcPr>
            <w:tcW w:w="1398" w:type="dxa"/>
          </w:tcPr>
          <w:p w14:paraId="5EEC9411" w14:textId="5642946B" w:rsidR="003378BD" w:rsidRPr="0068648A" w:rsidRDefault="003378BD" w:rsidP="003378BD">
            <w:pPr>
              <w:pStyle w:val="COMTabletext"/>
              <w:keepNext w:val="0"/>
              <w:jc w:val="center"/>
              <w:rPr>
                <w:szCs w:val="20"/>
                <w:vertAlign w:val="superscript"/>
              </w:rPr>
            </w:pPr>
            <w:r w:rsidRPr="006D075E">
              <w:rPr>
                <w:szCs w:val="20"/>
              </w:rPr>
              <w:t>$</w:t>
            </w:r>
            <w:r w:rsidR="00800963" w:rsidRPr="00800963">
              <w:rPr>
                <w:color w:val="000000"/>
                <w:spacing w:val="51"/>
                <w:szCs w:val="20"/>
                <w:shd w:val="solid" w:color="000000" w:fill="000000"/>
                <w:fitText w:val="324" w:id="-629433079"/>
                <w14:textFill>
                  <w14:solidFill>
                    <w14:srgbClr w14:val="000000">
                      <w14:alpha w14:val="100000"/>
                    </w14:srgbClr>
                  </w14:solidFill>
                </w14:textFill>
              </w:rPr>
              <w:t>|||</w:t>
            </w:r>
            <w:r w:rsidR="00800963" w:rsidRPr="00800963">
              <w:rPr>
                <w:color w:val="000000"/>
                <w:spacing w:val="1"/>
                <w:szCs w:val="20"/>
                <w:shd w:val="solid" w:color="000000" w:fill="000000"/>
                <w:fitText w:val="324" w:id="-629433079"/>
                <w14:textFill>
                  <w14:solidFill>
                    <w14:srgbClr w14:val="000000">
                      <w14:alpha w14:val="100000"/>
                    </w14:srgbClr>
                  </w14:solidFill>
                </w14:textFill>
              </w:rPr>
              <w:t>|</w:t>
            </w:r>
            <w:r w:rsidR="0068648A">
              <w:rPr>
                <w:szCs w:val="20"/>
                <w:vertAlign w:val="superscript"/>
              </w:rPr>
              <w:t>1</w:t>
            </w:r>
          </w:p>
        </w:tc>
        <w:tc>
          <w:tcPr>
            <w:tcW w:w="1172" w:type="dxa"/>
          </w:tcPr>
          <w:p w14:paraId="34F92A77" w14:textId="64C7D615" w:rsidR="003378BD" w:rsidRPr="006D075E" w:rsidRDefault="003378BD" w:rsidP="003378BD">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8"/>
                <w14:textFill>
                  <w14:solidFill>
                    <w14:srgbClr w14:val="000000">
                      <w14:alpha w14:val="100000"/>
                    </w14:srgbClr>
                  </w14:solidFill>
                </w14:textFill>
              </w:rPr>
              <w:t>|||</w:t>
            </w:r>
            <w:r w:rsidR="00800963" w:rsidRPr="00800963">
              <w:rPr>
                <w:color w:val="000000"/>
                <w:spacing w:val="1"/>
                <w:szCs w:val="20"/>
                <w:shd w:val="solid" w:color="000000" w:fill="000000"/>
                <w:fitText w:val="324" w:id="-629433078"/>
                <w14:textFill>
                  <w14:solidFill>
                    <w14:srgbClr w14:val="000000">
                      <w14:alpha w14:val="100000"/>
                    </w14:srgbClr>
                  </w14:solidFill>
                </w14:textFill>
              </w:rPr>
              <w:t>|</w:t>
            </w:r>
            <w:r w:rsidRPr="006D075E">
              <w:rPr>
                <w:szCs w:val="20"/>
              </w:rPr>
              <w:t>%</w:t>
            </w:r>
          </w:p>
        </w:tc>
        <w:tc>
          <w:tcPr>
            <w:tcW w:w="1357" w:type="dxa"/>
            <w:vAlign w:val="center"/>
          </w:tcPr>
          <w:p w14:paraId="55DEEC59" w14:textId="067E4E5E" w:rsidR="003378BD" w:rsidRPr="00BE5470" w:rsidRDefault="003378BD" w:rsidP="003378BD">
            <w:pPr>
              <w:jc w:val="center"/>
              <w:rPr>
                <w:rFonts w:ascii="Arial Narrow" w:eastAsiaTheme="majorEastAsia" w:hAnsi="Arial Narrow" w:cstheme="majorBidi"/>
                <w:bCs/>
                <w:sz w:val="20"/>
                <w:szCs w:val="20"/>
                <w:vertAlign w:val="superscript"/>
              </w:rPr>
            </w:pPr>
            <w:r w:rsidRPr="006D075E">
              <w:rPr>
                <w:rFonts w:ascii="Arial Narrow" w:eastAsiaTheme="majorEastAsia" w:hAnsi="Arial Narrow" w:cstheme="majorBidi"/>
                <w:bCs/>
                <w:sz w:val="20"/>
                <w:szCs w:val="20"/>
              </w:rPr>
              <w:t>$</w:t>
            </w:r>
            <w:r w:rsidR="00800963" w:rsidRPr="00800963">
              <w:rPr>
                <w:rFonts w:ascii="Arial Narrow" w:eastAsiaTheme="majorEastAsia" w:hAnsi="Arial Narrow" w:cstheme="majorBidi"/>
                <w:bCs/>
                <w:color w:val="000000"/>
                <w:spacing w:val="55"/>
                <w:sz w:val="20"/>
                <w:szCs w:val="20"/>
                <w:shd w:val="solid" w:color="000000" w:fill="000000"/>
                <w:fitText w:val="336" w:id="-629433077"/>
                <w14:textFill>
                  <w14:solidFill>
                    <w14:srgbClr w14:val="000000">
                      <w14:alpha w14:val="100000"/>
                    </w14:srgbClr>
                  </w14:solidFill>
                </w14:textFill>
              </w:rPr>
              <w:t>|||</w:t>
            </w:r>
            <w:r w:rsidR="00800963" w:rsidRPr="00800963">
              <w:rPr>
                <w:rFonts w:ascii="Arial Narrow" w:eastAsiaTheme="majorEastAsia" w:hAnsi="Arial Narrow" w:cstheme="majorBidi"/>
                <w:bCs/>
                <w:color w:val="000000"/>
                <w:spacing w:val="1"/>
                <w:sz w:val="20"/>
                <w:szCs w:val="20"/>
                <w:shd w:val="solid" w:color="000000" w:fill="000000"/>
                <w:fitText w:val="336" w:id="-629433077"/>
                <w14:textFill>
                  <w14:solidFill>
                    <w14:srgbClr w14:val="000000">
                      <w14:alpha w14:val="100000"/>
                    </w14:srgbClr>
                  </w14:solidFill>
                </w14:textFill>
              </w:rPr>
              <w:t>|</w:t>
            </w:r>
            <w:r w:rsidR="00BE5470">
              <w:rPr>
                <w:rFonts w:ascii="Arial Narrow" w:eastAsiaTheme="majorEastAsia" w:hAnsi="Arial Narrow" w:cstheme="majorBidi"/>
                <w:bCs/>
                <w:sz w:val="20"/>
                <w:szCs w:val="20"/>
                <w:vertAlign w:val="superscript"/>
              </w:rPr>
              <w:t>3</w:t>
            </w:r>
          </w:p>
        </w:tc>
        <w:tc>
          <w:tcPr>
            <w:tcW w:w="1172" w:type="dxa"/>
            <w:vAlign w:val="center"/>
          </w:tcPr>
          <w:p w14:paraId="641DF95B" w14:textId="053E6C3F" w:rsidR="003378BD" w:rsidRPr="006D075E" w:rsidRDefault="003378BD" w:rsidP="003378BD">
            <w:pPr>
              <w:pStyle w:val="COMTabletext"/>
              <w:keepNext w:val="0"/>
              <w:jc w:val="center"/>
              <w:rPr>
                <w:szCs w:val="20"/>
              </w:rPr>
            </w:pPr>
            <w:r w:rsidRPr="006D075E">
              <w:rPr>
                <w:szCs w:val="20"/>
              </w:rPr>
              <w:t>-</w:t>
            </w:r>
            <w:r w:rsidR="00800963" w:rsidRPr="00800963">
              <w:rPr>
                <w:color w:val="000000"/>
                <w:spacing w:val="51"/>
                <w:szCs w:val="20"/>
                <w:shd w:val="solid" w:color="000000" w:fill="000000"/>
                <w:fitText w:val="324" w:id="-629433076"/>
                <w14:textFill>
                  <w14:solidFill>
                    <w14:srgbClr w14:val="000000">
                      <w14:alpha w14:val="100000"/>
                    </w14:srgbClr>
                  </w14:solidFill>
                </w14:textFill>
              </w:rPr>
              <w:t>|||</w:t>
            </w:r>
            <w:r w:rsidR="00800963" w:rsidRPr="00800963">
              <w:rPr>
                <w:color w:val="000000"/>
                <w:spacing w:val="1"/>
                <w:szCs w:val="20"/>
                <w:shd w:val="solid" w:color="000000" w:fill="000000"/>
                <w:fitText w:val="324" w:id="-629433076"/>
                <w14:textFill>
                  <w14:solidFill>
                    <w14:srgbClr w14:val="000000">
                      <w14:alpha w14:val="100000"/>
                    </w14:srgbClr>
                  </w14:solidFill>
                </w14:textFill>
              </w:rPr>
              <w:t>|</w:t>
            </w:r>
            <w:r w:rsidRPr="006D075E">
              <w:rPr>
                <w:szCs w:val="20"/>
              </w:rPr>
              <w:t>%</w:t>
            </w:r>
          </w:p>
        </w:tc>
      </w:tr>
      <w:tr w:rsidR="007A63DA" w:rsidRPr="006D075E" w14:paraId="5465ABB4" w14:textId="77777777" w:rsidTr="00A97DA3">
        <w:tc>
          <w:tcPr>
            <w:tcW w:w="8936" w:type="dxa"/>
            <w:gridSpan w:val="5"/>
          </w:tcPr>
          <w:p w14:paraId="0C87E4EA" w14:textId="3313B0AF" w:rsidR="007A63DA" w:rsidRPr="006D075E" w:rsidRDefault="007A63DA" w:rsidP="007A63DA">
            <w:pPr>
              <w:pStyle w:val="COMTabletext"/>
              <w:keepNext w:val="0"/>
              <w:rPr>
                <w:b/>
                <w:bCs w:val="0"/>
                <w:szCs w:val="20"/>
              </w:rPr>
            </w:pPr>
            <w:r w:rsidRPr="006D075E">
              <w:rPr>
                <w:b/>
                <w:bCs w:val="0"/>
                <w:szCs w:val="20"/>
              </w:rPr>
              <w:t xml:space="preserve">Multivariate </w:t>
            </w:r>
            <w:r w:rsidR="0084339C" w:rsidRPr="006D075E">
              <w:rPr>
                <w:b/>
                <w:bCs w:val="0"/>
                <w:szCs w:val="20"/>
              </w:rPr>
              <w:t>s</w:t>
            </w:r>
            <w:r w:rsidRPr="006D075E">
              <w:rPr>
                <w:b/>
                <w:bCs w:val="0"/>
                <w:szCs w:val="20"/>
              </w:rPr>
              <w:t xml:space="preserve">ensitivity </w:t>
            </w:r>
            <w:r w:rsidR="0084339C" w:rsidRPr="006D075E">
              <w:rPr>
                <w:b/>
                <w:bCs w:val="0"/>
                <w:szCs w:val="20"/>
              </w:rPr>
              <w:t>a</w:t>
            </w:r>
            <w:r w:rsidRPr="006D075E">
              <w:rPr>
                <w:b/>
                <w:bCs w:val="0"/>
                <w:szCs w:val="20"/>
              </w:rPr>
              <w:t>nalys</w:t>
            </w:r>
            <w:r w:rsidR="0084339C" w:rsidRPr="006D075E">
              <w:rPr>
                <w:b/>
                <w:bCs w:val="0"/>
                <w:szCs w:val="20"/>
              </w:rPr>
              <w:t>e</w:t>
            </w:r>
            <w:r w:rsidRPr="006D075E">
              <w:rPr>
                <w:b/>
                <w:bCs w:val="0"/>
                <w:szCs w:val="20"/>
              </w:rPr>
              <w:t xml:space="preserve">s </w:t>
            </w:r>
          </w:p>
        </w:tc>
      </w:tr>
      <w:tr w:rsidR="00367C4D" w:rsidRPr="006D075E" w14:paraId="5B82B71B" w14:textId="77777777" w:rsidTr="00A97DA3">
        <w:tc>
          <w:tcPr>
            <w:tcW w:w="3837" w:type="dxa"/>
          </w:tcPr>
          <w:p w14:paraId="1A5A9070" w14:textId="0E52304A" w:rsidR="00367C4D" w:rsidRPr="006D075E" w:rsidDel="00B22A23" w:rsidRDefault="00367C4D" w:rsidP="00367C4D">
            <w:pPr>
              <w:pStyle w:val="COMTabletext"/>
              <w:keepNext w:val="0"/>
              <w:ind w:left="720" w:hanging="750"/>
              <w:rPr>
                <w:szCs w:val="20"/>
              </w:rPr>
            </w:pPr>
            <w:r w:rsidRPr="006D075E">
              <w:rPr>
                <w:szCs w:val="20"/>
              </w:rPr>
              <w:t>#A + #B (</w:t>
            </w:r>
            <w:proofErr w:type="gramStart"/>
            <w:r w:rsidRPr="006D075E">
              <w:rPr>
                <w:szCs w:val="20"/>
              </w:rPr>
              <w:t>10 year</w:t>
            </w:r>
            <w:proofErr w:type="gramEnd"/>
            <w:r w:rsidRPr="006D075E">
              <w:rPr>
                <w:szCs w:val="20"/>
              </w:rPr>
              <w:t xml:space="preserve"> time horizon + OS log-logistic)</w:t>
            </w:r>
          </w:p>
        </w:tc>
        <w:tc>
          <w:tcPr>
            <w:tcW w:w="1398" w:type="dxa"/>
          </w:tcPr>
          <w:p w14:paraId="1F63DBD3" w14:textId="4B545B58" w:rsidR="00367C4D" w:rsidRPr="00B20907" w:rsidDel="00B22A23" w:rsidRDefault="00367C4D" w:rsidP="00367C4D">
            <w:pPr>
              <w:pStyle w:val="COMTabletext"/>
              <w:keepNext w:val="0"/>
              <w:jc w:val="center"/>
              <w:rPr>
                <w:szCs w:val="20"/>
                <w:vertAlign w:val="superscript"/>
              </w:rPr>
            </w:pPr>
            <w:r w:rsidRPr="006D075E">
              <w:t>$</w:t>
            </w:r>
            <w:r w:rsidR="00800963" w:rsidRPr="00800963">
              <w:rPr>
                <w:color w:val="000000"/>
                <w:spacing w:val="51"/>
                <w:shd w:val="solid" w:color="000000" w:fill="000000"/>
                <w:fitText w:val="324" w:id="-629433075"/>
                <w14:textFill>
                  <w14:solidFill>
                    <w14:srgbClr w14:val="000000">
                      <w14:alpha w14:val="100000"/>
                    </w14:srgbClr>
                  </w14:solidFill>
                </w14:textFill>
              </w:rPr>
              <w:t>|||</w:t>
            </w:r>
            <w:r w:rsidR="00800963" w:rsidRPr="00800963">
              <w:rPr>
                <w:color w:val="000000"/>
                <w:spacing w:val="1"/>
                <w:shd w:val="solid" w:color="000000" w:fill="000000"/>
                <w:fitText w:val="324" w:id="-629433075"/>
                <w14:textFill>
                  <w14:solidFill>
                    <w14:srgbClr w14:val="000000">
                      <w14:alpha w14:val="100000"/>
                    </w14:srgbClr>
                  </w14:solidFill>
                </w14:textFill>
              </w:rPr>
              <w:t>|</w:t>
            </w:r>
            <w:r w:rsidR="00B20907">
              <w:rPr>
                <w:vertAlign w:val="superscript"/>
              </w:rPr>
              <w:t>2</w:t>
            </w:r>
          </w:p>
        </w:tc>
        <w:tc>
          <w:tcPr>
            <w:tcW w:w="1172" w:type="dxa"/>
          </w:tcPr>
          <w:p w14:paraId="54F4FDE6" w14:textId="44CC6D78" w:rsidR="00367C4D" w:rsidRPr="006D075E" w:rsidRDefault="00800963" w:rsidP="00367C4D">
            <w:pPr>
              <w:pStyle w:val="COMTabletext"/>
              <w:keepNext w:val="0"/>
              <w:jc w:val="center"/>
              <w:rPr>
                <w:szCs w:val="20"/>
              </w:rPr>
            </w:pPr>
            <w:r w:rsidRPr="00800963">
              <w:rPr>
                <w:color w:val="000000"/>
                <w:spacing w:val="55"/>
                <w:shd w:val="solid" w:color="000000" w:fill="000000"/>
                <w:fitText w:val="336" w:id="-629433074"/>
                <w14:textFill>
                  <w14:solidFill>
                    <w14:srgbClr w14:val="000000">
                      <w14:alpha w14:val="100000"/>
                    </w14:srgbClr>
                  </w14:solidFill>
                </w14:textFill>
              </w:rPr>
              <w:t>|||</w:t>
            </w:r>
            <w:r w:rsidRPr="00800963">
              <w:rPr>
                <w:color w:val="000000"/>
                <w:spacing w:val="1"/>
                <w:shd w:val="solid" w:color="000000" w:fill="000000"/>
                <w:fitText w:val="336" w:id="-629433074"/>
                <w14:textFill>
                  <w14:solidFill>
                    <w14:srgbClr w14:val="000000">
                      <w14:alpha w14:val="100000"/>
                    </w14:srgbClr>
                  </w14:solidFill>
                </w14:textFill>
              </w:rPr>
              <w:t>|</w:t>
            </w:r>
            <w:r w:rsidR="00367C4D" w:rsidRPr="006D075E">
              <w:t>%</w:t>
            </w:r>
          </w:p>
        </w:tc>
        <w:tc>
          <w:tcPr>
            <w:tcW w:w="1357" w:type="dxa"/>
            <w:vAlign w:val="center"/>
          </w:tcPr>
          <w:p w14:paraId="55BD4EFF" w14:textId="74871B93" w:rsidR="00367C4D" w:rsidRPr="0060622F" w:rsidRDefault="00367C4D" w:rsidP="00367C4D">
            <w:pPr>
              <w:pStyle w:val="COMTabletext"/>
              <w:keepNext w:val="0"/>
              <w:jc w:val="center"/>
              <w:rPr>
                <w:rFonts w:eastAsia="MS Gothic" w:cs="Times New Roman"/>
                <w:szCs w:val="20"/>
                <w:vertAlign w:val="superscript"/>
              </w:rPr>
            </w:pPr>
            <w:r w:rsidRPr="006D075E">
              <w:rPr>
                <w:rFonts w:eastAsia="MS Gothic" w:cs="Times New Roman"/>
                <w:szCs w:val="20"/>
              </w:rPr>
              <w:t>$</w:t>
            </w:r>
            <w:r w:rsidR="00800963" w:rsidRPr="00800963">
              <w:rPr>
                <w:rFonts w:eastAsia="MS Gothic" w:cs="Times New Roman"/>
                <w:color w:val="000000"/>
                <w:spacing w:val="55"/>
                <w:szCs w:val="20"/>
                <w:shd w:val="solid" w:color="000000" w:fill="000000"/>
                <w:fitText w:val="336" w:id="-629433073"/>
                <w14:textFill>
                  <w14:solidFill>
                    <w14:srgbClr w14:val="000000">
                      <w14:alpha w14:val="100000"/>
                    </w14:srgbClr>
                  </w14:solidFill>
                </w14:textFill>
              </w:rPr>
              <w:t>|||</w:t>
            </w:r>
            <w:r w:rsidR="00800963" w:rsidRPr="00800963">
              <w:rPr>
                <w:rFonts w:eastAsia="MS Gothic" w:cs="Times New Roman"/>
                <w:color w:val="000000"/>
                <w:spacing w:val="1"/>
                <w:szCs w:val="20"/>
                <w:shd w:val="solid" w:color="000000" w:fill="000000"/>
                <w:fitText w:val="336" w:id="-629433073"/>
                <w14:textFill>
                  <w14:solidFill>
                    <w14:srgbClr w14:val="000000">
                      <w14:alpha w14:val="100000"/>
                    </w14:srgbClr>
                  </w14:solidFill>
                </w14:textFill>
              </w:rPr>
              <w:t>|</w:t>
            </w:r>
            <w:r w:rsidR="0060622F">
              <w:rPr>
                <w:rFonts w:eastAsia="MS Gothic" w:cs="Times New Roman"/>
                <w:szCs w:val="20"/>
                <w:vertAlign w:val="superscript"/>
              </w:rPr>
              <w:t>4</w:t>
            </w:r>
          </w:p>
        </w:tc>
        <w:tc>
          <w:tcPr>
            <w:tcW w:w="1172" w:type="dxa"/>
            <w:vAlign w:val="center"/>
          </w:tcPr>
          <w:p w14:paraId="5A8C82CC" w14:textId="067D646A" w:rsidR="00367C4D" w:rsidRPr="006D075E" w:rsidRDefault="00800963" w:rsidP="00367C4D">
            <w:pPr>
              <w:pStyle w:val="COMTabletext"/>
              <w:keepNext w:val="0"/>
              <w:jc w:val="center"/>
              <w:rPr>
                <w:szCs w:val="20"/>
              </w:rPr>
            </w:pPr>
            <w:r w:rsidRPr="00800963">
              <w:rPr>
                <w:rFonts w:eastAsia="MS Gothic" w:cs="Times New Roman"/>
                <w:color w:val="000000"/>
                <w:spacing w:val="55"/>
                <w:szCs w:val="20"/>
                <w:shd w:val="solid" w:color="000000" w:fill="000000"/>
                <w:fitText w:val="336" w:id="-629433072"/>
                <w14:textFill>
                  <w14:solidFill>
                    <w14:srgbClr w14:val="000000">
                      <w14:alpha w14:val="100000"/>
                    </w14:srgbClr>
                  </w14:solidFill>
                </w14:textFill>
              </w:rPr>
              <w:t>|||</w:t>
            </w:r>
            <w:r w:rsidRPr="00800963">
              <w:rPr>
                <w:rFonts w:eastAsia="MS Gothic" w:cs="Times New Roman"/>
                <w:color w:val="000000"/>
                <w:spacing w:val="1"/>
                <w:szCs w:val="20"/>
                <w:shd w:val="solid" w:color="000000" w:fill="000000"/>
                <w:fitText w:val="336" w:id="-629433072"/>
                <w14:textFill>
                  <w14:solidFill>
                    <w14:srgbClr w14:val="000000">
                      <w14:alpha w14:val="100000"/>
                    </w14:srgbClr>
                  </w14:solidFill>
                </w14:textFill>
              </w:rPr>
              <w:t>|</w:t>
            </w:r>
            <w:r w:rsidR="00367C4D" w:rsidRPr="006D075E">
              <w:rPr>
                <w:rFonts w:eastAsia="MS Gothic" w:cs="Times New Roman"/>
                <w:szCs w:val="20"/>
              </w:rPr>
              <w:t>%</w:t>
            </w:r>
          </w:p>
        </w:tc>
      </w:tr>
      <w:tr w:rsidR="00C46026" w:rsidRPr="006D075E" w14:paraId="1D72CF68" w14:textId="77777777" w:rsidTr="00A97DA3">
        <w:tc>
          <w:tcPr>
            <w:tcW w:w="3837" w:type="dxa"/>
          </w:tcPr>
          <w:p w14:paraId="2CBB0539" w14:textId="788D1818" w:rsidR="00C46026" w:rsidRPr="006D075E" w:rsidRDefault="00C46026" w:rsidP="00C46026">
            <w:pPr>
              <w:pStyle w:val="COMTabletext"/>
              <w:keepNext w:val="0"/>
              <w:rPr>
                <w:szCs w:val="20"/>
              </w:rPr>
            </w:pPr>
            <w:r w:rsidRPr="006D075E">
              <w:rPr>
                <w:szCs w:val="20"/>
              </w:rPr>
              <w:t>#A + #B + #D (</w:t>
            </w:r>
            <w:proofErr w:type="gramStart"/>
            <w:r w:rsidRPr="006D075E">
              <w:rPr>
                <w:szCs w:val="20"/>
              </w:rPr>
              <w:t>10 year</w:t>
            </w:r>
            <w:proofErr w:type="gramEnd"/>
            <w:r w:rsidRPr="006D075E">
              <w:rPr>
                <w:szCs w:val="20"/>
              </w:rPr>
              <w:t xml:space="preserve"> time horizon + OS log-logistic + </w:t>
            </w:r>
            <w:r w:rsidRPr="006D075E">
              <w:rPr>
                <w:rFonts w:eastAsia="MS Gothic" w:cs="Times New Roman"/>
                <w:szCs w:val="20"/>
              </w:rPr>
              <w:t>BTKi use in acalabrutinib arm as per ECHO)</w:t>
            </w:r>
          </w:p>
        </w:tc>
        <w:tc>
          <w:tcPr>
            <w:tcW w:w="1398" w:type="dxa"/>
            <w:vAlign w:val="center"/>
          </w:tcPr>
          <w:p w14:paraId="1DC42D4E" w14:textId="04D2F5F2" w:rsidR="00C46026" w:rsidRPr="00B20907" w:rsidDel="00F55DD8" w:rsidRDefault="00C46026" w:rsidP="00C2546D">
            <w:pPr>
              <w:pStyle w:val="COMTabletext"/>
              <w:keepNext w:val="0"/>
              <w:jc w:val="center"/>
              <w:rPr>
                <w:vertAlign w:val="superscript"/>
              </w:rPr>
            </w:pPr>
            <w:r w:rsidRPr="006D075E">
              <w:t>$</w:t>
            </w:r>
            <w:r w:rsidR="00800963" w:rsidRPr="00800963">
              <w:rPr>
                <w:color w:val="000000"/>
                <w:spacing w:val="51"/>
                <w:shd w:val="solid" w:color="000000" w:fill="000000"/>
                <w:fitText w:val="324" w:id="-629433088"/>
                <w14:textFill>
                  <w14:solidFill>
                    <w14:srgbClr w14:val="000000">
                      <w14:alpha w14:val="100000"/>
                    </w14:srgbClr>
                  </w14:solidFill>
                </w14:textFill>
              </w:rPr>
              <w:t>|||</w:t>
            </w:r>
            <w:r w:rsidR="00800963" w:rsidRPr="00800963">
              <w:rPr>
                <w:color w:val="000000"/>
                <w:spacing w:val="1"/>
                <w:shd w:val="solid" w:color="000000" w:fill="000000"/>
                <w:fitText w:val="324" w:id="-629433088"/>
                <w14:textFill>
                  <w14:solidFill>
                    <w14:srgbClr w14:val="000000">
                      <w14:alpha w14:val="100000"/>
                    </w14:srgbClr>
                  </w14:solidFill>
                </w14:textFill>
              </w:rPr>
              <w:t>|</w:t>
            </w:r>
            <w:r w:rsidR="00B20907">
              <w:rPr>
                <w:vertAlign w:val="superscript"/>
              </w:rPr>
              <w:t>2</w:t>
            </w:r>
          </w:p>
        </w:tc>
        <w:tc>
          <w:tcPr>
            <w:tcW w:w="1172" w:type="dxa"/>
            <w:vAlign w:val="center"/>
          </w:tcPr>
          <w:p w14:paraId="0A0ADBC3" w14:textId="6A0E36F0" w:rsidR="00C46026" w:rsidRPr="006D075E" w:rsidDel="00F55DD8" w:rsidRDefault="00800963" w:rsidP="00C2546D">
            <w:pPr>
              <w:pStyle w:val="COMTabletext"/>
              <w:keepNext w:val="0"/>
              <w:jc w:val="center"/>
            </w:pPr>
            <w:r w:rsidRPr="00800963">
              <w:rPr>
                <w:color w:val="000000"/>
                <w:spacing w:val="55"/>
                <w:shd w:val="solid" w:color="000000" w:fill="000000"/>
                <w:fitText w:val="336" w:id="-629433087"/>
                <w14:textFill>
                  <w14:solidFill>
                    <w14:srgbClr w14:val="000000">
                      <w14:alpha w14:val="100000"/>
                    </w14:srgbClr>
                  </w14:solidFill>
                </w14:textFill>
              </w:rPr>
              <w:t>|||</w:t>
            </w:r>
            <w:r w:rsidRPr="00800963">
              <w:rPr>
                <w:color w:val="000000"/>
                <w:spacing w:val="1"/>
                <w:shd w:val="solid" w:color="000000" w:fill="000000"/>
                <w:fitText w:val="336" w:id="-629433087"/>
                <w14:textFill>
                  <w14:solidFill>
                    <w14:srgbClr w14:val="000000">
                      <w14:alpha w14:val="100000"/>
                    </w14:srgbClr>
                  </w14:solidFill>
                </w14:textFill>
              </w:rPr>
              <w:t>|</w:t>
            </w:r>
            <w:r w:rsidR="00C46026" w:rsidRPr="006D075E">
              <w:t>%</w:t>
            </w:r>
          </w:p>
        </w:tc>
        <w:tc>
          <w:tcPr>
            <w:tcW w:w="1357" w:type="dxa"/>
            <w:vAlign w:val="center"/>
          </w:tcPr>
          <w:p w14:paraId="5D9D73D2" w14:textId="3F982214" w:rsidR="00C46026" w:rsidRPr="00AB2082" w:rsidRDefault="00C46026" w:rsidP="00C2546D">
            <w:pPr>
              <w:pStyle w:val="COMTabletext"/>
              <w:keepNext w:val="0"/>
              <w:jc w:val="center"/>
              <w:rPr>
                <w:vertAlign w:val="superscript"/>
              </w:rPr>
            </w:pPr>
            <w:r w:rsidRPr="006D075E">
              <w:t>$</w:t>
            </w:r>
            <w:r w:rsidR="00800963" w:rsidRPr="00800963">
              <w:rPr>
                <w:color w:val="000000"/>
                <w:spacing w:val="55"/>
                <w:shd w:val="solid" w:color="000000" w:fill="000000"/>
                <w:fitText w:val="336" w:id="-629433086"/>
                <w14:textFill>
                  <w14:solidFill>
                    <w14:srgbClr w14:val="000000">
                      <w14:alpha w14:val="100000"/>
                    </w14:srgbClr>
                  </w14:solidFill>
                </w14:textFill>
              </w:rPr>
              <w:t>|||</w:t>
            </w:r>
            <w:r w:rsidR="00800963" w:rsidRPr="00800963">
              <w:rPr>
                <w:color w:val="000000"/>
                <w:spacing w:val="1"/>
                <w:shd w:val="solid" w:color="000000" w:fill="000000"/>
                <w:fitText w:val="336" w:id="-629433086"/>
                <w14:textFill>
                  <w14:solidFill>
                    <w14:srgbClr w14:val="000000">
                      <w14:alpha w14:val="100000"/>
                    </w14:srgbClr>
                  </w14:solidFill>
                </w14:textFill>
              </w:rPr>
              <w:t>|</w:t>
            </w:r>
            <w:r w:rsidR="00AB2082">
              <w:rPr>
                <w:vertAlign w:val="superscript"/>
              </w:rPr>
              <w:t>4</w:t>
            </w:r>
          </w:p>
        </w:tc>
        <w:tc>
          <w:tcPr>
            <w:tcW w:w="1172" w:type="dxa"/>
            <w:vAlign w:val="center"/>
          </w:tcPr>
          <w:p w14:paraId="7C713107" w14:textId="78955F38" w:rsidR="00C46026" w:rsidRPr="006D075E" w:rsidRDefault="00800963" w:rsidP="00C2546D">
            <w:pPr>
              <w:pStyle w:val="COMTabletext"/>
              <w:keepNext w:val="0"/>
              <w:jc w:val="center"/>
            </w:pPr>
            <w:r w:rsidRPr="00800963">
              <w:rPr>
                <w:color w:val="000000"/>
                <w:spacing w:val="55"/>
                <w:shd w:val="solid" w:color="000000" w:fill="000000"/>
                <w:fitText w:val="336" w:id="-629433085"/>
                <w14:textFill>
                  <w14:solidFill>
                    <w14:srgbClr w14:val="000000">
                      <w14:alpha w14:val="100000"/>
                    </w14:srgbClr>
                  </w14:solidFill>
                </w14:textFill>
              </w:rPr>
              <w:t>|||</w:t>
            </w:r>
            <w:r w:rsidRPr="00800963">
              <w:rPr>
                <w:color w:val="000000"/>
                <w:spacing w:val="1"/>
                <w:shd w:val="solid" w:color="000000" w:fill="000000"/>
                <w:fitText w:val="336" w:id="-629433085"/>
                <w14:textFill>
                  <w14:solidFill>
                    <w14:srgbClr w14:val="000000">
                      <w14:alpha w14:val="100000"/>
                    </w14:srgbClr>
                  </w14:solidFill>
                </w14:textFill>
              </w:rPr>
              <w:t>|</w:t>
            </w:r>
            <w:r w:rsidR="00C46026" w:rsidRPr="006D075E">
              <w:t>%</w:t>
            </w:r>
          </w:p>
        </w:tc>
      </w:tr>
      <w:tr w:rsidR="00B931A5" w:rsidRPr="006D075E" w14:paraId="59DAC9FF" w14:textId="77777777" w:rsidTr="00A97DA3">
        <w:tc>
          <w:tcPr>
            <w:tcW w:w="3837" w:type="dxa"/>
          </w:tcPr>
          <w:p w14:paraId="1E56B52C" w14:textId="6B0FC9AF" w:rsidR="00B931A5" w:rsidRPr="006D075E" w:rsidRDefault="00B8434D" w:rsidP="00C46026">
            <w:pPr>
              <w:pStyle w:val="COMTabletext"/>
              <w:keepNext w:val="0"/>
              <w:rPr>
                <w:szCs w:val="20"/>
              </w:rPr>
            </w:pPr>
            <w:r w:rsidRPr="006D075E">
              <w:rPr>
                <w:szCs w:val="20"/>
              </w:rPr>
              <w:t>#A + #D (</w:t>
            </w:r>
            <w:proofErr w:type="gramStart"/>
            <w:r w:rsidRPr="006D075E">
              <w:rPr>
                <w:szCs w:val="20"/>
              </w:rPr>
              <w:t>10 year</w:t>
            </w:r>
            <w:proofErr w:type="gramEnd"/>
            <w:r w:rsidRPr="006D075E">
              <w:rPr>
                <w:szCs w:val="20"/>
              </w:rPr>
              <w:t xml:space="preserve"> time horizon + </w:t>
            </w:r>
            <w:r w:rsidRPr="006D075E">
              <w:rPr>
                <w:rFonts w:eastAsia="MS Gothic" w:cs="Times New Roman"/>
                <w:szCs w:val="20"/>
              </w:rPr>
              <w:t>BTKi use in acalabrutinib arm as per ECHO)</w:t>
            </w:r>
          </w:p>
        </w:tc>
        <w:tc>
          <w:tcPr>
            <w:tcW w:w="1398" w:type="dxa"/>
            <w:vAlign w:val="center"/>
          </w:tcPr>
          <w:p w14:paraId="7F7124CF" w14:textId="0DD6F645" w:rsidR="00B931A5" w:rsidRPr="00B20907" w:rsidRDefault="0068479E" w:rsidP="00C2546D">
            <w:pPr>
              <w:pStyle w:val="COMTabletext"/>
              <w:keepNext w:val="0"/>
              <w:jc w:val="center"/>
              <w:rPr>
                <w:vertAlign w:val="superscript"/>
              </w:rPr>
            </w:pPr>
            <w:r w:rsidRPr="006D075E">
              <w:t>$</w:t>
            </w:r>
            <w:r w:rsidR="00800963" w:rsidRPr="00800963">
              <w:rPr>
                <w:color w:val="000000"/>
                <w:spacing w:val="51"/>
                <w:shd w:val="solid" w:color="000000" w:fill="000000"/>
                <w:fitText w:val="324" w:id="-629433084"/>
                <w14:textFill>
                  <w14:solidFill>
                    <w14:srgbClr w14:val="000000">
                      <w14:alpha w14:val="100000"/>
                    </w14:srgbClr>
                  </w14:solidFill>
                </w14:textFill>
              </w:rPr>
              <w:t>|||</w:t>
            </w:r>
            <w:r w:rsidR="00800963" w:rsidRPr="00800963">
              <w:rPr>
                <w:color w:val="000000"/>
                <w:spacing w:val="1"/>
                <w:shd w:val="solid" w:color="000000" w:fill="000000"/>
                <w:fitText w:val="324" w:id="-629433084"/>
                <w14:textFill>
                  <w14:solidFill>
                    <w14:srgbClr w14:val="000000">
                      <w14:alpha w14:val="100000"/>
                    </w14:srgbClr>
                  </w14:solidFill>
                </w14:textFill>
              </w:rPr>
              <w:t>|</w:t>
            </w:r>
            <w:r w:rsidR="00B20907">
              <w:rPr>
                <w:vertAlign w:val="superscript"/>
              </w:rPr>
              <w:t>2</w:t>
            </w:r>
          </w:p>
        </w:tc>
        <w:tc>
          <w:tcPr>
            <w:tcW w:w="1172" w:type="dxa"/>
            <w:vAlign w:val="center"/>
          </w:tcPr>
          <w:p w14:paraId="329E1282" w14:textId="58171DD9" w:rsidR="00B931A5" w:rsidRPr="006D075E" w:rsidRDefault="00800963" w:rsidP="00C2546D">
            <w:pPr>
              <w:pStyle w:val="COMTabletext"/>
              <w:keepNext w:val="0"/>
              <w:jc w:val="center"/>
            </w:pPr>
            <w:r w:rsidRPr="00800963">
              <w:rPr>
                <w:color w:val="000000"/>
                <w:spacing w:val="55"/>
                <w:shd w:val="solid" w:color="000000" w:fill="000000"/>
                <w:fitText w:val="336" w:id="-629433083"/>
                <w14:textFill>
                  <w14:solidFill>
                    <w14:srgbClr w14:val="000000">
                      <w14:alpha w14:val="100000"/>
                    </w14:srgbClr>
                  </w14:solidFill>
                </w14:textFill>
              </w:rPr>
              <w:t>|||</w:t>
            </w:r>
            <w:r w:rsidRPr="00800963">
              <w:rPr>
                <w:color w:val="000000"/>
                <w:spacing w:val="1"/>
                <w:shd w:val="solid" w:color="000000" w:fill="000000"/>
                <w:fitText w:val="336" w:id="-629433083"/>
                <w14:textFill>
                  <w14:solidFill>
                    <w14:srgbClr w14:val="000000">
                      <w14:alpha w14:val="100000"/>
                    </w14:srgbClr>
                  </w14:solidFill>
                </w14:textFill>
              </w:rPr>
              <w:t>|</w:t>
            </w:r>
            <w:r w:rsidR="0068479E">
              <w:t>%</w:t>
            </w:r>
          </w:p>
        </w:tc>
        <w:tc>
          <w:tcPr>
            <w:tcW w:w="1357" w:type="dxa"/>
            <w:vAlign w:val="center"/>
          </w:tcPr>
          <w:p w14:paraId="7538E20F" w14:textId="5D951F3E" w:rsidR="00B931A5" w:rsidRPr="00BE5470" w:rsidRDefault="008B29EC" w:rsidP="00674BCC">
            <w:pPr>
              <w:jc w:val="center"/>
              <w:rPr>
                <w:rFonts w:ascii="Arial Narrow" w:eastAsiaTheme="majorEastAsia" w:hAnsi="Arial Narrow" w:cstheme="majorBidi"/>
                <w:bCs/>
                <w:sz w:val="20"/>
                <w:vertAlign w:val="superscript"/>
              </w:rPr>
            </w:pPr>
            <w:r w:rsidRPr="00674BCC">
              <w:rPr>
                <w:rFonts w:ascii="Arial Narrow" w:eastAsiaTheme="majorEastAsia" w:hAnsi="Arial Narrow" w:cstheme="majorBidi"/>
                <w:bCs/>
                <w:sz w:val="20"/>
              </w:rPr>
              <w:t>$</w:t>
            </w:r>
            <w:r w:rsidR="00800963" w:rsidRPr="00800963">
              <w:rPr>
                <w:rFonts w:ascii="Arial Narrow" w:eastAsiaTheme="majorEastAsia" w:hAnsi="Arial Narrow" w:cstheme="majorBidi"/>
                <w:bCs/>
                <w:color w:val="000000"/>
                <w:spacing w:val="55"/>
                <w:sz w:val="20"/>
                <w:shd w:val="solid" w:color="000000" w:fill="000000"/>
                <w:fitText w:val="336" w:id="-629433082"/>
                <w14:textFill>
                  <w14:solidFill>
                    <w14:srgbClr w14:val="000000">
                      <w14:alpha w14:val="100000"/>
                    </w14:srgbClr>
                  </w14:solidFill>
                </w14:textFill>
              </w:rPr>
              <w:t>|||</w:t>
            </w:r>
            <w:r w:rsidR="00800963" w:rsidRPr="00800963">
              <w:rPr>
                <w:rFonts w:ascii="Arial Narrow" w:eastAsiaTheme="majorEastAsia" w:hAnsi="Arial Narrow" w:cstheme="majorBidi"/>
                <w:bCs/>
                <w:color w:val="000000"/>
                <w:spacing w:val="1"/>
                <w:sz w:val="20"/>
                <w:shd w:val="solid" w:color="000000" w:fill="000000"/>
                <w:fitText w:val="336" w:id="-629433082"/>
                <w14:textFill>
                  <w14:solidFill>
                    <w14:srgbClr w14:val="000000">
                      <w14:alpha w14:val="100000"/>
                    </w14:srgbClr>
                  </w14:solidFill>
                </w14:textFill>
              </w:rPr>
              <w:t>|</w:t>
            </w:r>
            <w:r w:rsidR="00BE5470">
              <w:rPr>
                <w:rFonts w:ascii="Arial Narrow" w:eastAsiaTheme="majorEastAsia" w:hAnsi="Arial Narrow" w:cstheme="majorBidi"/>
                <w:bCs/>
                <w:sz w:val="20"/>
                <w:vertAlign w:val="superscript"/>
              </w:rPr>
              <w:t>3</w:t>
            </w:r>
          </w:p>
        </w:tc>
        <w:tc>
          <w:tcPr>
            <w:tcW w:w="1172" w:type="dxa"/>
            <w:vAlign w:val="center"/>
          </w:tcPr>
          <w:p w14:paraId="22455BAD" w14:textId="170F0BF9" w:rsidR="00B931A5" w:rsidRPr="006D075E" w:rsidRDefault="00800963" w:rsidP="00C2546D">
            <w:pPr>
              <w:pStyle w:val="COMTabletext"/>
              <w:keepNext w:val="0"/>
              <w:jc w:val="center"/>
            </w:pPr>
            <w:r w:rsidRPr="00800963">
              <w:rPr>
                <w:color w:val="000000"/>
                <w:spacing w:val="55"/>
                <w:shd w:val="solid" w:color="000000" w:fill="000000"/>
                <w:fitText w:val="336" w:id="-629433081"/>
                <w14:textFill>
                  <w14:solidFill>
                    <w14:srgbClr w14:val="000000">
                      <w14:alpha w14:val="100000"/>
                    </w14:srgbClr>
                  </w14:solidFill>
                </w14:textFill>
              </w:rPr>
              <w:t>|||</w:t>
            </w:r>
            <w:r w:rsidRPr="00800963">
              <w:rPr>
                <w:color w:val="000000"/>
                <w:spacing w:val="1"/>
                <w:shd w:val="solid" w:color="000000" w:fill="000000"/>
                <w:fitText w:val="336" w:id="-629433081"/>
                <w14:textFill>
                  <w14:solidFill>
                    <w14:srgbClr w14:val="000000">
                      <w14:alpha w14:val="100000"/>
                    </w14:srgbClr>
                  </w14:solidFill>
                </w14:textFill>
              </w:rPr>
              <w:t>|</w:t>
            </w:r>
            <w:r w:rsidR="008B29EC">
              <w:t>%</w:t>
            </w:r>
          </w:p>
        </w:tc>
      </w:tr>
      <w:tr w:rsidR="00466962" w:rsidRPr="006D075E" w14:paraId="3DEC7397" w14:textId="77777777" w:rsidTr="00466962">
        <w:tc>
          <w:tcPr>
            <w:tcW w:w="3837" w:type="dxa"/>
          </w:tcPr>
          <w:p w14:paraId="2F2FF8B0" w14:textId="1EE1F51F" w:rsidR="00466962" w:rsidRPr="006D075E" w:rsidRDefault="00466962" w:rsidP="00466962">
            <w:pPr>
              <w:pStyle w:val="COMTabletext"/>
              <w:keepNext w:val="0"/>
              <w:rPr>
                <w:szCs w:val="20"/>
              </w:rPr>
            </w:pPr>
            <w:r w:rsidRPr="00995850">
              <w:t>#B + #D (OS log-logistic + BTKi use in acalabrutinib arm as per ECHO)</w:t>
            </w:r>
          </w:p>
        </w:tc>
        <w:tc>
          <w:tcPr>
            <w:tcW w:w="1398" w:type="dxa"/>
            <w:vAlign w:val="center"/>
          </w:tcPr>
          <w:p w14:paraId="5E643EBE" w14:textId="7834678B" w:rsidR="00466962" w:rsidRPr="0068648A" w:rsidRDefault="007151DA" w:rsidP="00466962">
            <w:pPr>
              <w:pStyle w:val="COMTabletext"/>
              <w:keepNext w:val="0"/>
              <w:jc w:val="center"/>
              <w:rPr>
                <w:vertAlign w:val="superscript"/>
              </w:rPr>
            </w:pPr>
            <w:r w:rsidRPr="007151DA">
              <w:t>$</w:t>
            </w:r>
            <w:r w:rsidR="00800963" w:rsidRPr="00800963">
              <w:rPr>
                <w:color w:val="000000"/>
                <w:spacing w:val="51"/>
                <w:shd w:val="solid" w:color="000000" w:fill="000000"/>
                <w:fitText w:val="324" w:id="-629433080"/>
                <w14:textFill>
                  <w14:solidFill>
                    <w14:srgbClr w14:val="000000">
                      <w14:alpha w14:val="100000"/>
                    </w14:srgbClr>
                  </w14:solidFill>
                </w14:textFill>
              </w:rPr>
              <w:t>|||</w:t>
            </w:r>
            <w:r w:rsidR="00800963" w:rsidRPr="00800963">
              <w:rPr>
                <w:color w:val="000000"/>
                <w:spacing w:val="1"/>
                <w:shd w:val="solid" w:color="000000" w:fill="000000"/>
                <w:fitText w:val="324" w:id="-629433080"/>
                <w14:textFill>
                  <w14:solidFill>
                    <w14:srgbClr w14:val="000000">
                      <w14:alpha w14:val="100000"/>
                    </w14:srgbClr>
                  </w14:solidFill>
                </w14:textFill>
              </w:rPr>
              <w:t>|</w:t>
            </w:r>
            <w:r w:rsidR="0068648A">
              <w:rPr>
                <w:vertAlign w:val="superscript"/>
              </w:rPr>
              <w:t>1</w:t>
            </w:r>
          </w:p>
        </w:tc>
        <w:tc>
          <w:tcPr>
            <w:tcW w:w="1172" w:type="dxa"/>
            <w:vAlign w:val="center"/>
          </w:tcPr>
          <w:p w14:paraId="46C7F1D0" w14:textId="193207AF" w:rsidR="00466962" w:rsidRDefault="00800963" w:rsidP="00466962">
            <w:pPr>
              <w:pStyle w:val="COMTabletext"/>
              <w:keepNext w:val="0"/>
              <w:jc w:val="center"/>
            </w:pPr>
            <w:r w:rsidRPr="00800963">
              <w:rPr>
                <w:color w:val="000000"/>
                <w:spacing w:val="55"/>
                <w:shd w:val="solid" w:color="000000" w:fill="000000"/>
                <w:fitText w:val="336" w:id="-629433079"/>
                <w14:textFill>
                  <w14:solidFill>
                    <w14:srgbClr w14:val="000000">
                      <w14:alpha w14:val="100000"/>
                    </w14:srgbClr>
                  </w14:solidFill>
                </w14:textFill>
              </w:rPr>
              <w:t>|||</w:t>
            </w:r>
            <w:r w:rsidRPr="00800963">
              <w:rPr>
                <w:color w:val="000000"/>
                <w:spacing w:val="1"/>
                <w:shd w:val="solid" w:color="000000" w:fill="000000"/>
                <w:fitText w:val="336" w:id="-629433079"/>
                <w14:textFill>
                  <w14:solidFill>
                    <w14:srgbClr w14:val="000000">
                      <w14:alpha w14:val="100000"/>
                    </w14:srgbClr>
                  </w14:solidFill>
                </w14:textFill>
              </w:rPr>
              <w:t>|</w:t>
            </w:r>
            <w:r w:rsidR="00BA5950">
              <w:t>%</w:t>
            </w:r>
          </w:p>
        </w:tc>
        <w:tc>
          <w:tcPr>
            <w:tcW w:w="1357" w:type="dxa"/>
            <w:vAlign w:val="center"/>
          </w:tcPr>
          <w:p w14:paraId="7F949CE3" w14:textId="207A9C44" w:rsidR="00466962" w:rsidRPr="00D71AA6" w:rsidRDefault="00466962" w:rsidP="00466962">
            <w:pPr>
              <w:jc w:val="center"/>
              <w:rPr>
                <w:rFonts w:ascii="Arial Narrow" w:eastAsiaTheme="majorEastAsia" w:hAnsi="Arial Narrow" w:cstheme="majorBidi"/>
                <w:bCs/>
                <w:sz w:val="20"/>
                <w:vertAlign w:val="superscript"/>
              </w:rPr>
            </w:pPr>
            <w:r w:rsidRPr="00466962">
              <w:rPr>
                <w:rFonts w:ascii="Arial Narrow" w:eastAsiaTheme="majorEastAsia" w:hAnsi="Arial Narrow" w:cstheme="majorBidi"/>
                <w:bCs/>
                <w:sz w:val="20"/>
              </w:rPr>
              <w:t>$</w:t>
            </w:r>
            <w:r w:rsidR="00800963" w:rsidRPr="00800963">
              <w:rPr>
                <w:rFonts w:ascii="Arial Narrow" w:eastAsiaTheme="majorEastAsia" w:hAnsi="Arial Narrow" w:cstheme="majorBidi"/>
                <w:bCs/>
                <w:color w:val="000000"/>
                <w:spacing w:val="55"/>
                <w:sz w:val="20"/>
                <w:shd w:val="solid" w:color="000000" w:fill="000000"/>
                <w:fitText w:val="336" w:id="-629433078"/>
                <w14:textFill>
                  <w14:solidFill>
                    <w14:srgbClr w14:val="000000">
                      <w14:alpha w14:val="100000"/>
                    </w14:srgbClr>
                  </w14:solidFill>
                </w14:textFill>
              </w:rPr>
              <w:t>|||</w:t>
            </w:r>
            <w:r w:rsidR="00800963" w:rsidRPr="00800963">
              <w:rPr>
                <w:rFonts w:ascii="Arial Narrow" w:eastAsiaTheme="majorEastAsia" w:hAnsi="Arial Narrow" w:cstheme="majorBidi"/>
                <w:bCs/>
                <w:color w:val="000000"/>
                <w:spacing w:val="1"/>
                <w:sz w:val="20"/>
                <w:shd w:val="solid" w:color="000000" w:fill="000000"/>
                <w:fitText w:val="336" w:id="-629433078"/>
                <w14:textFill>
                  <w14:solidFill>
                    <w14:srgbClr w14:val="000000">
                      <w14:alpha w14:val="100000"/>
                    </w14:srgbClr>
                  </w14:solidFill>
                </w14:textFill>
              </w:rPr>
              <w:t>|</w:t>
            </w:r>
            <w:r w:rsidR="00D71AA6">
              <w:rPr>
                <w:rFonts w:ascii="Arial Narrow" w:eastAsiaTheme="majorEastAsia" w:hAnsi="Arial Narrow" w:cstheme="majorBidi"/>
                <w:bCs/>
                <w:sz w:val="20"/>
                <w:vertAlign w:val="superscript"/>
              </w:rPr>
              <w:t>9</w:t>
            </w:r>
          </w:p>
        </w:tc>
        <w:tc>
          <w:tcPr>
            <w:tcW w:w="1172" w:type="dxa"/>
            <w:vAlign w:val="center"/>
          </w:tcPr>
          <w:p w14:paraId="0353B8FD" w14:textId="7BE11D41" w:rsidR="00466962" w:rsidRDefault="00800963" w:rsidP="00466962">
            <w:pPr>
              <w:pStyle w:val="COMTabletext"/>
              <w:keepNext w:val="0"/>
              <w:jc w:val="center"/>
            </w:pPr>
            <w:r w:rsidRPr="00800963">
              <w:rPr>
                <w:color w:val="000000"/>
                <w:spacing w:val="55"/>
                <w:shd w:val="solid" w:color="000000" w:fill="000000"/>
                <w:fitText w:val="336" w:id="-629433077"/>
                <w14:textFill>
                  <w14:solidFill>
                    <w14:srgbClr w14:val="000000">
                      <w14:alpha w14:val="100000"/>
                    </w14:srgbClr>
                  </w14:solidFill>
                </w14:textFill>
              </w:rPr>
              <w:t>|||</w:t>
            </w:r>
            <w:r w:rsidRPr="00800963">
              <w:rPr>
                <w:color w:val="000000"/>
                <w:spacing w:val="1"/>
                <w:shd w:val="solid" w:color="000000" w:fill="000000"/>
                <w:fitText w:val="336" w:id="-629433077"/>
                <w14:textFill>
                  <w14:solidFill>
                    <w14:srgbClr w14:val="000000">
                      <w14:alpha w14:val="100000"/>
                    </w14:srgbClr>
                  </w14:solidFill>
                </w14:textFill>
              </w:rPr>
              <w:t>|</w:t>
            </w:r>
            <w:r w:rsidR="00466962" w:rsidRPr="00995850">
              <w:t>%</w:t>
            </w:r>
          </w:p>
        </w:tc>
      </w:tr>
      <w:tr w:rsidR="008D194D" w:rsidRPr="006D075E" w14:paraId="1024BD9A" w14:textId="77777777" w:rsidTr="00A97DA3">
        <w:tc>
          <w:tcPr>
            <w:tcW w:w="3837" w:type="dxa"/>
          </w:tcPr>
          <w:p w14:paraId="6F52DAF6" w14:textId="2E2E4541" w:rsidR="008D194D" w:rsidRPr="006D075E" w:rsidDel="00B22A23" w:rsidRDefault="008D194D" w:rsidP="008D194D">
            <w:pPr>
              <w:pStyle w:val="COMTabletext"/>
              <w:keepNext w:val="0"/>
              <w:rPr>
                <w:szCs w:val="20"/>
              </w:rPr>
            </w:pPr>
            <w:r w:rsidRPr="006D075E">
              <w:rPr>
                <w:rFonts w:eastAsia="MS Gothic" w:cs="Times New Roman"/>
                <w:szCs w:val="20"/>
              </w:rPr>
              <w:t># A+ #B + #C + #D (</w:t>
            </w:r>
            <w:proofErr w:type="gramStart"/>
            <w:r w:rsidRPr="006D075E">
              <w:rPr>
                <w:rFonts w:eastAsia="MS Gothic" w:cs="Times New Roman"/>
                <w:szCs w:val="20"/>
              </w:rPr>
              <w:t>10 year</w:t>
            </w:r>
            <w:proofErr w:type="gramEnd"/>
            <w:r w:rsidRPr="006D075E">
              <w:rPr>
                <w:rFonts w:eastAsia="MS Gothic" w:cs="Times New Roman"/>
                <w:szCs w:val="20"/>
              </w:rPr>
              <w:t xml:space="preserve"> time horizon + </w:t>
            </w:r>
            <w:r w:rsidRPr="006D075E">
              <w:rPr>
                <w:szCs w:val="20"/>
              </w:rPr>
              <w:t>OS log-logistic</w:t>
            </w:r>
            <w:r w:rsidRPr="006D075E">
              <w:rPr>
                <w:rFonts w:eastAsia="MS Gothic" w:cs="Times New Roman"/>
                <w:szCs w:val="20"/>
              </w:rPr>
              <w:t xml:space="preserve"> + van Keep utilities + BTKi use in acalabrutinib arm as per ECHO)</w:t>
            </w:r>
          </w:p>
        </w:tc>
        <w:tc>
          <w:tcPr>
            <w:tcW w:w="1398" w:type="dxa"/>
            <w:vAlign w:val="center"/>
          </w:tcPr>
          <w:p w14:paraId="58A70C6C" w14:textId="28327D4B" w:rsidR="008D194D" w:rsidRPr="00B20907" w:rsidDel="00B22A23" w:rsidRDefault="008D194D" w:rsidP="00C2546D">
            <w:pPr>
              <w:pStyle w:val="COMTabletext"/>
              <w:keepNext w:val="0"/>
              <w:jc w:val="center"/>
              <w:rPr>
                <w:szCs w:val="20"/>
                <w:vertAlign w:val="superscript"/>
              </w:rPr>
            </w:pPr>
            <w:r w:rsidRPr="006D075E">
              <w:t>$</w:t>
            </w:r>
            <w:r w:rsidR="00800963" w:rsidRPr="00800963">
              <w:rPr>
                <w:color w:val="000000"/>
                <w:spacing w:val="51"/>
                <w:shd w:val="solid" w:color="000000" w:fill="000000"/>
                <w:fitText w:val="324" w:id="-629433076"/>
                <w14:textFill>
                  <w14:solidFill>
                    <w14:srgbClr w14:val="000000">
                      <w14:alpha w14:val="100000"/>
                    </w14:srgbClr>
                  </w14:solidFill>
                </w14:textFill>
              </w:rPr>
              <w:t>|||</w:t>
            </w:r>
            <w:r w:rsidR="00800963" w:rsidRPr="00800963">
              <w:rPr>
                <w:color w:val="000000"/>
                <w:spacing w:val="1"/>
                <w:shd w:val="solid" w:color="000000" w:fill="000000"/>
                <w:fitText w:val="324" w:id="-629433076"/>
                <w14:textFill>
                  <w14:solidFill>
                    <w14:srgbClr w14:val="000000">
                      <w14:alpha w14:val="100000"/>
                    </w14:srgbClr>
                  </w14:solidFill>
                </w14:textFill>
              </w:rPr>
              <w:t>|</w:t>
            </w:r>
            <w:r w:rsidR="00B20907">
              <w:rPr>
                <w:vertAlign w:val="superscript"/>
              </w:rPr>
              <w:t>2</w:t>
            </w:r>
          </w:p>
        </w:tc>
        <w:tc>
          <w:tcPr>
            <w:tcW w:w="1172" w:type="dxa"/>
            <w:vAlign w:val="center"/>
          </w:tcPr>
          <w:p w14:paraId="1B946B38" w14:textId="34AB554D" w:rsidR="008D194D" w:rsidRPr="006D075E" w:rsidRDefault="00800963" w:rsidP="00C2546D">
            <w:pPr>
              <w:pStyle w:val="COMTabletext"/>
              <w:keepNext w:val="0"/>
              <w:jc w:val="center"/>
              <w:rPr>
                <w:szCs w:val="20"/>
              </w:rPr>
            </w:pPr>
            <w:r w:rsidRPr="00800963">
              <w:rPr>
                <w:color w:val="000000"/>
                <w:spacing w:val="55"/>
                <w:shd w:val="solid" w:color="000000" w:fill="000000"/>
                <w:fitText w:val="336" w:id="-629433075"/>
                <w14:textFill>
                  <w14:solidFill>
                    <w14:srgbClr w14:val="000000">
                      <w14:alpha w14:val="100000"/>
                    </w14:srgbClr>
                  </w14:solidFill>
                </w14:textFill>
              </w:rPr>
              <w:t>|||</w:t>
            </w:r>
            <w:r w:rsidRPr="00800963">
              <w:rPr>
                <w:color w:val="000000"/>
                <w:spacing w:val="1"/>
                <w:shd w:val="solid" w:color="000000" w:fill="000000"/>
                <w:fitText w:val="336" w:id="-629433075"/>
                <w14:textFill>
                  <w14:solidFill>
                    <w14:srgbClr w14:val="000000">
                      <w14:alpha w14:val="100000"/>
                    </w14:srgbClr>
                  </w14:solidFill>
                </w14:textFill>
              </w:rPr>
              <w:t>|</w:t>
            </w:r>
            <w:r w:rsidR="008D194D" w:rsidRPr="006D075E">
              <w:t>%</w:t>
            </w:r>
          </w:p>
        </w:tc>
        <w:tc>
          <w:tcPr>
            <w:tcW w:w="1357" w:type="dxa"/>
            <w:vAlign w:val="center"/>
          </w:tcPr>
          <w:p w14:paraId="27E210F9" w14:textId="02909EB4" w:rsidR="008D194D" w:rsidRPr="00D71AA6" w:rsidRDefault="008D194D" w:rsidP="00C2546D">
            <w:pPr>
              <w:jc w:val="center"/>
              <w:rPr>
                <w:rFonts w:ascii="Arial Narrow" w:eastAsiaTheme="majorEastAsia" w:hAnsi="Arial Narrow" w:cstheme="majorBidi"/>
                <w:bCs/>
                <w:sz w:val="20"/>
                <w:vertAlign w:val="superscript"/>
              </w:rPr>
            </w:pPr>
            <w:r w:rsidRPr="006D075E">
              <w:rPr>
                <w:rFonts w:ascii="Arial Narrow" w:eastAsiaTheme="majorEastAsia" w:hAnsi="Arial Narrow" w:cstheme="majorBidi"/>
                <w:bCs/>
                <w:sz w:val="20"/>
              </w:rPr>
              <w:t>$</w:t>
            </w:r>
            <w:r w:rsidR="00800963" w:rsidRPr="00800963">
              <w:rPr>
                <w:rFonts w:ascii="Arial Narrow" w:eastAsiaTheme="majorEastAsia" w:hAnsi="Arial Narrow" w:cstheme="majorBidi"/>
                <w:bCs/>
                <w:color w:val="000000"/>
                <w:spacing w:val="55"/>
                <w:sz w:val="20"/>
                <w:shd w:val="solid" w:color="000000" w:fill="000000"/>
                <w:fitText w:val="336" w:id="-629433074"/>
                <w14:textFill>
                  <w14:solidFill>
                    <w14:srgbClr w14:val="000000">
                      <w14:alpha w14:val="100000"/>
                    </w14:srgbClr>
                  </w14:solidFill>
                </w14:textFill>
              </w:rPr>
              <w:t>|||</w:t>
            </w:r>
            <w:r w:rsidR="00800963" w:rsidRPr="00800963">
              <w:rPr>
                <w:rFonts w:ascii="Arial Narrow" w:eastAsiaTheme="majorEastAsia" w:hAnsi="Arial Narrow" w:cstheme="majorBidi"/>
                <w:bCs/>
                <w:color w:val="000000"/>
                <w:spacing w:val="1"/>
                <w:sz w:val="20"/>
                <w:shd w:val="solid" w:color="000000" w:fill="000000"/>
                <w:fitText w:val="336" w:id="-629433074"/>
                <w14:textFill>
                  <w14:solidFill>
                    <w14:srgbClr w14:val="000000">
                      <w14:alpha w14:val="100000"/>
                    </w14:srgbClr>
                  </w14:solidFill>
                </w14:textFill>
              </w:rPr>
              <w:t>|</w:t>
            </w:r>
            <w:r w:rsidR="00D71AA6">
              <w:rPr>
                <w:rFonts w:ascii="Arial Narrow" w:eastAsiaTheme="majorEastAsia" w:hAnsi="Arial Narrow" w:cstheme="majorBidi"/>
                <w:bCs/>
                <w:sz w:val="20"/>
                <w:vertAlign w:val="superscript"/>
              </w:rPr>
              <w:t>9</w:t>
            </w:r>
          </w:p>
        </w:tc>
        <w:tc>
          <w:tcPr>
            <w:tcW w:w="1172" w:type="dxa"/>
            <w:vAlign w:val="center"/>
          </w:tcPr>
          <w:p w14:paraId="26B1DAD4" w14:textId="3034A103" w:rsidR="008D194D" w:rsidRPr="006D075E" w:rsidRDefault="00800963" w:rsidP="00C2546D">
            <w:pPr>
              <w:pStyle w:val="COMTabletext"/>
              <w:keepNext w:val="0"/>
              <w:jc w:val="center"/>
            </w:pPr>
            <w:r w:rsidRPr="00DC5498">
              <w:rPr>
                <w:color w:val="000000"/>
                <w:spacing w:val="55"/>
                <w:shd w:val="solid" w:color="000000" w:fill="000000"/>
                <w:fitText w:val="336" w:id="-629433073"/>
                <w14:textFill>
                  <w14:solidFill>
                    <w14:srgbClr w14:val="000000">
                      <w14:alpha w14:val="100000"/>
                    </w14:srgbClr>
                  </w14:solidFill>
                </w14:textFill>
              </w:rPr>
              <w:t>|||</w:t>
            </w:r>
            <w:r w:rsidRPr="00DC5498">
              <w:rPr>
                <w:color w:val="000000"/>
                <w:spacing w:val="1"/>
                <w:shd w:val="solid" w:color="000000" w:fill="000000"/>
                <w:fitText w:val="336" w:id="-629433073"/>
                <w14:textFill>
                  <w14:solidFill>
                    <w14:srgbClr w14:val="000000">
                      <w14:alpha w14:val="100000"/>
                    </w14:srgbClr>
                  </w14:solidFill>
                </w14:textFill>
              </w:rPr>
              <w:t>|</w:t>
            </w:r>
            <w:r w:rsidR="008D194D" w:rsidRPr="006D075E">
              <w:t>%</w:t>
            </w:r>
          </w:p>
        </w:tc>
      </w:tr>
    </w:tbl>
    <w:p w14:paraId="69EC442D" w14:textId="77777777" w:rsidR="0008166B" w:rsidRPr="006D075E" w:rsidRDefault="0008166B" w:rsidP="0092163C">
      <w:pPr>
        <w:pStyle w:val="COMTablefooter"/>
        <w:jc w:val="left"/>
        <w:rPr>
          <w:szCs w:val="18"/>
        </w:rPr>
      </w:pPr>
      <w:r w:rsidRPr="006D075E">
        <w:rPr>
          <w:szCs w:val="18"/>
        </w:rPr>
        <w:t>Source: Table 3-33, p145 of the submission; ‘3.1 ACAL_Section3model_March2025’ model spreadsheet provided with the submission.</w:t>
      </w:r>
    </w:p>
    <w:p w14:paraId="28005C39" w14:textId="6AC8E14C" w:rsidR="0008166B" w:rsidRPr="006D075E" w:rsidRDefault="0008166B" w:rsidP="0008166B">
      <w:pPr>
        <w:pStyle w:val="COMTablefooter"/>
      </w:pPr>
      <w:r w:rsidRPr="006D075E">
        <w:t xml:space="preserve">Abbreviations: ABR, acalabrutinib with </w:t>
      </w:r>
      <w:proofErr w:type="spellStart"/>
      <w:r w:rsidRPr="006D075E">
        <w:t>bendamustine</w:t>
      </w:r>
      <w:proofErr w:type="spellEnd"/>
      <w:r w:rsidRPr="006D075E">
        <w:t xml:space="preserve"> and rituximab; BR, </w:t>
      </w:r>
      <w:proofErr w:type="spellStart"/>
      <w:r w:rsidRPr="006D075E">
        <w:t>bendamustine</w:t>
      </w:r>
      <w:proofErr w:type="spellEnd"/>
      <w:r w:rsidRPr="006D075E">
        <w:t xml:space="preserve"> and rituximab; BTK, Bruton tyrosine kinase; ICER, incremental cost effectiveness ratio; KM, Kaplan-Meier; </w:t>
      </w:r>
      <w:r w:rsidR="000334DE" w:rsidRPr="006D075E">
        <w:t xml:space="preserve">N/A, not applicable; </w:t>
      </w:r>
      <w:r w:rsidRPr="006D075E">
        <w:t xml:space="preserve">OS, overall survival; PBR, placebo with </w:t>
      </w:r>
      <w:proofErr w:type="spellStart"/>
      <w:r w:rsidRPr="006D075E">
        <w:t>bendamustine</w:t>
      </w:r>
      <w:proofErr w:type="spellEnd"/>
      <w:r w:rsidRPr="006D075E">
        <w:t xml:space="preserve"> and rituximab; PFS, progression free survival; QALY, quality adjusted life year; TFST, time to first subsequent therapy; TOT, time on (initial) therapy.</w:t>
      </w:r>
    </w:p>
    <w:p w14:paraId="30DEC36F" w14:textId="408E45E2" w:rsidR="0008166B" w:rsidRDefault="0008166B" w:rsidP="0084339C">
      <w:pPr>
        <w:pStyle w:val="COMTablefooter"/>
        <w:spacing w:after="0"/>
      </w:pPr>
      <w:proofErr w:type="gramStart"/>
      <w:r w:rsidRPr="006D075E">
        <w:rPr>
          <w:vertAlign w:val="superscript"/>
        </w:rPr>
        <w:t xml:space="preserve">a </w:t>
      </w:r>
      <w:r w:rsidRPr="006D075E">
        <w:t>10 patients</w:t>
      </w:r>
      <w:proofErr w:type="gramEnd"/>
      <w:r w:rsidRPr="006D075E">
        <w:t xml:space="preserve"> in the acalabrutinib arm received a BTK inhibitor as initial subsequent therapy out of 23 patients who received a BTK inhibitor or chemotherapy (excluding therapies considered not relevant or available in Australia).</w:t>
      </w:r>
    </w:p>
    <w:p w14:paraId="2072BC5A" w14:textId="77777777" w:rsidR="00505CA7" w:rsidRPr="00505CA7" w:rsidRDefault="00505CA7" w:rsidP="00505CA7">
      <w:pPr>
        <w:jc w:val="left"/>
        <w:rPr>
          <w:rFonts w:ascii="Arial Narrow" w:hAnsi="Arial Narrow"/>
          <w:i/>
          <w:sz w:val="18"/>
          <w:szCs w:val="18"/>
        </w:rPr>
      </w:pPr>
      <w:r w:rsidRPr="00505CA7">
        <w:rPr>
          <w:rFonts w:ascii="Arial Narrow" w:hAnsi="Arial Narrow"/>
          <w:i/>
          <w:sz w:val="18"/>
          <w:szCs w:val="18"/>
        </w:rPr>
        <w:t xml:space="preserve">The redacted values correspond to the following ranges: </w:t>
      </w:r>
    </w:p>
    <w:p w14:paraId="6CB07EF1" w14:textId="477164AD" w:rsidR="00505CA7" w:rsidRPr="00505CA7" w:rsidRDefault="00505CA7" w:rsidP="00505CA7">
      <w:pPr>
        <w:jc w:val="left"/>
        <w:rPr>
          <w:rFonts w:ascii="Arial Narrow" w:hAnsi="Arial Narrow"/>
          <w:i/>
          <w:sz w:val="18"/>
          <w:szCs w:val="18"/>
        </w:rPr>
      </w:pPr>
      <w:r w:rsidRPr="00505CA7">
        <w:rPr>
          <w:rFonts w:ascii="Arial Narrow" w:hAnsi="Arial Narrow"/>
          <w:i/>
          <w:sz w:val="18"/>
          <w:szCs w:val="18"/>
          <w:vertAlign w:val="superscript"/>
        </w:rPr>
        <w:t>1</w:t>
      </w:r>
      <w:r w:rsidRPr="00505CA7">
        <w:rPr>
          <w:rFonts w:ascii="Arial Narrow" w:hAnsi="Arial Narrow"/>
          <w:i/>
          <w:sz w:val="18"/>
          <w:szCs w:val="18"/>
        </w:rPr>
        <w:t xml:space="preserve"> </w:t>
      </w:r>
      <w:r w:rsidR="000E307A" w:rsidRPr="000E307A">
        <w:rPr>
          <w:rFonts w:ascii="Arial Narrow" w:hAnsi="Arial Narrow"/>
          <w:i/>
          <w:sz w:val="18"/>
          <w:szCs w:val="18"/>
        </w:rPr>
        <w:t>$55,000 to &lt; $75,000</w:t>
      </w:r>
    </w:p>
    <w:p w14:paraId="4A02D0DF" w14:textId="62E2C228" w:rsidR="00505CA7" w:rsidRPr="00505CA7" w:rsidRDefault="00505CA7" w:rsidP="00505CA7">
      <w:pPr>
        <w:jc w:val="left"/>
        <w:rPr>
          <w:rFonts w:ascii="Arial Narrow" w:hAnsi="Arial Narrow"/>
          <w:i/>
          <w:sz w:val="18"/>
          <w:szCs w:val="18"/>
        </w:rPr>
      </w:pPr>
      <w:r w:rsidRPr="00505CA7">
        <w:rPr>
          <w:rFonts w:ascii="Arial Narrow" w:hAnsi="Arial Narrow"/>
          <w:i/>
          <w:sz w:val="18"/>
          <w:szCs w:val="18"/>
          <w:vertAlign w:val="superscript"/>
        </w:rPr>
        <w:t>2</w:t>
      </w:r>
      <w:r w:rsidRPr="00505CA7">
        <w:rPr>
          <w:rFonts w:ascii="Arial Narrow" w:hAnsi="Arial Narrow"/>
          <w:i/>
          <w:sz w:val="18"/>
          <w:szCs w:val="18"/>
        </w:rPr>
        <w:t xml:space="preserve"> </w:t>
      </w:r>
      <w:r w:rsidR="005F3822" w:rsidRPr="005F3822">
        <w:rPr>
          <w:rFonts w:ascii="Arial Narrow" w:hAnsi="Arial Narrow"/>
          <w:i/>
          <w:sz w:val="18"/>
          <w:szCs w:val="18"/>
        </w:rPr>
        <w:t>$75,000 to &lt; $95,000</w:t>
      </w:r>
    </w:p>
    <w:p w14:paraId="6913D573" w14:textId="3AE42ABF" w:rsidR="00505CA7" w:rsidRPr="00505CA7" w:rsidRDefault="00505CA7" w:rsidP="00505CA7">
      <w:pPr>
        <w:jc w:val="left"/>
        <w:rPr>
          <w:rFonts w:ascii="Arial Narrow" w:hAnsi="Arial Narrow"/>
          <w:i/>
          <w:sz w:val="18"/>
          <w:szCs w:val="18"/>
        </w:rPr>
      </w:pPr>
      <w:r w:rsidRPr="00505CA7">
        <w:rPr>
          <w:rFonts w:ascii="Arial Narrow" w:hAnsi="Arial Narrow"/>
          <w:i/>
          <w:sz w:val="18"/>
          <w:szCs w:val="18"/>
          <w:vertAlign w:val="superscript"/>
        </w:rPr>
        <w:t>3</w:t>
      </w:r>
      <w:r w:rsidRPr="00505CA7">
        <w:rPr>
          <w:rFonts w:ascii="Arial Narrow" w:hAnsi="Arial Narrow"/>
          <w:i/>
          <w:sz w:val="18"/>
          <w:szCs w:val="18"/>
        </w:rPr>
        <w:t xml:space="preserve"> </w:t>
      </w:r>
      <w:r w:rsidR="00BE5470" w:rsidRPr="00BE5470">
        <w:rPr>
          <w:rFonts w:ascii="Arial Narrow" w:hAnsi="Arial Narrow"/>
          <w:i/>
          <w:sz w:val="18"/>
          <w:szCs w:val="18"/>
        </w:rPr>
        <w:t xml:space="preserve">$95,000 to &lt; $115,000 </w:t>
      </w:r>
    </w:p>
    <w:p w14:paraId="38F07FD5" w14:textId="01EAEA5D" w:rsidR="00505CA7" w:rsidRPr="00505CA7" w:rsidRDefault="00505CA7" w:rsidP="00505CA7">
      <w:pPr>
        <w:jc w:val="left"/>
        <w:rPr>
          <w:rFonts w:ascii="Arial Narrow" w:hAnsi="Arial Narrow"/>
          <w:i/>
          <w:sz w:val="18"/>
          <w:szCs w:val="18"/>
        </w:rPr>
      </w:pPr>
      <w:r w:rsidRPr="00505CA7">
        <w:rPr>
          <w:rFonts w:ascii="Arial Narrow" w:hAnsi="Arial Narrow"/>
          <w:i/>
          <w:sz w:val="18"/>
          <w:szCs w:val="18"/>
          <w:vertAlign w:val="superscript"/>
        </w:rPr>
        <w:t>4</w:t>
      </w:r>
      <w:r w:rsidRPr="00505CA7">
        <w:rPr>
          <w:rFonts w:ascii="Arial Narrow" w:hAnsi="Arial Narrow"/>
          <w:i/>
          <w:sz w:val="18"/>
          <w:szCs w:val="18"/>
        </w:rPr>
        <w:t xml:space="preserve"> </w:t>
      </w:r>
      <w:r w:rsidR="007A2F8C" w:rsidRPr="007A2F8C">
        <w:rPr>
          <w:rFonts w:ascii="Arial Narrow" w:hAnsi="Arial Narrow"/>
          <w:i/>
          <w:sz w:val="18"/>
          <w:szCs w:val="18"/>
        </w:rPr>
        <w:t>$115,000 to &lt; $135,000</w:t>
      </w:r>
    </w:p>
    <w:p w14:paraId="7D64ED29" w14:textId="3279D76E" w:rsidR="00505CA7" w:rsidRPr="00505CA7" w:rsidRDefault="00505CA7" w:rsidP="00505CA7">
      <w:pPr>
        <w:jc w:val="left"/>
        <w:rPr>
          <w:rFonts w:ascii="Arial Narrow" w:hAnsi="Arial Narrow"/>
          <w:i/>
          <w:sz w:val="18"/>
          <w:szCs w:val="18"/>
        </w:rPr>
      </w:pPr>
      <w:r w:rsidRPr="00505CA7">
        <w:rPr>
          <w:rFonts w:ascii="Arial Narrow" w:hAnsi="Arial Narrow"/>
          <w:i/>
          <w:sz w:val="18"/>
          <w:szCs w:val="18"/>
          <w:vertAlign w:val="superscript"/>
        </w:rPr>
        <w:t>5</w:t>
      </w:r>
      <w:r w:rsidRPr="00505CA7">
        <w:rPr>
          <w:rFonts w:ascii="Arial Narrow" w:hAnsi="Arial Narrow"/>
          <w:i/>
          <w:sz w:val="18"/>
          <w:szCs w:val="18"/>
        </w:rPr>
        <w:t xml:space="preserve"> </w:t>
      </w:r>
      <w:r w:rsidR="0060622F" w:rsidRPr="0060622F">
        <w:rPr>
          <w:rFonts w:ascii="Arial Narrow" w:hAnsi="Arial Narrow"/>
          <w:i/>
          <w:sz w:val="18"/>
          <w:szCs w:val="18"/>
        </w:rPr>
        <w:t>$355,000 to &lt; $455,000</w:t>
      </w:r>
    </w:p>
    <w:p w14:paraId="2F8F2A08" w14:textId="77777777" w:rsidR="00D37893" w:rsidRPr="00D37893" w:rsidRDefault="00505CA7" w:rsidP="00D37893">
      <w:pPr>
        <w:jc w:val="left"/>
        <w:rPr>
          <w:rFonts w:ascii="Arial Narrow" w:hAnsi="Arial Narrow"/>
          <w:i/>
          <w:sz w:val="18"/>
          <w:szCs w:val="18"/>
        </w:rPr>
      </w:pPr>
      <w:r w:rsidRPr="00505CA7">
        <w:rPr>
          <w:rFonts w:ascii="Arial Narrow" w:hAnsi="Arial Narrow"/>
          <w:i/>
          <w:sz w:val="18"/>
          <w:szCs w:val="18"/>
          <w:vertAlign w:val="superscript"/>
        </w:rPr>
        <w:t>6</w:t>
      </w:r>
      <w:r w:rsidRPr="00505CA7">
        <w:rPr>
          <w:rFonts w:ascii="Arial Narrow" w:hAnsi="Arial Narrow"/>
          <w:i/>
          <w:sz w:val="18"/>
          <w:szCs w:val="18"/>
        </w:rPr>
        <w:t xml:space="preserve"> </w:t>
      </w:r>
      <w:r w:rsidR="00D37893" w:rsidRPr="00D37893">
        <w:rPr>
          <w:rFonts w:ascii="Arial Narrow" w:hAnsi="Arial Narrow"/>
          <w:i/>
          <w:sz w:val="18"/>
          <w:szCs w:val="18"/>
        </w:rPr>
        <w:t>$25,000 to &lt; $35,000</w:t>
      </w:r>
    </w:p>
    <w:p w14:paraId="23EB357B" w14:textId="6B1A76D3" w:rsidR="00505CA7" w:rsidRDefault="00D37893" w:rsidP="00505CA7">
      <w:pPr>
        <w:jc w:val="left"/>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802621" w:rsidRPr="00802621">
        <w:rPr>
          <w:rFonts w:ascii="Arial Narrow" w:hAnsi="Arial Narrow"/>
          <w:i/>
          <w:sz w:val="18"/>
          <w:szCs w:val="18"/>
        </w:rPr>
        <w:t>$45,000 to &lt; $55,000</w:t>
      </w:r>
    </w:p>
    <w:p w14:paraId="664C82D1" w14:textId="77777777" w:rsidR="00CA5E84" w:rsidRPr="00CA5E84" w:rsidRDefault="00C97DD1" w:rsidP="00CA5E84">
      <w:pPr>
        <w:jc w:val="left"/>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CA5E84" w:rsidRPr="00CA5E84">
        <w:rPr>
          <w:rFonts w:ascii="Arial Narrow" w:hAnsi="Arial Narrow"/>
          <w:i/>
          <w:sz w:val="18"/>
          <w:szCs w:val="18"/>
        </w:rPr>
        <w:t>$35,000 to &lt; $45,000</w:t>
      </w:r>
    </w:p>
    <w:p w14:paraId="24E7DC43" w14:textId="0EA57F8F" w:rsidR="00505CA7" w:rsidRPr="00505CA7" w:rsidRDefault="00CA5E84" w:rsidP="00212852">
      <w:pPr>
        <w:jc w:val="left"/>
      </w:pPr>
      <w:r>
        <w:rPr>
          <w:rFonts w:ascii="Arial Narrow" w:hAnsi="Arial Narrow"/>
          <w:i/>
          <w:sz w:val="18"/>
          <w:szCs w:val="18"/>
          <w:vertAlign w:val="superscript"/>
        </w:rPr>
        <w:lastRenderedPageBreak/>
        <w:t>9</w:t>
      </w:r>
      <w:r>
        <w:rPr>
          <w:rFonts w:ascii="Arial Narrow" w:hAnsi="Arial Narrow"/>
          <w:i/>
          <w:sz w:val="18"/>
          <w:szCs w:val="18"/>
        </w:rPr>
        <w:t xml:space="preserve"> </w:t>
      </w:r>
      <w:r w:rsidR="00D71AA6" w:rsidRPr="00D71AA6">
        <w:rPr>
          <w:rFonts w:ascii="Arial Narrow" w:hAnsi="Arial Narrow"/>
          <w:i/>
          <w:sz w:val="18"/>
          <w:szCs w:val="18"/>
        </w:rPr>
        <w:t>$135,000 to &lt; $155,000</w:t>
      </w:r>
    </w:p>
    <w:bookmarkEnd w:id="60"/>
    <w:p w14:paraId="0FAF1190" w14:textId="77777777" w:rsidR="0008166B" w:rsidRPr="006D075E" w:rsidRDefault="0008166B" w:rsidP="0008166B">
      <w:pPr>
        <w:rPr>
          <w:rFonts w:eastAsia="Calibri"/>
        </w:rPr>
      </w:pPr>
    </w:p>
    <w:p w14:paraId="51110152" w14:textId="5BDA0D23" w:rsidR="008C12CA" w:rsidRPr="006D075E" w:rsidRDefault="00710863">
      <w:pPr>
        <w:pStyle w:val="COMexecsummnumbered"/>
        <w:rPr>
          <w:color w:val="0066FF"/>
        </w:rPr>
      </w:pPr>
      <w:r w:rsidRPr="006D075E">
        <w:t>The economic model was most sensitive to the parametric functions used to extrapolate overall survival and time on initial treatment, the inclusion of the costs of BTK inhibitors as first subsequent therapy for the acalabrutinib arm (consistent with clinical outcomes from the ECHO trial), and the duration of subsequent BTK inhibitor therapy. Due to the partitioned survival design, changes to subsequent treatments only affected modelled costs without affecting the modelled survival endpoints or quality of life.</w:t>
      </w:r>
      <w:r w:rsidR="00C06CDF" w:rsidRPr="006D075E">
        <w:t xml:space="preserve"> </w:t>
      </w:r>
      <w:r w:rsidR="00662EDD" w:rsidRPr="006D075E">
        <w:t>The</w:t>
      </w:r>
      <w:r w:rsidR="00C06CDF" w:rsidRPr="006D075E">
        <w:t xml:space="preserve"> ESC </w:t>
      </w:r>
      <w:r w:rsidR="00662EDD" w:rsidRPr="006D075E">
        <w:t xml:space="preserve">noted that sensitivity analyses on the point of extrapolation </w:t>
      </w:r>
      <w:r w:rsidR="00C83194" w:rsidRPr="006D075E">
        <w:t xml:space="preserve">had </w:t>
      </w:r>
      <w:r w:rsidR="00F4368D" w:rsidRPr="006D075E">
        <w:t xml:space="preserve">only a minor </w:t>
      </w:r>
      <w:proofErr w:type="gramStart"/>
      <w:r w:rsidR="00F4368D" w:rsidRPr="006D075E">
        <w:t>impact</w:t>
      </w:r>
      <w:r w:rsidR="00662EDD" w:rsidRPr="006D075E">
        <w:t xml:space="preserve">, </w:t>
      </w:r>
      <w:r w:rsidR="00403D3C" w:rsidRPr="006D075E">
        <w:t>and</w:t>
      </w:r>
      <w:proofErr w:type="gramEnd"/>
      <w:r w:rsidR="00403D3C" w:rsidRPr="006D075E">
        <w:t xml:space="preserve"> considered that </w:t>
      </w:r>
      <w:r w:rsidR="00662EDD" w:rsidRPr="006D075E">
        <w:t xml:space="preserve">45 months </w:t>
      </w:r>
      <w:r w:rsidR="00F4368D" w:rsidRPr="006D075E">
        <w:t>wa</w:t>
      </w:r>
      <w:r w:rsidR="00662EDD" w:rsidRPr="006D075E">
        <w:t>s not unreasonable</w:t>
      </w:r>
      <w:r w:rsidR="00403D3C" w:rsidRPr="006D075E">
        <w:t>.</w:t>
      </w:r>
    </w:p>
    <w:p w14:paraId="79FDAD9D" w14:textId="1C09EA70" w:rsidR="00D37767" w:rsidRPr="009D7AF2" w:rsidRDefault="0068702D">
      <w:pPr>
        <w:pStyle w:val="COMexecsummnumbered"/>
      </w:pPr>
      <w:bookmarkStart w:id="61" w:name="_Ref201268625"/>
      <w:r w:rsidRPr="006D075E">
        <w:t xml:space="preserve">The ESC </w:t>
      </w:r>
      <w:r w:rsidR="004D320B" w:rsidRPr="006D075E">
        <w:t xml:space="preserve">considered that </w:t>
      </w:r>
      <w:r w:rsidR="008F011D" w:rsidRPr="006D075E">
        <w:t xml:space="preserve">the following </w:t>
      </w:r>
      <w:r w:rsidR="009B7CD0" w:rsidRPr="006D075E">
        <w:t xml:space="preserve">multivariate sensitivity analysis </w:t>
      </w:r>
      <w:r w:rsidR="008F011D" w:rsidRPr="006D075E">
        <w:t>was informative</w:t>
      </w:r>
      <w:r w:rsidR="004D320B" w:rsidRPr="006D075E">
        <w:t xml:space="preserve">: </w:t>
      </w:r>
      <w:r w:rsidR="008237B2" w:rsidRPr="006D075E">
        <w:t>full analysis set without censoring for COVID-19 related deaths (and corrected time to subsequent treatment curves as per PSCR)</w:t>
      </w:r>
      <w:r w:rsidR="008237B2">
        <w:t xml:space="preserve">; </w:t>
      </w:r>
      <w:r w:rsidR="004D320B" w:rsidRPr="006D075E">
        <w:t>log-logistic extrapolation of overall survival</w:t>
      </w:r>
      <w:r w:rsidR="00D9257F" w:rsidRPr="006D075E">
        <w:t xml:space="preserve">; </w:t>
      </w:r>
      <w:r w:rsidR="008237B2">
        <w:t xml:space="preserve">and </w:t>
      </w:r>
      <w:r w:rsidR="0074065D" w:rsidRPr="006D075E">
        <w:t>costs</w:t>
      </w:r>
      <w:r w:rsidR="00F21112" w:rsidRPr="006D075E">
        <w:t xml:space="preserve"> of BTK</w:t>
      </w:r>
      <w:r w:rsidR="00FC60F6" w:rsidRPr="006D075E">
        <w:t xml:space="preserve"> </w:t>
      </w:r>
      <w:r w:rsidR="0074065D" w:rsidRPr="006D075E">
        <w:t>inhibitors in the acalabrutinib arm</w:t>
      </w:r>
      <w:r w:rsidR="00F21112" w:rsidRPr="006D075E">
        <w:t xml:space="preserve"> consist</w:t>
      </w:r>
      <w:r w:rsidR="00D9257F" w:rsidRPr="006D075E">
        <w:t>ent</w:t>
      </w:r>
      <w:r w:rsidR="00F21112" w:rsidRPr="006D075E">
        <w:t xml:space="preserve"> with </w:t>
      </w:r>
      <w:r w:rsidR="00A56776" w:rsidRPr="006D075E">
        <w:t xml:space="preserve">the </w:t>
      </w:r>
      <w:r w:rsidR="00F21112" w:rsidRPr="006D075E">
        <w:t>trial</w:t>
      </w:r>
      <w:r w:rsidR="00D75B6C" w:rsidRPr="006D075E">
        <w:t xml:space="preserve">, noting this increased the ICER to </w:t>
      </w:r>
      <w:r w:rsidR="00DA644F" w:rsidRPr="00DA644F">
        <w:t>$135,000 to &lt; $155,000</w:t>
      </w:r>
      <w:r w:rsidR="003138B3" w:rsidRPr="006D075E">
        <w:t xml:space="preserve"> per QALY</w:t>
      </w:r>
      <w:r w:rsidR="001A4F48" w:rsidRPr="006D075E">
        <w:t>.</w:t>
      </w:r>
      <w:bookmarkEnd w:id="61"/>
      <w:r w:rsidR="001A4F48" w:rsidRPr="006D075E">
        <w:t xml:space="preserve"> </w:t>
      </w:r>
      <w:r w:rsidR="00B54CE0" w:rsidRPr="006D075E">
        <w:t>The ESC considered</w:t>
      </w:r>
      <w:r w:rsidR="00F4368D" w:rsidRPr="006D075E">
        <w:t xml:space="preserve"> </w:t>
      </w:r>
      <w:r w:rsidR="00F21112" w:rsidRPr="006D075E">
        <w:t xml:space="preserve">the </w:t>
      </w:r>
      <w:r w:rsidR="009B7CD0" w:rsidRPr="006D075E">
        <w:t xml:space="preserve">multivariate sensitivity analyses using the </w:t>
      </w:r>
      <w:r w:rsidR="00F21112" w:rsidRPr="006D075E">
        <w:t xml:space="preserve">van Keep utilities </w:t>
      </w:r>
      <w:r w:rsidR="00455B79" w:rsidRPr="006D075E">
        <w:t xml:space="preserve">was </w:t>
      </w:r>
      <w:r w:rsidR="009B7CD0" w:rsidRPr="006D075E">
        <w:t>also informative</w:t>
      </w:r>
      <w:r w:rsidR="00645D63" w:rsidRPr="006D075E">
        <w:t xml:space="preserve"> and could </w:t>
      </w:r>
      <w:r w:rsidR="00645D63" w:rsidRPr="009D7AF2">
        <w:t>reflect a respecified base case</w:t>
      </w:r>
      <w:r w:rsidR="00022C65" w:rsidRPr="00F36496">
        <w:rPr>
          <w:i/>
          <w:iCs/>
        </w:rPr>
        <w:t>.</w:t>
      </w:r>
      <w:r w:rsidR="00C37E99" w:rsidRPr="00F36496">
        <w:rPr>
          <w:i/>
          <w:iCs/>
        </w:rPr>
        <w:t xml:space="preserve"> </w:t>
      </w:r>
      <w:bookmarkStart w:id="62" w:name="_Ref203509595"/>
      <w:r w:rsidR="00D37767" w:rsidRPr="009D7AF2">
        <w:t xml:space="preserve">Refer to paragraphs </w:t>
      </w:r>
      <w:r w:rsidR="00D37767" w:rsidRPr="009D7AF2">
        <w:fldChar w:fldCharType="begin"/>
      </w:r>
      <w:r w:rsidR="00D37767" w:rsidRPr="009D7AF2">
        <w:instrText xml:space="preserve"> REF _Ref204594085 \r \h </w:instrText>
      </w:r>
      <w:r w:rsidR="009D7AF2">
        <w:instrText xml:space="preserve"> \* MERGEFORMAT </w:instrText>
      </w:r>
      <w:r w:rsidR="00D37767" w:rsidRPr="009D7AF2">
        <w:fldChar w:fldCharType="separate"/>
      </w:r>
      <w:r w:rsidR="00A542E9">
        <w:t>7.11</w:t>
      </w:r>
      <w:r w:rsidR="00D37767" w:rsidRPr="009D7AF2">
        <w:fldChar w:fldCharType="end"/>
      </w:r>
      <w:r w:rsidR="00D37767" w:rsidRPr="009D7AF2">
        <w:t xml:space="preserve"> to </w:t>
      </w:r>
      <w:r w:rsidR="00D37767" w:rsidRPr="009D7AF2">
        <w:fldChar w:fldCharType="begin"/>
      </w:r>
      <w:r w:rsidR="00D37767" w:rsidRPr="009D7AF2">
        <w:instrText xml:space="preserve"> REF _Ref204594087 \r \h </w:instrText>
      </w:r>
      <w:r w:rsidR="009D7AF2">
        <w:instrText xml:space="preserve"> \* MERGEFORMAT </w:instrText>
      </w:r>
      <w:r w:rsidR="00D37767" w:rsidRPr="009D7AF2">
        <w:fldChar w:fldCharType="separate"/>
      </w:r>
      <w:r w:rsidR="00A542E9">
        <w:t>7.13</w:t>
      </w:r>
      <w:r w:rsidR="00D37767" w:rsidRPr="009D7AF2">
        <w:fldChar w:fldCharType="end"/>
      </w:r>
      <w:r w:rsidR="00D37767" w:rsidRPr="009D7AF2">
        <w:t xml:space="preserve"> for the PBAC’s consideration. </w:t>
      </w:r>
    </w:p>
    <w:bookmarkEnd w:id="62"/>
    <w:p w14:paraId="407B517A" w14:textId="36E1876F" w:rsidR="00836FC8" w:rsidRPr="006D075E" w:rsidRDefault="00836FC8">
      <w:pPr>
        <w:pStyle w:val="COMexecsummnumbered"/>
      </w:pPr>
      <w:r w:rsidRPr="009D7AF2">
        <w:t xml:space="preserve">The ESC also noted that in its March 2018 recommendation of ibrutinib for relapsed/refractory </w:t>
      </w:r>
      <w:r w:rsidR="008B591E" w:rsidRPr="009D7AF2">
        <w:t>MCL</w:t>
      </w:r>
      <w:r w:rsidRPr="009D7AF2">
        <w:t>, the PBAC advised that an RSA was necessary to achieve cost-effectiveness i.</w:t>
      </w:r>
      <w:r w:rsidRPr="006D075E">
        <w:t>e. the PSD states ‘The PBAC noted that this price was lower than the requested effective DPMQ on the basis that the difference would be rebated through the RSA’ and that the ICER was reduced due to the assumption that [redacted]% of Commonwealth expenditure on ibrutinib would be rebated through the RSA’ (paragraphs 12.1 and 6.8, ibrutinib PSD, March 2018 PBAC meeting).</w:t>
      </w:r>
    </w:p>
    <w:p w14:paraId="472842D7" w14:textId="0ACA8FA4" w:rsidR="00C25D9C" w:rsidRPr="006D075E" w:rsidRDefault="00C25D9C" w:rsidP="00A46769">
      <w:pPr>
        <w:pStyle w:val="COMH2-non-numbered"/>
      </w:pPr>
      <w:bookmarkStart w:id="63" w:name="_Toc22897646"/>
      <w:bookmarkStart w:id="64" w:name="_Toc198649040"/>
      <w:r w:rsidRPr="006D075E">
        <w:lastRenderedPageBreak/>
        <w:t>Drug cost</w:t>
      </w:r>
      <w:r w:rsidR="00AA53BE" w:rsidRPr="006D075E">
        <w:t>/</w:t>
      </w:r>
      <w:r w:rsidRPr="006D075E">
        <w:t>patient</w:t>
      </w:r>
      <w:r w:rsidR="00710863" w:rsidRPr="006D075E">
        <w:t>/</w:t>
      </w:r>
      <w:r w:rsidRPr="006D075E">
        <w:t>year</w:t>
      </w:r>
      <w:bookmarkEnd w:id="63"/>
      <w:bookmarkEnd w:id="64"/>
    </w:p>
    <w:p w14:paraId="7E99ABBD" w14:textId="66246A33" w:rsidR="002B27B9" w:rsidRPr="006D075E" w:rsidRDefault="002B27B9" w:rsidP="0088700F">
      <w:pPr>
        <w:pStyle w:val="COMtablefigcaption"/>
        <w:keepLines/>
      </w:pPr>
      <w:bookmarkStart w:id="65" w:name="_Ref104805102"/>
      <w:r w:rsidRPr="006D075E">
        <w:t xml:space="preserve">Table </w:t>
      </w:r>
      <w:r w:rsidR="00370FC7" w:rsidRPr="006D075E">
        <w:fldChar w:fldCharType="begin"/>
      </w:r>
      <w:r w:rsidR="00370FC7" w:rsidRPr="006D075E">
        <w:instrText xml:space="preserve"> SEQ Table \* ARABIC </w:instrText>
      </w:r>
      <w:r w:rsidR="00370FC7" w:rsidRPr="006D075E">
        <w:fldChar w:fldCharType="separate"/>
      </w:r>
      <w:r w:rsidR="00A542E9">
        <w:rPr>
          <w:noProof/>
        </w:rPr>
        <w:t>12</w:t>
      </w:r>
      <w:r w:rsidR="00370FC7" w:rsidRPr="006D075E">
        <w:fldChar w:fldCharType="end"/>
      </w:r>
      <w:bookmarkEnd w:id="65"/>
      <w:r w:rsidRPr="006D075E">
        <w:t>: Drug cost per patient per year for acalabrutinib</w:t>
      </w:r>
      <w:r w:rsidR="00C87D00">
        <w:t xml:space="preserve"> based on the submission’s base case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Drug cost per patient per year for acalabrutinib based on the submission’s base case"/>
      </w:tblPr>
      <w:tblGrid>
        <w:gridCol w:w="2637"/>
        <w:gridCol w:w="2126"/>
        <w:gridCol w:w="2126"/>
        <w:gridCol w:w="2128"/>
      </w:tblGrid>
      <w:tr w:rsidR="00835417" w:rsidRPr="006D075E" w14:paraId="5D6A3096" w14:textId="77777777" w:rsidTr="00AF4FD7">
        <w:trPr>
          <w:cantSplit/>
          <w:tblHeader/>
          <w:jc w:val="center"/>
        </w:trPr>
        <w:tc>
          <w:tcPr>
            <w:tcW w:w="1462" w:type="pct"/>
            <w:vAlign w:val="center"/>
          </w:tcPr>
          <w:p w14:paraId="3BF1183E" w14:textId="77777777" w:rsidR="00835417" w:rsidRPr="006D075E" w:rsidRDefault="00835417" w:rsidP="0088700F">
            <w:pPr>
              <w:pStyle w:val="COMTabletext"/>
              <w:keepLines/>
            </w:pPr>
            <w:bookmarkStart w:id="66" w:name="_Hlk195889563"/>
          </w:p>
        </w:tc>
        <w:tc>
          <w:tcPr>
            <w:tcW w:w="1179" w:type="pct"/>
            <w:vAlign w:val="center"/>
          </w:tcPr>
          <w:p w14:paraId="2B3BD625" w14:textId="77777777" w:rsidR="00835417" w:rsidRPr="006D075E" w:rsidRDefault="00835417" w:rsidP="0088700F">
            <w:pPr>
              <w:pStyle w:val="COMTableheadingrow"/>
              <w:keepLines/>
              <w:jc w:val="center"/>
              <w:rPr>
                <w:lang w:val="en-AU"/>
              </w:rPr>
            </w:pPr>
            <w:r w:rsidRPr="006D075E">
              <w:rPr>
                <w:lang w:val="en-AU"/>
              </w:rPr>
              <w:t>ECHO trial</w:t>
            </w:r>
          </w:p>
        </w:tc>
        <w:tc>
          <w:tcPr>
            <w:tcW w:w="1179" w:type="pct"/>
            <w:vAlign w:val="center"/>
          </w:tcPr>
          <w:p w14:paraId="31931831" w14:textId="77777777" w:rsidR="00835417" w:rsidRPr="006D075E" w:rsidRDefault="00835417" w:rsidP="0088700F">
            <w:pPr>
              <w:pStyle w:val="COMTableheadingrow"/>
              <w:keepLines/>
              <w:jc w:val="center"/>
              <w:rPr>
                <w:lang w:val="en-AU"/>
              </w:rPr>
            </w:pPr>
            <w:r w:rsidRPr="006D075E">
              <w:rPr>
                <w:lang w:val="en-AU"/>
              </w:rPr>
              <w:t>Economic model</w:t>
            </w:r>
          </w:p>
        </w:tc>
        <w:tc>
          <w:tcPr>
            <w:tcW w:w="1180" w:type="pct"/>
            <w:vAlign w:val="center"/>
          </w:tcPr>
          <w:p w14:paraId="7313E5F7" w14:textId="77777777" w:rsidR="00835417" w:rsidRPr="006D075E" w:rsidRDefault="00835417" w:rsidP="0088700F">
            <w:pPr>
              <w:pStyle w:val="COMTableheadingrow"/>
              <w:keepLines/>
              <w:jc w:val="center"/>
              <w:rPr>
                <w:lang w:val="en-AU"/>
              </w:rPr>
            </w:pPr>
            <w:r w:rsidRPr="006D075E">
              <w:rPr>
                <w:lang w:val="en-AU"/>
              </w:rPr>
              <w:t>Financial estimates</w:t>
            </w:r>
          </w:p>
        </w:tc>
      </w:tr>
      <w:tr w:rsidR="00835417" w:rsidRPr="006D075E" w14:paraId="20762910" w14:textId="77777777" w:rsidTr="00AF4FD7">
        <w:trPr>
          <w:cantSplit/>
          <w:jc w:val="center"/>
        </w:trPr>
        <w:tc>
          <w:tcPr>
            <w:tcW w:w="1462" w:type="pct"/>
            <w:vAlign w:val="center"/>
          </w:tcPr>
          <w:p w14:paraId="4DD6CE12" w14:textId="77777777" w:rsidR="00835417" w:rsidRPr="006D075E" w:rsidRDefault="00835417" w:rsidP="0088700F">
            <w:pPr>
              <w:pStyle w:val="COMTabletext"/>
              <w:keepLines/>
            </w:pPr>
            <w:r w:rsidRPr="006D075E">
              <w:t>Daily dose</w:t>
            </w:r>
          </w:p>
        </w:tc>
        <w:tc>
          <w:tcPr>
            <w:tcW w:w="1179" w:type="pct"/>
            <w:vAlign w:val="center"/>
          </w:tcPr>
          <w:p w14:paraId="44AC71BD" w14:textId="77777777" w:rsidR="00835417" w:rsidRPr="006D075E" w:rsidRDefault="00835417" w:rsidP="0088700F">
            <w:pPr>
              <w:pStyle w:val="COMTabletext"/>
              <w:keepLines/>
              <w:jc w:val="center"/>
            </w:pPr>
            <w:r w:rsidRPr="006D075E">
              <w:t>100 mg twice daily</w:t>
            </w:r>
          </w:p>
        </w:tc>
        <w:tc>
          <w:tcPr>
            <w:tcW w:w="1179" w:type="pct"/>
            <w:vAlign w:val="center"/>
          </w:tcPr>
          <w:p w14:paraId="26943A66" w14:textId="77777777" w:rsidR="00835417" w:rsidRPr="006D075E" w:rsidRDefault="00835417" w:rsidP="0088700F">
            <w:pPr>
              <w:pStyle w:val="COMTabletext"/>
              <w:keepLines/>
              <w:jc w:val="center"/>
            </w:pPr>
            <w:r w:rsidRPr="006D075E">
              <w:t>100 mg twice daily</w:t>
            </w:r>
          </w:p>
        </w:tc>
        <w:tc>
          <w:tcPr>
            <w:tcW w:w="1180" w:type="pct"/>
            <w:vAlign w:val="center"/>
          </w:tcPr>
          <w:p w14:paraId="1F91339F" w14:textId="77777777" w:rsidR="00835417" w:rsidRPr="006D075E" w:rsidRDefault="00835417" w:rsidP="0088700F">
            <w:pPr>
              <w:pStyle w:val="COMTabletext"/>
              <w:keepLines/>
              <w:jc w:val="center"/>
            </w:pPr>
            <w:r w:rsidRPr="006D075E">
              <w:t>100 mg twice daily</w:t>
            </w:r>
          </w:p>
        </w:tc>
      </w:tr>
      <w:tr w:rsidR="00835417" w:rsidRPr="006D075E" w14:paraId="74DA00E0" w14:textId="77777777" w:rsidTr="00AF4FD7">
        <w:trPr>
          <w:cantSplit/>
          <w:jc w:val="center"/>
        </w:trPr>
        <w:tc>
          <w:tcPr>
            <w:tcW w:w="1462" w:type="pct"/>
            <w:vAlign w:val="center"/>
          </w:tcPr>
          <w:p w14:paraId="70121D88" w14:textId="77777777" w:rsidR="00835417" w:rsidRPr="006D075E" w:rsidRDefault="00835417" w:rsidP="0088700F">
            <w:pPr>
              <w:pStyle w:val="COMTabletext"/>
              <w:keepLines/>
            </w:pPr>
            <w:r w:rsidRPr="006D075E">
              <w:t>Mean duration of treatment</w:t>
            </w:r>
          </w:p>
        </w:tc>
        <w:tc>
          <w:tcPr>
            <w:tcW w:w="1179" w:type="pct"/>
            <w:vAlign w:val="center"/>
          </w:tcPr>
          <w:p w14:paraId="0203D8A1" w14:textId="77777777" w:rsidR="00835417" w:rsidRPr="006D075E" w:rsidRDefault="00835417" w:rsidP="0088700F">
            <w:pPr>
              <w:pStyle w:val="COMTabletext"/>
              <w:keepLines/>
              <w:jc w:val="center"/>
            </w:pPr>
            <w:r w:rsidRPr="006D075E">
              <w:t>32.461 months</w:t>
            </w:r>
          </w:p>
        </w:tc>
        <w:tc>
          <w:tcPr>
            <w:tcW w:w="1179" w:type="pct"/>
            <w:vAlign w:val="center"/>
          </w:tcPr>
          <w:p w14:paraId="689A5374" w14:textId="77777777" w:rsidR="00835417" w:rsidRPr="006D075E" w:rsidRDefault="00835417" w:rsidP="0088700F">
            <w:pPr>
              <w:pStyle w:val="COMTabletext"/>
              <w:keepLines/>
              <w:jc w:val="center"/>
            </w:pPr>
            <w:r w:rsidRPr="006D075E">
              <w:t>73.94 months</w:t>
            </w:r>
          </w:p>
        </w:tc>
        <w:tc>
          <w:tcPr>
            <w:tcW w:w="1180" w:type="pct"/>
            <w:vAlign w:val="center"/>
          </w:tcPr>
          <w:p w14:paraId="0380877A" w14:textId="77777777" w:rsidR="00835417" w:rsidRPr="006D075E" w:rsidRDefault="00835417" w:rsidP="0088700F">
            <w:pPr>
              <w:pStyle w:val="COMTabletext"/>
              <w:keepLines/>
              <w:jc w:val="center"/>
            </w:pPr>
            <w:r w:rsidRPr="006D075E">
              <w:t>73.73 months</w:t>
            </w:r>
          </w:p>
        </w:tc>
      </w:tr>
      <w:tr w:rsidR="00835417" w:rsidRPr="006D075E" w14:paraId="3E97BA75" w14:textId="77777777" w:rsidTr="00AF4FD7">
        <w:trPr>
          <w:cantSplit/>
          <w:jc w:val="center"/>
        </w:trPr>
        <w:tc>
          <w:tcPr>
            <w:tcW w:w="1462" w:type="pct"/>
            <w:vAlign w:val="center"/>
          </w:tcPr>
          <w:p w14:paraId="6A607BFF" w14:textId="77777777" w:rsidR="00835417" w:rsidRPr="006D075E" w:rsidRDefault="00835417" w:rsidP="0088700F">
            <w:pPr>
              <w:pStyle w:val="COMTabletext"/>
              <w:keepLines/>
            </w:pPr>
            <w:proofErr w:type="spellStart"/>
            <w:r w:rsidRPr="006D075E">
              <w:t>Adherence</w:t>
            </w:r>
            <w:r w:rsidRPr="006D075E">
              <w:rPr>
                <w:vertAlign w:val="superscript"/>
              </w:rPr>
              <w:t>a</w:t>
            </w:r>
            <w:proofErr w:type="spellEnd"/>
          </w:p>
        </w:tc>
        <w:tc>
          <w:tcPr>
            <w:tcW w:w="1179" w:type="pct"/>
            <w:vAlign w:val="center"/>
          </w:tcPr>
          <w:p w14:paraId="1281D1C3" w14:textId="77777777" w:rsidR="00835417" w:rsidRPr="006D075E" w:rsidRDefault="00835417" w:rsidP="0088700F">
            <w:pPr>
              <w:pStyle w:val="COMTabletext"/>
              <w:keepLines/>
              <w:jc w:val="center"/>
            </w:pPr>
            <w:r w:rsidRPr="006D075E">
              <w:t>89.08%</w:t>
            </w:r>
          </w:p>
        </w:tc>
        <w:tc>
          <w:tcPr>
            <w:tcW w:w="1179" w:type="pct"/>
            <w:vAlign w:val="center"/>
          </w:tcPr>
          <w:p w14:paraId="1958DD70" w14:textId="77777777" w:rsidR="00835417" w:rsidRPr="006D075E" w:rsidRDefault="00835417" w:rsidP="0088700F">
            <w:pPr>
              <w:pStyle w:val="COMTabletext"/>
              <w:keepLines/>
              <w:jc w:val="center"/>
            </w:pPr>
            <w:r w:rsidRPr="006D075E">
              <w:t>89.08%</w:t>
            </w:r>
          </w:p>
        </w:tc>
        <w:tc>
          <w:tcPr>
            <w:tcW w:w="1180" w:type="pct"/>
            <w:vAlign w:val="center"/>
          </w:tcPr>
          <w:p w14:paraId="0133E2FD" w14:textId="77777777" w:rsidR="00835417" w:rsidRPr="006D075E" w:rsidRDefault="00835417" w:rsidP="0088700F">
            <w:pPr>
              <w:pStyle w:val="COMTabletext"/>
              <w:keepLines/>
              <w:jc w:val="center"/>
            </w:pPr>
            <w:r w:rsidRPr="006D075E">
              <w:t>89.02%</w:t>
            </w:r>
          </w:p>
        </w:tc>
      </w:tr>
      <w:tr w:rsidR="00835417" w:rsidRPr="006D075E" w14:paraId="13C415D9" w14:textId="77777777" w:rsidTr="00AF4FD7">
        <w:trPr>
          <w:cantSplit/>
          <w:jc w:val="center"/>
        </w:trPr>
        <w:tc>
          <w:tcPr>
            <w:tcW w:w="1462" w:type="pct"/>
            <w:vAlign w:val="center"/>
          </w:tcPr>
          <w:p w14:paraId="5DD8FD56" w14:textId="77777777" w:rsidR="00835417" w:rsidRPr="006D075E" w:rsidRDefault="00835417" w:rsidP="0088700F">
            <w:pPr>
              <w:pStyle w:val="COMTabletext"/>
              <w:keepLines/>
            </w:pPr>
            <w:r w:rsidRPr="006D075E">
              <w:t xml:space="preserve">Number of scripts per </w:t>
            </w:r>
            <w:proofErr w:type="spellStart"/>
            <w:r w:rsidRPr="006D075E">
              <w:t>year</w:t>
            </w:r>
            <w:r w:rsidRPr="006D075E">
              <w:rPr>
                <w:vertAlign w:val="superscript"/>
              </w:rPr>
              <w:t>b</w:t>
            </w:r>
            <w:proofErr w:type="spellEnd"/>
          </w:p>
        </w:tc>
        <w:tc>
          <w:tcPr>
            <w:tcW w:w="1179" w:type="pct"/>
            <w:vAlign w:val="center"/>
          </w:tcPr>
          <w:p w14:paraId="687BA195" w14:textId="77777777" w:rsidR="00835417" w:rsidRPr="006D075E" w:rsidRDefault="00835417" w:rsidP="0088700F">
            <w:pPr>
              <w:pStyle w:val="COMTabletext"/>
              <w:keepLines/>
              <w:jc w:val="center"/>
            </w:pPr>
            <w:r w:rsidRPr="006D075E">
              <w:t>-</w:t>
            </w:r>
          </w:p>
        </w:tc>
        <w:tc>
          <w:tcPr>
            <w:tcW w:w="1179" w:type="pct"/>
            <w:vAlign w:val="center"/>
          </w:tcPr>
          <w:p w14:paraId="69F2CD0F" w14:textId="77777777" w:rsidR="00835417" w:rsidRPr="006D075E" w:rsidRDefault="00835417" w:rsidP="0088700F">
            <w:pPr>
              <w:pStyle w:val="COMTabletext"/>
              <w:keepLines/>
              <w:jc w:val="center"/>
            </w:pPr>
            <w:r w:rsidRPr="006D075E">
              <w:t>11.62</w:t>
            </w:r>
          </w:p>
        </w:tc>
        <w:tc>
          <w:tcPr>
            <w:tcW w:w="1180" w:type="pct"/>
            <w:vAlign w:val="center"/>
          </w:tcPr>
          <w:p w14:paraId="22B1A2ED" w14:textId="77777777" w:rsidR="00835417" w:rsidRPr="006D075E" w:rsidRDefault="00835417" w:rsidP="0088700F">
            <w:pPr>
              <w:pStyle w:val="COMTabletext"/>
              <w:keepLines/>
              <w:jc w:val="center"/>
            </w:pPr>
            <w:r w:rsidRPr="006D075E">
              <w:t>11.61</w:t>
            </w:r>
          </w:p>
        </w:tc>
      </w:tr>
      <w:tr w:rsidR="00835417" w:rsidRPr="006D075E" w14:paraId="0A7713C4" w14:textId="77777777" w:rsidTr="00AF4FD7">
        <w:trPr>
          <w:cantSplit/>
          <w:jc w:val="center"/>
        </w:trPr>
        <w:tc>
          <w:tcPr>
            <w:tcW w:w="1462" w:type="pct"/>
            <w:vAlign w:val="center"/>
          </w:tcPr>
          <w:p w14:paraId="6486DEB3" w14:textId="77777777" w:rsidR="00835417" w:rsidRPr="006D075E" w:rsidRDefault="00835417" w:rsidP="0088700F">
            <w:pPr>
              <w:pStyle w:val="COMTabletext"/>
              <w:keepLines/>
            </w:pPr>
            <w:r w:rsidRPr="006D075E">
              <w:t>Cost per pack of 56 100 mg tablets (proposed effective DPMQ)</w:t>
            </w:r>
          </w:p>
        </w:tc>
        <w:tc>
          <w:tcPr>
            <w:tcW w:w="1179" w:type="pct"/>
            <w:vAlign w:val="center"/>
          </w:tcPr>
          <w:p w14:paraId="251A7410" w14:textId="77777777" w:rsidR="00835417" w:rsidRPr="006D075E" w:rsidRDefault="00835417" w:rsidP="0088700F">
            <w:pPr>
              <w:pStyle w:val="COMTabletext"/>
              <w:keepLines/>
              <w:jc w:val="center"/>
            </w:pPr>
            <w:r w:rsidRPr="006D075E">
              <w:t>-</w:t>
            </w:r>
          </w:p>
        </w:tc>
        <w:tc>
          <w:tcPr>
            <w:tcW w:w="1179" w:type="pct"/>
            <w:vAlign w:val="center"/>
          </w:tcPr>
          <w:p w14:paraId="02E34708" w14:textId="2E8B389C" w:rsidR="00835417" w:rsidRPr="006D075E" w:rsidRDefault="00835417" w:rsidP="0088700F">
            <w:pPr>
              <w:pStyle w:val="COMTabletext"/>
              <w:keepLines/>
              <w:jc w:val="center"/>
            </w:pPr>
            <w:r w:rsidRPr="006D075E">
              <w:t>$</w:t>
            </w:r>
            <w:r w:rsidR="00800963" w:rsidRPr="00800963">
              <w:rPr>
                <w:color w:val="000000"/>
                <w:spacing w:val="51"/>
                <w:shd w:val="solid" w:color="000000" w:fill="000000"/>
                <w:fitText w:val="324" w:id="-629433072"/>
                <w14:textFill>
                  <w14:solidFill>
                    <w14:srgbClr w14:val="000000">
                      <w14:alpha w14:val="100000"/>
                    </w14:srgbClr>
                  </w14:solidFill>
                </w14:textFill>
              </w:rPr>
              <w:t>|||</w:t>
            </w:r>
            <w:r w:rsidR="00800963" w:rsidRPr="00800963">
              <w:rPr>
                <w:color w:val="000000"/>
                <w:spacing w:val="1"/>
                <w:shd w:val="solid" w:color="000000" w:fill="000000"/>
                <w:fitText w:val="324" w:id="-629433072"/>
                <w14:textFill>
                  <w14:solidFill>
                    <w14:srgbClr w14:val="000000">
                      <w14:alpha w14:val="100000"/>
                    </w14:srgbClr>
                  </w14:solidFill>
                </w14:textFill>
              </w:rPr>
              <w:t>|</w:t>
            </w:r>
          </w:p>
        </w:tc>
        <w:tc>
          <w:tcPr>
            <w:tcW w:w="1180" w:type="pct"/>
            <w:vAlign w:val="center"/>
          </w:tcPr>
          <w:p w14:paraId="6428C0BE" w14:textId="5EF6A8D7" w:rsidR="00835417" w:rsidRPr="006D075E" w:rsidRDefault="00835417" w:rsidP="0088700F">
            <w:pPr>
              <w:pStyle w:val="COMTabletext"/>
              <w:keepLines/>
              <w:jc w:val="center"/>
            </w:pPr>
            <w:r w:rsidRPr="006D075E">
              <w:t>$</w:t>
            </w:r>
            <w:r w:rsidR="00800963" w:rsidRPr="00800963">
              <w:rPr>
                <w:color w:val="000000"/>
                <w:spacing w:val="51"/>
                <w:shd w:val="solid" w:color="000000" w:fill="000000"/>
                <w:fitText w:val="324" w:id="-629433088"/>
                <w14:textFill>
                  <w14:solidFill>
                    <w14:srgbClr w14:val="000000">
                      <w14:alpha w14:val="100000"/>
                    </w14:srgbClr>
                  </w14:solidFill>
                </w14:textFill>
              </w:rPr>
              <w:t>|||</w:t>
            </w:r>
            <w:r w:rsidR="00800963" w:rsidRPr="00800963">
              <w:rPr>
                <w:color w:val="000000"/>
                <w:spacing w:val="1"/>
                <w:shd w:val="solid" w:color="000000" w:fill="000000"/>
                <w:fitText w:val="324" w:id="-629433088"/>
                <w14:textFill>
                  <w14:solidFill>
                    <w14:srgbClr w14:val="000000">
                      <w14:alpha w14:val="100000"/>
                    </w14:srgbClr>
                  </w14:solidFill>
                </w14:textFill>
              </w:rPr>
              <w:t>|</w:t>
            </w:r>
          </w:p>
        </w:tc>
      </w:tr>
      <w:tr w:rsidR="00835417" w:rsidRPr="006D075E" w14:paraId="465620C3" w14:textId="77777777" w:rsidTr="00AF4FD7">
        <w:trPr>
          <w:cantSplit/>
          <w:jc w:val="center"/>
        </w:trPr>
        <w:tc>
          <w:tcPr>
            <w:tcW w:w="1462" w:type="pct"/>
            <w:vAlign w:val="center"/>
          </w:tcPr>
          <w:p w14:paraId="153E0F69" w14:textId="77777777" w:rsidR="00835417" w:rsidRPr="006D075E" w:rsidRDefault="00835417" w:rsidP="0088700F">
            <w:pPr>
              <w:pStyle w:val="COMTabletext"/>
              <w:keepLines/>
            </w:pPr>
            <w:r w:rsidRPr="006D075E">
              <w:t>Cost per year</w:t>
            </w:r>
          </w:p>
        </w:tc>
        <w:tc>
          <w:tcPr>
            <w:tcW w:w="1179" w:type="pct"/>
            <w:vAlign w:val="center"/>
          </w:tcPr>
          <w:p w14:paraId="08E1F462" w14:textId="77777777" w:rsidR="00835417" w:rsidRPr="006D075E" w:rsidRDefault="00835417" w:rsidP="0088700F">
            <w:pPr>
              <w:pStyle w:val="COMTabletext"/>
              <w:keepLines/>
              <w:jc w:val="center"/>
            </w:pPr>
            <w:r w:rsidRPr="006D075E">
              <w:t>-</w:t>
            </w:r>
          </w:p>
        </w:tc>
        <w:tc>
          <w:tcPr>
            <w:tcW w:w="1179" w:type="pct"/>
            <w:vAlign w:val="center"/>
          </w:tcPr>
          <w:p w14:paraId="5F6900C8" w14:textId="1AA88BDB" w:rsidR="00835417" w:rsidRPr="006D075E" w:rsidRDefault="00835417" w:rsidP="0088700F">
            <w:pPr>
              <w:pStyle w:val="COMTabletext"/>
              <w:keepLines/>
              <w:jc w:val="center"/>
            </w:pPr>
            <w:r w:rsidRPr="006D075E">
              <w:t>$</w:t>
            </w:r>
            <w:r w:rsidR="00800963" w:rsidRPr="00800963">
              <w:rPr>
                <w:color w:val="000000"/>
                <w:spacing w:val="51"/>
                <w:shd w:val="solid" w:color="000000" w:fill="000000"/>
                <w:fitText w:val="324" w:id="-629433087"/>
                <w14:textFill>
                  <w14:solidFill>
                    <w14:srgbClr w14:val="000000">
                      <w14:alpha w14:val="100000"/>
                    </w14:srgbClr>
                  </w14:solidFill>
                </w14:textFill>
              </w:rPr>
              <w:t>|||</w:t>
            </w:r>
            <w:r w:rsidR="00800963" w:rsidRPr="00800963">
              <w:rPr>
                <w:color w:val="000000"/>
                <w:spacing w:val="1"/>
                <w:shd w:val="solid" w:color="000000" w:fill="000000"/>
                <w:fitText w:val="324" w:id="-629433087"/>
                <w14:textFill>
                  <w14:solidFill>
                    <w14:srgbClr w14:val="000000">
                      <w14:alpha w14:val="100000"/>
                    </w14:srgbClr>
                  </w14:solidFill>
                </w14:textFill>
              </w:rPr>
              <w:t>|</w:t>
            </w:r>
          </w:p>
        </w:tc>
        <w:tc>
          <w:tcPr>
            <w:tcW w:w="1180" w:type="pct"/>
            <w:vAlign w:val="center"/>
          </w:tcPr>
          <w:p w14:paraId="5A4FE6CD" w14:textId="51B17310" w:rsidR="00835417" w:rsidRPr="006D075E" w:rsidRDefault="00835417" w:rsidP="0088700F">
            <w:pPr>
              <w:pStyle w:val="COMTabletext"/>
              <w:keepLines/>
              <w:jc w:val="center"/>
            </w:pPr>
            <w:r w:rsidRPr="006D075E">
              <w:t>$</w:t>
            </w:r>
            <w:r w:rsidR="00800963" w:rsidRPr="00800963">
              <w:rPr>
                <w:color w:val="000000"/>
                <w:spacing w:val="51"/>
                <w:shd w:val="solid" w:color="000000" w:fill="000000"/>
                <w:fitText w:val="324" w:id="-629433086"/>
                <w14:textFill>
                  <w14:solidFill>
                    <w14:srgbClr w14:val="000000">
                      <w14:alpha w14:val="100000"/>
                    </w14:srgbClr>
                  </w14:solidFill>
                </w14:textFill>
              </w:rPr>
              <w:t>|||</w:t>
            </w:r>
            <w:r w:rsidR="00800963" w:rsidRPr="00800963">
              <w:rPr>
                <w:color w:val="000000"/>
                <w:spacing w:val="1"/>
                <w:shd w:val="solid" w:color="000000" w:fill="000000"/>
                <w:fitText w:val="324" w:id="-629433086"/>
                <w14:textFill>
                  <w14:solidFill>
                    <w14:srgbClr w14:val="000000">
                      <w14:alpha w14:val="100000"/>
                    </w14:srgbClr>
                  </w14:solidFill>
                </w14:textFill>
              </w:rPr>
              <w:t>|</w:t>
            </w:r>
          </w:p>
        </w:tc>
      </w:tr>
      <w:tr w:rsidR="00835417" w:rsidRPr="006D075E" w14:paraId="7376EF2D" w14:textId="77777777" w:rsidTr="00AF4FD7">
        <w:trPr>
          <w:cantSplit/>
          <w:jc w:val="center"/>
        </w:trPr>
        <w:tc>
          <w:tcPr>
            <w:tcW w:w="1462" w:type="pct"/>
            <w:vAlign w:val="center"/>
          </w:tcPr>
          <w:p w14:paraId="7133ADF5" w14:textId="77777777" w:rsidR="00835417" w:rsidRPr="006D075E" w:rsidRDefault="00835417" w:rsidP="0088700F">
            <w:pPr>
              <w:pStyle w:val="COMTabletext"/>
              <w:keepLines/>
            </w:pPr>
            <w:r w:rsidRPr="006D075E">
              <w:t>Proportion of patients on treatment (persistence)</w:t>
            </w:r>
            <w:r w:rsidRPr="006D075E">
              <w:rPr>
                <w:vertAlign w:val="superscript"/>
              </w:rPr>
              <w:t>c</w:t>
            </w:r>
          </w:p>
        </w:tc>
        <w:tc>
          <w:tcPr>
            <w:tcW w:w="1179" w:type="pct"/>
            <w:vAlign w:val="center"/>
          </w:tcPr>
          <w:p w14:paraId="66A57707" w14:textId="77777777" w:rsidR="00835417" w:rsidRPr="006D075E" w:rsidRDefault="00835417" w:rsidP="0088700F">
            <w:pPr>
              <w:pStyle w:val="COMTabletext"/>
              <w:keepLines/>
              <w:jc w:val="center"/>
            </w:pPr>
            <w:r w:rsidRPr="006D075E">
              <w:t>Year 1: 73.1%</w:t>
            </w:r>
          </w:p>
          <w:p w14:paraId="74D43E74" w14:textId="77777777" w:rsidR="00835417" w:rsidRPr="006D075E" w:rsidRDefault="00835417" w:rsidP="0088700F">
            <w:pPr>
              <w:pStyle w:val="COMTabletext"/>
              <w:keepLines/>
              <w:jc w:val="center"/>
            </w:pPr>
            <w:r w:rsidRPr="006D075E">
              <w:t>Year 2: 57.9%</w:t>
            </w:r>
          </w:p>
          <w:p w14:paraId="0D6CCC19" w14:textId="77777777" w:rsidR="00835417" w:rsidRPr="006D075E" w:rsidRDefault="00835417" w:rsidP="0088700F">
            <w:pPr>
              <w:pStyle w:val="COMTabletext"/>
              <w:keepLines/>
              <w:jc w:val="center"/>
            </w:pPr>
            <w:r w:rsidRPr="006D075E">
              <w:t>Year 3: 43.2%</w:t>
            </w:r>
          </w:p>
          <w:p w14:paraId="21DE9A8C" w14:textId="77777777" w:rsidR="00835417" w:rsidRPr="006D075E" w:rsidRDefault="00835417" w:rsidP="0088700F">
            <w:pPr>
              <w:pStyle w:val="COMTabletext"/>
              <w:keepLines/>
              <w:jc w:val="center"/>
            </w:pPr>
            <w:r w:rsidRPr="006D075E">
              <w:t>Year 4: 37.4%</w:t>
            </w:r>
          </w:p>
          <w:p w14:paraId="73DBC0ED" w14:textId="77777777" w:rsidR="00835417" w:rsidRPr="006D075E" w:rsidRDefault="00835417" w:rsidP="0088700F">
            <w:pPr>
              <w:pStyle w:val="COMTabletext"/>
              <w:keepLines/>
              <w:jc w:val="center"/>
            </w:pPr>
            <w:r w:rsidRPr="006D075E">
              <w:t>Year 5: 32.5%</w:t>
            </w:r>
          </w:p>
          <w:p w14:paraId="50853CA8" w14:textId="77777777" w:rsidR="00835417" w:rsidRPr="006D075E" w:rsidRDefault="00835417" w:rsidP="0088700F">
            <w:pPr>
              <w:pStyle w:val="COMTabletext"/>
              <w:keepLines/>
              <w:jc w:val="center"/>
            </w:pPr>
            <w:r w:rsidRPr="006D075E">
              <w:t>Year 6: 24.9%</w:t>
            </w:r>
          </w:p>
        </w:tc>
        <w:tc>
          <w:tcPr>
            <w:tcW w:w="1179" w:type="pct"/>
            <w:vAlign w:val="center"/>
          </w:tcPr>
          <w:p w14:paraId="2274DCEA" w14:textId="77777777" w:rsidR="00835417" w:rsidRPr="006D075E" w:rsidRDefault="00835417" w:rsidP="0088700F">
            <w:pPr>
              <w:pStyle w:val="COMTabletext"/>
              <w:keepLines/>
              <w:jc w:val="center"/>
            </w:pPr>
            <w:r w:rsidRPr="006D075E">
              <w:t>Year 1: 72.8%</w:t>
            </w:r>
          </w:p>
          <w:p w14:paraId="784BB55A" w14:textId="77777777" w:rsidR="00835417" w:rsidRPr="006D075E" w:rsidRDefault="00835417" w:rsidP="0088700F">
            <w:pPr>
              <w:pStyle w:val="COMTabletext"/>
              <w:keepLines/>
              <w:jc w:val="center"/>
            </w:pPr>
            <w:r w:rsidRPr="006D075E">
              <w:t>Year 2: 61.1%</w:t>
            </w:r>
          </w:p>
          <w:p w14:paraId="0B792E51" w14:textId="77777777" w:rsidR="00835417" w:rsidRPr="006D075E" w:rsidRDefault="00835417" w:rsidP="0088700F">
            <w:pPr>
              <w:pStyle w:val="COMTabletext"/>
              <w:keepLines/>
              <w:jc w:val="center"/>
            </w:pPr>
            <w:r w:rsidRPr="006D075E">
              <w:t>Year 3: 49.0%</w:t>
            </w:r>
          </w:p>
          <w:p w14:paraId="42F28D34" w14:textId="77777777" w:rsidR="00835417" w:rsidRPr="006D075E" w:rsidRDefault="00835417" w:rsidP="0088700F">
            <w:pPr>
              <w:pStyle w:val="COMTabletext"/>
              <w:keepLines/>
              <w:jc w:val="center"/>
            </w:pPr>
            <w:r w:rsidRPr="006D075E">
              <w:t>Year 4: 44.1%</w:t>
            </w:r>
          </w:p>
          <w:p w14:paraId="6E1FCB12" w14:textId="77777777" w:rsidR="00835417" w:rsidRPr="006D075E" w:rsidRDefault="00835417" w:rsidP="0088700F">
            <w:pPr>
              <w:pStyle w:val="COMTabletext"/>
              <w:keepLines/>
              <w:jc w:val="center"/>
            </w:pPr>
            <w:r w:rsidRPr="006D075E">
              <w:t>Year 5: 38.8%</w:t>
            </w:r>
          </w:p>
          <w:p w14:paraId="54BE60CF" w14:textId="77777777" w:rsidR="00835417" w:rsidRPr="006D075E" w:rsidRDefault="00835417" w:rsidP="0088700F">
            <w:pPr>
              <w:pStyle w:val="COMTabletext"/>
              <w:keepLines/>
              <w:jc w:val="center"/>
            </w:pPr>
            <w:r w:rsidRPr="006D075E">
              <w:t>Year 6: 34.7%</w:t>
            </w:r>
          </w:p>
        </w:tc>
        <w:tc>
          <w:tcPr>
            <w:tcW w:w="1180" w:type="pct"/>
            <w:vAlign w:val="center"/>
          </w:tcPr>
          <w:p w14:paraId="2694B500" w14:textId="77777777" w:rsidR="00835417" w:rsidRPr="006D075E" w:rsidRDefault="00835417" w:rsidP="0088700F">
            <w:pPr>
              <w:pStyle w:val="COMTabletext"/>
              <w:keepLines/>
              <w:jc w:val="center"/>
            </w:pPr>
            <w:r w:rsidRPr="006D075E">
              <w:t>Year 1: 100%</w:t>
            </w:r>
          </w:p>
          <w:p w14:paraId="31F085A3" w14:textId="77777777" w:rsidR="00835417" w:rsidRPr="006D075E" w:rsidRDefault="00835417" w:rsidP="0088700F">
            <w:pPr>
              <w:pStyle w:val="COMTabletext"/>
              <w:keepLines/>
              <w:jc w:val="center"/>
            </w:pPr>
            <w:r w:rsidRPr="006D075E">
              <w:t>Year 2: 100%</w:t>
            </w:r>
          </w:p>
          <w:p w14:paraId="73438060" w14:textId="77777777" w:rsidR="00835417" w:rsidRPr="006D075E" w:rsidRDefault="00835417" w:rsidP="0088700F">
            <w:pPr>
              <w:pStyle w:val="COMTabletext"/>
              <w:keepLines/>
              <w:jc w:val="center"/>
            </w:pPr>
            <w:r w:rsidRPr="006D075E">
              <w:t>Year 3: 100%</w:t>
            </w:r>
          </w:p>
          <w:p w14:paraId="7FA0CB9F" w14:textId="77777777" w:rsidR="00835417" w:rsidRPr="006D075E" w:rsidRDefault="00835417" w:rsidP="0088700F">
            <w:pPr>
              <w:pStyle w:val="COMTabletext"/>
              <w:keepLines/>
              <w:jc w:val="center"/>
            </w:pPr>
            <w:r w:rsidRPr="006D075E">
              <w:t>Year 4: 100%</w:t>
            </w:r>
          </w:p>
          <w:p w14:paraId="56B09091" w14:textId="77777777" w:rsidR="00835417" w:rsidRPr="006D075E" w:rsidRDefault="00835417" w:rsidP="0088700F">
            <w:pPr>
              <w:pStyle w:val="COMTabletext"/>
              <w:keepLines/>
              <w:jc w:val="center"/>
            </w:pPr>
            <w:r w:rsidRPr="006D075E">
              <w:t>Year 5: 100%</w:t>
            </w:r>
          </w:p>
          <w:p w14:paraId="4EA6E39D" w14:textId="77777777" w:rsidR="00835417" w:rsidRPr="006D075E" w:rsidRDefault="00835417" w:rsidP="0088700F">
            <w:pPr>
              <w:pStyle w:val="COMTabletext"/>
              <w:keepLines/>
              <w:jc w:val="center"/>
            </w:pPr>
            <w:r w:rsidRPr="006D075E">
              <w:t>Year 6: 100%</w:t>
            </w:r>
          </w:p>
        </w:tc>
      </w:tr>
      <w:tr w:rsidR="00FC746B" w:rsidRPr="006D075E" w14:paraId="4BED5094" w14:textId="77777777" w:rsidTr="00AF4FD7">
        <w:trPr>
          <w:cantSplit/>
          <w:jc w:val="center"/>
        </w:trPr>
        <w:tc>
          <w:tcPr>
            <w:tcW w:w="1462" w:type="pct"/>
            <w:tcBorders>
              <w:top w:val="single" w:sz="4" w:space="0" w:color="auto"/>
              <w:left w:val="single" w:sz="4" w:space="0" w:color="auto"/>
              <w:bottom w:val="single" w:sz="4" w:space="0" w:color="auto"/>
              <w:right w:val="single" w:sz="4" w:space="0" w:color="auto"/>
            </w:tcBorders>
            <w:vAlign w:val="center"/>
          </w:tcPr>
          <w:p w14:paraId="79F08711" w14:textId="77777777" w:rsidR="00FC746B" w:rsidRPr="006D075E" w:rsidRDefault="00FC746B" w:rsidP="0088700F">
            <w:pPr>
              <w:pStyle w:val="COMTabletext"/>
              <w:keepLines/>
            </w:pPr>
            <w:bookmarkStart w:id="67" w:name="_Toc22897647"/>
            <w:bookmarkEnd w:id="66"/>
            <w:r w:rsidRPr="006D075E">
              <w:t xml:space="preserve">Average cost per patient </w:t>
            </w:r>
          </w:p>
        </w:tc>
        <w:tc>
          <w:tcPr>
            <w:tcW w:w="1179" w:type="pct"/>
            <w:tcBorders>
              <w:top w:val="single" w:sz="4" w:space="0" w:color="auto"/>
              <w:left w:val="single" w:sz="4" w:space="0" w:color="auto"/>
              <w:bottom w:val="single" w:sz="4" w:space="0" w:color="auto"/>
              <w:right w:val="single" w:sz="4" w:space="0" w:color="auto"/>
            </w:tcBorders>
            <w:vAlign w:val="center"/>
          </w:tcPr>
          <w:p w14:paraId="1B7A9CA0" w14:textId="77777777" w:rsidR="00FC746B" w:rsidRPr="006D075E" w:rsidRDefault="00FC746B" w:rsidP="0088700F">
            <w:pPr>
              <w:pStyle w:val="COMTabletext"/>
              <w:keepLines/>
              <w:jc w:val="center"/>
            </w:pPr>
            <w:r w:rsidRPr="006D075E">
              <w:t>-</w:t>
            </w:r>
          </w:p>
        </w:tc>
        <w:tc>
          <w:tcPr>
            <w:tcW w:w="1179" w:type="pct"/>
            <w:tcBorders>
              <w:top w:val="single" w:sz="4" w:space="0" w:color="auto"/>
              <w:left w:val="single" w:sz="4" w:space="0" w:color="auto"/>
              <w:bottom w:val="single" w:sz="4" w:space="0" w:color="auto"/>
              <w:right w:val="single" w:sz="4" w:space="0" w:color="auto"/>
            </w:tcBorders>
            <w:vAlign w:val="center"/>
          </w:tcPr>
          <w:p w14:paraId="4F9536B2" w14:textId="3CE2B524" w:rsidR="0083171C" w:rsidRPr="00EE5435" w:rsidRDefault="0083171C" w:rsidP="0088700F">
            <w:pPr>
              <w:pStyle w:val="COMTabletext"/>
              <w:keepLines/>
              <w:jc w:val="center"/>
            </w:pPr>
            <w:r w:rsidRPr="00EE5435">
              <w:t>COVID-censored analysis:</w:t>
            </w:r>
          </w:p>
          <w:p w14:paraId="6A61ACE5" w14:textId="68ECA4A9" w:rsidR="00FC746B" w:rsidRPr="00EE5435" w:rsidRDefault="00C06563" w:rsidP="0088700F">
            <w:pPr>
              <w:pStyle w:val="COMTabletext"/>
              <w:keepLines/>
              <w:jc w:val="center"/>
            </w:pPr>
            <w:r w:rsidRPr="00EE5435">
              <w:t>$</w:t>
            </w:r>
            <w:r w:rsidR="00800963" w:rsidRPr="00800963">
              <w:rPr>
                <w:color w:val="000000"/>
                <w:spacing w:val="55"/>
                <w:shd w:val="solid" w:color="000000" w:fill="000000"/>
                <w:fitText w:val="336" w:id="-629433085"/>
                <w14:textFill>
                  <w14:solidFill>
                    <w14:srgbClr w14:val="000000">
                      <w14:alpha w14:val="100000"/>
                    </w14:srgbClr>
                  </w14:solidFill>
                </w14:textFill>
              </w:rPr>
              <w:t>|||</w:t>
            </w:r>
            <w:r w:rsidR="00800963" w:rsidRPr="00800963">
              <w:rPr>
                <w:color w:val="000000"/>
                <w:spacing w:val="1"/>
                <w:shd w:val="solid" w:color="000000" w:fill="000000"/>
                <w:fitText w:val="336" w:id="-629433085"/>
                <w14:textFill>
                  <w14:solidFill>
                    <w14:srgbClr w14:val="000000">
                      <w14:alpha w14:val="100000"/>
                    </w14:srgbClr>
                  </w14:solidFill>
                </w14:textFill>
              </w:rPr>
              <w:t>|</w:t>
            </w:r>
            <w:r w:rsidR="004A2989" w:rsidRPr="00EE5435">
              <w:t xml:space="preserve"> over 6 years</w:t>
            </w:r>
          </w:p>
          <w:p w14:paraId="03A86921" w14:textId="620CAEAE" w:rsidR="004A2989" w:rsidRPr="00EE5435" w:rsidRDefault="004A2989" w:rsidP="0088700F">
            <w:pPr>
              <w:pStyle w:val="COMTabletext"/>
              <w:keepLines/>
              <w:jc w:val="center"/>
              <w:rPr>
                <w:vertAlign w:val="superscript"/>
              </w:rPr>
            </w:pPr>
            <w:r w:rsidRPr="00EE5435">
              <w:t>$</w:t>
            </w:r>
            <w:r w:rsidR="00800963" w:rsidRPr="00800963">
              <w:rPr>
                <w:color w:val="000000"/>
                <w:spacing w:val="55"/>
                <w:shd w:val="solid" w:color="000000" w:fill="000000"/>
                <w:fitText w:val="336" w:id="-629433084"/>
                <w14:textFill>
                  <w14:solidFill>
                    <w14:srgbClr w14:val="000000">
                      <w14:alpha w14:val="100000"/>
                    </w14:srgbClr>
                  </w14:solidFill>
                </w14:textFill>
              </w:rPr>
              <w:t>|||</w:t>
            </w:r>
            <w:r w:rsidR="00800963" w:rsidRPr="00800963">
              <w:rPr>
                <w:color w:val="000000"/>
                <w:spacing w:val="1"/>
                <w:shd w:val="solid" w:color="000000" w:fill="000000"/>
                <w:fitText w:val="336" w:id="-629433084"/>
                <w14:textFill>
                  <w14:solidFill>
                    <w14:srgbClr w14:val="000000">
                      <w14:alpha w14:val="100000"/>
                    </w14:srgbClr>
                  </w14:solidFill>
                </w14:textFill>
              </w:rPr>
              <w:t>|</w:t>
            </w:r>
            <w:r w:rsidR="00047239" w:rsidRPr="00EE5435">
              <w:t xml:space="preserve"> over 20 </w:t>
            </w:r>
            <w:proofErr w:type="spellStart"/>
            <w:r w:rsidR="00047239" w:rsidRPr="00EE5435">
              <w:t>years</w:t>
            </w:r>
            <w:r w:rsidR="002706FF" w:rsidRPr="00EE5435">
              <w:rPr>
                <w:vertAlign w:val="superscript"/>
              </w:rPr>
              <w:t>d</w:t>
            </w:r>
            <w:proofErr w:type="spellEnd"/>
          </w:p>
          <w:p w14:paraId="067EFD24" w14:textId="77777777" w:rsidR="00F14949" w:rsidRPr="00EE5435" w:rsidRDefault="00F14949" w:rsidP="0088700F">
            <w:pPr>
              <w:pStyle w:val="COMTabletext"/>
              <w:keepLines/>
              <w:jc w:val="center"/>
            </w:pPr>
            <w:r w:rsidRPr="00EE5435">
              <w:t xml:space="preserve">FAS (uncensored): </w:t>
            </w:r>
          </w:p>
          <w:p w14:paraId="56C24F3F" w14:textId="4BD8AE9C" w:rsidR="00F14949" w:rsidRPr="00EE5435" w:rsidRDefault="00F14949" w:rsidP="0088700F">
            <w:pPr>
              <w:pStyle w:val="COMTabletext"/>
              <w:keepLines/>
              <w:jc w:val="center"/>
            </w:pPr>
            <w:r w:rsidRPr="00EE5435">
              <w:t>$</w:t>
            </w:r>
            <w:r w:rsidR="00800963" w:rsidRPr="00800963">
              <w:rPr>
                <w:color w:val="000000"/>
                <w:spacing w:val="51"/>
                <w:shd w:val="solid" w:color="000000" w:fill="000000"/>
                <w:fitText w:val="324" w:id="-629433083"/>
                <w14:textFill>
                  <w14:solidFill>
                    <w14:srgbClr w14:val="000000">
                      <w14:alpha w14:val="100000"/>
                    </w14:srgbClr>
                  </w14:solidFill>
                </w14:textFill>
              </w:rPr>
              <w:t>|||</w:t>
            </w:r>
            <w:r w:rsidR="00800963" w:rsidRPr="00800963">
              <w:rPr>
                <w:color w:val="000000"/>
                <w:spacing w:val="1"/>
                <w:shd w:val="solid" w:color="000000" w:fill="000000"/>
                <w:fitText w:val="324" w:id="-629433083"/>
                <w14:textFill>
                  <w14:solidFill>
                    <w14:srgbClr w14:val="000000">
                      <w14:alpha w14:val="100000"/>
                    </w14:srgbClr>
                  </w14:solidFill>
                </w14:textFill>
              </w:rPr>
              <w:t>|</w:t>
            </w:r>
            <w:r w:rsidR="00DD34A5" w:rsidRPr="00EE5435">
              <w:t xml:space="preserve"> </w:t>
            </w:r>
            <w:r w:rsidRPr="00EE5435">
              <w:t xml:space="preserve">over 6 </w:t>
            </w:r>
            <w:proofErr w:type="gramStart"/>
            <w:r w:rsidRPr="00EE5435">
              <w:t>years;</w:t>
            </w:r>
            <w:proofErr w:type="gramEnd"/>
          </w:p>
          <w:p w14:paraId="49D76CEF" w14:textId="50B7B1AB" w:rsidR="00F14949" w:rsidRPr="00EE5435" w:rsidRDefault="00F14949" w:rsidP="0088700F">
            <w:pPr>
              <w:keepNext/>
              <w:keepLines/>
              <w:jc w:val="center"/>
            </w:pPr>
            <w:r w:rsidRPr="00EE5435">
              <w:rPr>
                <w:rFonts w:ascii="Arial Narrow" w:eastAsiaTheme="majorEastAsia" w:hAnsi="Arial Narrow" w:cstheme="majorBidi"/>
                <w:bCs/>
                <w:sz w:val="20"/>
              </w:rPr>
              <w:t>$</w:t>
            </w:r>
            <w:r w:rsidR="00800963" w:rsidRPr="00800963">
              <w:rPr>
                <w:rFonts w:ascii="Arial Narrow" w:eastAsiaTheme="majorEastAsia" w:hAnsi="Arial Narrow" w:cstheme="majorBidi"/>
                <w:bCs/>
                <w:color w:val="000000"/>
                <w:spacing w:val="51"/>
                <w:sz w:val="20"/>
                <w:shd w:val="solid" w:color="000000" w:fill="000000"/>
                <w:fitText w:val="324" w:id="-629432832"/>
                <w14:textFill>
                  <w14:solidFill>
                    <w14:srgbClr w14:val="000000">
                      <w14:alpha w14:val="100000"/>
                    </w14:srgbClr>
                  </w14:solidFill>
                </w14:textFill>
              </w:rPr>
              <w:t>|||</w:t>
            </w:r>
            <w:r w:rsidR="00800963" w:rsidRPr="00800963">
              <w:rPr>
                <w:rFonts w:ascii="Arial Narrow" w:eastAsiaTheme="majorEastAsia" w:hAnsi="Arial Narrow" w:cstheme="majorBidi"/>
                <w:bCs/>
                <w:color w:val="000000"/>
                <w:spacing w:val="1"/>
                <w:sz w:val="20"/>
                <w:shd w:val="solid" w:color="000000" w:fill="000000"/>
                <w:fitText w:val="324" w:id="-629432832"/>
                <w14:textFill>
                  <w14:solidFill>
                    <w14:srgbClr w14:val="000000">
                      <w14:alpha w14:val="100000"/>
                    </w14:srgbClr>
                  </w14:solidFill>
                </w14:textFill>
              </w:rPr>
              <w:t>|</w:t>
            </w:r>
            <w:r w:rsidR="00DD34A5" w:rsidRPr="00EE5435">
              <w:rPr>
                <w:rFonts w:ascii="Arial Narrow" w:eastAsiaTheme="majorEastAsia" w:hAnsi="Arial Narrow" w:cstheme="majorBidi"/>
                <w:bCs/>
                <w:sz w:val="20"/>
              </w:rPr>
              <w:t xml:space="preserve"> </w:t>
            </w:r>
            <w:r w:rsidRPr="00EE5435">
              <w:rPr>
                <w:rFonts w:ascii="Arial Narrow" w:eastAsiaTheme="majorEastAsia" w:hAnsi="Arial Narrow" w:cstheme="majorBidi"/>
                <w:bCs/>
                <w:sz w:val="20"/>
              </w:rPr>
              <w:t>over 20 years</w:t>
            </w:r>
          </w:p>
        </w:tc>
        <w:tc>
          <w:tcPr>
            <w:tcW w:w="1180" w:type="pct"/>
            <w:tcBorders>
              <w:top w:val="single" w:sz="4" w:space="0" w:color="auto"/>
              <w:left w:val="single" w:sz="4" w:space="0" w:color="auto"/>
              <w:bottom w:val="single" w:sz="4" w:space="0" w:color="auto"/>
              <w:right w:val="single" w:sz="4" w:space="0" w:color="auto"/>
            </w:tcBorders>
            <w:vAlign w:val="center"/>
          </w:tcPr>
          <w:p w14:paraId="687AD940" w14:textId="3A2E9F85" w:rsidR="00FC746B" w:rsidRPr="006D075E" w:rsidRDefault="00FC746B" w:rsidP="0088700F">
            <w:pPr>
              <w:pStyle w:val="COMTabletext"/>
              <w:keepLines/>
              <w:jc w:val="center"/>
            </w:pPr>
            <w:r w:rsidRPr="006D075E">
              <w:t>$</w:t>
            </w:r>
            <w:r w:rsidR="00800963" w:rsidRPr="00800963">
              <w:rPr>
                <w:color w:val="000000"/>
                <w:spacing w:val="51"/>
                <w:shd w:val="solid" w:color="000000" w:fill="000000"/>
                <w:fitText w:val="324" w:id="-629432831"/>
                <w14:textFill>
                  <w14:solidFill>
                    <w14:srgbClr w14:val="000000">
                      <w14:alpha w14:val="100000"/>
                    </w14:srgbClr>
                  </w14:solidFill>
                </w14:textFill>
              </w:rPr>
              <w:t>|||</w:t>
            </w:r>
            <w:r w:rsidR="00800963" w:rsidRPr="00800963">
              <w:rPr>
                <w:color w:val="000000"/>
                <w:spacing w:val="1"/>
                <w:shd w:val="solid" w:color="000000" w:fill="000000"/>
                <w:fitText w:val="324" w:id="-629432831"/>
                <w14:textFill>
                  <w14:solidFill>
                    <w14:srgbClr w14:val="000000">
                      <w14:alpha w14:val="100000"/>
                    </w14:srgbClr>
                  </w14:solidFill>
                </w14:textFill>
              </w:rPr>
              <w:t>|</w:t>
            </w:r>
            <w:r w:rsidRPr="006D075E">
              <w:t xml:space="preserve"> over 6 years</w:t>
            </w:r>
            <w:r w:rsidR="00532905" w:rsidRPr="006D075E">
              <w:t xml:space="preserve"> </w:t>
            </w:r>
          </w:p>
        </w:tc>
      </w:tr>
    </w:tbl>
    <w:p w14:paraId="48A9D5D4" w14:textId="77777777" w:rsidR="006115F8" w:rsidRPr="006D075E" w:rsidRDefault="006115F8" w:rsidP="0088700F">
      <w:pPr>
        <w:pStyle w:val="COMTablefooter"/>
        <w:keepNext/>
        <w:keepLines/>
      </w:pPr>
      <w:r w:rsidRPr="006D075E">
        <w:t>Source: Constructed during the evaluation based on the ECHO trial CSR, ‘3.1 ACAL_Section3model_March2025’ model spreadsheet and ‘4.2 Acala UCM March 2025’ budget impact spreadsheet provided with the submission.</w:t>
      </w:r>
    </w:p>
    <w:p w14:paraId="367CF48B" w14:textId="77777777" w:rsidR="006115F8" w:rsidRPr="006D075E" w:rsidRDefault="006115F8" w:rsidP="0088700F">
      <w:pPr>
        <w:pStyle w:val="COMTablefooter"/>
        <w:keepNext/>
        <w:keepLines/>
      </w:pPr>
      <w:r w:rsidRPr="006D075E">
        <w:rPr>
          <w:vertAlign w:val="superscript"/>
        </w:rPr>
        <w:t xml:space="preserve">a </w:t>
      </w:r>
      <w:r w:rsidRPr="006D075E">
        <w:t>Relative dose intensity for acalabrutinib in the ECHO trial</w:t>
      </w:r>
    </w:p>
    <w:p w14:paraId="72BE39C2" w14:textId="77777777" w:rsidR="006115F8" w:rsidRPr="006D075E" w:rsidRDefault="006115F8" w:rsidP="0088700F">
      <w:pPr>
        <w:pStyle w:val="COMTablefooter"/>
        <w:keepNext/>
        <w:keepLines/>
      </w:pPr>
      <w:r w:rsidRPr="006D075E">
        <w:rPr>
          <w:vertAlign w:val="superscript"/>
        </w:rPr>
        <w:t xml:space="preserve">b </w:t>
      </w:r>
      <w:r w:rsidRPr="006D075E">
        <w:t>Calculated as the estimated number of scripts required per year (365.25/28) adjusted for treatment adherence.</w:t>
      </w:r>
    </w:p>
    <w:p w14:paraId="06BAA956" w14:textId="77777777" w:rsidR="006115F8" w:rsidRPr="006D075E" w:rsidRDefault="006115F8" w:rsidP="0088700F">
      <w:pPr>
        <w:pStyle w:val="COMTablefooter"/>
        <w:keepNext/>
        <w:keepLines/>
      </w:pPr>
      <w:r w:rsidRPr="006D075E">
        <w:rPr>
          <w:vertAlign w:val="superscript"/>
        </w:rPr>
        <w:t xml:space="preserve">c </w:t>
      </w:r>
      <w:r w:rsidRPr="006D075E">
        <w:t>Based on the proportion of patients on treatment at the end of each year. For the ECHO trial, based on Kaplan-Meier data for the ECHO trial in the ‘</w:t>
      </w:r>
      <w:proofErr w:type="spellStart"/>
      <w:r w:rsidRPr="006D075E">
        <w:t>Curves_RawKM</w:t>
      </w:r>
      <w:proofErr w:type="spellEnd"/>
      <w:r w:rsidRPr="006D075E">
        <w:t>’ worksheet of the ‘ACAL_Section3model_March2025’ Excel workbook for the full analysis set (without censoring for COVID-19 related deaths). For the economic model, based on the proportion of patients in the progression free on treatment health state in the ‘</w:t>
      </w:r>
      <w:proofErr w:type="spellStart"/>
      <w:r w:rsidRPr="006D075E">
        <w:t>MarkovTrace_ABR</w:t>
      </w:r>
      <w:proofErr w:type="spellEnd"/>
      <w:r w:rsidRPr="006D075E">
        <w:t>’ worksheet of the ‘ACAL_Section3model_March2025’ Excel workbook for the model base case (with censoring for COVID-19 related deaths). For the financial estimates, all patients assumed to receive 73.73 months of acalabrutinib treatment (100% adherence over more than 6 years).</w:t>
      </w:r>
    </w:p>
    <w:p w14:paraId="4895014F" w14:textId="41F7F66C" w:rsidR="002706FF" w:rsidRPr="006D075E" w:rsidRDefault="002706FF" w:rsidP="0088700F">
      <w:pPr>
        <w:pStyle w:val="COMTablefooter"/>
        <w:keepNext/>
        <w:keepLines/>
      </w:pPr>
      <w:r w:rsidRPr="006D075E">
        <w:rPr>
          <w:vertAlign w:val="superscript"/>
        </w:rPr>
        <w:t xml:space="preserve">d </w:t>
      </w:r>
      <w:r w:rsidR="00B97850" w:rsidRPr="006D075E">
        <w:t xml:space="preserve">8.4% of patients remain on </w:t>
      </w:r>
      <w:r w:rsidR="00E83278" w:rsidRPr="006D075E">
        <w:t xml:space="preserve">acalabrutinib </w:t>
      </w:r>
      <w:r w:rsidR="00B97850" w:rsidRPr="006D075E">
        <w:t>treatment after 20 years in the economic model.</w:t>
      </w:r>
      <w:r w:rsidR="0083171C" w:rsidRPr="006D075E">
        <w:t xml:space="preserve"> Average duration of treatment in the economi</w:t>
      </w:r>
      <w:r w:rsidR="00D124D6" w:rsidRPr="006D075E">
        <w:t xml:space="preserve">c </w:t>
      </w:r>
      <w:r w:rsidR="0083171C" w:rsidRPr="006D075E">
        <w:t>model, COVID-censored analysis, was 6.1 years (undiscounted</w:t>
      </w:r>
      <w:r w:rsidR="00D124D6" w:rsidRPr="006D075E">
        <w:t xml:space="preserve">, over the base case </w:t>
      </w:r>
      <w:proofErr w:type="gramStart"/>
      <w:r w:rsidR="00D124D6" w:rsidRPr="006D075E">
        <w:t>20 year</w:t>
      </w:r>
      <w:proofErr w:type="gramEnd"/>
      <w:r w:rsidR="00D124D6" w:rsidRPr="006D075E">
        <w:t xml:space="preserve"> time horizon</w:t>
      </w:r>
      <w:r w:rsidR="0083171C" w:rsidRPr="006D075E">
        <w:t>).</w:t>
      </w:r>
      <w:r w:rsidR="00532905" w:rsidRPr="006D075E">
        <w:t xml:space="preserve"> When the time horizon was shortened to 6 years, to align with the financial estimates, the average duration of treatment was 3.3 years (undiscounted).</w:t>
      </w:r>
      <w:r w:rsidR="00DD34A5" w:rsidRPr="006D075E">
        <w:t xml:space="preserve"> These are undiscounted costs.</w:t>
      </w:r>
    </w:p>
    <w:p w14:paraId="7C79DF26" w14:textId="48CD9D64" w:rsidR="00515CF0" w:rsidRDefault="00515CF0" w:rsidP="0083171C">
      <w:pPr>
        <w:pStyle w:val="COMexecsummnumbered"/>
      </w:pPr>
      <w:r>
        <w:t xml:space="preserve">The </w:t>
      </w:r>
      <w:r w:rsidR="00355E5D">
        <w:t xml:space="preserve">drug cost per patient per year outlined in </w:t>
      </w:r>
      <w:r w:rsidR="00835E96">
        <w:fldChar w:fldCharType="begin"/>
      </w:r>
      <w:r w:rsidR="00835E96">
        <w:instrText xml:space="preserve"> REF _Ref104805102 \h </w:instrText>
      </w:r>
      <w:r w:rsidR="00835E96">
        <w:fldChar w:fldCharType="separate"/>
      </w:r>
      <w:r w:rsidR="00A542E9" w:rsidRPr="006D075E">
        <w:t xml:space="preserve">Table </w:t>
      </w:r>
      <w:r w:rsidR="00A542E9">
        <w:rPr>
          <w:noProof/>
        </w:rPr>
        <w:t>12</w:t>
      </w:r>
      <w:r w:rsidR="00835E96">
        <w:fldChar w:fldCharType="end"/>
      </w:r>
      <w:r w:rsidR="00835E96">
        <w:t xml:space="preserve"> </w:t>
      </w:r>
      <w:r w:rsidR="00355E5D">
        <w:t xml:space="preserve">was based on the submission’s economic model and financial estimates. The </w:t>
      </w:r>
      <w:r>
        <w:t>PBAC noted that th</w:t>
      </w:r>
      <w:r w:rsidR="006A7C53">
        <w:t xml:space="preserve">e cost per patient would be lower based on the revised inputs specified in </w:t>
      </w:r>
      <w:r w:rsidR="004B7518">
        <w:t>paragraph</w:t>
      </w:r>
      <w:r w:rsidR="00C73DAD">
        <w:t xml:space="preserve"> </w:t>
      </w:r>
      <w:r w:rsidR="00C73DAD">
        <w:fldChar w:fldCharType="begin"/>
      </w:r>
      <w:r w:rsidR="00C73DAD">
        <w:instrText xml:space="preserve"> REF _Ref204699141 \r \h </w:instrText>
      </w:r>
      <w:r w:rsidR="00C73DAD">
        <w:fldChar w:fldCharType="separate"/>
      </w:r>
      <w:r w:rsidR="00A542E9">
        <w:t>7.13</w:t>
      </w:r>
      <w:r w:rsidR="00C73DAD">
        <w:fldChar w:fldCharType="end"/>
      </w:r>
      <w:r w:rsidR="006A7C53">
        <w:t xml:space="preserve">. </w:t>
      </w:r>
      <w:r>
        <w:t xml:space="preserve"> </w:t>
      </w:r>
    </w:p>
    <w:p w14:paraId="47C602F4" w14:textId="62BD588D" w:rsidR="0083171C" w:rsidRPr="006D075E" w:rsidRDefault="0083171C" w:rsidP="0083171C">
      <w:pPr>
        <w:pStyle w:val="COMexecsummnumbered"/>
      </w:pPr>
      <w:r w:rsidRPr="006D075E">
        <w:t xml:space="preserve">The estimated cost per patient was higher in the financial estimates than the economic model (over a 6 year time horizon) because the financial estimates assumed that all patients receive over 6 years of treatment, while the economic model assumed </w:t>
      </w:r>
      <w:r w:rsidR="00BA3B9F" w:rsidRPr="006D075E">
        <w:t xml:space="preserve">that the proportion of patients who </w:t>
      </w:r>
      <w:r w:rsidRPr="006D075E">
        <w:t>remain on treatment</w:t>
      </w:r>
      <w:r w:rsidR="00BA3B9F" w:rsidRPr="006D075E">
        <w:t xml:space="preserve"> reduces</w:t>
      </w:r>
      <w:r w:rsidRPr="006D075E">
        <w:t xml:space="preserve"> each year (</w:t>
      </w:r>
      <w:r w:rsidR="00274283" w:rsidRPr="006D075E">
        <w:t xml:space="preserve">as shown in </w:t>
      </w:r>
      <w:r w:rsidR="00274283" w:rsidRPr="006D075E">
        <w:fldChar w:fldCharType="begin"/>
      </w:r>
      <w:r w:rsidR="00274283" w:rsidRPr="006D075E">
        <w:instrText xml:space="preserve"> REF _Ref104805102 \h  \* MERGEFORMAT </w:instrText>
      </w:r>
      <w:r w:rsidR="00274283" w:rsidRPr="006D075E">
        <w:fldChar w:fldCharType="separate"/>
      </w:r>
      <w:r w:rsidR="00A542E9" w:rsidRPr="006D075E">
        <w:t xml:space="preserve">Table </w:t>
      </w:r>
      <w:r w:rsidR="00A542E9">
        <w:t>12</w:t>
      </w:r>
      <w:r w:rsidR="00274283" w:rsidRPr="006D075E">
        <w:fldChar w:fldCharType="end"/>
      </w:r>
      <w:r w:rsidRPr="006D075E">
        <w:t>)</w:t>
      </w:r>
      <w:r w:rsidR="00274283" w:rsidRPr="006D075E">
        <w:t>.</w:t>
      </w:r>
      <w:r w:rsidRPr="006D075E">
        <w:t xml:space="preserve"> </w:t>
      </w:r>
    </w:p>
    <w:p w14:paraId="268768EF" w14:textId="3626F292" w:rsidR="00B60939" w:rsidRPr="006D075E" w:rsidRDefault="00B60939" w:rsidP="003D5DE7">
      <w:pPr>
        <w:pStyle w:val="COMH2-non-numbered"/>
      </w:pPr>
      <w:bookmarkStart w:id="68" w:name="_Toc198649041"/>
      <w:r w:rsidRPr="006D075E">
        <w:t>Estimated PBS usage &amp; financial implications</w:t>
      </w:r>
      <w:bookmarkEnd w:id="67"/>
      <w:bookmarkEnd w:id="68"/>
    </w:p>
    <w:p w14:paraId="04B31D2D" w14:textId="090E4E55" w:rsidR="0072416F" w:rsidRPr="006D075E" w:rsidRDefault="00C25D9C" w:rsidP="003B20FF">
      <w:pPr>
        <w:pStyle w:val="COMexecsummnumbered"/>
      </w:pPr>
      <w:r w:rsidRPr="006D075E">
        <w:t xml:space="preserve">This submission </w:t>
      </w:r>
      <w:r w:rsidR="002E4702" w:rsidRPr="006D075E">
        <w:t>was</w:t>
      </w:r>
      <w:r w:rsidRPr="006D075E">
        <w:t xml:space="preserve"> </w:t>
      </w:r>
      <w:r w:rsidR="00E25CC9" w:rsidRPr="006D075E">
        <w:t>not</w:t>
      </w:r>
      <w:r w:rsidRPr="006D075E">
        <w:t xml:space="preserve"> considered by DUSC</w:t>
      </w:r>
      <w:r w:rsidRPr="006D075E">
        <w:rPr>
          <w:color w:val="000000" w:themeColor="text1"/>
        </w:rPr>
        <w:t>.</w:t>
      </w:r>
      <w:r w:rsidR="00E25CC9" w:rsidRPr="006D075E">
        <w:rPr>
          <w:color w:val="0070C0"/>
        </w:rPr>
        <w:t xml:space="preserve"> </w:t>
      </w:r>
      <w:r w:rsidR="00E25CC9" w:rsidRPr="006D075E">
        <w:t xml:space="preserve">The submission used a mixed epidemiological and market share approach to estimate the use and financial impact of a PBS listing of acalabrutinib in combination with </w:t>
      </w:r>
      <w:proofErr w:type="spellStart"/>
      <w:r w:rsidR="00E25CC9" w:rsidRPr="006D075E">
        <w:t>bendamustine</w:t>
      </w:r>
      <w:proofErr w:type="spellEnd"/>
      <w:r w:rsidR="00E25CC9" w:rsidRPr="006D075E">
        <w:t xml:space="preserve"> and rituximab for </w:t>
      </w:r>
      <w:r w:rsidR="00E94014" w:rsidRPr="006D075E">
        <w:lastRenderedPageBreak/>
        <w:t>first line</w:t>
      </w:r>
      <w:r w:rsidR="00E25CC9" w:rsidRPr="006D075E">
        <w:t xml:space="preserve"> treatment of </w:t>
      </w:r>
      <w:r w:rsidR="008B591E">
        <w:t>MCL</w:t>
      </w:r>
      <w:r w:rsidR="00E25CC9" w:rsidRPr="006D075E">
        <w:t>.</w:t>
      </w:r>
      <w:r w:rsidR="00BC591F" w:rsidRPr="006D075E">
        <w:t xml:space="preserve"> </w:t>
      </w:r>
      <w:r w:rsidR="00E25CC9" w:rsidRPr="006D075E">
        <w:t xml:space="preserve">The key inputs relied on in the financial estimates are summarised in </w:t>
      </w:r>
      <w:r w:rsidR="00E16AD8" w:rsidRPr="006D075E">
        <w:fldChar w:fldCharType="begin"/>
      </w:r>
      <w:r w:rsidR="00E16AD8" w:rsidRPr="006D075E">
        <w:instrText xml:space="preserve"> REF _Ref104805262 \h  \* MERGEFORMAT </w:instrText>
      </w:r>
      <w:r w:rsidR="00E16AD8" w:rsidRPr="006D075E">
        <w:fldChar w:fldCharType="separate"/>
      </w:r>
      <w:r w:rsidR="00A542E9" w:rsidRPr="006D075E">
        <w:t xml:space="preserve">Table </w:t>
      </w:r>
      <w:r w:rsidR="00A542E9">
        <w:t>13</w:t>
      </w:r>
      <w:r w:rsidR="00E16AD8" w:rsidRPr="006D075E">
        <w:fldChar w:fldCharType="end"/>
      </w:r>
      <w:r w:rsidR="002F1014" w:rsidRPr="006D075E">
        <w:t>.</w:t>
      </w:r>
    </w:p>
    <w:p w14:paraId="3393BCE7" w14:textId="5CE40900" w:rsidR="00E42F73" w:rsidRPr="006D075E" w:rsidRDefault="00E16AD8" w:rsidP="00AF171E">
      <w:pPr>
        <w:pStyle w:val="COMtablefigcaption"/>
        <w:keepLines/>
      </w:pPr>
      <w:bookmarkStart w:id="69" w:name="_Ref104805262"/>
      <w:bookmarkStart w:id="70" w:name="_Ref195959631"/>
      <w:r w:rsidRPr="006D075E">
        <w:t xml:space="preserve">Table </w:t>
      </w:r>
      <w:r w:rsidR="00370FC7" w:rsidRPr="006D075E">
        <w:fldChar w:fldCharType="begin"/>
      </w:r>
      <w:r w:rsidR="00370FC7" w:rsidRPr="006D075E">
        <w:instrText xml:space="preserve"> SEQ Table \* ARABIC </w:instrText>
      </w:r>
      <w:r w:rsidR="00370FC7" w:rsidRPr="006D075E">
        <w:fldChar w:fldCharType="separate"/>
      </w:r>
      <w:r w:rsidR="00A542E9">
        <w:rPr>
          <w:noProof/>
        </w:rPr>
        <w:t>13</w:t>
      </w:r>
      <w:r w:rsidR="00370FC7" w:rsidRPr="006D075E">
        <w:fldChar w:fldCharType="end"/>
      </w:r>
      <w:bookmarkEnd w:id="69"/>
      <w:r w:rsidRPr="006D075E">
        <w:t>:</w:t>
      </w:r>
      <w:r w:rsidR="00E42F73" w:rsidRPr="006D075E">
        <w:t xml:space="preserve"> Key inputs for financial estimates</w:t>
      </w:r>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inputs for financial estimates"/>
      </w:tblPr>
      <w:tblGrid>
        <w:gridCol w:w="1554"/>
        <w:gridCol w:w="3811"/>
        <w:gridCol w:w="3652"/>
      </w:tblGrid>
      <w:tr w:rsidR="00E42F73" w:rsidRPr="006D075E" w14:paraId="7AFD013A" w14:textId="77777777" w:rsidTr="00AF171E">
        <w:trPr>
          <w:tblHeader/>
        </w:trPr>
        <w:tc>
          <w:tcPr>
            <w:tcW w:w="862" w:type="pct"/>
            <w:vAlign w:val="center"/>
          </w:tcPr>
          <w:p w14:paraId="45C2C4CE" w14:textId="370E9AAB" w:rsidR="00E42F73" w:rsidRPr="006D075E" w:rsidRDefault="004658B5" w:rsidP="00AF171E">
            <w:pPr>
              <w:pStyle w:val="COMTableheadingrow"/>
              <w:keepLines/>
              <w:rPr>
                <w:lang w:val="en-AU"/>
              </w:rPr>
            </w:pPr>
            <w:r w:rsidRPr="006D075E">
              <w:rPr>
                <w:lang w:val="en-AU"/>
              </w:rPr>
              <w:t>Parameter</w:t>
            </w:r>
          </w:p>
        </w:tc>
        <w:tc>
          <w:tcPr>
            <w:tcW w:w="2113" w:type="pct"/>
            <w:vAlign w:val="center"/>
          </w:tcPr>
          <w:p w14:paraId="5C04F956" w14:textId="559E8DB1" w:rsidR="00E42F73" w:rsidRPr="006D075E" w:rsidRDefault="004658B5" w:rsidP="00AF171E">
            <w:pPr>
              <w:pStyle w:val="COMTableheadingrow"/>
              <w:keepLines/>
              <w:jc w:val="center"/>
              <w:rPr>
                <w:lang w:val="en-AU"/>
              </w:rPr>
            </w:pPr>
            <w:r w:rsidRPr="006D075E">
              <w:rPr>
                <w:lang w:val="en-AU"/>
              </w:rPr>
              <w:t>Value applied and source</w:t>
            </w:r>
          </w:p>
        </w:tc>
        <w:tc>
          <w:tcPr>
            <w:tcW w:w="2025" w:type="pct"/>
            <w:vAlign w:val="center"/>
          </w:tcPr>
          <w:p w14:paraId="45DE44AA" w14:textId="4713F72E" w:rsidR="00E42F73" w:rsidRPr="006D075E" w:rsidRDefault="004658B5" w:rsidP="00AF171E">
            <w:pPr>
              <w:pStyle w:val="COMTableheadingrow"/>
              <w:keepLines/>
              <w:jc w:val="center"/>
              <w:rPr>
                <w:lang w:val="en-AU"/>
              </w:rPr>
            </w:pPr>
            <w:r w:rsidRPr="006D075E">
              <w:rPr>
                <w:lang w:val="en-AU"/>
              </w:rPr>
              <w:t>Comment</w:t>
            </w:r>
          </w:p>
        </w:tc>
      </w:tr>
      <w:tr w:rsidR="006559AF" w:rsidRPr="006D075E" w14:paraId="4BEF206D" w14:textId="77777777" w:rsidTr="00AF171E">
        <w:tc>
          <w:tcPr>
            <w:tcW w:w="862" w:type="pct"/>
            <w:vAlign w:val="center"/>
          </w:tcPr>
          <w:p w14:paraId="5724F53F" w14:textId="022DDD4F" w:rsidR="006559AF" w:rsidRPr="006D075E" w:rsidRDefault="006559AF" w:rsidP="00AF171E">
            <w:pPr>
              <w:pStyle w:val="COMTabletext"/>
              <w:keepLines/>
            </w:pPr>
            <w:r w:rsidRPr="006D075E">
              <w:t xml:space="preserve">Incident patients: initiating </w:t>
            </w:r>
            <w:proofErr w:type="spellStart"/>
            <w:r w:rsidRPr="006D075E">
              <w:t>bendamustine</w:t>
            </w:r>
            <w:proofErr w:type="spellEnd"/>
            <w:r w:rsidRPr="006D075E">
              <w:t xml:space="preserve"> for </w:t>
            </w:r>
            <w:r w:rsidR="00E94014" w:rsidRPr="006D075E">
              <w:t>first line</w:t>
            </w:r>
            <w:r w:rsidRPr="006D075E">
              <w:t xml:space="preserve"> MCL</w:t>
            </w:r>
          </w:p>
        </w:tc>
        <w:tc>
          <w:tcPr>
            <w:tcW w:w="2113" w:type="pct"/>
            <w:vAlign w:val="center"/>
          </w:tcPr>
          <w:p w14:paraId="4075E2A1" w14:textId="38DB1AFD" w:rsidR="00D85ADB" w:rsidRPr="006D075E" w:rsidRDefault="00800963" w:rsidP="00AF171E">
            <w:pPr>
              <w:pStyle w:val="COMTabletext"/>
              <w:keepLines/>
            </w:pPr>
            <w:r w:rsidRPr="00800963">
              <w:rPr>
                <w:rFonts w:hint="eastAsia"/>
                <w:color w:val="000000"/>
                <w:spacing w:val="30"/>
                <w:w w:val="15"/>
                <w:shd w:val="solid" w:color="000000" w:fill="000000"/>
                <w:fitText w:val="60" w:id="-629432830"/>
                <w14:textFill>
                  <w14:solidFill>
                    <w14:srgbClr w14:val="000000">
                      <w14:alpha w14:val="100000"/>
                    </w14:srgbClr>
                  </w14:solidFill>
                </w14:textFill>
              </w:rPr>
              <w:t xml:space="preserve">　</w:t>
            </w:r>
            <w:r w:rsidRPr="00800963">
              <w:rPr>
                <w:rFonts w:hint="eastAsia"/>
                <w:color w:val="000000"/>
                <w:spacing w:val="74"/>
                <w:w w:val="29"/>
                <w:shd w:val="solid" w:color="000000" w:fill="000000"/>
                <w:fitText w:val="132" w:id="-629432829"/>
                <w14:textFill>
                  <w14:solidFill>
                    <w14:srgbClr w14:val="000000">
                      <w14:alpha w14:val="100000"/>
                    </w14:srgbClr>
                  </w14:solidFill>
                </w14:textFill>
              </w:rPr>
              <w:t xml:space="preserve">　</w:t>
            </w:r>
            <w:r w:rsidRPr="00800963">
              <w:rPr>
                <w:color w:val="000000"/>
                <w:spacing w:val="190"/>
                <w:shd w:val="solid" w:color="000000" w:fill="000000"/>
                <w:fitText w:val="276" w:id="-629432828"/>
                <w14:textFill>
                  <w14:solidFill>
                    <w14:srgbClr w14:val="000000">
                      <w14:alpha w14:val="100000"/>
                    </w14:srgbClr>
                  </w14:solidFill>
                </w14:textFill>
              </w:rPr>
              <w:t>|</w:t>
            </w:r>
            <w:r w:rsidRPr="00800963">
              <w:rPr>
                <w:color w:val="000000"/>
                <w:spacing w:val="1"/>
                <w:shd w:val="solid" w:color="000000" w:fill="000000"/>
                <w:fitText w:val="276" w:id="-629432828"/>
                <w14:textFill>
                  <w14:solidFill>
                    <w14:srgbClr w14:val="000000">
                      <w14:alpha w14:val="100000"/>
                    </w14:srgbClr>
                  </w14:solidFill>
                </w14:textFill>
              </w:rPr>
              <w:t>|</w:t>
            </w:r>
            <w:r w:rsidR="006D6324">
              <w:rPr>
                <w:vertAlign w:val="superscript"/>
              </w:rPr>
              <w:t>1</w:t>
            </w:r>
            <w:r w:rsidR="006559AF" w:rsidRPr="006D075E">
              <w:t xml:space="preserve"> patients in Year 1 increasing to </w:t>
            </w:r>
            <w:r w:rsidRPr="00800963">
              <w:rPr>
                <w:color w:val="000000"/>
                <w:spacing w:val="55"/>
                <w:shd w:val="solid" w:color="000000" w:fill="000000"/>
                <w:fitText w:val="336" w:id="-629432827"/>
                <w14:textFill>
                  <w14:solidFill>
                    <w14:srgbClr w14:val="000000">
                      <w14:alpha w14:val="100000"/>
                    </w14:srgbClr>
                  </w14:solidFill>
                </w14:textFill>
              </w:rPr>
              <w:t>|||</w:t>
            </w:r>
            <w:r w:rsidRPr="00800963">
              <w:rPr>
                <w:color w:val="000000"/>
                <w:spacing w:val="1"/>
                <w:shd w:val="solid" w:color="000000" w:fill="000000"/>
                <w:fitText w:val="336" w:id="-629432827"/>
                <w14:textFill>
                  <w14:solidFill>
                    <w14:srgbClr w14:val="000000">
                      <w14:alpha w14:val="100000"/>
                    </w14:srgbClr>
                  </w14:solidFill>
                </w14:textFill>
              </w:rPr>
              <w:t>|</w:t>
            </w:r>
            <w:r w:rsidR="006D6324">
              <w:rPr>
                <w:vertAlign w:val="superscript"/>
              </w:rPr>
              <w:t>1</w:t>
            </w:r>
            <w:r w:rsidR="006559AF" w:rsidRPr="007C6CD0">
              <w:t xml:space="preserve"> in</w:t>
            </w:r>
            <w:r w:rsidR="006559AF" w:rsidRPr="006D075E">
              <w:t xml:space="preserve"> Year 6 of listing, based on a DUSC analysis (January 2025) of PBS scripts for </w:t>
            </w:r>
            <w:proofErr w:type="spellStart"/>
            <w:r w:rsidR="006559AF" w:rsidRPr="006D075E">
              <w:t>bendamustine</w:t>
            </w:r>
            <w:proofErr w:type="spellEnd"/>
            <w:r w:rsidR="006559AF" w:rsidRPr="006D075E">
              <w:t xml:space="preserve"> with an Authority code for MCL to June 2024; </w:t>
            </w:r>
            <w:r w:rsidR="002166A2" w:rsidRPr="006D075E">
              <w:t>and a</w:t>
            </w:r>
            <w:r w:rsidR="006559AF" w:rsidRPr="006D075E">
              <w:t xml:space="preserve"> 5% annual growth</w:t>
            </w:r>
            <w:r w:rsidR="00D85ADB" w:rsidRPr="006D075E">
              <w:t>, based on several arguments:</w:t>
            </w:r>
          </w:p>
          <w:p w14:paraId="05842258" w14:textId="5798ED86" w:rsidR="00D85ADB" w:rsidRPr="006D075E" w:rsidRDefault="002166A2" w:rsidP="00594F78">
            <w:pPr>
              <w:pStyle w:val="COMTabletext"/>
              <w:keepLines/>
              <w:numPr>
                <w:ilvl w:val="0"/>
                <w:numId w:val="6"/>
              </w:numPr>
              <w:ind w:left="113" w:hanging="113"/>
            </w:pPr>
            <w:r w:rsidRPr="006D075E">
              <w:t>T</w:t>
            </w:r>
            <w:r w:rsidR="00D85ADB" w:rsidRPr="006D075E">
              <w:t>he changing treatment landscape due to the growing evidence of BTK inhibitors as a treatment alternative to ASCT</w:t>
            </w:r>
            <w:r w:rsidR="006F2ECE" w:rsidRPr="006D075E">
              <w:t>.</w:t>
            </w:r>
          </w:p>
          <w:p w14:paraId="39263401" w14:textId="4989D9CD" w:rsidR="00D85ADB" w:rsidRPr="006D075E" w:rsidRDefault="002166A2" w:rsidP="00594F78">
            <w:pPr>
              <w:pStyle w:val="COMTabletext"/>
              <w:keepLines/>
              <w:numPr>
                <w:ilvl w:val="0"/>
                <w:numId w:val="6"/>
              </w:numPr>
              <w:ind w:left="113" w:hanging="113"/>
            </w:pPr>
            <w:r w:rsidRPr="006D075E">
              <w:t>T</w:t>
            </w:r>
            <w:r w:rsidR="00D85ADB" w:rsidRPr="006D075E">
              <w:t>he PBAC previously considered an annual 4.2% growth in total market scripts for R/R MCL was reasonable (Table 16, acalabrutinib PSD, July 2021 PBAC meeting).</w:t>
            </w:r>
          </w:p>
          <w:p w14:paraId="09A5E062" w14:textId="5B0C199B" w:rsidR="00D85ADB" w:rsidRPr="006D075E" w:rsidRDefault="002166A2" w:rsidP="00594F78">
            <w:pPr>
              <w:pStyle w:val="COMTabletext"/>
              <w:keepLines/>
              <w:numPr>
                <w:ilvl w:val="0"/>
                <w:numId w:val="6"/>
              </w:numPr>
              <w:ind w:left="113" w:hanging="113"/>
            </w:pPr>
            <w:proofErr w:type="spellStart"/>
            <w:r w:rsidRPr="006D075E">
              <w:t>B</w:t>
            </w:r>
            <w:r w:rsidR="00D85ADB" w:rsidRPr="006D075E">
              <w:t>endamustine</w:t>
            </w:r>
            <w:proofErr w:type="spellEnd"/>
            <w:r w:rsidR="00D85ADB" w:rsidRPr="006D075E">
              <w:t xml:space="preserve"> historic utilisation data are reflective of the COVID era when the extent of chemotherapy was reduced, therefore the data are likely to be an underestimate.</w:t>
            </w:r>
          </w:p>
          <w:p w14:paraId="2974F923" w14:textId="636B105D" w:rsidR="006559AF" w:rsidRPr="006D075E" w:rsidRDefault="002166A2" w:rsidP="00594F78">
            <w:pPr>
              <w:pStyle w:val="COMTabletext"/>
              <w:keepLines/>
              <w:numPr>
                <w:ilvl w:val="0"/>
                <w:numId w:val="6"/>
              </w:numPr>
              <w:ind w:left="113" w:hanging="113"/>
            </w:pPr>
            <w:r w:rsidRPr="006D075E">
              <w:t>T</w:t>
            </w:r>
            <w:r w:rsidR="00D85ADB" w:rsidRPr="006D075E">
              <w:t xml:space="preserve">he increase in efficacy shown in the ECHO trial resulting in more use of </w:t>
            </w:r>
            <w:proofErr w:type="spellStart"/>
            <w:r w:rsidR="00D85ADB" w:rsidRPr="006D075E">
              <w:t>bendamustine</w:t>
            </w:r>
            <w:proofErr w:type="spellEnd"/>
            <w:r w:rsidR="00D85ADB" w:rsidRPr="006D075E">
              <w:t xml:space="preserve"> and rituximab regimens compared to standard chemotherapy.</w:t>
            </w:r>
          </w:p>
        </w:tc>
        <w:tc>
          <w:tcPr>
            <w:tcW w:w="2025" w:type="pct"/>
            <w:vAlign w:val="center"/>
          </w:tcPr>
          <w:p w14:paraId="44189AFE" w14:textId="508EC735" w:rsidR="006559AF" w:rsidRPr="006D075E" w:rsidRDefault="006559AF" w:rsidP="00AF171E">
            <w:pPr>
              <w:pStyle w:val="COMTabletext"/>
              <w:keepLines/>
            </w:pPr>
            <w:r w:rsidRPr="006D075E">
              <w:t xml:space="preserve">Estimation of eligible first line MCL patients from </w:t>
            </w:r>
            <w:proofErr w:type="spellStart"/>
            <w:r w:rsidRPr="006D075E">
              <w:t>bendamustine</w:t>
            </w:r>
            <w:proofErr w:type="spellEnd"/>
            <w:r w:rsidRPr="006D075E">
              <w:t xml:space="preserve"> scripts was reasonable, however</w:t>
            </w:r>
            <w:r w:rsidR="003561A8" w:rsidRPr="006D075E">
              <w:t xml:space="preserve"> the evaluation considered</w:t>
            </w:r>
            <w:r w:rsidRPr="006D075E">
              <w:t xml:space="preserve"> the assumption of 5% annual growth in the market was uncertain. </w:t>
            </w:r>
          </w:p>
          <w:p w14:paraId="7EFECF39" w14:textId="3EFC1635" w:rsidR="006559AF" w:rsidRPr="006D075E" w:rsidRDefault="006559AF" w:rsidP="00594F78">
            <w:pPr>
              <w:pStyle w:val="COMTabletext"/>
              <w:keepLines/>
              <w:numPr>
                <w:ilvl w:val="0"/>
                <w:numId w:val="6"/>
              </w:numPr>
              <w:ind w:left="113" w:hanging="113"/>
            </w:pPr>
            <w:r w:rsidRPr="006D075E">
              <w:t>Transplant-eligible patients would not be permitted to receive treatment with acalabrutinib under the proposed PBS restriction.</w:t>
            </w:r>
          </w:p>
          <w:p w14:paraId="1060AC74" w14:textId="2722EC9B" w:rsidR="006559AF" w:rsidRPr="006D075E" w:rsidRDefault="006559AF" w:rsidP="00594F78">
            <w:pPr>
              <w:pStyle w:val="COMTabletext"/>
              <w:keepLines/>
              <w:numPr>
                <w:ilvl w:val="0"/>
                <w:numId w:val="6"/>
              </w:numPr>
              <w:ind w:left="113" w:hanging="113"/>
            </w:pPr>
            <w:r w:rsidRPr="006D075E">
              <w:t>The growth rate in the R/R acalabrutinib submission was based on estimates of annual incidence of MCL in Australia from 1982 to 2006 (van Leeuwen 2014), with the study authors suggesting that the increased incidence of MCL may be due to progressive reclassification of SLL as other types of B-cell lymphoma, including MCL.</w:t>
            </w:r>
          </w:p>
          <w:p w14:paraId="078672CF" w14:textId="621A3D93" w:rsidR="006559AF" w:rsidRPr="006D075E" w:rsidRDefault="006559AF" w:rsidP="00594F78">
            <w:pPr>
              <w:pStyle w:val="COMTabletext"/>
              <w:keepLines/>
              <w:numPr>
                <w:ilvl w:val="0"/>
                <w:numId w:val="6"/>
              </w:numPr>
              <w:ind w:left="113" w:hanging="113"/>
            </w:pPr>
            <w:r w:rsidRPr="006D075E">
              <w:t xml:space="preserve">In the DUSC analysis, the number of </w:t>
            </w:r>
            <w:proofErr w:type="gramStart"/>
            <w:r w:rsidRPr="006D075E">
              <w:t>incident</w:t>
            </w:r>
            <w:proofErr w:type="gramEnd"/>
            <w:r w:rsidRPr="006D075E">
              <w:t xml:space="preserve"> </w:t>
            </w:r>
            <w:proofErr w:type="spellStart"/>
            <w:r w:rsidRPr="006D075E">
              <w:t>bendamustine</w:t>
            </w:r>
            <w:proofErr w:type="spellEnd"/>
            <w:r w:rsidRPr="006D075E">
              <w:t xml:space="preserve"> patients increased considerably from 2019/20 to 2020/21 but thereafter appeared to stabilise or slightly decrease.</w:t>
            </w:r>
          </w:p>
        </w:tc>
      </w:tr>
      <w:tr w:rsidR="006559AF" w:rsidRPr="006D075E" w14:paraId="273D05F4" w14:textId="77777777" w:rsidTr="00AF171E">
        <w:tc>
          <w:tcPr>
            <w:tcW w:w="862" w:type="pct"/>
            <w:vAlign w:val="center"/>
          </w:tcPr>
          <w:p w14:paraId="0152C8AA" w14:textId="3DC6926C" w:rsidR="006559AF" w:rsidRPr="006D075E" w:rsidRDefault="006559AF" w:rsidP="0041350B">
            <w:pPr>
              <w:pStyle w:val="COMTabletext"/>
              <w:keepNext w:val="0"/>
            </w:pPr>
            <w:r w:rsidRPr="006D075E">
              <w:t>Uptake rate</w:t>
            </w:r>
          </w:p>
        </w:tc>
        <w:tc>
          <w:tcPr>
            <w:tcW w:w="2113" w:type="pct"/>
            <w:vAlign w:val="center"/>
          </w:tcPr>
          <w:p w14:paraId="5FE8DC6D" w14:textId="6A0A89D1" w:rsidR="006559AF" w:rsidRPr="006D075E" w:rsidRDefault="00736FE4" w:rsidP="0041350B">
            <w:pPr>
              <w:pStyle w:val="COMTabletext"/>
              <w:keepNext w:val="0"/>
            </w:pPr>
            <w:r w:rsidRPr="006D075E">
              <w:t>Year 1-2</w:t>
            </w:r>
            <w:r w:rsidR="003561A8" w:rsidRPr="006D075E">
              <w:t>:</w:t>
            </w:r>
            <w:r w:rsidR="00BA73D7" w:rsidRPr="006D075E">
              <w:t xml:space="preserve"> </w:t>
            </w:r>
            <w:r w:rsidR="00800963" w:rsidRPr="00800963">
              <w:rPr>
                <w:color w:val="000000"/>
                <w:spacing w:val="51"/>
                <w:shd w:val="solid" w:color="000000" w:fill="000000"/>
                <w:fitText w:val="324" w:id="-629432826"/>
                <w14:textFill>
                  <w14:solidFill>
                    <w14:srgbClr w14:val="000000">
                      <w14:alpha w14:val="100000"/>
                    </w14:srgbClr>
                  </w14:solidFill>
                </w14:textFill>
              </w:rPr>
              <w:t>|||</w:t>
            </w:r>
            <w:r w:rsidR="00800963" w:rsidRPr="00800963">
              <w:rPr>
                <w:color w:val="000000"/>
                <w:spacing w:val="1"/>
                <w:shd w:val="solid" w:color="000000" w:fill="000000"/>
                <w:fitText w:val="324" w:id="-629432826"/>
                <w14:textFill>
                  <w14:solidFill>
                    <w14:srgbClr w14:val="000000">
                      <w14:alpha w14:val="100000"/>
                    </w14:srgbClr>
                  </w14:solidFill>
                </w14:textFill>
              </w:rPr>
              <w:t>|</w:t>
            </w:r>
            <w:r w:rsidRPr="006D075E">
              <w:t>%, Years 3-6</w:t>
            </w:r>
            <w:r w:rsidR="003561A8" w:rsidRPr="006D075E">
              <w:t>:</w:t>
            </w:r>
            <w:r w:rsidRPr="006D075E">
              <w:t xml:space="preserve"> </w:t>
            </w:r>
            <w:r w:rsidR="00800963" w:rsidRPr="00800963">
              <w:rPr>
                <w:color w:val="000000"/>
                <w:spacing w:val="51"/>
                <w:shd w:val="solid" w:color="000000" w:fill="000000"/>
                <w:fitText w:val="324" w:id="-629432825"/>
                <w14:textFill>
                  <w14:solidFill>
                    <w14:srgbClr w14:val="000000">
                      <w14:alpha w14:val="100000"/>
                    </w14:srgbClr>
                  </w14:solidFill>
                </w14:textFill>
              </w:rPr>
              <w:t>|||</w:t>
            </w:r>
            <w:r w:rsidR="00800963" w:rsidRPr="00800963">
              <w:rPr>
                <w:color w:val="000000"/>
                <w:spacing w:val="1"/>
                <w:shd w:val="solid" w:color="000000" w:fill="000000"/>
                <w:fitText w:val="324" w:id="-629432825"/>
                <w14:textFill>
                  <w14:solidFill>
                    <w14:srgbClr w14:val="000000">
                      <w14:alpha w14:val="100000"/>
                    </w14:srgbClr>
                  </w14:solidFill>
                </w14:textFill>
              </w:rPr>
              <w:t>|</w:t>
            </w:r>
            <w:r w:rsidRPr="006D075E">
              <w:t>%</w:t>
            </w:r>
            <w:r w:rsidR="009F5BC8" w:rsidRPr="006D075E">
              <w:t>. Expected given improved progression free survival with acalabrutinib in the ECHO trial</w:t>
            </w:r>
          </w:p>
        </w:tc>
        <w:tc>
          <w:tcPr>
            <w:tcW w:w="2025" w:type="pct"/>
            <w:vAlign w:val="center"/>
          </w:tcPr>
          <w:p w14:paraId="035D240F" w14:textId="323AA95F" w:rsidR="006559AF" w:rsidRPr="006D075E" w:rsidRDefault="003561A8" w:rsidP="0041350B">
            <w:pPr>
              <w:pStyle w:val="COMTabletext"/>
              <w:keepNext w:val="0"/>
            </w:pPr>
            <w:r w:rsidRPr="006D075E">
              <w:t>The evaluation considered that the u</w:t>
            </w:r>
            <w:r w:rsidR="009F5BC8" w:rsidRPr="006D075E">
              <w:t>ptake estimates were assumptions and are uncertain.</w:t>
            </w:r>
          </w:p>
        </w:tc>
      </w:tr>
      <w:tr w:rsidR="00736FE4" w:rsidRPr="006D075E" w14:paraId="1D8B6CD0" w14:textId="77777777" w:rsidTr="00AF171E">
        <w:tc>
          <w:tcPr>
            <w:tcW w:w="862" w:type="pct"/>
            <w:vAlign w:val="center"/>
          </w:tcPr>
          <w:p w14:paraId="5BA5A4EB" w14:textId="1BDB2222" w:rsidR="00736FE4" w:rsidRPr="006D075E" w:rsidRDefault="00736FE4" w:rsidP="0041350B">
            <w:pPr>
              <w:pStyle w:val="COMTabletext"/>
              <w:keepNext w:val="0"/>
            </w:pPr>
            <w:r w:rsidRPr="006D075E">
              <w:t xml:space="preserve">Adherence to acalabrutinib </w:t>
            </w:r>
            <w:r w:rsidR="00327FE9" w:rsidRPr="006D075E">
              <w:t>treatment</w:t>
            </w:r>
          </w:p>
        </w:tc>
        <w:tc>
          <w:tcPr>
            <w:tcW w:w="2113" w:type="pct"/>
            <w:vAlign w:val="center"/>
          </w:tcPr>
          <w:p w14:paraId="7CB4BEFB" w14:textId="6235E981" w:rsidR="00736FE4" w:rsidRPr="006D075E" w:rsidRDefault="00736FE4" w:rsidP="0041350B">
            <w:pPr>
              <w:pStyle w:val="COMTabletext"/>
              <w:keepNext w:val="0"/>
            </w:pPr>
            <w:r w:rsidRPr="006D075E">
              <w:t>89.0% based on adherence reported in the ECHO trial over the entire treatment period.</w:t>
            </w:r>
          </w:p>
        </w:tc>
        <w:tc>
          <w:tcPr>
            <w:tcW w:w="2025" w:type="pct"/>
            <w:vAlign w:val="center"/>
          </w:tcPr>
          <w:p w14:paraId="3D0FADCD" w14:textId="3C8A6E8F" w:rsidR="00736FE4" w:rsidRPr="006D075E" w:rsidRDefault="00736FE4" w:rsidP="0041350B">
            <w:pPr>
              <w:pStyle w:val="COMTabletext"/>
              <w:keepNext w:val="0"/>
            </w:pPr>
            <w:r w:rsidRPr="006D075E">
              <w:t>Trial-based adherence may not be representative of adherence in clinical practice.</w:t>
            </w:r>
          </w:p>
        </w:tc>
      </w:tr>
      <w:tr w:rsidR="00335124" w:rsidRPr="006D075E" w14:paraId="2A406CE8" w14:textId="77777777" w:rsidTr="00B47A5A">
        <w:trPr>
          <w:cantSplit/>
        </w:trPr>
        <w:tc>
          <w:tcPr>
            <w:tcW w:w="862" w:type="pct"/>
            <w:vAlign w:val="center"/>
          </w:tcPr>
          <w:p w14:paraId="553DDAC5" w14:textId="282D7E9D" w:rsidR="00335124" w:rsidRPr="006D075E" w:rsidRDefault="00335124" w:rsidP="0041350B">
            <w:pPr>
              <w:pStyle w:val="COMTabletext"/>
              <w:keepNext w:val="0"/>
            </w:pPr>
            <w:r w:rsidRPr="006D075E">
              <w:t>Treatment duration for acalabrutinib</w:t>
            </w:r>
          </w:p>
        </w:tc>
        <w:tc>
          <w:tcPr>
            <w:tcW w:w="2113" w:type="pct"/>
            <w:vAlign w:val="center"/>
          </w:tcPr>
          <w:p w14:paraId="40FE9334" w14:textId="0799BD10" w:rsidR="00335124" w:rsidRPr="006D075E" w:rsidRDefault="00335124" w:rsidP="0041350B">
            <w:pPr>
              <w:pStyle w:val="COMTabletext"/>
              <w:keepNext w:val="0"/>
              <w:rPr>
                <w:i/>
                <w:iCs/>
              </w:rPr>
            </w:pPr>
            <w:r w:rsidRPr="006D075E">
              <w:t>73.73 months, based on mean duration of treatment derived from extrapolated ECHO trial data in the economic model.</w:t>
            </w:r>
          </w:p>
        </w:tc>
        <w:tc>
          <w:tcPr>
            <w:tcW w:w="2025" w:type="pct"/>
            <w:vAlign w:val="center"/>
          </w:tcPr>
          <w:p w14:paraId="0162115A" w14:textId="074A5BC9" w:rsidR="00335124" w:rsidRPr="002A58DD" w:rsidRDefault="00335124" w:rsidP="0041350B">
            <w:pPr>
              <w:pStyle w:val="COMTabletext"/>
              <w:keepNext w:val="0"/>
            </w:pPr>
            <w:r w:rsidRPr="002A58DD">
              <w:t xml:space="preserve">The mean duration of treatment was calculated based on a </w:t>
            </w:r>
            <w:proofErr w:type="gramStart"/>
            <w:r w:rsidRPr="002A58DD">
              <w:t>20 year</w:t>
            </w:r>
            <w:proofErr w:type="gramEnd"/>
            <w:r w:rsidRPr="002A58DD">
              <w:t xml:space="preserve"> model time horizon, and assume</w:t>
            </w:r>
            <w:r w:rsidR="004B12D1">
              <w:t>d</w:t>
            </w:r>
            <w:r w:rsidRPr="002A58DD">
              <w:t xml:space="preserve"> all patients receive more than 6 years of treatment. Th</w:t>
            </w:r>
            <w:r w:rsidR="0024436B">
              <w:t>e evaluation and the PBAC considered th</w:t>
            </w:r>
            <w:r w:rsidRPr="002A58DD">
              <w:t xml:space="preserve">is </w:t>
            </w:r>
            <w:proofErr w:type="gramStart"/>
            <w:r w:rsidRPr="002A58DD">
              <w:t>was</w:t>
            </w:r>
            <w:proofErr w:type="gramEnd"/>
            <w:r w:rsidRPr="002A58DD">
              <w:t xml:space="preserve"> inconsistent with the extrapolated modelled time on treatment curve which estimated that there are 73% of patients on treatment after 1 year, 61% on treatment after 2 years, with a continuing decline </w:t>
            </w:r>
            <w:r w:rsidR="00124F56" w:rsidRPr="002A58DD">
              <w:t xml:space="preserve">in treatment persistence </w:t>
            </w:r>
            <w:r w:rsidRPr="002A58DD">
              <w:t>thereafter</w:t>
            </w:r>
            <w:r w:rsidR="0024436B">
              <w:t xml:space="preserve"> (in the submission base case economic model</w:t>
            </w:r>
            <w:r w:rsidR="00792367">
              <w:t>)</w:t>
            </w:r>
            <w:r w:rsidRPr="002A58DD">
              <w:t xml:space="preserve">. The submission’s approach </w:t>
            </w:r>
            <w:r w:rsidR="00E65503">
              <w:t>would</w:t>
            </w:r>
            <w:r w:rsidRPr="002A58DD">
              <w:t xml:space="preserve"> overestimate the costs of acalabrutinib treatment.</w:t>
            </w:r>
          </w:p>
        </w:tc>
      </w:tr>
      <w:tr w:rsidR="00335124" w:rsidRPr="006D075E" w14:paraId="52239DC2" w14:textId="77777777" w:rsidTr="00B47A5A">
        <w:trPr>
          <w:cantSplit/>
        </w:trPr>
        <w:tc>
          <w:tcPr>
            <w:tcW w:w="862" w:type="pct"/>
            <w:vAlign w:val="center"/>
          </w:tcPr>
          <w:p w14:paraId="5888E0F1" w14:textId="01436A29" w:rsidR="00335124" w:rsidRPr="006D075E" w:rsidRDefault="00335124" w:rsidP="0041350B">
            <w:pPr>
              <w:pStyle w:val="COMTabletext"/>
              <w:keepNext w:val="0"/>
            </w:pPr>
            <w:proofErr w:type="spellStart"/>
            <w:r w:rsidRPr="006D075E">
              <w:t>Bendamustine</w:t>
            </w:r>
            <w:proofErr w:type="spellEnd"/>
            <w:r w:rsidRPr="006D075E">
              <w:t>/ rituximab induction</w:t>
            </w:r>
          </w:p>
        </w:tc>
        <w:tc>
          <w:tcPr>
            <w:tcW w:w="2113" w:type="pct"/>
            <w:vAlign w:val="center"/>
          </w:tcPr>
          <w:p w14:paraId="162A66E7" w14:textId="307DB49C" w:rsidR="00335124" w:rsidRPr="006D075E" w:rsidRDefault="00335124" w:rsidP="0041350B">
            <w:pPr>
              <w:pStyle w:val="COMTabletext"/>
              <w:keepNext w:val="0"/>
            </w:pPr>
            <w:r w:rsidRPr="006D075E">
              <w:t xml:space="preserve">100% of patients, 6 cycles (5.52 months), assumed to apply </w:t>
            </w:r>
            <w:r w:rsidR="00C57BD5" w:rsidRPr="006D075E">
              <w:t>regardless of the addition of acalabrutinib</w:t>
            </w:r>
          </w:p>
        </w:tc>
        <w:tc>
          <w:tcPr>
            <w:tcW w:w="2025" w:type="pct"/>
            <w:vAlign w:val="center"/>
          </w:tcPr>
          <w:p w14:paraId="73BA6E3A" w14:textId="7C6A2FE7" w:rsidR="00335124" w:rsidRPr="006D075E" w:rsidRDefault="00C57BD5" w:rsidP="0041350B">
            <w:pPr>
              <w:pStyle w:val="COMTabletext"/>
              <w:keepNext w:val="0"/>
            </w:pPr>
            <w:r w:rsidRPr="006D075E">
              <w:t>Th</w:t>
            </w:r>
            <w:r w:rsidR="008000AE">
              <w:t>e evaluation considered th</w:t>
            </w:r>
            <w:r w:rsidRPr="006D075E">
              <w:t>is was reasonable</w:t>
            </w:r>
          </w:p>
        </w:tc>
      </w:tr>
      <w:tr w:rsidR="00335124" w:rsidRPr="006D075E" w14:paraId="72C9FBDD" w14:textId="77777777" w:rsidTr="00B47A5A">
        <w:trPr>
          <w:cantSplit/>
        </w:trPr>
        <w:tc>
          <w:tcPr>
            <w:tcW w:w="862" w:type="pct"/>
            <w:vAlign w:val="center"/>
          </w:tcPr>
          <w:p w14:paraId="2FBBDC67" w14:textId="16649DFD" w:rsidR="00335124" w:rsidRPr="006D075E" w:rsidRDefault="00335124" w:rsidP="0041350B">
            <w:pPr>
              <w:pStyle w:val="COMTabletext"/>
              <w:keepNext w:val="0"/>
            </w:pPr>
            <w:r w:rsidRPr="006D075E">
              <w:t>Duration of rituximab maintenance</w:t>
            </w:r>
          </w:p>
        </w:tc>
        <w:tc>
          <w:tcPr>
            <w:tcW w:w="2113" w:type="pct"/>
            <w:vAlign w:val="center"/>
          </w:tcPr>
          <w:p w14:paraId="550316FC" w14:textId="5AF76DBC" w:rsidR="00335124" w:rsidRPr="006D075E" w:rsidRDefault="00C57BD5" w:rsidP="0041350B">
            <w:pPr>
              <w:pStyle w:val="COMTabletext"/>
              <w:keepNext w:val="0"/>
            </w:pPr>
            <w:r w:rsidRPr="006D075E">
              <w:t xml:space="preserve">With acalabrutinib: 14.78 months; without acalabrutinib 12.89 months. Based on </w:t>
            </w:r>
            <w:r w:rsidR="00A37773" w:rsidRPr="006D075E">
              <w:t xml:space="preserve">ECHO trial mean duration of rituximab treatment </w:t>
            </w:r>
            <w:r w:rsidR="008D7D3F" w:rsidRPr="006D075E">
              <w:t xml:space="preserve">in each treatment arm </w:t>
            </w:r>
            <w:r w:rsidR="00A37773" w:rsidRPr="006D075E">
              <w:t>minus 5.52 months of rituximab induction.</w:t>
            </w:r>
          </w:p>
        </w:tc>
        <w:tc>
          <w:tcPr>
            <w:tcW w:w="2025" w:type="pct"/>
            <w:vAlign w:val="center"/>
          </w:tcPr>
          <w:p w14:paraId="7295AAE5" w14:textId="409E9E8A" w:rsidR="00335124" w:rsidRPr="006D075E" w:rsidRDefault="008D7D3F" w:rsidP="0041350B">
            <w:pPr>
              <w:pStyle w:val="COMTabletext"/>
              <w:keepNext w:val="0"/>
            </w:pPr>
            <w:r w:rsidRPr="006D075E">
              <w:t>Th</w:t>
            </w:r>
            <w:r w:rsidR="008000AE">
              <w:t>e evaluation considered that th</w:t>
            </w:r>
            <w:r w:rsidRPr="006D075E">
              <w:t>is appeared reasonable</w:t>
            </w:r>
            <w:r w:rsidR="00E53A05" w:rsidRPr="006D075E">
              <w:t>.</w:t>
            </w:r>
          </w:p>
        </w:tc>
      </w:tr>
      <w:tr w:rsidR="00335124" w:rsidRPr="006D075E" w14:paraId="512A8938" w14:textId="77777777" w:rsidTr="00B47A5A">
        <w:trPr>
          <w:cantSplit/>
        </w:trPr>
        <w:tc>
          <w:tcPr>
            <w:tcW w:w="862" w:type="pct"/>
            <w:vAlign w:val="center"/>
          </w:tcPr>
          <w:p w14:paraId="1F4C70A3" w14:textId="7B3F9333" w:rsidR="00335124" w:rsidRPr="006D075E" w:rsidRDefault="00335124" w:rsidP="0041350B">
            <w:pPr>
              <w:pStyle w:val="COMTabletext"/>
              <w:keepNext w:val="0"/>
            </w:pPr>
            <w:r w:rsidRPr="006D075E">
              <w:lastRenderedPageBreak/>
              <w:t>Proportion of patients initiating subsequent anti-cancer therapy</w:t>
            </w:r>
          </w:p>
        </w:tc>
        <w:tc>
          <w:tcPr>
            <w:tcW w:w="2113" w:type="pct"/>
            <w:vAlign w:val="center"/>
          </w:tcPr>
          <w:p w14:paraId="32B1F675" w14:textId="77777777" w:rsidR="001B581D" w:rsidRPr="006D075E" w:rsidRDefault="003561A8" w:rsidP="0041350B">
            <w:pPr>
              <w:pStyle w:val="COMTabletext"/>
              <w:keepNext w:val="0"/>
            </w:pPr>
            <w:r w:rsidRPr="006D075E">
              <w:t>Submission:</w:t>
            </w:r>
            <w:r w:rsidR="00335124" w:rsidRPr="006D075E">
              <w:t>19.96% in the initial year of acalabrutinib treatment, decreasing to 3.07% by the patient’s 6</w:t>
            </w:r>
            <w:r w:rsidR="00335124" w:rsidRPr="006D075E">
              <w:rPr>
                <w:vertAlign w:val="superscript"/>
              </w:rPr>
              <w:t>th</w:t>
            </w:r>
            <w:r w:rsidR="00335124" w:rsidRPr="006D075E">
              <w:t xml:space="preserve"> year of treatment, derived from </w:t>
            </w:r>
            <w:r w:rsidR="00493DFB" w:rsidRPr="006D075E">
              <w:t xml:space="preserve">the </w:t>
            </w:r>
            <w:r w:rsidR="00335124" w:rsidRPr="006D075E">
              <w:t>cumulative incidence of subsequent treatment initiation based on extrapolated time to first subsequent therapy used in the economic model.</w:t>
            </w:r>
          </w:p>
          <w:p w14:paraId="5289CDB1" w14:textId="2AB38F3E" w:rsidR="00335124" w:rsidRPr="006D075E" w:rsidRDefault="001B581D" w:rsidP="0041350B">
            <w:pPr>
              <w:pStyle w:val="COMTabletext"/>
              <w:keepNext w:val="0"/>
            </w:pPr>
            <w:r w:rsidRPr="006D075E">
              <w:t>PSCR: 11.9% in the initial year of</w:t>
            </w:r>
            <w:r w:rsidR="00335124" w:rsidRPr="006D075E">
              <w:t xml:space="preserve"> </w:t>
            </w:r>
            <w:r w:rsidRPr="006D075E">
              <w:t>acalabrutinib treatment, decreasing to 2.9% by the patient’s 6</w:t>
            </w:r>
            <w:r w:rsidRPr="006D075E">
              <w:rPr>
                <w:vertAlign w:val="superscript"/>
              </w:rPr>
              <w:t>th</w:t>
            </w:r>
            <w:r w:rsidRPr="006D075E">
              <w:t xml:space="preserve"> year of treatment</w:t>
            </w:r>
          </w:p>
        </w:tc>
        <w:tc>
          <w:tcPr>
            <w:tcW w:w="2025" w:type="pct"/>
            <w:vAlign w:val="center"/>
          </w:tcPr>
          <w:p w14:paraId="0BA4ED26" w14:textId="060A371A" w:rsidR="00335124" w:rsidRPr="006D075E" w:rsidRDefault="00E53A05" w:rsidP="0041350B">
            <w:pPr>
              <w:pStyle w:val="COMTabletext"/>
              <w:keepNext w:val="0"/>
            </w:pPr>
            <w:r w:rsidRPr="006D075E">
              <w:t>The submission claimed that the time to first subsequent treatment initiation curve was censored for all deaths, however, the economic model used the extrapolated time to first subsequent therapy or death curve, which would overestimate initiation of subsequent first therapy, due to the inclusion of deaths as an event.</w:t>
            </w:r>
            <w:r w:rsidR="001B581D" w:rsidRPr="006D075E">
              <w:t xml:space="preserve"> This was corrected in the PSCR. </w:t>
            </w:r>
          </w:p>
        </w:tc>
      </w:tr>
      <w:tr w:rsidR="00335124" w:rsidRPr="006D075E" w14:paraId="18F4FF1F" w14:textId="77777777" w:rsidTr="00AF171E">
        <w:tc>
          <w:tcPr>
            <w:tcW w:w="862" w:type="pct"/>
            <w:vAlign w:val="center"/>
          </w:tcPr>
          <w:p w14:paraId="09A388E2" w14:textId="727B71C1" w:rsidR="00335124" w:rsidRPr="006D075E" w:rsidRDefault="00C866D5" w:rsidP="00335124">
            <w:pPr>
              <w:pStyle w:val="COMTabletext"/>
            </w:pPr>
            <w:r w:rsidRPr="006D075E">
              <w:t>Proportion of patients receiving subsequent treatment who will avoid BTK inhibitors in R/R MCL</w:t>
            </w:r>
          </w:p>
        </w:tc>
        <w:tc>
          <w:tcPr>
            <w:tcW w:w="2113" w:type="pct"/>
            <w:vAlign w:val="center"/>
          </w:tcPr>
          <w:p w14:paraId="61C6F202" w14:textId="46872E26" w:rsidR="00335124" w:rsidRPr="006D075E" w:rsidRDefault="00E53A05" w:rsidP="00E53A05">
            <w:pPr>
              <w:pStyle w:val="COMTabletext"/>
            </w:pPr>
            <w:r w:rsidRPr="006D075E">
              <w:t>81</w:t>
            </w:r>
            <w:r w:rsidRPr="006D075E">
              <w:rPr>
                <w:rStyle w:val="COMTabletextChar"/>
              </w:rPr>
              <w:t>% based on the proportion of use of BTK inhibitors as first subsequent therapies in the placebo arm of the ECHO trial (excluding treatments that were neither BTK inhibitors or chemotherapy or that were not available in Australia).</w:t>
            </w:r>
            <w:r w:rsidR="001B581D" w:rsidRPr="006D075E">
              <w:rPr>
                <w:rStyle w:val="COMTabletextChar"/>
              </w:rPr>
              <w:t xml:space="preserve"> Revised to 87.6% in the PSCR. </w:t>
            </w:r>
          </w:p>
        </w:tc>
        <w:tc>
          <w:tcPr>
            <w:tcW w:w="2025" w:type="pct"/>
            <w:vAlign w:val="center"/>
          </w:tcPr>
          <w:p w14:paraId="283F2180" w14:textId="26D18AC2" w:rsidR="00335124" w:rsidRPr="006D075E" w:rsidRDefault="0041350B" w:rsidP="0041350B">
            <w:pPr>
              <w:pStyle w:val="COMTabletext"/>
            </w:pPr>
            <w:r w:rsidRPr="006D075E">
              <w:t xml:space="preserve">The submission only included first subsequent treatments received in the trial. In the placebo arm of the trial, of the patients with at least one subsequent MCL therapy, </w:t>
            </w:r>
            <w:r w:rsidR="001B581D" w:rsidRPr="006D075E">
              <w:t>around 87%</w:t>
            </w:r>
            <w:r w:rsidRPr="006D075E">
              <w:t xml:space="preserve"> received a BTK inhibitor.</w:t>
            </w:r>
            <w:r w:rsidR="001B581D" w:rsidRPr="006D075E">
              <w:t xml:space="preserve"> This was corrected in the PSCR.</w:t>
            </w:r>
          </w:p>
        </w:tc>
      </w:tr>
      <w:tr w:rsidR="00335124" w:rsidRPr="006D075E" w14:paraId="0C865763" w14:textId="77777777" w:rsidTr="00AF171E">
        <w:tc>
          <w:tcPr>
            <w:tcW w:w="862" w:type="pct"/>
            <w:vAlign w:val="center"/>
          </w:tcPr>
          <w:p w14:paraId="49D0440C" w14:textId="0F652978" w:rsidR="00335124" w:rsidRPr="006D075E" w:rsidRDefault="0041350B" w:rsidP="00335124">
            <w:pPr>
              <w:pStyle w:val="COMTabletext"/>
            </w:pPr>
            <w:r w:rsidRPr="006D075E">
              <w:t>Duration of subsequent BTK inhibitor treatment</w:t>
            </w:r>
          </w:p>
        </w:tc>
        <w:tc>
          <w:tcPr>
            <w:tcW w:w="2113" w:type="pct"/>
            <w:vAlign w:val="center"/>
          </w:tcPr>
          <w:p w14:paraId="55CF5673" w14:textId="7545F237" w:rsidR="00335124" w:rsidRPr="006D075E" w:rsidRDefault="0041350B" w:rsidP="0041350B">
            <w:pPr>
              <w:pStyle w:val="COMTabletext"/>
            </w:pPr>
            <w:r w:rsidRPr="006D075E">
              <w:t xml:space="preserve">17.8 months, based on the median duration of </w:t>
            </w:r>
            <w:proofErr w:type="spellStart"/>
            <w:r w:rsidRPr="006D075E">
              <w:t>zanubrutinib</w:t>
            </w:r>
            <w:proofErr w:type="spellEnd"/>
            <w:r w:rsidRPr="006D075E">
              <w:t xml:space="preserve"> treatment in R/R MCL</w:t>
            </w:r>
            <w:r w:rsidR="00FF1E70" w:rsidRPr="006D075E">
              <w:t xml:space="preserve"> from one of two </w:t>
            </w:r>
            <w:proofErr w:type="spellStart"/>
            <w:r w:rsidR="00FF1E70" w:rsidRPr="006D075E">
              <w:t>zanubrutinib</w:t>
            </w:r>
            <w:proofErr w:type="spellEnd"/>
            <w:r w:rsidR="00FF1E70" w:rsidRPr="006D075E">
              <w:t xml:space="preserve"> single arm studies (Study 206)</w:t>
            </w:r>
            <w:r w:rsidRPr="006D075E">
              <w:t xml:space="preserve"> </w:t>
            </w:r>
            <w:r w:rsidR="00406732" w:rsidRPr="006D075E">
              <w:t>r</w:t>
            </w:r>
            <w:r w:rsidRPr="006D075E">
              <w:t xml:space="preserve">eported in the July 2021 </w:t>
            </w:r>
            <w:proofErr w:type="spellStart"/>
            <w:r w:rsidRPr="006D075E">
              <w:t>zanubrutinib</w:t>
            </w:r>
            <w:proofErr w:type="spellEnd"/>
            <w:r w:rsidRPr="006D075E">
              <w:t xml:space="preserve"> consideration (Table 12, </w:t>
            </w:r>
            <w:proofErr w:type="spellStart"/>
            <w:r w:rsidRPr="006D075E">
              <w:t>zanubrutinib</w:t>
            </w:r>
            <w:proofErr w:type="spellEnd"/>
            <w:r w:rsidRPr="006D075E">
              <w:t xml:space="preserve"> PSD, July 2021 PBAC meeting), as it has the largest market share of all PBS listed BTK inhibitors for R/R MCL.</w:t>
            </w:r>
            <w:r w:rsidR="00406732" w:rsidRPr="006D075E">
              <w:t xml:space="preserve"> </w:t>
            </w:r>
          </w:p>
        </w:tc>
        <w:tc>
          <w:tcPr>
            <w:tcW w:w="2025" w:type="pct"/>
            <w:vAlign w:val="center"/>
          </w:tcPr>
          <w:p w14:paraId="69999243" w14:textId="77777777" w:rsidR="005025EF" w:rsidRDefault="00406732" w:rsidP="00406732">
            <w:pPr>
              <w:pStyle w:val="COMTabletext"/>
            </w:pPr>
            <w:r w:rsidRPr="00411BD0">
              <w:t xml:space="preserve">Results from a later data cut of this study have since been published (Song 2022), with a median follow up of 35.3 months and a median treatment duration of 27.6 months. </w:t>
            </w:r>
          </w:p>
          <w:p w14:paraId="0E346EAB" w14:textId="093CEC0F" w:rsidR="00335124" w:rsidRPr="006D075E" w:rsidRDefault="00CB45C0" w:rsidP="00B06B7D">
            <w:pPr>
              <w:pStyle w:val="COMTabletext"/>
            </w:pPr>
            <w:r>
              <w:t xml:space="preserve">The PBAC </w:t>
            </w:r>
            <w:r w:rsidR="000A2543">
              <w:t>noted the duration of subsequent BTK inhibitors of 17.8</w:t>
            </w:r>
            <w:r w:rsidR="00B12963">
              <w:t xml:space="preserve"> </w:t>
            </w:r>
            <w:r w:rsidR="000A2543">
              <w:t xml:space="preserve">months was </w:t>
            </w:r>
            <w:r w:rsidR="00CB0E0C">
              <w:t xml:space="preserve">consistent with the economic model and considered this was appropriate. </w:t>
            </w:r>
            <w:r w:rsidR="000A2543">
              <w:t xml:space="preserve"> </w:t>
            </w:r>
          </w:p>
        </w:tc>
      </w:tr>
    </w:tbl>
    <w:p w14:paraId="18D32C76" w14:textId="0C82D203" w:rsidR="00E42F73" w:rsidRPr="006D075E" w:rsidRDefault="00E42F73" w:rsidP="007E51D5">
      <w:pPr>
        <w:pStyle w:val="COMTablefooter"/>
      </w:pPr>
      <w:r w:rsidRPr="006D075E">
        <w:t xml:space="preserve">Source: </w:t>
      </w:r>
      <w:r w:rsidR="00F44B19" w:rsidRPr="006D075E">
        <w:t>Table 4-1, p148 of the submission.</w:t>
      </w:r>
    </w:p>
    <w:p w14:paraId="5C1665BE" w14:textId="77777777" w:rsidR="00F85373" w:rsidRDefault="00F44B19" w:rsidP="00F85373">
      <w:pPr>
        <w:pStyle w:val="COMTablefooter"/>
        <w:rPr>
          <w:i/>
          <w:szCs w:val="18"/>
        </w:rPr>
      </w:pPr>
      <w:r w:rsidRPr="006D075E">
        <w:t xml:space="preserve">Abbreviations: </w:t>
      </w:r>
      <w:r w:rsidR="00C866D5" w:rsidRPr="006D075E">
        <w:t xml:space="preserve">BTK, </w:t>
      </w:r>
      <w:r w:rsidR="004A3D4E" w:rsidRPr="006D075E">
        <w:t xml:space="preserve">Bruton tyrosine kinase; </w:t>
      </w:r>
      <w:r w:rsidRPr="006D075E">
        <w:t xml:space="preserve">MCL, mantle cell lymphoma; </w:t>
      </w:r>
      <w:r w:rsidR="004A3D4E" w:rsidRPr="006D075E">
        <w:t xml:space="preserve">PSD, </w:t>
      </w:r>
      <w:r w:rsidR="00250816" w:rsidRPr="006D075E">
        <w:t>P</w:t>
      </w:r>
      <w:r w:rsidR="004A3D4E" w:rsidRPr="006D075E">
        <w:t xml:space="preserve">ublic </w:t>
      </w:r>
      <w:r w:rsidR="00250816" w:rsidRPr="006D075E">
        <w:t>S</w:t>
      </w:r>
      <w:r w:rsidR="004A3D4E" w:rsidRPr="006D075E">
        <w:t xml:space="preserve">ummary </w:t>
      </w:r>
      <w:r w:rsidR="00250816" w:rsidRPr="006D075E">
        <w:t>D</w:t>
      </w:r>
      <w:r w:rsidR="004A3D4E" w:rsidRPr="006D075E">
        <w:t xml:space="preserve">ocument; PBS, Pharmaceutical Benefits Scheme; </w:t>
      </w:r>
      <w:r w:rsidRPr="006D075E">
        <w:t>R/R, relapsed/refractory</w:t>
      </w:r>
      <w:r w:rsidR="00F85373" w:rsidRPr="00F85373">
        <w:rPr>
          <w:i/>
          <w:szCs w:val="18"/>
        </w:rPr>
        <w:t xml:space="preserve"> </w:t>
      </w:r>
    </w:p>
    <w:p w14:paraId="07E713B3" w14:textId="0BFF4C14" w:rsidR="00F85373" w:rsidRPr="00F85373" w:rsidRDefault="00F85373" w:rsidP="00F85373">
      <w:pPr>
        <w:pStyle w:val="COMTablefooter"/>
        <w:rPr>
          <w:i/>
        </w:rPr>
      </w:pPr>
      <w:r w:rsidRPr="00F85373">
        <w:rPr>
          <w:i/>
        </w:rPr>
        <w:t xml:space="preserve">The redacted values correspond to the following ranges: </w:t>
      </w:r>
    </w:p>
    <w:p w14:paraId="46EB70F3" w14:textId="0E71D06C" w:rsidR="00F85373" w:rsidRPr="00F85373" w:rsidRDefault="00F85373" w:rsidP="00F85373">
      <w:pPr>
        <w:pStyle w:val="COMTablefooter"/>
        <w:rPr>
          <w:i/>
        </w:rPr>
      </w:pPr>
      <w:r w:rsidRPr="00F85373">
        <w:rPr>
          <w:i/>
          <w:vertAlign w:val="superscript"/>
        </w:rPr>
        <w:t>1</w:t>
      </w:r>
      <w:r w:rsidRPr="00F85373">
        <w:rPr>
          <w:i/>
        </w:rPr>
        <w:t xml:space="preserve"> </w:t>
      </w:r>
      <w:r>
        <w:rPr>
          <w:i/>
        </w:rPr>
        <w:t>&lt; 500</w:t>
      </w:r>
    </w:p>
    <w:p w14:paraId="7F8B0B0F" w14:textId="5158F996" w:rsidR="00F44B19" w:rsidRDefault="00F44B19" w:rsidP="00F44B19">
      <w:pPr>
        <w:pStyle w:val="COMTablefooter"/>
      </w:pPr>
    </w:p>
    <w:p w14:paraId="534F8CEB" w14:textId="77777777" w:rsidR="00F85373" w:rsidRPr="00F85373" w:rsidRDefault="00F85373" w:rsidP="00F85373"/>
    <w:p w14:paraId="7E9E95D8" w14:textId="471DE30E" w:rsidR="00957BFF" w:rsidRPr="006D075E" w:rsidRDefault="00957BFF" w:rsidP="00B505C8">
      <w:pPr>
        <w:pStyle w:val="COMexecsummnumbered"/>
      </w:pPr>
      <w:r w:rsidRPr="006D075E">
        <w:t xml:space="preserve">The estimated utilisation and financial implications of a PBS listing of acalabrutinib for previously untreated </w:t>
      </w:r>
      <w:r w:rsidR="008B591E">
        <w:t>MCL</w:t>
      </w:r>
      <w:r w:rsidRPr="006D075E">
        <w:t xml:space="preserve"> is summarised in </w:t>
      </w:r>
      <w:r w:rsidRPr="006D075E">
        <w:fldChar w:fldCharType="begin"/>
      </w:r>
      <w:r w:rsidRPr="006D075E">
        <w:instrText xml:space="preserve"> REF _Ref104805295 \h  \* MERGEFORMAT </w:instrText>
      </w:r>
      <w:r w:rsidRPr="006D075E">
        <w:fldChar w:fldCharType="separate"/>
      </w:r>
      <w:r w:rsidR="00A542E9" w:rsidRPr="006D075E">
        <w:t xml:space="preserve">Table </w:t>
      </w:r>
      <w:r w:rsidR="00A542E9">
        <w:t>14</w:t>
      </w:r>
      <w:r w:rsidRPr="006D075E">
        <w:fldChar w:fldCharType="end"/>
      </w:r>
      <w:r w:rsidRPr="006D075E">
        <w:t xml:space="preserve">. </w:t>
      </w:r>
      <w:r w:rsidR="001B581D" w:rsidRPr="006D075E">
        <w:t xml:space="preserve">The PSCR updated the financial estimates to correct </w:t>
      </w:r>
      <w:r w:rsidR="003E23EA" w:rsidRPr="006D075E">
        <w:t xml:space="preserve">some of the </w:t>
      </w:r>
      <w:r w:rsidR="001B581D" w:rsidRPr="006D075E">
        <w:t xml:space="preserve">issues with the cost </w:t>
      </w:r>
      <w:r w:rsidR="00292F72" w:rsidRPr="006D075E">
        <w:t xml:space="preserve">of </w:t>
      </w:r>
      <w:r w:rsidR="001B581D" w:rsidRPr="006D075E">
        <w:t>subsequent BTK</w:t>
      </w:r>
      <w:r w:rsidR="00273AD9">
        <w:t xml:space="preserve"> </w:t>
      </w:r>
      <w:r w:rsidR="00273AD9" w:rsidRPr="003B0005">
        <w:t>i</w:t>
      </w:r>
      <w:r w:rsidR="00273AD9">
        <w:t>nhibitor</w:t>
      </w:r>
      <w:r w:rsidR="001B581D" w:rsidRPr="006D075E">
        <w:t xml:space="preserve"> treatment. </w:t>
      </w:r>
    </w:p>
    <w:p w14:paraId="38EC053C" w14:textId="0F8A3B87" w:rsidR="00C25D9C" w:rsidRPr="006D075E" w:rsidRDefault="00E16AD8" w:rsidP="00FF3ECD">
      <w:pPr>
        <w:pStyle w:val="COMtablefigcaption"/>
      </w:pPr>
      <w:bookmarkStart w:id="71" w:name="_Ref104805295"/>
      <w:r w:rsidRPr="006D075E">
        <w:lastRenderedPageBreak/>
        <w:t xml:space="preserve">Table </w:t>
      </w:r>
      <w:r w:rsidR="00370FC7" w:rsidRPr="006D075E">
        <w:fldChar w:fldCharType="begin"/>
      </w:r>
      <w:r w:rsidR="00370FC7" w:rsidRPr="006D075E">
        <w:instrText xml:space="preserve"> SEQ Table \* ARABIC </w:instrText>
      </w:r>
      <w:r w:rsidR="00370FC7" w:rsidRPr="006D075E">
        <w:fldChar w:fldCharType="separate"/>
      </w:r>
      <w:r w:rsidR="00A542E9">
        <w:rPr>
          <w:noProof/>
        </w:rPr>
        <w:t>14</w:t>
      </w:r>
      <w:r w:rsidR="00370FC7" w:rsidRPr="006D075E">
        <w:fldChar w:fldCharType="end"/>
      </w:r>
      <w:bookmarkEnd w:id="71"/>
      <w:r w:rsidRPr="006D075E">
        <w:t>:</w:t>
      </w:r>
      <w:r w:rsidR="002A2F50" w:rsidRPr="006D075E">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Estimated use and financial implications"/>
      </w:tblPr>
      <w:tblGrid>
        <w:gridCol w:w="2406"/>
        <w:gridCol w:w="1102"/>
        <w:gridCol w:w="1024"/>
        <w:gridCol w:w="1179"/>
        <w:gridCol w:w="1102"/>
        <w:gridCol w:w="1102"/>
        <w:gridCol w:w="1102"/>
      </w:tblGrid>
      <w:tr w:rsidR="00385A9D" w:rsidRPr="006D075E" w14:paraId="43A2A3A1" w14:textId="77777777" w:rsidTr="00023D1B">
        <w:trPr>
          <w:tblHeader/>
        </w:trPr>
        <w:tc>
          <w:tcPr>
            <w:tcW w:w="1334" w:type="pct"/>
            <w:vAlign w:val="center"/>
          </w:tcPr>
          <w:p w14:paraId="0A4E41E1" w14:textId="77777777" w:rsidR="00385A9D" w:rsidRPr="006D075E" w:rsidRDefault="00385A9D" w:rsidP="00606FBA">
            <w:pPr>
              <w:pStyle w:val="In-tableHeading"/>
              <w:jc w:val="center"/>
              <w:rPr>
                <w:lang w:val="en-AU"/>
              </w:rPr>
            </w:pPr>
          </w:p>
        </w:tc>
        <w:tc>
          <w:tcPr>
            <w:tcW w:w="611" w:type="pct"/>
            <w:vAlign w:val="center"/>
          </w:tcPr>
          <w:p w14:paraId="77420B6F" w14:textId="77777777" w:rsidR="00385A9D" w:rsidRPr="006D075E" w:rsidRDefault="00385A9D" w:rsidP="004043AE">
            <w:pPr>
              <w:pStyle w:val="COMTableheadingrow"/>
              <w:jc w:val="center"/>
              <w:rPr>
                <w:lang w:val="en-AU"/>
              </w:rPr>
            </w:pPr>
            <w:r w:rsidRPr="006D075E">
              <w:rPr>
                <w:lang w:val="en-AU"/>
              </w:rPr>
              <w:t>Year 1</w:t>
            </w:r>
          </w:p>
        </w:tc>
        <w:tc>
          <w:tcPr>
            <w:tcW w:w="568" w:type="pct"/>
            <w:vAlign w:val="center"/>
          </w:tcPr>
          <w:p w14:paraId="3BBD9218" w14:textId="77777777" w:rsidR="00385A9D" w:rsidRPr="006D075E" w:rsidRDefault="00385A9D" w:rsidP="004043AE">
            <w:pPr>
              <w:pStyle w:val="COMTableheadingrow"/>
              <w:jc w:val="center"/>
              <w:rPr>
                <w:lang w:val="en-AU"/>
              </w:rPr>
            </w:pPr>
            <w:r w:rsidRPr="006D075E">
              <w:rPr>
                <w:lang w:val="en-AU"/>
              </w:rPr>
              <w:t>Year 2</w:t>
            </w:r>
          </w:p>
        </w:tc>
        <w:tc>
          <w:tcPr>
            <w:tcW w:w="654" w:type="pct"/>
            <w:vAlign w:val="center"/>
          </w:tcPr>
          <w:p w14:paraId="729A646E" w14:textId="77777777" w:rsidR="00385A9D" w:rsidRPr="006D075E" w:rsidRDefault="00385A9D" w:rsidP="004043AE">
            <w:pPr>
              <w:pStyle w:val="COMTableheadingrow"/>
              <w:jc w:val="center"/>
              <w:rPr>
                <w:lang w:val="en-AU"/>
              </w:rPr>
            </w:pPr>
            <w:r w:rsidRPr="006D075E">
              <w:rPr>
                <w:lang w:val="en-AU"/>
              </w:rPr>
              <w:t>Year 3</w:t>
            </w:r>
          </w:p>
        </w:tc>
        <w:tc>
          <w:tcPr>
            <w:tcW w:w="611" w:type="pct"/>
            <w:vAlign w:val="center"/>
          </w:tcPr>
          <w:p w14:paraId="280BB544" w14:textId="77777777" w:rsidR="00385A9D" w:rsidRPr="006D075E" w:rsidRDefault="00385A9D" w:rsidP="004043AE">
            <w:pPr>
              <w:pStyle w:val="COMTableheadingrow"/>
              <w:jc w:val="center"/>
              <w:rPr>
                <w:lang w:val="en-AU"/>
              </w:rPr>
            </w:pPr>
            <w:r w:rsidRPr="006D075E">
              <w:rPr>
                <w:lang w:val="en-AU"/>
              </w:rPr>
              <w:t>Year 4</w:t>
            </w:r>
          </w:p>
        </w:tc>
        <w:tc>
          <w:tcPr>
            <w:tcW w:w="611" w:type="pct"/>
            <w:vAlign w:val="center"/>
          </w:tcPr>
          <w:p w14:paraId="6435BB5B" w14:textId="77777777" w:rsidR="00385A9D" w:rsidRPr="006D075E" w:rsidRDefault="00385A9D" w:rsidP="004043AE">
            <w:pPr>
              <w:pStyle w:val="COMTableheadingrow"/>
              <w:jc w:val="center"/>
              <w:rPr>
                <w:lang w:val="en-AU"/>
              </w:rPr>
            </w:pPr>
            <w:r w:rsidRPr="006D075E">
              <w:rPr>
                <w:lang w:val="en-AU"/>
              </w:rPr>
              <w:t>Year 5</w:t>
            </w:r>
          </w:p>
        </w:tc>
        <w:tc>
          <w:tcPr>
            <w:tcW w:w="611" w:type="pct"/>
          </w:tcPr>
          <w:p w14:paraId="7C618119" w14:textId="77777777" w:rsidR="00385A9D" w:rsidRPr="006D075E" w:rsidRDefault="00385A9D" w:rsidP="004043AE">
            <w:pPr>
              <w:pStyle w:val="COMTableheadingrow"/>
              <w:jc w:val="center"/>
              <w:rPr>
                <w:lang w:val="en-AU"/>
              </w:rPr>
            </w:pPr>
            <w:r w:rsidRPr="006D075E">
              <w:rPr>
                <w:lang w:val="en-AU"/>
              </w:rPr>
              <w:t>Year 6</w:t>
            </w:r>
          </w:p>
        </w:tc>
      </w:tr>
      <w:tr w:rsidR="00385A9D" w:rsidRPr="006D075E" w14:paraId="3C519059" w14:textId="77777777" w:rsidTr="009C3A3A">
        <w:tc>
          <w:tcPr>
            <w:tcW w:w="5000" w:type="pct"/>
            <w:gridSpan w:val="7"/>
            <w:vAlign w:val="center"/>
          </w:tcPr>
          <w:p w14:paraId="516C2197" w14:textId="77777777" w:rsidR="00385A9D" w:rsidRPr="006D075E" w:rsidRDefault="00385A9D" w:rsidP="00942559">
            <w:pPr>
              <w:pStyle w:val="COMTableheadingrow"/>
              <w:rPr>
                <w:lang w:val="en-AU"/>
              </w:rPr>
            </w:pPr>
            <w:r w:rsidRPr="006D075E">
              <w:rPr>
                <w:lang w:val="en-AU"/>
              </w:rPr>
              <w:t>Estimated extent of use</w:t>
            </w:r>
          </w:p>
        </w:tc>
      </w:tr>
      <w:tr w:rsidR="00C64C6D" w:rsidRPr="006D075E" w14:paraId="148A8EEF" w14:textId="77777777" w:rsidTr="00023D1B">
        <w:tc>
          <w:tcPr>
            <w:tcW w:w="1334" w:type="pct"/>
            <w:vAlign w:val="center"/>
          </w:tcPr>
          <w:p w14:paraId="201B6ECA" w14:textId="77777777" w:rsidR="00C64C6D" w:rsidRPr="006D075E" w:rsidRDefault="00C64C6D" w:rsidP="00C64C6D">
            <w:pPr>
              <w:pStyle w:val="COMTabletext"/>
              <w:rPr>
                <w:rFonts w:ascii="Times" w:hAnsi="Times"/>
              </w:rPr>
            </w:pPr>
            <w:r w:rsidRPr="006D075E">
              <w:t>Number of patients treated</w:t>
            </w:r>
          </w:p>
        </w:tc>
        <w:tc>
          <w:tcPr>
            <w:tcW w:w="611" w:type="pct"/>
          </w:tcPr>
          <w:p w14:paraId="577607A9" w14:textId="02FF0F84" w:rsidR="00C64C6D" w:rsidRPr="00EC351F" w:rsidRDefault="00800963" w:rsidP="000145B1">
            <w:pPr>
              <w:pStyle w:val="COMTabletext"/>
              <w:jc w:val="center"/>
              <w:rPr>
                <w:highlight w:val="darkGray"/>
                <w:vertAlign w:val="superscript"/>
              </w:rPr>
            </w:pPr>
            <w:r w:rsidRPr="00800963">
              <w:rPr>
                <w:color w:val="000000"/>
                <w:spacing w:val="51"/>
                <w:shd w:val="solid" w:color="000000" w:fill="000000"/>
                <w:fitText w:val="324" w:id="-629432824"/>
                <w14:textFill>
                  <w14:solidFill>
                    <w14:srgbClr w14:val="000000">
                      <w14:alpha w14:val="100000"/>
                    </w14:srgbClr>
                  </w14:solidFill>
                </w14:textFill>
              </w:rPr>
              <w:t>|||</w:t>
            </w:r>
            <w:r w:rsidRPr="00800963">
              <w:rPr>
                <w:color w:val="000000"/>
                <w:spacing w:val="1"/>
                <w:shd w:val="solid" w:color="000000" w:fill="000000"/>
                <w:fitText w:val="324" w:id="-629432824"/>
                <w14:textFill>
                  <w14:solidFill>
                    <w14:srgbClr w14:val="000000">
                      <w14:alpha w14:val="100000"/>
                    </w14:srgbClr>
                  </w14:solidFill>
                </w14:textFill>
              </w:rPr>
              <w:t>|</w:t>
            </w:r>
            <w:r w:rsidR="00EC351F" w:rsidRPr="00EF1CDD">
              <w:rPr>
                <w:vertAlign w:val="superscript"/>
              </w:rPr>
              <w:t>1</w:t>
            </w:r>
          </w:p>
        </w:tc>
        <w:tc>
          <w:tcPr>
            <w:tcW w:w="568" w:type="pct"/>
          </w:tcPr>
          <w:p w14:paraId="6610B4C9" w14:textId="10C8954E" w:rsidR="00C64C6D" w:rsidRPr="00EF1CDD" w:rsidRDefault="00800963" w:rsidP="000145B1">
            <w:pPr>
              <w:pStyle w:val="COMTabletext"/>
              <w:jc w:val="center"/>
              <w:rPr>
                <w:highlight w:val="darkGray"/>
                <w:vertAlign w:val="superscript"/>
              </w:rPr>
            </w:pPr>
            <w:r w:rsidRPr="00800963">
              <w:rPr>
                <w:color w:val="000000"/>
                <w:spacing w:val="51"/>
                <w:shd w:val="solid" w:color="000000" w:fill="000000"/>
                <w:fitText w:val="324" w:id="-629432823"/>
                <w14:textFill>
                  <w14:solidFill>
                    <w14:srgbClr w14:val="000000">
                      <w14:alpha w14:val="100000"/>
                    </w14:srgbClr>
                  </w14:solidFill>
                </w14:textFill>
              </w:rPr>
              <w:t>|||</w:t>
            </w:r>
            <w:r w:rsidRPr="00800963">
              <w:rPr>
                <w:color w:val="000000"/>
                <w:spacing w:val="1"/>
                <w:shd w:val="solid" w:color="000000" w:fill="000000"/>
                <w:fitText w:val="324" w:id="-629432823"/>
                <w14:textFill>
                  <w14:solidFill>
                    <w14:srgbClr w14:val="000000">
                      <w14:alpha w14:val="100000"/>
                    </w14:srgbClr>
                  </w14:solidFill>
                </w14:textFill>
              </w:rPr>
              <w:t>|</w:t>
            </w:r>
            <w:r w:rsidR="00EF1CDD" w:rsidRPr="00EF1CDD">
              <w:rPr>
                <w:vertAlign w:val="superscript"/>
              </w:rPr>
              <w:t>1</w:t>
            </w:r>
          </w:p>
        </w:tc>
        <w:tc>
          <w:tcPr>
            <w:tcW w:w="654" w:type="pct"/>
          </w:tcPr>
          <w:p w14:paraId="29F46D6B" w14:textId="65D7ADA2" w:rsidR="00C64C6D" w:rsidRPr="0097536D" w:rsidRDefault="00800963" w:rsidP="000145B1">
            <w:pPr>
              <w:pStyle w:val="COMTabletext"/>
              <w:jc w:val="center"/>
              <w:rPr>
                <w:highlight w:val="darkGray"/>
                <w:vertAlign w:val="superscript"/>
              </w:rPr>
            </w:pPr>
            <w:r w:rsidRPr="00800963">
              <w:rPr>
                <w:color w:val="000000"/>
                <w:spacing w:val="55"/>
                <w:shd w:val="solid" w:color="000000" w:fill="000000"/>
                <w:fitText w:val="336" w:id="-629432822"/>
                <w14:textFill>
                  <w14:solidFill>
                    <w14:srgbClr w14:val="000000">
                      <w14:alpha w14:val="100000"/>
                    </w14:srgbClr>
                  </w14:solidFill>
                </w14:textFill>
              </w:rPr>
              <w:t>|||</w:t>
            </w:r>
            <w:r w:rsidRPr="00800963">
              <w:rPr>
                <w:color w:val="000000"/>
                <w:spacing w:val="1"/>
                <w:shd w:val="solid" w:color="000000" w:fill="000000"/>
                <w:fitText w:val="336" w:id="-629432822"/>
                <w14:textFill>
                  <w14:solidFill>
                    <w14:srgbClr w14:val="000000">
                      <w14:alpha w14:val="100000"/>
                    </w14:srgbClr>
                  </w14:solidFill>
                </w14:textFill>
              </w:rPr>
              <w:t>|</w:t>
            </w:r>
            <w:r w:rsidR="0097536D" w:rsidRPr="0097536D">
              <w:rPr>
                <w:vertAlign w:val="superscript"/>
              </w:rPr>
              <w:t>2</w:t>
            </w:r>
          </w:p>
        </w:tc>
        <w:tc>
          <w:tcPr>
            <w:tcW w:w="611" w:type="pct"/>
          </w:tcPr>
          <w:p w14:paraId="21167904" w14:textId="2D9C8B0C" w:rsidR="00C64C6D" w:rsidRPr="00023D1B" w:rsidRDefault="00800963" w:rsidP="000145B1">
            <w:pPr>
              <w:pStyle w:val="COMTabletext"/>
              <w:jc w:val="center"/>
              <w:rPr>
                <w:highlight w:val="darkGray"/>
              </w:rPr>
            </w:pPr>
            <w:r w:rsidRPr="00800963">
              <w:rPr>
                <w:color w:val="000000"/>
                <w:spacing w:val="51"/>
                <w:shd w:val="solid" w:color="000000" w:fill="000000"/>
                <w:fitText w:val="324" w:id="-629432821"/>
                <w14:textFill>
                  <w14:solidFill>
                    <w14:srgbClr w14:val="000000">
                      <w14:alpha w14:val="100000"/>
                    </w14:srgbClr>
                  </w14:solidFill>
                </w14:textFill>
              </w:rPr>
              <w:t>|||</w:t>
            </w:r>
            <w:r w:rsidRPr="00800963">
              <w:rPr>
                <w:color w:val="000000"/>
                <w:spacing w:val="1"/>
                <w:shd w:val="solid" w:color="000000" w:fill="000000"/>
                <w:fitText w:val="324" w:id="-629432821"/>
                <w14:textFill>
                  <w14:solidFill>
                    <w14:srgbClr w14:val="000000">
                      <w14:alpha w14:val="100000"/>
                    </w14:srgbClr>
                  </w14:solidFill>
                </w14:textFill>
              </w:rPr>
              <w:t>|</w:t>
            </w:r>
            <w:r w:rsidR="0097536D" w:rsidRPr="0097536D">
              <w:rPr>
                <w:vertAlign w:val="superscript"/>
              </w:rPr>
              <w:t>2</w:t>
            </w:r>
          </w:p>
        </w:tc>
        <w:tc>
          <w:tcPr>
            <w:tcW w:w="611" w:type="pct"/>
          </w:tcPr>
          <w:p w14:paraId="762D4B71" w14:textId="6F7CD385" w:rsidR="00C64C6D" w:rsidRPr="00023D1B" w:rsidRDefault="00800963" w:rsidP="000145B1">
            <w:pPr>
              <w:pStyle w:val="COMTabletext"/>
              <w:jc w:val="center"/>
              <w:rPr>
                <w:highlight w:val="darkGray"/>
              </w:rPr>
            </w:pPr>
            <w:r w:rsidRPr="00800963">
              <w:rPr>
                <w:color w:val="000000"/>
                <w:spacing w:val="51"/>
                <w:shd w:val="solid" w:color="000000" w:fill="000000"/>
                <w:fitText w:val="324" w:id="-629432820"/>
                <w14:textFill>
                  <w14:solidFill>
                    <w14:srgbClr w14:val="000000">
                      <w14:alpha w14:val="100000"/>
                    </w14:srgbClr>
                  </w14:solidFill>
                </w14:textFill>
              </w:rPr>
              <w:t>|||</w:t>
            </w:r>
            <w:r w:rsidRPr="00800963">
              <w:rPr>
                <w:color w:val="000000"/>
                <w:spacing w:val="1"/>
                <w:shd w:val="solid" w:color="000000" w:fill="000000"/>
                <w:fitText w:val="324" w:id="-629432820"/>
                <w14:textFill>
                  <w14:solidFill>
                    <w14:srgbClr w14:val="000000">
                      <w14:alpha w14:val="100000"/>
                    </w14:srgbClr>
                  </w14:solidFill>
                </w14:textFill>
              </w:rPr>
              <w:t>|</w:t>
            </w:r>
            <w:r w:rsidR="0097536D" w:rsidRPr="0097536D">
              <w:rPr>
                <w:vertAlign w:val="superscript"/>
              </w:rPr>
              <w:t>2</w:t>
            </w:r>
          </w:p>
        </w:tc>
        <w:tc>
          <w:tcPr>
            <w:tcW w:w="611" w:type="pct"/>
          </w:tcPr>
          <w:p w14:paraId="42B428B5" w14:textId="516E5B47" w:rsidR="00C64C6D" w:rsidRPr="00023D1B" w:rsidRDefault="00800963" w:rsidP="000145B1">
            <w:pPr>
              <w:pStyle w:val="COMTabletext"/>
              <w:jc w:val="center"/>
              <w:rPr>
                <w:highlight w:val="darkGray"/>
              </w:rPr>
            </w:pPr>
            <w:r w:rsidRPr="00800963">
              <w:rPr>
                <w:color w:val="000000"/>
                <w:spacing w:val="51"/>
                <w:shd w:val="solid" w:color="000000" w:fill="000000"/>
                <w:fitText w:val="324" w:id="-629432819"/>
                <w14:textFill>
                  <w14:solidFill>
                    <w14:srgbClr w14:val="000000">
                      <w14:alpha w14:val="100000"/>
                    </w14:srgbClr>
                  </w14:solidFill>
                </w14:textFill>
              </w:rPr>
              <w:t>|||</w:t>
            </w:r>
            <w:r w:rsidRPr="00800963">
              <w:rPr>
                <w:color w:val="000000"/>
                <w:spacing w:val="1"/>
                <w:shd w:val="solid" w:color="000000" w:fill="000000"/>
                <w:fitText w:val="324" w:id="-629432819"/>
                <w14:textFill>
                  <w14:solidFill>
                    <w14:srgbClr w14:val="000000">
                      <w14:alpha w14:val="100000"/>
                    </w14:srgbClr>
                  </w14:solidFill>
                </w14:textFill>
              </w:rPr>
              <w:t>|</w:t>
            </w:r>
            <w:r w:rsidR="0097536D" w:rsidRPr="0097536D">
              <w:rPr>
                <w:vertAlign w:val="superscript"/>
              </w:rPr>
              <w:t>2</w:t>
            </w:r>
          </w:p>
        </w:tc>
      </w:tr>
      <w:tr w:rsidR="00DD1D38" w:rsidRPr="006D075E" w14:paraId="1CEE4D09" w14:textId="77777777" w:rsidTr="00023D1B">
        <w:tc>
          <w:tcPr>
            <w:tcW w:w="1334" w:type="pct"/>
            <w:vAlign w:val="center"/>
          </w:tcPr>
          <w:p w14:paraId="229A1EDF" w14:textId="2DE7FAF3" w:rsidR="00DD1D38" w:rsidRPr="006D075E" w:rsidRDefault="00DD1D38" w:rsidP="00DD1D38">
            <w:pPr>
              <w:pStyle w:val="COMTabletext"/>
              <w:rPr>
                <w:rFonts w:ascii="Times" w:hAnsi="Times"/>
              </w:rPr>
            </w:pPr>
            <w:r w:rsidRPr="006D075E">
              <w:t xml:space="preserve">Number of scripts dispensed </w:t>
            </w:r>
            <w:r w:rsidRPr="006D075E">
              <w:rPr>
                <w:vertAlign w:val="superscript"/>
              </w:rPr>
              <w:t>a</w:t>
            </w:r>
          </w:p>
        </w:tc>
        <w:tc>
          <w:tcPr>
            <w:tcW w:w="611" w:type="pct"/>
          </w:tcPr>
          <w:p w14:paraId="0D9F25C2" w14:textId="1A5FD8E5" w:rsidR="00DD1D38" w:rsidRPr="00023D1B" w:rsidRDefault="00800963" w:rsidP="000145B1">
            <w:pPr>
              <w:pStyle w:val="COMTabletext"/>
              <w:jc w:val="center"/>
              <w:rPr>
                <w:highlight w:val="darkGray"/>
              </w:rPr>
            </w:pPr>
            <w:r w:rsidRPr="00800963">
              <w:rPr>
                <w:color w:val="000000"/>
                <w:spacing w:val="51"/>
                <w:shd w:val="solid" w:color="000000" w:fill="000000"/>
                <w:fitText w:val="324" w:id="-629432818"/>
                <w14:textFill>
                  <w14:solidFill>
                    <w14:srgbClr w14:val="000000">
                      <w14:alpha w14:val="100000"/>
                    </w14:srgbClr>
                  </w14:solidFill>
                </w14:textFill>
              </w:rPr>
              <w:t>|||</w:t>
            </w:r>
            <w:r w:rsidRPr="00800963">
              <w:rPr>
                <w:color w:val="000000"/>
                <w:spacing w:val="1"/>
                <w:shd w:val="solid" w:color="000000" w:fill="000000"/>
                <w:fitText w:val="324" w:id="-629432818"/>
                <w14:textFill>
                  <w14:solidFill>
                    <w14:srgbClr w14:val="000000">
                      <w14:alpha w14:val="100000"/>
                    </w14:srgbClr>
                  </w14:solidFill>
                </w14:textFill>
              </w:rPr>
              <w:t>|</w:t>
            </w:r>
            <w:r w:rsidR="0097536D" w:rsidRPr="0097536D">
              <w:rPr>
                <w:vertAlign w:val="superscript"/>
              </w:rPr>
              <w:t>2</w:t>
            </w:r>
          </w:p>
        </w:tc>
        <w:tc>
          <w:tcPr>
            <w:tcW w:w="568" w:type="pct"/>
          </w:tcPr>
          <w:p w14:paraId="2D7847AA" w14:textId="7937CF93" w:rsidR="00DD1D38" w:rsidRPr="00F56B58" w:rsidRDefault="00800963" w:rsidP="000145B1">
            <w:pPr>
              <w:pStyle w:val="COMTabletext"/>
              <w:jc w:val="center"/>
              <w:rPr>
                <w:highlight w:val="darkGray"/>
                <w:vertAlign w:val="superscript"/>
              </w:rPr>
            </w:pPr>
            <w:r w:rsidRPr="00800963">
              <w:rPr>
                <w:color w:val="000000"/>
                <w:spacing w:val="51"/>
                <w:shd w:val="solid" w:color="000000" w:fill="000000"/>
                <w:fitText w:val="324" w:id="-629432817"/>
                <w14:textFill>
                  <w14:solidFill>
                    <w14:srgbClr w14:val="000000">
                      <w14:alpha w14:val="100000"/>
                    </w14:srgbClr>
                  </w14:solidFill>
                </w14:textFill>
              </w:rPr>
              <w:t>|||</w:t>
            </w:r>
            <w:r w:rsidRPr="00800963">
              <w:rPr>
                <w:color w:val="000000"/>
                <w:spacing w:val="1"/>
                <w:shd w:val="solid" w:color="000000" w:fill="000000"/>
                <w:fitText w:val="324" w:id="-629432817"/>
                <w14:textFill>
                  <w14:solidFill>
                    <w14:srgbClr w14:val="000000">
                      <w14:alpha w14:val="100000"/>
                    </w14:srgbClr>
                  </w14:solidFill>
                </w14:textFill>
              </w:rPr>
              <w:t>|</w:t>
            </w:r>
            <w:r w:rsidR="00F56B58" w:rsidRPr="00F56B58">
              <w:rPr>
                <w:vertAlign w:val="superscript"/>
              </w:rPr>
              <w:t>3</w:t>
            </w:r>
          </w:p>
        </w:tc>
        <w:tc>
          <w:tcPr>
            <w:tcW w:w="654" w:type="pct"/>
          </w:tcPr>
          <w:p w14:paraId="7A620378" w14:textId="2669E1CC" w:rsidR="00DD1D38" w:rsidRPr="00023D1B" w:rsidRDefault="00800963" w:rsidP="000145B1">
            <w:pPr>
              <w:pStyle w:val="COMTabletext"/>
              <w:jc w:val="center"/>
              <w:rPr>
                <w:highlight w:val="darkGray"/>
              </w:rPr>
            </w:pPr>
            <w:r w:rsidRPr="00800963">
              <w:rPr>
                <w:color w:val="000000"/>
                <w:spacing w:val="55"/>
                <w:shd w:val="solid" w:color="000000" w:fill="000000"/>
                <w:fitText w:val="336" w:id="-629432816"/>
                <w14:textFill>
                  <w14:solidFill>
                    <w14:srgbClr w14:val="000000">
                      <w14:alpha w14:val="100000"/>
                    </w14:srgbClr>
                  </w14:solidFill>
                </w14:textFill>
              </w:rPr>
              <w:t>|||</w:t>
            </w:r>
            <w:r w:rsidRPr="00800963">
              <w:rPr>
                <w:color w:val="000000"/>
                <w:spacing w:val="1"/>
                <w:shd w:val="solid" w:color="000000" w:fill="000000"/>
                <w:fitText w:val="336" w:id="-629432816"/>
                <w14:textFill>
                  <w14:solidFill>
                    <w14:srgbClr w14:val="000000">
                      <w14:alpha w14:val="100000"/>
                    </w14:srgbClr>
                  </w14:solidFill>
                </w14:textFill>
              </w:rPr>
              <w:t>|</w:t>
            </w:r>
            <w:r w:rsidR="00F56B58" w:rsidRPr="00F56B58">
              <w:rPr>
                <w:vertAlign w:val="superscript"/>
              </w:rPr>
              <w:t>3</w:t>
            </w:r>
          </w:p>
        </w:tc>
        <w:tc>
          <w:tcPr>
            <w:tcW w:w="611" w:type="pct"/>
          </w:tcPr>
          <w:p w14:paraId="1D2C1413" w14:textId="5C008791" w:rsidR="00DD1D38" w:rsidRPr="00B864A8" w:rsidRDefault="00800963" w:rsidP="000145B1">
            <w:pPr>
              <w:pStyle w:val="COMTabletext"/>
              <w:jc w:val="center"/>
              <w:rPr>
                <w:highlight w:val="darkGray"/>
                <w:vertAlign w:val="superscript"/>
              </w:rPr>
            </w:pPr>
            <w:r w:rsidRPr="00800963">
              <w:rPr>
                <w:color w:val="000000"/>
                <w:spacing w:val="51"/>
                <w:shd w:val="solid" w:color="000000" w:fill="000000"/>
                <w:fitText w:val="324" w:id="-629432832"/>
                <w14:textFill>
                  <w14:solidFill>
                    <w14:srgbClr w14:val="000000">
                      <w14:alpha w14:val="100000"/>
                    </w14:srgbClr>
                  </w14:solidFill>
                </w14:textFill>
              </w:rPr>
              <w:t>|||</w:t>
            </w:r>
            <w:r w:rsidRPr="00800963">
              <w:rPr>
                <w:color w:val="000000"/>
                <w:spacing w:val="1"/>
                <w:shd w:val="solid" w:color="000000" w:fill="000000"/>
                <w:fitText w:val="324" w:id="-629432832"/>
                <w14:textFill>
                  <w14:solidFill>
                    <w14:srgbClr w14:val="000000">
                      <w14:alpha w14:val="100000"/>
                    </w14:srgbClr>
                  </w14:solidFill>
                </w14:textFill>
              </w:rPr>
              <w:t>|</w:t>
            </w:r>
            <w:r w:rsidR="00B864A8" w:rsidRPr="00B864A8">
              <w:rPr>
                <w:vertAlign w:val="superscript"/>
              </w:rPr>
              <w:t>4</w:t>
            </w:r>
          </w:p>
        </w:tc>
        <w:tc>
          <w:tcPr>
            <w:tcW w:w="611" w:type="pct"/>
          </w:tcPr>
          <w:p w14:paraId="3F0ACB95" w14:textId="0A0D7B85" w:rsidR="00DD1D38" w:rsidRPr="00023D1B" w:rsidRDefault="00800963" w:rsidP="000145B1">
            <w:pPr>
              <w:pStyle w:val="COMTabletext"/>
              <w:jc w:val="center"/>
              <w:rPr>
                <w:highlight w:val="darkGray"/>
              </w:rPr>
            </w:pPr>
            <w:r w:rsidRPr="00800963">
              <w:rPr>
                <w:color w:val="000000"/>
                <w:spacing w:val="51"/>
                <w:shd w:val="solid" w:color="000000" w:fill="000000"/>
                <w:fitText w:val="324" w:id="-629432831"/>
                <w14:textFill>
                  <w14:solidFill>
                    <w14:srgbClr w14:val="000000">
                      <w14:alpha w14:val="100000"/>
                    </w14:srgbClr>
                  </w14:solidFill>
                </w14:textFill>
              </w:rPr>
              <w:t>|||</w:t>
            </w:r>
            <w:r w:rsidRPr="00800963">
              <w:rPr>
                <w:color w:val="000000"/>
                <w:spacing w:val="1"/>
                <w:shd w:val="solid" w:color="000000" w:fill="000000"/>
                <w:fitText w:val="324" w:id="-629432831"/>
                <w14:textFill>
                  <w14:solidFill>
                    <w14:srgbClr w14:val="000000">
                      <w14:alpha w14:val="100000"/>
                    </w14:srgbClr>
                  </w14:solidFill>
                </w14:textFill>
              </w:rPr>
              <w:t>|</w:t>
            </w:r>
            <w:r w:rsidR="00B864A8" w:rsidRPr="00B864A8">
              <w:rPr>
                <w:vertAlign w:val="superscript"/>
              </w:rPr>
              <w:t>4</w:t>
            </w:r>
          </w:p>
        </w:tc>
        <w:tc>
          <w:tcPr>
            <w:tcW w:w="611" w:type="pct"/>
          </w:tcPr>
          <w:p w14:paraId="1C30F331" w14:textId="3657DB32" w:rsidR="00DD1D38" w:rsidRPr="00023D1B" w:rsidRDefault="00800963" w:rsidP="000145B1">
            <w:pPr>
              <w:pStyle w:val="COMTabletext"/>
              <w:jc w:val="center"/>
              <w:rPr>
                <w:highlight w:val="darkGray"/>
              </w:rPr>
            </w:pPr>
            <w:r w:rsidRPr="00800963">
              <w:rPr>
                <w:color w:val="000000"/>
                <w:spacing w:val="51"/>
                <w:shd w:val="solid" w:color="000000" w:fill="000000"/>
                <w:fitText w:val="324" w:id="-629432830"/>
                <w14:textFill>
                  <w14:solidFill>
                    <w14:srgbClr w14:val="000000">
                      <w14:alpha w14:val="100000"/>
                    </w14:srgbClr>
                  </w14:solidFill>
                </w14:textFill>
              </w:rPr>
              <w:t>|||</w:t>
            </w:r>
            <w:r w:rsidRPr="00800963">
              <w:rPr>
                <w:color w:val="000000"/>
                <w:spacing w:val="1"/>
                <w:shd w:val="solid" w:color="000000" w:fill="000000"/>
                <w:fitText w:val="324" w:id="-629432830"/>
                <w14:textFill>
                  <w14:solidFill>
                    <w14:srgbClr w14:val="000000">
                      <w14:alpha w14:val="100000"/>
                    </w14:srgbClr>
                  </w14:solidFill>
                </w14:textFill>
              </w:rPr>
              <w:t>|</w:t>
            </w:r>
            <w:r w:rsidR="00B864A8" w:rsidRPr="00B864A8">
              <w:rPr>
                <w:vertAlign w:val="superscript"/>
              </w:rPr>
              <w:t>4</w:t>
            </w:r>
          </w:p>
        </w:tc>
      </w:tr>
      <w:tr w:rsidR="00385A9D" w:rsidRPr="006D075E" w14:paraId="1E699D47" w14:textId="77777777" w:rsidTr="009C3A3A">
        <w:tc>
          <w:tcPr>
            <w:tcW w:w="5000" w:type="pct"/>
            <w:gridSpan w:val="7"/>
            <w:vAlign w:val="center"/>
          </w:tcPr>
          <w:p w14:paraId="7D0E0884" w14:textId="427D5F9A" w:rsidR="00385A9D" w:rsidRPr="006D075E" w:rsidRDefault="00385A9D" w:rsidP="00942559">
            <w:pPr>
              <w:pStyle w:val="COMTableheadingrow"/>
              <w:rPr>
                <w:lang w:val="en-AU"/>
              </w:rPr>
            </w:pPr>
            <w:r w:rsidRPr="006D075E">
              <w:rPr>
                <w:lang w:val="en-AU"/>
              </w:rPr>
              <w:t xml:space="preserve">Estimated financial implications of </w:t>
            </w:r>
            <w:r w:rsidR="00DD1D38" w:rsidRPr="006D075E">
              <w:rPr>
                <w:lang w:val="en-AU"/>
              </w:rPr>
              <w:t>acalabrutinib</w:t>
            </w:r>
          </w:p>
        </w:tc>
      </w:tr>
      <w:tr w:rsidR="000145B1" w:rsidRPr="006D075E" w14:paraId="4B4ACF1A" w14:textId="77777777" w:rsidTr="00023D1B">
        <w:tc>
          <w:tcPr>
            <w:tcW w:w="1334" w:type="pct"/>
            <w:vAlign w:val="center"/>
          </w:tcPr>
          <w:p w14:paraId="467993BD" w14:textId="618A57F1" w:rsidR="000145B1" w:rsidRPr="006D075E" w:rsidRDefault="000145B1" w:rsidP="000145B1">
            <w:pPr>
              <w:pStyle w:val="COMTabletext"/>
            </w:pPr>
            <w:r w:rsidRPr="006D075E">
              <w:t>Cost to PBS/RPBS less copayments</w:t>
            </w:r>
          </w:p>
        </w:tc>
        <w:tc>
          <w:tcPr>
            <w:tcW w:w="611" w:type="pct"/>
            <w:vAlign w:val="center"/>
          </w:tcPr>
          <w:p w14:paraId="4125A2B6" w14:textId="41EF9354" w:rsidR="000145B1" w:rsidRPr="006C5A9E" w:rsidRDefault="000145B1" w:rsidP="000145B1">
            <w:pPr>
              <w:pStyle w:val="COMTabletext"/>
              <w:jc w:val="center"/>
              <w:rPr>
                <w:vertAlign w:val="superscript"/>
              </w:rPr>
            </w:pPr>
            <w:r w:rsidRPr="006D075E">
              <w:t>$</w:t>
            </w:r>
            <w:r w:rsidR="00800963" w:rsidRPr="00800963">
              <w:rPr>
                <w:color w:val="000000"/>
                <w:spacing w:val="51"/>
                <w:shd w:val="solid" w:color="000000" w:fill="000000"/>
                <w:fitText w:val="324" w:id="-629432829"/>
                <w14:textFill>
                  <w14:solidFill>
                    <w14:srgbClr w14:val="000000">
                      <w14:alpha w14:val="100000"/>
                    </w14:srgbClr>
                  </w14:solidFill>
                </w14:textFill>
              </w:rPr>
              <w:t>|||</w:t>
            </w:r>
            <w:r w:rsidR="00800963" w:rsidRPr="00800963">
              <w:rPr>
                <w:color w:val="000000"/>
                <w:spacing w:val="1"/>
                <w:shd w:val="solid" w:color="000000" w:fill="000000"/>
                <w:fitText w:val="324" w:id="-629432829"/>
                <w14:textFill>
                  <w14:solidFill>
                    <w14:srgbClr w14:val="000000">
                      <w14:alpha w14:val="100000"/>
                    </w14:srgbClr>
                  </w14:solidFill>
                </w14:textFill>
              </w:rPr>
              <w:t>|</w:t>
            </w:r>
            <w:r w:rsidR="006C5A9E">
              <w:rPr>
                <w:vertAlign w:val="superscript"/>
              </w:rPr>
              <w:t>5</w:t>
            </w:r>
          </w:p>
        </w:tc>
        <w:tc>
          <w:tcPr>
            <w:tcW w:w="568" w:type="pct"/>
            <w:vAlign w:val="center"/>
          </w:tcPr>
          <w:p w14:paraId="5BDFECEB" w14:textId="53D57A54" w:rsidR="000145B1" w:rsidRPr="006C5A9E" w:rsidRDefault="000145B1" w:rsidP="000145B1">
            <w:pPr>
              <w:pStyle w:val="COMTabletext"/>
              <w:jc w:val="center"/>
              <w:rPr>
                <w:vertAlign w:val="superscript"/>
              </w:rPr>
            </w:pPr>
            <w:r w:rsidRPr="006D075E">
              <w:t>$</w:t>
            </w:r>
            <w:r w:rsidR="00800963" w:rsidRPr="00800963">
              <w:rPr>
                <w:color w:val="000000"/>
                <w:spacing w:val="51"/>
                <w:shd w:val="solid" w:color="000000" w:fill="000000"/>
                <w:fitText w:val="324" w:id="-629432828"/>
                <w14:textFill>
                  <w14:solidFill>
                    <w14:srgbClr w14:val="000000">
                      <w14:alpha w14:val="100000"/>
                    </w14:srgbClr>
                  </w14:solidFill>
                </w14:textFill>
              </w:rPr>
              <w:t>|||</w:t>
            </w:r>
            <w:r w:rsidR="00800963" w:rsidRPr="00800963">
              <w:rPr>
                <w:color w:val="000000"/>
                <w:spacing w:val="1"/>
                <w:shd w:val="solid" w:color="000000" w:fill="000000"/>
                <w:fitText w:val="324" w:id="-629432828"/>
                <w14:textFill>
                  <w14:solidFill>
                    <w14:srgbClr w14:val="000000">
                      <w14:alpha w14:val="100000"/>
                    </w14:srgbClr>
                  </w14:solidFill>
                </w14:textFill>
              </w:rPr>
              <w:t>|</w:t>
            </w:r>
            <w:r w:rsidR="006C5A9E">
              <w:rPr>
                <w:vertAlign w:val="superscript"/>
              </w:rPr>
              <w:t>5</w:t>
            </w:r>
          </w:p>
        </w:tc>
        <w:tc>
          <w:tcPr>
            <w:tcW w:w="654" w:type="pct"/>
            <w:vAlign w:val="center"/>
          </w:tcPr>
          <w:p w14:paraId="3890D42E" w14:textId="37430DA1" w:rsidR="000145B1" w:rsidRPr="006C5A9E" w:rsidRDefault="000145B1" w:rsidP="000145B1">
            <w:pPr>
              <w:pStyle w:val="COMTabletext"/>
              <w:jc w:val="center"/>
              <w:rPr>
                <w:vertAlign w:val="superscript"/>
              </w:rPr>
            </w:pPr>
            <w:r w:rsidRPr="006D075E">
              <w:t>$</w:t>
            </w:r>
            <w:r w:rsidR="00800963" w:rsidRPr="00800963">
              <w:rPr>
                <w:color w:val="000000"/>
                <w:spacing w:val="51"/>
                <w:shd w:val="solid" w:color="000000" w:fill="000000"/>
                <w:fitText w:val="324" w:id="-629432827"/>
                <w14:textFill>
                  <w14:solidFill>
                    <w14:srgbClr w14:val="000000">
                      <w14:alpha w14:val="100000"/>
                    </w14:srgbClr>
                  </w14:solidFill>
                </w14:textFill>
              </w:rPr>
              <w:t>|||</w:t>
            </w:r>
            <w:r w:rsidR="00800963" w:rsidRPr="00800963">
              <w:rPr>
                <w:color w:val="000000"/>
                <w:spacing w:val="1"/>
                <w:shd w:val="solid" w:color="000000" w:fill="000000"/>
                <w:fitText w:val="324" w:id="-629432827"/>
                <w14:textFill>
                  <w14:solidFill>
                    <w14:srgbClr w14:val="000000">
                      <w14:alpha w14:val="100000"/>
                    </w14:srgbClr>
                  </w14:solidFill>
                </w14:textFill>
              </w:rPr>
              <w:t>|</w:t>
            </w:r>
            <w:r w:rsidR="006C5A9E">
              <w:rPr>
                <w:vertAlign w:val="superscript"/>
              </w:rPr>
              <w:t>5</w:t>
            </w:r>
          </w:p>
        </w:tc>
        <w:tc>
          <w:tcPr>
            <w:tcW w:w="611" w:type="pct"/>
            <w:vAlign w:val="center"/>
          </w:tcPr>
          <w:p w14:paraId="2728B643" w14:textId="00B7D8BE" w:rsidR="000145B1" w:rsidRPr="002509C2" w:rsidRDefault="000145B1" w:rsidP="000145B1">
            <w:pPr>
              <w:pStyle w:val="COMTabletext"/>
              <w:jc w:val="center"/>
              <w:rPr>
                <w:vertAlign w:val="superscript"/>
              </w:rPr>
            </w:pPr>
            <w:r w:rsidRPr="006D075E">
              <w:t>$</w:t>
            </w:r>
            <w:r w:rsidR="00800963" w:rsidRPr="00800963">
              <w:rPr>
                <w:color w:val="000000"/>
                <w:spacing w:val="51"/>
                <w:shd w:val="solid" w:color="000000" w:fill="000000"/>
                <w:fitText w:val="324" w:id="-629432826"/>
                <w14:textFill>
                  <w14:solidFill>
                    <w14:srgbClr w14:val="000000">
                      <w14:alpha w14:val="100000"/>
                    </w14:srgbClr>
                  </w14:solidFill>
                </w14:textFill>
              </w:rPr>
              <w:t>|||</w:t>
            </w:r>
            <w:r w:rsidR="00800963" w:rsidRPr="00800963">
              <w:rPr>
                <w:color w:val="000000"/>
                <w:spacing w:val="1"/>
                <w:shd w:val="solid" w:color="000000" w:fill="000000"/>
                <w:fitText w:val="324" w:id="-629432826"/>
                <w14:textFill>
                  <w14:solidFill>
                    <w14:srgbClr w14:val="000000">
                      <w14:alpha w14:val="100000"/>
                    </w14:srgbClr>
                  </w14:solidFill>
                </w14:textFill>
              </w:rPr>
              <w:t>|</w:t>
            </w:r>
            <w:r w:rsidR="002509C2">
              <w:rPr>
                <w:vertAlign w:val="superscript"/>
              </w:rPr>
              <w:t>6</w:t>
            </w:r>
          </w:p>
        </w:tc>
        <w:tc>
          <w:tcPr>
            <w:tcW w:w="611" w:type="pct"/>
            <w:vAlign w:val="center"/>
          </w:tcPr>
          <w:p w14:paraId="5FE5021A" w14:textId="1DC28EEC" w:rsidR="000145B1" w:rsidRPr="002509C2" w:rsidRDefault="000145B1" w:rsidP="000145B1">
            <w:pPr>
              <w:pStyle w:val="COMTabletext"/>
              <w:jc w:val="center"/>
              <w:rPr>
                <w:vertAlign w:val="superscript"/>
              </w:rPr>
            </w:pPr>
            <w:r w:rsidRPr="006D075E">
              <w:t>$</w:t>
            </w:r>
            <w:r w:rsidR="00800963" w:rsidRPr="00800963">
              <w:rPr>
                <w:color w:val="000000"/>
                <w:spacing w:val="51"/>
                <w:shd w:val="solid" w:color="000000" w:fill="000000"/>
                <w:fitText w:val="324" w:id="-629432825"/>
                <w14:textFill>
                  <w14:solidFill>
                    <w14:srgbClr w14:val="000000">
                      <w14:alpha w14:val="100000"/>
                    </w14:srgbClr>
                  </w14:solidFill>
                </w14:textFill>
              </w:rPr>
              <w:t>|||</w:t>
            </w:r>
            <w:r w:rsidR="00800963" w:rsidRPr="00800963">
              <w:rPr>
                <w:color w:val="000000"/>
                <w:spacing w:val="1"/>
                <w:shd w:val="solid" w:color="000000" w:fill="000000"/>
                <w:fitText w:val="324" w:id="-629432825"/>
                <w14:textFill>
                  <w14:solidFill>
                    <w14:srgbClr w14:val="000000">
                      <w14:alpha w14:val="100000"/>
                    </w14:srgbClr>
                  </w14:solidFill>
                </w14:textFill>
              </w:rPr>
              <w:t>|</w:t>
            </w:r>
            <w:r w:rsidR="002509C2">
              <w:rPr>
                <w:vertAlign w:val="superscript"/>
              </w:rPr>
              <w:t>6</w:t>
            </w:r>
          </w:p>
        </w:tc>
        <w:tc>
          <w:tcPr>
            <w:tcW w:w="611" w:type="pct"/>
            <w:vAlign w:val="center"/>
          </w:tcPr>
          <w:p w14:paraId="6F8E9082" w14:textId="77FF38A4" w:rsidR="000145B1" w:rsidRPr="002509C2" w:rsidRDefault="000145B1" w:rsidP="000145B1">
            <w:pPr>
              <w:pStyle w:val="COMTabletext"/>
              <w:jc w:val="center"/>
              <w:rPr>
                <w:vertAlign w:val="superscript"/>
              </w:rPr>
            </w:pPr>
            <w:r w:rsidRPr="006D075E">
              <w:t>$</w:t>
            </w:r>
            <w:r w:rsidR="00800963" w:rsidRPr="00800963">
              <w:rPr>
                <w:color w:val="000000"/>
                <w:spacing w:val="51"/>
                <w:shd w:val="solid" w:color="000000" w:fill="000000"/>
                <w:fitText w:val="324" w:id="-629432824"/>
                <w14:textFill>
                  <w14:solidFill>
                    <w14:srgbClr w14:val="000000">
                      <w14:alpha w14:val="100000"/>
                    </w14:srgbClr>
                  </w14:solidFill>
                </w14:textFill>
              </w:rPr>
              <w:t>|||</w:t>
            </w:r>
            <w:r w:rsidR="00800963" w:rsidRPr="00800963">
              <w:rPr>
                <w:color w:val="000000"/>
                <w:spacing w:val="1"/>
                <w:shd w:val="solid" w:color="000000" w:fill="000000"/>
                <w:fitText w:val="324" w:id="-629432824"/>
                <w14:textFill>
                  <w14:solidFill>
                    <w14:srgbClr w14:val="000000">
                      <w14:alpha w14:val="100000"/>
                    </w14:srgbClr>
                  </w14:solidFill>
                </w14:textFill>
              </w:rPr>
              <w:t>|</w:t>
            </w:r>
            <w:r w:rsidR="002509C2">
              <w:rPr>
                <w:vertAlign w:val="superscript"/>
              </w:rPr>
              <w:t>6</w:t>
            </w:r>
          </w:p>
        </w:tc>
      </w:tr>
      <w:tr w:rsidR="00385A9D" w:rsidRPr="006D075E" w14:paraId="344AC0E2" w14:textId="77777777" w:rsidTr="009C3A3A">
        <w:tc>
          <w:tcPr>
            <w:tcW w:w="5000" w:type="pct"/>
            <w:gridSpan w:val="7"/>
            <w:vAlign w:val="center"/>
          </w:tcPr>
          <w:p w14:paraId="0FF7E64D" w14:textId="1A4234FF" w:rsidR="00385A9D" w:rsidRPr="006D075E" w:rsidRDefault="00385A9D" w:rsidP="005C5D04">
            <w:pPr>
              <w:pStyle w:val="COMTabletext"/>
              <w:rPr>
                <w:b/>
                <w:bCs w:val="0"/>
              </w:rPr>
            </w:pPr>
            <w:r w:rsidRPr="006D075E">
              <w:rPr>
                <w:b/>
                <w:bCs w:val="0"/>
              </w:rPr>
              <w:t>Estimated financial implications</w:t>
            </w:r>
            <w:r w:rsidR="00E0316F" w:rsidRPr="006D075E">
              <w:rPr>
                <w:b/>
                <w:bCs w:val="0"/>
              </w:rPr>
              <w:t xml:space="preserve"> to other PBS-listed drugs</w:t>
            </w:r>
          </w:p>
        </w:tc>
      </w:tr>
      <w:tr w:rsidR="005E590C" w:rsidRPr="006D075E" w14:paraId="7E697887" w14:textId="77777777" w:rsidTr="00023D1B">
        <w:tc>
          <w:tcPr>
            <w:tcW w:w="1334" w:type="pct"/>
          </w:tcPr>
          <w:p w14:paraId="44C73CD1" w14:textId="659A5E8C" w:rsidR="005E590C" w:rsidRPr="006D075E" w:rsidRDefault="005E590C" w:rsidP="005E590C">
            <w:pPr>
              <w:pStyle w:val="COMTabletext"/>
            </w:pPr>
            <w:r w:rsidRPr="006D075E">
              <w:t>Additional rituximab maintenance cost (less copay)</w:t>
            </w:r>
          </w:p>
        </w:tc>
        <w:tc>
          <w:tcPr>
            <w:tcW w:w="611" w:type="pct"/>
            <w:vAlign w:val="center"/>
          </w:tcPr>
          <w:p w14:paraId="2A74F6DE" w14:textId="6E2A1FA3" w:rsidR="005E590C" w:rsidRPr="006D075E" w:rsidRDefault="005E590C" w:rsidP="005E590C">
            <w:pPr>
              <w:pStyle w:val="COMTabletext"/>
              <w:jc w:val="center"/>
            </w:pPr>
            <w:r w:rsidRPr="006D075E">
              <w:t>$0</w:t>
            </w:r>
          </w:p>
        </w:tc>
        <w:tc>
          <w:tcPr>
            <w:tcW w:w="568" w:type="pct"/>
            <w:vAlign w:val="center"/>
          </w:tcPr>
          <w:p w14:paraId="642F6D6D" w14:textId="59F6FF4D" w:rsidR="005E590C" w:rsidRPr="008C6701" w:rsidRDefault="005E590C" w:rsidP="005E590C">
            <w:pPr>
              <w:pStyle w:val="COMTabletext"/>
              <w:jc w:val="center"/>
              <w:rPr>
                <w:vertAlign w:val="superscript"/>
              </w:rPr>
            </w:pPr>
            <w:r w:rsidRPr="006D075E">
              <w:t>$</w:t>
            </w:r>
            <w:r w:rsidR="00800963" w:rsidRPr="00800963">
              <w:rPr>
                <w:color w:val="000000"/>
                <w:spacing w:val="51"/>
                <w:shd w:val="solid" w:color="000000" w:fill="000000"/>
                <w:fitText w:val="324" w:id="-629432823"/>
                <w14:textFill>
                  <w14:solidFill>
                    <w14:srgbClr w14:val="000000">
                      <w14:alpha w14:val="100000"/>
                    </w14:srgbClr>
                  </w14:solidFill>
                </w14:textFill>
              </w:rPr>
              <w:t>|||</w:t>
            </w:r>
            <w:r w:rsidR="00800963" w:rsidRPr="00800963">
              <w:rPr>
                <w:color w:val="000000"/>
                <w:spacing w:val="1"/>
                <w:shd w:val="solid" w:color="000000" w:fill="000000"/>
                <w:fitText w:val="324" w:id="-629432823"/>
                <w14:textFill>
                  <w14:solidFill>
                    <w14:srgbClr w14:val="000000">
                      <w14:alpha w14:val="100000"/>
                    </w14:srgbClr>
                  </w14:solidFill>
                </w14:textFill>
              </w:rPr>
              <w:t>|</w:t>
            </w:r>
            <w:r w:rsidR="008C6701">
              <w:rPr>
                <w:vertAlign w:val="superscript"/>
              </w:rPr>
              <w:t>7</w:t>
            </w:r>
          </w:p>
        </w:tc>
        <w:tc>
          <w:tcPr>
            <w:tcW w:w="654" w:type="pct"/>
            <w:vAlign w:val="center"/>
          </w:tcPr>
          <w:p w14:paraId="0A85D315" w14:textId="18FD3971" w:rsidR="005E590C" w:rsidRPr="008C6701" w:rsidRDefault="005E590C" w:rsidP="005E590C">
            <w:pPr>
              <w:pStyle w:val="COMTabletext"/>
              <w:jc w:val="center"/>
              <w:rPr>
                <w:vertAlign w:val="superscript"/>
              </w:rPr>
            </w:pPr>
            <w:r w:rsidRPr="006D075E">
              <w:t>$</w:t>
            </w:r>
            <w:r w:rsidR="00800963" w:rsidRPr="00800963">
              <w:rPr>
                <w:color w:val="000000"/>
                <w:spacing w:val="51"/>
                <w:shd w:val="solid" w:color="000000" w:fill="000000"/>
                <w:fitText w:val="324" w:id="-629432822"/>
                <w14:textFill>
                  <w14:solidFill>
                    <w14:srgbClr w14:val="000000">
                      <w14:alpha w14:val="100000"/>
                    </w14:srgbClr>
                  </w14:solidFill>
                </w14:textFill>
              </w:rPr>
              <w:t>|||</w:t>
            </w:r>
            <w:r w:rsidR="00800963" w:rsidRPr="00800963">
              <w:rPr>
                <w:color w:val="000000"/>
                <w:spacing w:val="1"/>
                <w:shd w:val="solid" w:color="000000" w:fill="000000"/>
                <w:fitText w:val="324" w:id="-629432822"/>
                <w14:textFill>
                  <w14:solidFill>
                    <w14:srgbClr w14:val="000000">
                      <w14:alpha w14:val="100000"/>
                    </w14:srgbClr>
                  </w14:solidFill>
                </w14:textFill>
              </w:rPr>
              <w:t>|</w:t>
            </w:r>
            <w:r w:rsidR="008C6701">
              <w:rPr>
                <w:vertAlign w:val="superscript"/>
              </w:rPr>
              <w:t>7</w:t>
            </w:r>
          </w:p>
        </w:tc>
        <w:tc>
          <w:tcPr>
            <w:tcW w:w="611" w:type="pct"/>
            <w:vAlign w:val="center"/>
          </w:tcPr>
          <w:p w14:paraId="4AFF6FFF" w14:textId="1AA8D0DE" w:rsidR="005E590C" w:rsidRPr="008C6701" w:rsidRDefault="005E590C" w:rsidP="005E590C">
            <w:pPr>
              <w:pStyle w:val="COMTabletext"/>
              <w:jc w:val="center"/>
              <w:rPr>
                <w:vertAlign w:val="superscript"/>
              </w:rPr>
            </w:pPr>
            <w:r w:rsidRPr="006D075E">
              <w:t>$</w:t>
            </w:r>
            <w:r w:rsidR="00800963" w:rsidRPr="00800963">
              <w:rPr>
                <w:color w:val="000000"/>
                <w:spacing w:val="51"/>
                <w:shd w:val="solid" w:color="000000" w:fill="000000"/>
                <w:fitText w:val="324" w:id="-629432821"/>
                <w14:textFill>
                  <w14:solidFill>
                    <w14:srgbClr w14:val="000000">
                      <w14:alpha w14:val="100000"/>
                    </w14:srgbClr>
                  </w14:solidFill>
                </w14:textFill>
              </w:rPr>
              <w:t>|||</w:t>
            </w:r>
            <w:r w:rsidR="00800963" w:rsidRPr="00800963">
              <w:rPr>
                <w:color w:val="000000"/>
                <w:spacing w:val="1"/>
                <w:shd w:val="solid" w:color="000000" w:fill="000000"/>
                <w:fitText w:val="324" w:id="-629432821"/>
                <w14:textFill>
                  <w14:solidFill>
                    <w14:srgbClr w14:val="000000">
                      <w14:alpha w14:val="100000"/>
                    </w14:srgbClr>
                  </w14:solidFill>
                </w14:textFill>
              </w:rPr>
              <w:t>|</w:t>
            </w:r>
            <w:r w:rsidR="008C6701">
              <w:rPr>
                <w:vertAlign w:val="superscript"/>
              </w:rPr>
              <w:t>7</w:t>
            </w:r>
          </w:p>
        </w:tc>
        <w:tc>
          <w:tcPr>
            <w:tcW w:w="611" w:type="pct"/>
            <w:vAlign w:val="center"/>
          </w:tcPr>
          <w:p w14:paraId="44785949" w14:textId="4859A081" w:rsidR="005E590C" w:rsidRPr="008C6701" w:rsidRDefault="005E590C" w:rsidP="005E590C">
            <w:pPr>
              <w:pStyle w:val="COMTabletext"/>
              <w:jc w:val="center"/>
              <w:rPr>
                <w:vertAlign w:val="superscript"/>
              </w:rPr>
            </w:pPr>
            <w:r w:rsidRPr="006D075E">
              <w:t>$</w:t>
            </w:r>
            <w:r w:rsidR="00800963" w:rsidRPr="00800963">
              <w:rPr>
                <w:color w:val="000000"/>
                <w:spacing w:val="51"/>
                <w:shd w:val="solid" w:color="000000" w:fill="000000"/>
                <w:fitText w:val="324" w:id="-629432820"/>
                <w14:textFill>
                  <w14:solidFill>
                    <w14:srgbClr w14:val="000000">
                      <w14:alpha w14:val="100000"/>
                    </w14:srgbClr>
                  </w14:solidFill>
                </w14:textFill>
              </w:rPr>
              <w:t>|||</w:t>
            </w:r>
            <w:r w:rsidR="00800963" w:rsidRPr="00800963">
              <w:rPr>
                <w:color w:val="000000"/>
                <w:spacing w:val="1"/>
                <w:shd w:val="solid" w:color="000000" w:fill="000000"/>
                <w:fitText w:val="324" w:id="-629432820"/>
                <w14:textFill>
                  <w14:solidFill>
                    <w14:srgbClr w14:val="000000">
                      <w14:alpha w14:val="100000"/>
                    </w14:srgbClr>
                  </w14:solidFill>
                </w14:textFill>
              </w:rPr>
              <w:t>|</w:t>
            </w:r>
            <w:r w:rsidR="008C6701">
              <w:rPr>
                <w:vertAlign w:val="superscript"/>
              </w:rPr>
              <w:t>7</w:t>
            </w:r>
          </w:p>
        </w:tc>
        <w:tc>
          <w:tcPr>
            <w:tcW w:w="611" w:type="pct"/>
            <w:vAlign w:val="center"/>
          </w:tcPr>
          <w:p w14:paraId="58062294" w14:textId="1DE31E43" w:rsidR="005E590C" w:rsidRPr="008C6701" w:rsidRDefault="005E590C" w:rsidP="005E590C">
            <w:pPr>
              <w:pStyle w:val="COMTabletext"/>
              <w:jc w:val="center"/>
              <w:rPr>
                <w:vertAlign w:val="superscript"/>
              </w:rPr>
            </w:pPr>
            <w:r w:rsidRPr="006D075E">
              <w:t>$</w:t>
            </w:r>
            <w:r w:rsidR="00800963" w:rsidRPr="00800963">
              <w:rPr>
                <w:color w:val="000000"/>
                <w:spacing w:val="51"/>
                <w:shd w:val="solid" w:color="000000" w:fill="000000"/>
                <w:fitText w:val="324" w:id="-629432819"/>
                <w14:textFill>
                  <w14:solidFill>
                    <w14:srgbClr w14:val="000000">
                      <w14:alpha w14:val="100000"/>
                    </w14:srgbClr>
                  </w14:solidFill>
                </w14:textFill>
              </w:rPr>
              <w:t>|||</w:t>
            </w:r>
            <w:r w:rsidR="00800963" w:rsidRPr="00800963">
              <w:rPr>
                <w:color w:val="000000"/>
                <w:spacing w:val="1"/>
                <w:shd w:val="solid" w:color="000000" w:fill="000000"/>
                <w:fitText w:val="324" w:id="-629432819"/>
                <w14:textFill>
                  <w14:solidFill>
                    <w14:srgbClr w14:val="000000">
                      <w14:alpha w14:val="100000"/>
                    </w14:srgbClr>
                  </w14:solidFill>
                </w14:textFill>
              </w:rPr>
              <w:t>|</w:t>
            </w:r>
            <w:r w:rsidR="008C6701">
              <w:rPr>
                <w:vertAlign w:val="superscript"/>
              </w:rPr>
              <w:t>7</w:t>
            </w:r>
          </w:p>
        </w:tc>
      </w:tr>
      <w:tr w:rsidR="005E590C" w:rsidRPr="006D075E" w14:paraId="2EF7A887" w14:textId="77777777" w:rsidTr="00023D1B">
        <w:tc>
          <w:tcPr>
            <w:tcW w:w="1334" w:type="pct"/>
            <w:vAlign w:val="center"/>
          </w:tcPr>
          <w:p w14:paraId="695627F5" w14:textId="7C1A6832" w:rsidR="005E590C" w:rsidRPr="006D075E" w:rsidRDefault="005E590C" w:rsidP="005E590C">
            <w:pPr>
              <w:pStyle w:val="COMTabletext"/>
            </w:pPr>
            <w:r w:rsidRPr="006D075E">
              <w:t>Cost offsets for reduced subsequent BTKi (less copay)</w:t>
            </w:r>
            <w:r w:rsidR="00EB6248" w:rsidRPr="006D075E">
              <w:rPr>
                <w:vertAlign w:val="superscript"/>
              </w:rPr>
              <w:t>b</w:t>
            </w:r>
          </w:p>
        </w:tc>
        <w:tc>
          <w:tcPr>
            <w:tcW w:w="611" w:type="pct"/>
            <w:vAlign w:val="center"/>
          </w:tcPr>
          <w:p w14:paraId="2947BFD1" w14:textId="341658DA" w:rsidR="005E590C" w:rsidRPr="006C5A9E" w:rsidRDefault="005E590C" w:rsidP="005E590C">
            <w:pPr>
              <w:pStyle w:val="COMTabletext"/>
              <w:jc w:val="center"/>
              <w:rPr>
                <w:vertAlign w:val="superscript"/>
              </w:rPr>
            </w:pPr>
            <w:r w:rsidRPr="006D075E">
              <w:t>-$</w:t>
            </w:r>
            <w:r w:rsidR="00800963" w:rsidRPr="00800963">
              <w:rPr>
                <w:color w:val="000000"/>
                <w:spacing w:val="51"/>
                <w:shd w:val="solid" w:color="000000" w:fill="000000"/>
                <w:fitText w:val="324" w:id="-629432818"/>
                <w14:textFill>
                  <w14:solidFill>
                    <w14:srgbClr w14:val="000000">
                      <w14:alpha w14:val="100000"/>
                    </w14:srgbClr>
                  </w14:solidFill>
                </w14:textFill>
              </w:rPr>
              <w:t>|||</w:t>
            </w:r>
            <w:r w:rsidR="00800963" w:rsidRPr="00800963">
              <w:rPr>
                <w:color w:val="000000"/>
                <w:spacing w:val="1"/>
                <w:shd w:val="solid" w:color="000000" w:fill="000000"/>
                <w:fitText w:val="324" w:id="-629432818"/>
                <w14:textFill>
                  <w14:solidFill>
                    <w14:srgbClr w14:val="000000">
                      <w14:alpha w14:val="100000"/>
                    </w14:srgbClr>
                  </w14:solidFill>
                </w14:textFill>
              </w:rPr>
              <w:t>|</w:t>
            </w:r>
            <w:r w:rsidR="006C5A9E">
              <w:rPr>
                <w:vertAlign w:val="superscript"/>
              </w:rPr>
              <w:t>5</w:t>
            </w:r>
          </w:p>
        </w:tc>
        <w:tc>
          <w:tcPr>
            <w:tcW w:w="568" w:type="pct"/>
            <w:vAlign w:val="center"/>
          </w:tcPr>
          <w:p w14:paraId="40967849" w14:textId="1EFF5257" w:rsidR="005E590C" w:rsidRPr="006C5A9E" w:rsidRDefault="005E590C" w:rsidP="005E590C">
            <w:pPr>
              <w:pStyle w:val="COMTabletext"/>
              <w:jc w:val="center"/>
              <w:rPr>
                <w:vertAlign w:val="superscript"/>
              </w:rPr>
            </w:pPr>
            <w:r w:rsidRPr="006D075E">
              <w:t>-$</w:t>
            </w:r>
            <w:r w:rsidR="00800963" w:rsidRPr="00800963">
              <w:rPr>
                <w:color w:val="000000"/>
                <w:spacing w:val="51"/>
                <w:shd w:val="solid" w:color="000000" w:fill="000000"/>
                <w:fitText w:val="324" w:id="-629432817"/>
                <w14:textFill>
                  <w14:solidFill>
                    <w14:srgbClr w14:val="000000">
                      <w14:alpha w14:val="100000"/>
                    </w14:srgbClr>
                  </w14:solidFill>
                </w14:textFill>
              </w:rPr>
              <w:t>|||</w:t>
            </w:r>
            <w:r w:rsidR="00800963" w:rsidRPr="00800963">
              <w:rPr>
                <w:color w:val="000000"/>
                <w:spacing w:val="1"/>
                <w:shd w:val="solid" w:color="000000" w:fill="000000"/>
                <w:fitText w:val="324" w:id="-629432817"/>
                <w14:textFill>
                  <w14:solidFill>
                    <w14:srgbClr w14:val="000000">
                      <w14:alpha w14:val="100000"/>
                    </w14:srgbClr>
                  </w14:solidFill>
                </w14:textFill>
              </w:rPr>
              <w:t>|</w:t>
            </w:r>
            <w:r w:rsidR="006C5A9E">
              <w:rPr>
                <w:vertAlign w:val="superscript"/>
              </w:rPr>
              <w:t>5</w:t>
            </w:r>
          </w:p>
        </w:tc>
        <w:tc>
          <w:tcPr>
            <w:tcW w:w="654" w:type="pct"/>
            <w:vAlign w:val="center"/>
          </w:tcPr>
          <w:p w14:paraId="67916DAC" w14:textId="5D6D00A6" w:rsidR="005E590C" w:rsidRPr="006C5A9E" w:rsidRDefault="005E590C" w:rsidP="005E590C">
            <w:pPr>
              <w:pStyle w:val="COMTabletext"/>
              <w:jc w:val="center"/>
              <w:rPr>
                <w:vertAlign w:val="superscript"/>
              </w:rPr>
            </w:pPr>
            <w:r w:rsidRPr="006D075E">
              <w:t>-$</w:t>
            </w:r>
            <w:r w:rsidR="00800963" w:rsidRPr="00800963">
              <w:rPr>
                <w:color w:val="000000"/>
                <w:spacing w:val="55"/>
                <w:shd w:val="solid" w:color="000000" w:fill="000000"/>
                <w:fitText w:val="336" w:id="-629432816"/>
                <w14:textFill>
                  <w14:solidFill>
                    <w14:srgbClr w14:val="000000">
                      <w14:alpha w14:val="100000"/>
                    </w14:srgbClr>
                  </w14:solidFill>
                </w14:textFill>
              </w:rPr>
              <w:t>|||</w:t>
            </w:r>
            <w:r w:rsidR="00800963" w:rsidRPr="00800963">
              <w:rPr>
                <w:color w:val="000000"/>
                <w:spacing w:val="1"/>
                <w:shd w:val="solid" w:color="000000" w:fill="000000"/>
                <w:fitText w:val="336" w:id="-629432816"/>
                <w14:textFill>
                  <w14:solidFill>
                    <w14:srgbClr w14:val="000000">
                      <w14:alpha w14:val="100000"/>
                    </w14:srgbClr>
                  </w14:solidFill>
                </w14:textFill>
              </w:rPr>
              <w:t>|</w:t>
            </w:r>
            <w:r w:rsidR="006C5A9E">
              <w:rPr>
                <w:vertAlign w:val="superscript"/>
              </w:rPr>
              <w:t>5</w:t>
            </w:r>
          </w:p>
        </w:tc>
        <w:tc>
          <w:tcPr>
            <w:tcW w:w="611" w:type="pct"/>
            <w:vAlign w:val="center"/>
          </w:tcPr>
          <w:p w14:paraId="51294191" w14:textId="4BF6F435" w:rsidR="005E590C" w:rsidRPr="006C5A9E" w:rsidRDefault="005E590C" w:rsidP="005E590C">
            <w:pPr>
              <w:pStyle w:val="COMTabletext"/>
              <w:jc w:val="center"/>
              <w:rPr>
                <w:vertAlign w:val="superscript"/>
              </w:rPr>
            </w:pPr>
            <w:r w:rsidRPr="006D075E">
              <w:t>-$</w:t>
            </w:r>
            <w:r w:rsidR="00800963" w:rsidRPr="00800963">
              <w:rPr>
                <w:color w:val="000000"/>
                <w:spacing w:val="51"/>
                <w:shd w:val="solid" w:color="000000" w:fill="000000"/>
                <w:fitText w:val="324" w:id="-629432832"/>
                <w14:textFill>
                  <w14:solidFill>
                    <w14:srgbClr w14:val="000000">
                      <w14:alpha w14:val="100000"/>
                    </w14:srgbClr>
                  </w14:solidFill>
                </w14:textFill>
              </w:rPr>
              <w:t>|||</w:t>
            </w:r>
            <w:r w:rsidR="00800963" w:rsidRPr="00800963">
              <w:rPr>
                <w:color w:val="000000"/>
                <w:spacing w:val="1"/>
                <w:shd w:val="solid" w:color="000000" w:fill="000000"/>
                <w:fitText w:val="324" w:id="-629432832"/>
                <w14:textFill>
                  <w14:solidFill>
                    <w14:srgbClr w14:val="000000">
                      <w14:alpha w14:val="100000"/>
                    </w14:srgbClr>
                  </w14:solidFill>
                </w14:textFill>
              </w:rPr>
              <w:t>|</w:t>
            </w:r>
            <w:r w:rsidR="006C5A9E">
              <w:rPr>
                <w:vertAlign w:val="superscript"/>
              </w:rPr>
              <w:t>5</w:t>
            </w:r>
          </w:p>
        </w:tc>
        <w:tc>
          <w:tcPr>
            <w:tcW w:w="611" w:type="pct"/>
            <w:vAlign w:val="center"/>
          </w:tcPr>
          <w:p w14:paraId="36C52899" w14:textId="66B0F369" w:rsidR="005E590C" w:rsidRPr="006C5A9E" w:rsidRDefault="005E590C" w:rsidP="005E590C">
            <w:pPr>
              <w:pStyle w:val="COMTabletext"/>
              <w:jc w:val="center"/>
              <w:rPr>
                <w:vertAlign w:val="superscript"/>
              </w:rPr>
            </w:pPr>
            <w:r w:rsidRPr="006D075E">
              <w:t>-$</w:t>
            </w:r>
            <w:r w:rsidR="00800963" w:rsidRPr="00800963">
              <w:rPr>
                <w:color w:val="000000"/>
                <w:spacing w:val="51"/>
                <w:shd w:val="solid" w:color="000000" w:fill="000000"/>
                <w:fitText w:val="324" w:id="-629432831"/>
                <w14:textFill>
                  <w14:solidFill>
                    <w14:srgbClr w14:val="000000">
                      <w14:alpha w14:val="100000"/>
                    </w14:srgbClr>
                  </w14:solidFill>
                </w14:textFill>
              </w:rPr>
              <w:t>|||</w:t>
            </w:r>
            <w:r w:rsidR="00800963" w:rsidRPr="00800963">
              <w:rPr>
                <w:color w:val="000000"/>
                <w:spacing w:val="1"/>
                <w:shd w:val="solid" w:color="000000" w:fill="000000"/>
                <w:fitText w:val="324" w:id="-629432831"/>
                <w14:textFill>
                  <w14:solidFill>
                    <w14:srgbClr w14:val="000000">
                      <w14:alpha w14:val="100000"/>
                    </w14:srgbClr>
                  </w14:solidFill>
                </w14:textFill>
              </w:rPr>
              <w:t>|</w:t>
            </w:r>
            <w:r w:rsidR="006C5A9E">
              <w:rPr>
                <w:vertAlign w:val="superscript"/>
              </w:rPr>
              <w:t>5</w:t>
            </w:r>
          </w:p>
        </w:tc>
        <w:tc>
          <w:tcPr>
            <w:tcW w:w="611" w:type="pct"/>
            <w:vAlign w:val="center"/>
          </w:tcPr>
          <w:p w14:paraId="44B35604" w14:textId="1E44E85F" w:rsidR="005E590C" w:rsidRPr="006C5A9E" w:rsidRDefault="005E590C" w:rsidP="005E590C">
            <w:pPr>
              <w:pStyle w:val="COMTabletext"/>
              <w:jc w:val="center"/>
              <w:rPr>
                <w:vertAlign w:val="superscript"/>
              </w:rPr>
            </w:pPr>
            <w:r w:rsidRPr="006D075E">
              <w:t>-$</w:t>
            </w:r>
            <w:r w:rsidR="00800963" w:rsidRPr="00800963">
              <w:rPr>
                <w:color w:val="000000"/>
                <w:spacing w:val="51"/>
                <w:shd w:val="solid" w:color="000000" w:fill="000000"/>
                <w:fitText w:val="324" w:id="-629432830"/>
                <w14:textFill>
                  <w14:solidFill>
                    <w14:srgbClr w14:val="000000">
                      <w14:alpha w14:val="100000"/>
                    </w14:srgbClr>
                  </w14:solidFill>
                </w14:textFill>
              </w:rPr>
              <w:t>|||</w:t>
            </w:r>
            <w:r w:rsidR="00800963" w:rsidRPr="00800963">
              <w:rPr>
                <w:color w:val="000000"/>
                <w:spacing w:val="1"/>
                <w:shd w:val="solid" w:color="000000" w:fill="000000"/>
                <w:fitText w:val="324" w:id="-629432830"/>
                <w14:textFill>
                  <w14:solidFill>
                    <w14:srgbClr w14:val="000000">
                      <w14:alpha w14:val="100000"/>
                    </w14:srgbClr>
                  </w14:solidFill>
                </w14:textFill>
              </w:rPr>
              <w:t>|</w:t>
            </w:r>
            <w:r w:rsidR="006C5A9E">
              <w:rPr>
                <w:vertAlign w:val="superscript"/>
              </w:rPr>
              <w:t>5</w:t>
            </w:r>
          </w:p>
        </w:tc>
      </w:tr>
      <w:tr w:rsidR="005E610D" w:rsidRPr="006D075E" w14:paraId="0CE077D9" w14:textId="77777777" w:rsidTr="00023D1B">
        <w:tc>
          <w:tcPr>
            <w:tcW w:w="1334" w:type="pct"/>
            <w:vAlign w:val="center"/>
          </w:tcPr>
          <w:p w14:paraId="40F6A2C5" w14:textId="27396FFC" w:rsidR="005E610D" w:rsidRPr="002F0933" w:rsidRDefault="005E610D" w:rsidP="005E610D">
            <w:pPr>
              <w:pStyle w:val="COMTabletext"/>
            </w:pPr>
            <w:r w:rsidRPr="002F0933">
              <w:t>Cost to PBS/RPBS less copayments</w:t>
            </w:r>
            <w:r w:rsidR="001B581D" w:rsidRPr="002F0933">
              <w:t xml:space="preserve"> (submission) </w:t>
            </w:r>
          </w:p>
        </w:tc>
        <w:tc>
          <w:tcPr>
            <w:tcW w:w="611" w:type="pct"/>
            <w:vAlign w:val="center"/>
          </w:tcPr>
          <w:p w14:paraId="50CF2446" w14:textId="7685B91A" w:rsidR="005E610D" w:rsidRPr="006C5A9E" w:rsidRDefault="005E610D" w:rsidP="005E610D">
            <w:pPr>
              <w:pStyle w:val="COMTabletext"/>
              <w:jc w:val="center"/>
              <w:rPr>
                <w:vertAlign w:val="superscript"/>
              </w:rPr>
            </w:pPr>
            <w:r w:rsidRPr="002F0933">
              <w:t>-$</w:t>
            </w:r>
            <w:r w:rsidR="00800963" w:rsidRPr="00800963">
              <w:rPr>
                <w:color w:val="000000"/>
                <w:spacing w:val="51"/>
                <w:shd w:val="solid" w:color="000000" w:fill="000000"/>
                <w:fitText w:val="324" w:id="-629432829"/>
                <w14:textFill>
                  <w14:solidFill>
                    <w14:srgbClr w14:val="000000">
                      <w14:alpha w14:val="100000"/>
                    </w14:srgbClr>
                  </w14:solidFill>
                </w14:textFill>
              </w:rPr>
              <w:t>|||</w:t>
            </w:r>
            <w:r w:rsidR="00800963" w:rsidRPr="00800963">
              <w:rPr>
                <w:color w:val="000000"/>
                <w:spacing w:val="1"/>
                <w:shd w:val="solid" w:color="000000" w:fill="000000"/>
                <w:fitText w:val="324" w:id="-629432829"/>
                <w14:textFill>
                  <w14:solidFill>
                    <w14:srgbClr w14:val="000000">
                      <w14:alpha w14:val="100000"/>
                    </w14:srgbClr>
                  </w14:solidFill>
                </w14:textFill>
              </w:rPr>
              <w:t>|</w:t>
            </w:r>
            <w:r w:rsidR="006C5A9E">
              <w:rPr>
                <w:vertAlign w:val="superscript"/>
              </w:rPr>
              <w:t>5</w:t>
            </w:r>
          </w:p>
        </w:tc>
        <w:tc>
          <w:tcPr>
            <w:tcW w:w="568" w:type="pct"/>
            <w:vAlign w:val="center"/>
          </w:tcPr>
          <w:p w14:paraId="35AF80ED" w14:textId="5E950B57" w:rsidR="005E610D" w:rsidRPr="006C5A9E" w:rsidRDefault="005E610D" w:rsidP="005E610D">
            <w:pPr>
              <w:pStyle w:val="COMTabletext"/>
              <w:jc w:val="center"/>
              <w:rPr>
                <w:vertAlign w:val="superscript"/>
              </w:rPr>
            </w:pPr>
            <w:r w:rsidRPr="002F0933">
              <w:t>-$</w:t>
            </w:r>
            <w:r w:rsidR="00800963" w:rsidRPr="00800963">
              <w:rPr>
                <w:color w:val="000000"/>
                <w:spacing w:val="51"/>
                <w:shd w:val="solid" w:color="000000" w:fill="000000"/>
                <w:fitText w:val="324" w:id="-629432828"/>
                <w14:textFill>
                  <w14:solidFill>
                    <w14:srgbClr w14:val="000000">
                      <w14:alpha w14:val="100000"/>
                    </w14:srgbClr>
                  </w14:solidFill>
                </w14:textFill>
              </w:rPr>
              <w:t>|||</w:t>
            </w:r>
            <w:r w:rsidR="00800963" w:rsidRPr="00800963">
              <w:rPr>
                <w:color w:val="000000"/>
                <w:spacing w:val="1"/>
                <w:shd w:val="solid" w:color="000000" w:fill="000000"/>
                <w:fitText w:val="324" w:id="-629432828"/>
                <w14:textFill>
                  <w14:solidFill>
                    <w14:srgbClr w14:val="000000">
                      <w14:alpha w14:val="100000"/>
                    </w14:srgbClr>
                  </w14:solidFill>
                </w14:textFill>
              </w:rPr>
              <w:t>|</w:t>
            </w:r>
            <w:r w:rsidR="006C5A9E">
              <w:rPr>
                <w:vertAlign w:val="superscript"/>
              </w:rPr>
              <w:t>5</w:t>
            </w:r>
          </w:p>
        </w:tc>
        <w:tc>
          <w:tcPr>
            <w:tcW w:w="654" w:type="pct"/>
            <w:vAlign w:val="center"/>
          </w:tcPr>
          <w:p w14:paraId="28F1C25D" w14:textId="3956B37B" w:rsidR="005E610D" w:rsidRPr="006C5A9E" w:rsidRDefault="005E610D" w:rsidP="005E610D">
            <w:pPr>
              <w:pStyle w:val="COMTabletext"/>
              <w:jc w:val="center"/>
              <w:rPr>
                <w:vertAlign w:val="superscript"/>
              </w:rPr>
            </w:pPr>
            <w:r w:rsidRPr="002F0933">
              <w:t>-$</w:t>
            </w:r>
            <w:r w:rsidR="00800963" w:rsidRPr="00800963">
              <w:rPr>
                <w:color w:val="000000"/>
                <w:spacing w:val="55"/>
                <w:shd w:val="solid" w:color="000000" w:fill="000000"/>
                <w:fitText w:val="336" w:id="-629432827"/>
                <w14:textFill>
                  <w14:solidFill>
                    <w14:srgbClr w14:val="000000">
                      <w14:alpha w14:val="100000"/>
                    </w14:srgbClr>
                  </w14:solidFill>
                </w14:textFill>
              </w:rPr>
              <w:t>|||</w:t>
            </w:r>
            <w:r w:rsidR="00800963" w:rsidRPr="00800963">
              <w:rPr>
                <w:color w:val="000000"/>
                <w:spacing w:val="1"/>
                <w:shd w:val="solid" w:color="000000" w:fill="000000"/>
                <w:fitText w:val="336" w:id="-629432827"/>
                <w14:textFill>
                  <w14:solidFill>
                    <w14:srgbClr w14:val="000000">
                      <w14:alpha w14:val="100000"/>
                    </w14:srgbClr>
                  </w14:solidFill>
                </w14:textFill>
              </w:rPr>
              <w:t>|</w:t>
            </w:r>
            <w:r w:rsidR="006C5A9E">
              <w:rPr>
                <w:vertAlign w:val="superscript"/>
              </w:rPr>
              <w:t>5</w:t>
            </w:r>
          </w:p>
        </w:tc>
        <w:tc>
          <w:tcPr>
            <w:tcW w:w="611" w:type="pct"/>
            <w:vAlign w:val="center"/>
          </w:tcPr>
          <w:p w14:paraId="5DBA4173" w14:textId="2F3F36BB" w:rsidR="005E610D" w:rsidRPr="006C5A9E" w:rsidRDefault="005E610D" w:rsidP="005E610D">
            <w:pPr>
              <w:pStyle w:val="COMTabletext"/>
              <w:jc w:val="center"/>
              <w:rPr>
                <w:vertAlign w:val="superscript"/>
              </w:rPr>
            </w:pPr>
            <w:r w:rsidRPr="002F0933">
              <w:t>-$</w:t>
            </w:r>
            <w:r w:rsidR="00800963" w:rsidRPr="00800963">
              <w:rPr>
                <w:color w:val="000000"/>
                <w:spacing w:val="51"/>
                <w:shd w:val="solid" w:color="000000" w:fill="000000"/>
                <w:fitText w:val="324" w:id="-629432826"/>
                <w14:textFill>
                  <w14:solidFill>
                    <w14:srgbClr w14:val="000000">
                      <w14:alpha w14:val="100000"/>
                    </w14:srgbClr>
                  </w14:solidFill>
                </w14:textFill>
              </w:rPr>
              <w:t>|||</w:t>
            </w:r>
            <w:r w:rsidR="00800963" w:rsidRPr="00800963">
              <w:rPr>
                <w:color w:val="000000"/>
                <w:spacing w:val="1"/>
                <w:shd w:val="solid" w:color="000000" w:fill="000000"/>
                <w:fitText w:val="324" w:id="-629432826"/>
                <w14:textFill>
                  <w14:solidFill>
                    <w14:srgbClr w14:val="000000">
                      <w14:alpha w14:val="100000"/>
                    </w14:srgbClr>
                  </w14:solidFill>
                </w14:textFill>
              </w:rPr>
              <w:t>|</w:t>
            </w:r>
            <w:r w:rsidR="006C5A9E">
              <w:rPr>
                <w:vertAlign w:val="superscript"/>
              </w:rPr>
              <w:t>5</w:t>
            </w:r>
          </w:p>
        </w:tc>
        <w:tc>
          <w:tcPr>
            <w:tcW w:w="611" w:type="pct"/>
            <w:vAlign w:val="center"/>
          </w:tcPr>
          <w:p w14:paraId="4D6DC68C" w14:textId="70A11660" w:rsidR="005E610D" w:rsidRPr="006C5A9E" w:rsidRDefault="005E610D" w:rsidP="005E610D">
            <w:pPr>
              <w:pStyle w:val="COMTabletext"/>
              <w:jc w:val="center"/>
              <w:rPr>
                <w:vertAlign w:val="superscript"/>
              </w:rPr>
            </w:pPr>
            <w:r w:rsidRPr="002F0933">
              <w:t>-$</w:t>
            </w:r>
            <w:r w:rsidR="00800963" w:rsidRPr="00800963">
              <w:rPr>
                <w:color w:val="000000"/>
                <w:spacing w:val="51"/>
                <w:shd w:val="solid" w:color="000000" w:fill="000000"/>
                <w:fitText w:val="324" w:id="-629432825"/>
                <w14:textFill>
                  <w14:solidFill>
                    <w14:srgbClr w14:val="000000">
                      <w14:alpha w14:val="100000"/>
                    </w14:srgbClr>
                  </w14:solidFill>
                </w14:textFill>
              </w:rPr>
              <w:t>|||</w:t>
            </w:r>
            <w:r w:rsidR="00800963" w:rsidRPr="00800963">
              <w:rPr>
                <w:color w:val="000000"/>
                <w:spacing w:val="1"/>
                <w:shd w:val="solid" w:color="000000" w:fill="000000"/>
                <w:fitText w:val="324" w:id="-629432825"/>
                <w14:textFill>
                  <w14:solidFill>
                    <w14:srgbClr w14:val="000000">
                      <w14:alpha w14:val="100000"/>
                    </w14:srgbClr>
                  </w14:solidFill>
                </w14:textFill>
              </w:rPr>
              <w:t>|</w:t>
            </w:r>
            <w:r w:rsidR="006C5A9E">
              <w:rPr>
                <w:vertAlign w:val="superscript"/>
              </w:rPr>
              <w:t>5</w:t>
            </w:r>
          </w:p>
        </w:tc>
        <w:tc>
          <w:tcPr>
            <w:tcW w:w="611" w:type="pct"/>
            <w:vAlign w:val="center"/>
          </w:tcPr>
          <w:p w14:paraId="0766C6AC" w14:textId="2167693F" w:rsidR="005E610D" w:rsidRPr="006C5A9E" w:rsidRDefault="005E610D" w:rsidP="005E610D">
            <w:pPr>
              <w:pStyle w:val="COMTabletext"/>
              <w:jc w:val="center"/>
              <w:rPr>
                <w:vertAlign w:val="superscript"/>
              </w:rPr>
            </w:pPr>
            <w:r w:rsidRPr="002F0933">
              <w:t>-$</w:t>
            </w:r>
            <w:r w:rsidR="00800963" w:rsidRPr="00800963">
              <w:rPr>
                <w:color w:val="000000"/>
                <w:spacing w:val="51"/>
                <w:shd w:val="solid" w:color="000000" w:fill="000000"/>
                <w:fitText w:val="324" w:id="-629432824"/>
                <w14:textFill>
                  <w14:solidFill>
                    <w14:srgbClr w14:val="000000">
                      <w14:alpha w14:val="100000"/>
                    </w14:srgbClr>
                  </w14:solidFill>
                </w14:textFill>
              </w:rPr>
              <w:t>|||</w:t>
            </w:r>
            <w:r w:rsidR="00800963" w:rsidRPr="00800963">
              <w:rPr>
                <w:color w:val="000000"/>
                <w:spacing w:val="1"/>
                <w:shd w:val="solid" w:color="000000" w:fill="000000"/>
                <w:fitText w:val="324" w:id="-629432824"/>
                <w14:textFill>
                  <w14:solidFill>
                    <w14:srgbClr w14:val="000000">
                      <w14:alpha w14:val="100000"/>
                    </w14:srgbClr>
                  </w14:solidFill>
                </w14:textFill>
              </w:rPr>
              <w:t>|</w:t>
            </w:r>
            <w:r w:rsidR="006C5A9E">
              <w:rPr>
                <w:vertAlign w:val="superscript"/>
              </w:rPr>
              <w:t>5</w:t>
            </w:r>
          </w:p>
        </w:tc>
      </w:tr>
      <w:tr w:rsidR="001B581D" w:rsidRPr="006D075E" w14:paraId="103A7F16" w14:textId="77777777" w:rsidTr="00023D1B">
        <w:tc>
          <w:tcPr>
            <w:tcW w:w="1334" w:type="pct"/>
            <w:vAlign w:val="center"/>
          </w:tcPr>
          <w:p w14:paraId="4DD055A0" w14:textId="5C4BE8EE" w:rsidR="001B581D" w:rsidRPr="002F0933" w:rsidRDefault="001B581D" w:rsidP="001B581D">
            <w:pPr>
              <w:pStyle w:val="COMTabletext"/>
            </w:pPr>
            <w:r w:rsidRPr="002F0933">
              <w:t>Cost to PBS/RPBS less copayments (PSCR)</w:t>
            </w:r>
          </w:p>
        </w:tc>
        <w:tc>
          <w:tcPr>
            <w:tcW w:w="611" w:type="pct"/>
            <w:vAlign w:val="center"/>
          </w:tcPr>
          <w:p w14:paraId="4C71C1DA" w14:textId="685365FF" w:rsidR="001B581D" w:rsidRPr="006C5A9E" w:rsidRDefault="001B581D" w:rsidP="001B581D">
            <w:pPr>
              <w:pStyle w:val="COMTabletext"/>
              <w:jc w:val="center"/>
              <w:rPr>
                <w:vertAlign w:val="superscript"/>
              </w:rPr>
            </w:pPr>
            <w:r w:rsidRPr="002F0933">
              <w:t>-$</w:t>
            </w:r>
            <w:r w:rsidR="00800963" w:rsidRPr="00800963">
              <w:rPr>
                <w:color w:val="000000"/>
                <w:spacing w:val="51"/>
                <w:shd w:val="solid" w:color="000000" w:fill="000000"/>
                <w:fitText w:val="324" w:id="-629432823"/>
                <w14:textFill>
                  <w14:solidFill>
                    <w14:srgbClr w14:val="000000">
                      <w14:alpha w14:val="100000"/>
                    </w14:srgbClr>
                  </w14:solidFill>
                </w14:textFill>
              </w:rPr>
              <w:t>|||</w:t>
            </w:r>
            <w:r w:rsidR="00800963" w:rsidRPr="00800963">
              <w:rPr>
                <w:color w:val="000000"/>
                <w:spacing w:val="1"/>
                <w:shd w:val="solid" w:color="000000" w:fill="000000"/>
                <w:fitText w:val="324" w:id="-629432823"/>
                <w14:textFill>
                  <w14:solidFill>
                    <w14:srgbClr w14:val="000000">
                      <w14:alpha w14:val="100000"/>
                    </w14:srgbClr>
                  </w14:solidFill>
                </w14:textFill>
              </w:rPr>
              <w:t>|</w:t>
            </w:r>
            <w:r w:rsidR="006C5A9E">
              <w:rPr>
                <w:vertAlign w:val="superscript"/>
              </w:rPr>
              <w:t>5</w:t>
            </w:r>
          </w:p>
        </w:tc>
        <w:tc>
          <w:tcPr>
            <w:tcW w:w="568" w:type="pct"/>
            <w:vAlign w:val="center"/>
          </w:tcPr>
          <w:p w14:paraId="4326A329" w14:textId="5155D322" w:rsidR="001B581D" w:rsidRPr="006C5A9E" w:rsidRDefault="001B581D" w:rsidP="001B581D">
            <w:pPr>
              <w:pStyle w:val="COMTabletext"/>
              <w:jc w:val="center"/>
              <w:rPr>
                <w:vertAlign w:val="superscript"/>
              </w:rPr>
            </w:pPr>
            <w:r w:rsidRPr="002F0933">
              <w:t>-$</w:t>
            </w:r>
            <w:r w:rsidR="00800963" w:rsidRPr="00800963">
              <w:rPr>
                <w:color w:val="000000"/>
                <w:spacing w:val="51"/>
                <w:shd w:val="solid" w:color="000000" w:fill="000000"/>
                <w:fitText w:val="324" w:id="-629432822"/>
                <w14:textFill>
                  <w14:solidFill>
                    <w14:srgbClr w14:val="000000">
                      <w14:alpha w14:val="100000"/>
                    </w14:srgbClr>
                  </w14:solidFill>
                </w14:textFill>
              </w:rPr>
              <w:t>|||</w:t>
            </w:r>
            <w:r w:rsidR="00800963" w:rsidRPr="00800963">
              <w:rPr>
                <w:color w:val="000000"/>
                <w:spacing w:val="1"/>
                <w:shd w:val="solid" w:color="000000" w:fill="000000"/>
                <w:fitText w:val="324" w:id="-629432822"/>
                <w14:textFill>
                  <w14:solidFill>
                    <w14:srgbClr w14:val="000000">
                      <w14:alpha w14:val="100000"/>
                    </w14:srgbClr>
                  </w14:solidFill>
                </w14:textFill>
              </w:rPr>
              <w:t>|</w:t>
            </w:r>
            <w:r w:rsidR="006C5A9E">
              <w:rPr>
                <w:vertAlign w:val="superscript"/>
              </w:rPr>
              <w:t>5</w:t>
            </w:r>
          </w:p>
        </w:tc>
        <w:tc>
          <w:tcPr>
            <w:tcW w:w="654" w:type="pct"/>
            <w:vAlign w:val="center"/>
          </w:tcPr>
          <w:p w14:paraId="3C4E2301" w14:textId="3239AC40" w:rsidR="001B581D" w:rsidRPr="006C5A9E" w:rsidRDefault="001B581D" w:rsidP="001B581D">
            <w:pPr>
              <w:pStyle w:val="COMTabletext"/>
              <w:jc w:val="center"/>
              <w:rPr>
                <w:vertAlign w:val="superscript"/>
              </w:rPr>
            </w:pPr>
            <w:r w:rsidRPr="002F0933">
              <w:t>-$</w:t>
            </w:r>
            <w:r w:rsidR="00800963" w:rsidRPr="00800963">
              <w:rPr>
                <w:color w:val="000000"/>
                <w:spacing w:val="55"/>
                <w:shd w:val="solid" w:color="000000" w:fill="000000"/>
                <w:fitText w:val="336" w:id="-629432821"/>
                <w14:textFill>
                  <w14:solidFill>
                    <w14:srgbClr w14:val="000000">
                      <w14:alpha w14:val="100000"/>
                    </w14:srgbClr>
                  </w14:solidFill>
                </w14:textFill>
              </w:rPr>
              <w:t>|||</w:t>
            </w:r>
            <w:r w:rsidR="00800963" w:rsidRPr="00800963">
              <w:rPr>
                <w:color w:val="000000"/>
                <w:spacing w:val="1"/>
                <w:shd w:val="solid" w:color="000000" w:fill="000000"/>
                <w:fitText w:val="336" w:id="-629432821"/>
                <w14:textFill>
                  <w14:solidFill>
                    <w14:srgbClr w14:val="000000">
                      <w14:alpha w14:val="100000"/>
                    </w14:srgbClr>
                  </w14:solidFill>
                </w14:textFill>
              </w:rPr>
              <w:t>|</w:t>
            </w:r>
            <w:r w:rsidR="006C5A9E">
              <w:rPr>
                <w:vertAlign w:val="superscript"/>
              </w:rPr>
              <w:t>5</w:t>
            </w:r>
          </w:p>
        </w:tc>
        <w:tc>
          <w:tcPr>
            <w:tcW w:w="611" w:type="pct"/>
            <w:vAlign w:val="center"/>
          </w:tcPr>
          <w:p w14:paraId="1CA19F4D" w14:textId="41D77A69" w:rsidR="001B581D" w:rsidRPr="006C5A9E" w:rsidRDefault="001B581D" w:rsidP="001B581D">
            <w:pPr>
              <w:pStyle w:val="COMTabletext"/>
              <w:jc w:val="center"/>
              <w:rPr>
                <w:vertAlign w:val="superscript"/>
              </w:rPr>
            </w:pPr>
            <w:r w:rsidRPr="002F0933">
              <w:t>-$</w:t>
            </w:r>
            <w:r w:rsidR="00800963" w:rsidRPr="00800963">
              <w:rPr>
                <w:color w:val="000000"/>
                <w:spacing w:val="51"/>
                <w:shd w:val="solid" w:color="000000" w:fill="000000"/>
                <w:fitText w:val="324" w:id="-629432820"/>
                <w14:textFill>
                  <w14:solidFill>
                    <w14:srgbClr w14:val="000000">
                      <w14:alpha w14:val="100000"/>
                    </w14:srgbClr>
                  </w14:solidFill>
                </w14:textFill>
              </w:rPr>
              <w:t>|||</w:t>
            </w:r>
            <w:r w:rsidR="00800963" w:rsidRPr="00800963">
              <w:rPr>
                <w:color w:val="000000"/>
                <w:spacing w:val="1"/>
                <w:shd w:val="solid" w:color="000000" w:fill="000000"/>
                <w:fitText w:val="324" w:id="-629432820"/>
                <w14:textFill>
                  <w14:solidFill>
                    <w14:srgbClr w14:val="000000">
                      <w14:alpha w14:val="100000"/>
                    </w14:srgbClr>
                  </w14:solidFill>
                </w14:textFill>
              </w:rPr>
              <w:t>|</w:t>
            </w:r>
            <w:r w:rsidR="006C5A9E">
              <w:rPr>
                <w:vertAlign w:val="superscript"/>
              </w:rPr>
              <w:t>5</w:t>
            </w:r>
          </w:p>
        </w:tc>
        <w:tc>
          <w:tcPr>
            <w:tcW w:w="611" w:type="pct"/>
            <w:vAlign w:val="center"/>
          </w:tcPr>
          <w:p w14:paraId="7F6920D0" w14:textId="280414DE" w:rsidR="001B581D" w:rsidRPr="006C5A9E" w:rsidRDefault="001B581D" w:rsidP="001B581D">
            <w:pPr>
              <w:pStyle w:val="COMTabletext"/>
              <w:jc w:val="center"/>
              <w:rPr>
                <w:vertAlign w:val="superscript"/>
              </w:rPr>
            </w:pPr>
            <w:r w:rsidRPr="002F0933">
              <w:t>-$</w:t>
            </w:r>
            <w:r w:rsidR="00800963" w:rsidRPr="00800963">
              <w:rPr>
                <w:color w:val="000000"/>
                <w:spacing w:val="51"/>
                <w:shd w:val="solid" w:color="000000" w:fill="000000"/>
                <w:fitText w:val="324" w:id="-629432819"/>
                <w14:textFill>
                  <w14:solidFill>
                    <w14:srgbClr w14:val="000000">
                      <w14:alpha w14:val="100000"/>
                    </w14:srgbClr>
                  </w14:solidFill>
                </w14:textFill>
              </w:rPr>
              <w:t>|||</w:t>
            </w:r>
            <w:r w:rsidR="00800963" w:rsidRPr="00800963">
              <w:rPr>
                <w:color w:val="000000"/>
                <w:spacing w:val="1"/>
                <w:shd w:val="solid" w:color="000000" w:fill="000000"/>
                <w:fitText w:val="324" w:id="-629432819"/>
                <w14:textFill>
                  <w14:solidFill>
                    <w14:srgbClr w14:val="000000">
                      <w14:alpha w14:val="100000"/>
                    </w14:srgbClr>
                  </w14:solidFill>
                </w14:textFill>
              </w:rPr>
              <w:t>|</w:t>
            </w:r>
            <w:r w:rsidR="006C5A9E">
              <w:rPr>
                <w:vertAlign w:val="superscript"/>
              </w:rPr>
              <w:t>5</w:t>
            </w:r>
          </w:p>
        </w:tc>
        <w:tc>
          <w:tcPr>
            <w:tcW w:w="611" w:type="pct"/>
            <w:vAlign w:val="center"/>
          </w:tcPr>
          <w:p w14:paraId="7F1CD594" w14:textId="21AF4C0B" w:rsidR="001B581D" w:rsidRPr="006C5A9E" w:rsidRDefault="001B581D" w:rsidP="001B581D">
            <w:pPr>
              <w:pStyle w:val="COMTabletext"/>
              <w:jc w:val="center"/>
              <w:rPr>
                <w:vertAlign w:val="superscript"/>
              </w:rPr>
            </w:pPr>
            <w:r w:rsidRPr="002F0933">
              <w:t>-$</w:t>
            </w:r>
            <w:r w:rsidR="00800963" w:rsidRPr="00800963">
              <w:rPr>
                <w:color w:val="000000"/>
                <w:spacing w:val="51"/>
                <w:shd w:val="solid" w:color="000000" w:fill="000000"/>
                <w:fitText w:val="324" w:id="-629432818"/>
                <w14:textFill>
                  <w14:solidFill>
                    <w14:srgbClr w14:val="000000">
                      <w14:alpha w14:val="100000"/>
                    </w14:srgbClr>
                  </w14:solidFill>
                </w14:textFill>
              </w:rPr>
              <w:t>|||</w:t>
            </w:r>
            <w:r w:rsidR="00800963" w:rsidRPr="00800963">
              <w:rPr>
                <w:color w:val="000000"/>
                <w:spacing w:val="1"/>
                <w:shd w:val="solid" w:color="000000" w:fill="000000"/>
                <w:fitText w:val="324" w:id="-629432818"/>
                <w14:textFill>
                  <w14:solidFill>
                    <w14:srgbClr w14:val="000000">
                      <w14:alpha w14:val="100000"/>
                    </w14:srgbClr>
                  </w14:solidFill>
                </w14:textFill>
              </w:rPr>
              <w:t>|</w:t>
            </w:r>
            <w:r w:rsidR="006C5A9E">
              <w:rPr>
                <w:vertAlign w:val="superscript"/>
              </w:rPr>
              <w:t>5</w:t>
            </w:r>
          </w:p>
        </w:tc>
      </w:tr>
      <w:tr w:rsidR="00385A9D" w:rsidRPr="006D075E" w14:paraId="4FA07BD8" w14:textId="77777777" w:rsidTr="009C3A3A">
        <w:tc>
          <w:tcPr>
            <w:tcW w:w="5000" w:type="pct"/>
            <w:gridSpan w:val="7"/>
            <w:vAlign w:val="center"/>
          </w:tcPr>
          <w:p w14:paraId="1A627EA0" w14:textId="5A453F83" w:rsidR="00385A9D" w:rsidRPr="006D075E" w:rsidRDefault="00385A9D" w:rsidP="00942559">
            <w:pPr>
              <w:pStyle w:val="COMTableheadingrow"/>
              <w:rPr>
                <w:lang w:val="en-AU"/>
              </w:rPr>
            </w:pPr>
            <w:r w:rsidRPr="006D075E">
              <w:rPr>
                <w:lang w:val="en-AU"/>
              </w:rPr>
              <w:t>Net financial implications</w:t>
            </w:r>
          </w:p>
        </w:tc>
      </w:tr>
      <w:tr w:rsidR="00084B96" w:rsidRPr="006D075E" w14:paraId="3F33D4C6" w14:textId="77777777" w:rsidTr="00023D1B">
        <w:tc>
          <w:tcPr>
            <w:tcW w:w="1334" w:type="pct"/>
            <w:vAlign w:val="center"/>
          </w:tcPr>
          <w:p w14:paraId="5ABBDE64" w14:textId="77777777" w:rsidR="00084B96" w:rsidRPr="006D075E" w:rsidRDefault="00084B96" w:rsidP="00084B96">
            <w:pPr>
              <w:pStyle w:val="COMTabletext"/>
            </w:pPr>
            <w:r w:rsidRPr="006D075E">
              <w:t>Net cost to PBS/RPBS</w:t>
            </w:r>
          </w:p>
        </w:tc>
        <w:tc>
          <w:tcPr>
            <w:tcW w:w="611" w:type="pct"/>
          </w:tcPr>
          <w:p w14:paraId="744F82C2" w14:textId="097C7CCF" w:rsidR="00084B96" w:rsidRPr="006C5A9E" w:rsidRDefault="00084B96" w:rsidP="00084B96">
            <w:pPr>
              <w:pStyle w:val="COMTabletext"/>
              <w:jc w:val="center"/>
              <w:rPr>
                <w:vertAlign w:val="superscript"/>
              </w:rPr>
            </w:pPr>
            <w:r w:rsidRPr="006D075E">
              <w:t>$</w:t>
            </w:r>
            <w:r w:rsidR="00800963" w:rsidRPr="00800963">
              <w:rPr>
                <w:color w:val="000000"/>
                <w:spacing w:val="51"/>
                <w:shd w:val="solid" w:color="000000" w:fill="000000"/>
                <w:fitText w:val="324" w:id="-629432817"/>
                <w14:textFill>
                  <w14:solidFill>
                    <w14:srgbClr w14:val="000000">
                      <w14:alpha w14:val="100000"/>
                    </w14:srgbClr>
                  </w14:solidFill>
                </w14:textFill>
              </w:rPr>
              <w:t>|||</w:t>
            </w:r>
            <w:r w:rsidR="00800963" w:rsidRPr="00800963">
              <w:rPr>
                <w:color w:val="000000"/>
                <w:spacing w:val="1"/>
                <w:shd w:val="solid" w:color="000000" w:fill="000000"/>
                <w:fitText w:val="324" w:id="-629432817"/>
                <w14:textFill>
                  <w14:solidFill>
                    <w14:srgbClr w14:val="000000">
                      <w14:alpha w14:val="100000"/>
                    </w14:srgbClr>
                  </w14:solidFill>
                </w14:textFill>
              </w:rPr>
              <w:t>|</w:t>
            </w:r>
            <w:r w:rsidR="006C5A9E">
              <w:rPr>
                <w:vertAlign w:val="superscript"/>
              </w:rPr>
              <w:t>5</w:t>
            </w:r>
          </w:p>
        </w:tc>
        <w:tc>
          <w:tcPr>
            <w:tcW w:w="568" w:type="pct"/>
          </w:tcPr>
          <w:p w14:paraId="295843EA" w14:textId="0FC31252" w:rsidR="00084B96" w:rsidRPr="006C5A9E" w:rsidRDefault="00084B96" w:rsidP="00084B96">
            <w:pPr>
              <w:pStyle w:val="COMTabletext"/>
              <w:jc w:val="center"/>
              <w:rPr>
                <w:vertAlign w:val="superscript"/>
              </w:rPr>
            </w:pPr>
            <w:r w:rsidRPr="006D075E">
              <w:t>$</w:t>
            </w:r>
            <w:r w:rsidR="00800963" w:rsidRPr="00800963">
              <w:rPr>
                <w:color w:val="000000"/>
                <w:spacing w:val="51"/>
                <w:shd w:val="solid" w:color="000000" w:fill="000000"/>
                <w:fitText w:val="324" w:id="-629432816"/>
                <w14:textFill>
                  <w14:solidFill>
                    <w14:srgbClr w14:val="000000">
                      <w14:alpha w14:val="100000"/>
                    </w14:srgbClr>
                  </w14:solidFill>
                </w14:textFill>
              </w:rPr>
              <w:t>|||</w:t>
            </w:r>
            <w:r w:rsidR="00800963" w:rsidRPr="00800963">
              <w:rPr>
                <w:color w:val="000000"/>
                <w:spacing w:val="1"/>
                <w:shd w:val="solid" w:color="000000" w:fill="000000"/>
                <w:fitText w:val="324" w:id="-629432816"/>
                <w14:textFill>
                  <w14:solidFill>
                    <w14:srgbClr w14:val="000000">
                      <w14:alpha w14:val="100000"/>
                    </w14:srgbClr>
                  </w14:solidFill>
                </w14:textFill>
              </w:rPr>
              <w:t>|</w:t>
            </w:r>
            <w:r w:rsidR="006C5A9E">
              <w:rPr>
                <w:vertAlign w:val="superscript"/>
              </w:rPr>
              <w:t>5</w:t>
            </w:r>
          </w:p>
        </w:tc>
        <w:tc>
          <w:tcPr>
            <w:tcW w:w="654" w:type="pct"/>
          </w:tcPr>
          <w:p w14:paraId="3A32302A" w14:textId="136FE5DC" w:rsidR="00084B96" w:rsidRPr="006C5A9E" w:rsidRDefault="00084B96" w:rsidP="00084B96">
            <w:pPr>
              <w:pStyle w:val="COMTabletext"/>
              <w:jc w:val="center"/>
              <w:rPr>
                <w:vertAlign w:val="superscript"/>
              </w:rPr>
            </w:pPr>
            <w:r w:rsidRPr="006D075E">
              <w:t>$</w:t>
            </w:r>
            <w:r w:rsidR="00800963" w:rsidRPr="00800963">
              <w:rPr>
                <w:color w:val="000000"/>
                <w:spacing w:val="51"/>
                <w:shd w:val="solid" w:color="000000" w:fill="000000"/>
                <w:fitText w:val="324" w:id="-629432832"/>
                <w14:textFill>
                  <w14:solidFill>
                    <w14:srgbClr w14:val="000000">
                      <w14:alpha w14:val="100000"/>
                    </w14:srgbClr>
                  </w14:solidFill>
                </w14:textFill>
              </w:rPr>
              <w:t>|||</w:t>
            </w:r>
            <w:r w:rsidR="00800963" w:rsidRPr="00800963">
              <w:rPr>
                <w:color w:val="000000"/>
                <w:spacing w:val="1"/>
                <w:shd w:val="solid" w:color="000000" w:fill="000000"/>
                <w:fitText w:val="324" w:id="-629432832"/>
                <w14:textFill>
                  <w14:solidFill>
                    <w14:srgbClr w14:val="000000">
                      <w14:alpha w14:val="100000"/>
                    </w14:srgbClr>
                  </w14:solidFill>
                </w14:textFill>
              </w:rPr>
              <w:t>|</w:t>
            </w:r>
            <w:r w:rsidR="006C5A9E">
              <w:rPr>
                <w:vertAlign w:val="superscript"/>
              </w:rPr>
              <w:t>5</w:t>
            </w:r>
          </w:p>
        </w:tc>
        <w:tc>
          <w:tcPr>
            <w:tcW w:w="611" w:type="pct"/>
          </w:tcPr>
          <w:p w14:paraId="326E9207" w14:textId="64E81C00" w:rsidR="00084B96" w:rsidRPr="006C5A9E" w:rsidRDefault="00084B96" w:rsidP="00084B96">
            <w:pPr>
              <w:pStyle w:val="COMTabletext"/>
              <w:jc w:val="center"/>
              <w:rPr>
                <w:vertAlign w:val="superscript"/>
              </w:rPr>
            </w:pPr>
            <w:r w:rsidRPr="006D075E">
              <w:t>$</w:t>
            </w:r>
            <w:r w:rsidR="00800963" w:rsidRPr="00800963">
              <w:rPr>
                <w:color w:val="000000"/>
                <w:spacing w:val="51"/>
                <w:shd w:val="solid" w:color="000000" w:fill="000000"/>
                <w:fitText w:val="324" w:id="-629432831"/>
                <w14:textFill>
                  <w14:solidFill>
                    <w14:srgbClr w14:val="000000">
                      <w14:alpha w14:val="100000"/>
                    </w14:srgbClr>
                  </w14:solidFill>
                </w14:textFill>
              </w:rPr>
              <w:t>|||</w:t>
            </w:r>
            <w:r w:rsidR="00800963" w:rsidRPr="00800963">
              <w:rPr>
                <w:color w:val="000000"/>
                <w:spacing w:val="1"/>
                <w:shd w:val="solid" w:color="000000" w:fill="000000"/>
                <w:fitText w:val="324" w:id="-629432831"/>
                <w14:textFill>
                  <w14:solidFill>
                    <w14:srgbClr w14:val="000000">
                      <w14:alpha w14:val="100000"/>
                    </w14:srgbClr>
                  </w14:solidFill>
                </w14:textFill>
              </w:rPr>
              <w:t>|</w:t>
            </w:r>
            <w:r w:rsidR="006C5A9E">
              <w:rPr>
                <w:vertAlign w:val="superscript"/>
              </w:rPr>
              <w:t>5</w:t>
            </w:r>
          </w:p>
        </w:tc>
        <w:tc>
          <w:tcPr>
            <w:tcW w:w="611" w:type="pct"/>
          </w:tcPr>
          <w:p w14:paraId="56E4D70E" w14:textId="53E2C665" w:rsidR="00084B96" w:rsidRPr="006C5A9E" w:rsidRDefault="00084B96" w:rsidP="00084B96">
            <w:pPr>
              <w:pStyle w:val="COMTabletext"/>
              <w:jc w:val="center"/>
              <w:rPr>
                <w:vertAlign w:val="superscript"/>
              </w:rPr>
            </w:pPr>
            <w:r w:rsidRPr="006D075E">
              <w:t>$</w:t>
            </w:r>
            <w:r w:rsidR="00800963" w:rsidRPr="00800963">
              <w:rPr>
                <w:color w:val="000000"/>
                <w:spacing w:val="51"/>
                <w:shd w:val="solid" w:color="000000" w:fill="000000"/>
                <w:fitText w:val="324" w:id="-629432830"/>
                <w14:textFill>
                  <w14:solidFill>
                    <w14:srgbClr w14:val="000000">
                      <w14:alpha w14:val="100000"/>
                    </w14:srgbClr>
                  </w14:solidFill>
                </w14:textFill>
              </w:rPr>
              <w:t>|||</w:t>
            </w:r>
            <w:r w:rsidR="00800963" w:rsidRPr="00800963">
              <w:rPr>
                <w:color w:val="000000"/>
                <w:spacing w:val="1"/>
                <w:shd w:val="solid" w:color="000000" w:fill="000000"/>
                <w:fitText w:val="324" w:id="-629432830"/>
                <w14:textFill>
                  <w14:solidFill>
                    <w14:srgbClr w14:val="000000">
                      <w14:alpha w14:val="100000"/>
                    </w14:srgbClr>
                  </w14:solidFill>
                </w14:textFill>
              </w:rPr>
              <w:t>|</w:t>
            </w:r>
            <w:r w:rsidR="006C5A9E">
              <w:rPr>
                <w:vertAlign w:val="superscript"/>
              </w:rPr>
              <w:t>5</w:t>
            </w:r>
          </w:p>
        </w:tc>
        <w:tc>
          <w:tcPr>
            <w:tcW w:w="611" w:type="pct"/>
          </w:tcPr>
          <w:p w14:paraId="241B1CFD" w14:textId="669D3AE6" w:rsidR="00084B96" w:rsidRPr="002509C2" w:rsidRDefault="00084B96" w:rsidP="00084B96">
            <w:pPr>
              <w:pStyle w:val="COMTabletext"/>
              <w:jc w:val="center"/>
              <w:rPr>
                <w:vertAlign w:val="superscript"/>
              </w:rPr>
            </w:pPr>
            <w:r w:rsidRPr="006D075E">
              <w:t>$</w:t>
            </w:r>
            <w:r w:rsidR="00800963" w:rsidRPr="00800963">
              <w:rPr>
                <w:color w:val="000000"/>
                <w:spacing w:val="51"/>
                <w:shd w:val="solid" w:color="000000" w:fill="000000"/>
                <w:fitText w:val="324" w:id="-629432829"/>
                <w14:textFill>
                  <w14:solidFill>
                    <w14:srgbClr w14:val="000000">
                      <w14:alpha w14:val="100000"/>
                    </w14:srgbClr>
                  </w14:solidFill>
                </w14:textFill>
              </w:rPr>
              <w:t>|||</w:t>
            </w:r>
            <w:r w:rsidR="00800963" w:rsidRPr="00800963">
              <w:rPr>
                <w:color w:val="000000"/>
                <w:spacing w:val="1"/>
                <w:shd w:val="solid" w:color="000000" w:fill="000000"/>
                <w:fitText w:val="324" w:id="-629432829"/>
                <w14:textFill>
                  <w14:solidFill>
                    <w14:srgbClr w14:val="000000">
                      <w14:alpha w14:val="100000"/>
                    </w14:srgbClr>
                  </w14:solidFill>
                </w14:textFill>
              </w:rPr>
              <w:t>|</w:t>
            </w:r>
            <w:r w:rsidR="002509C2">
              <w:rPr>
                <w:vertAlign w:val="superscript"/>
              </w:rPr>
              <w:t>6</w:t>
            </w:r>
          </w:p>
        </w:tc>
      </w:tr>
      <w:tr w:rsidR="00C25A0D" w:rsidRPr="006D075E" w14:paraId="571B64F4" w14:textId="77777777" w:rsidTr="00023D1B">
        <w:tc>
          <w:tcPr>
            <w:tcW w:w="1334" w:type="pct"/>
            <w:vAlign w:val="center"/>
          </w:tcPr>
          <w:p w14:paraId="427698FB" w14:textId="78F7D8E6" w:rsidR="00C25A0D" w:rsidRPr="006D075E" w:rsidRDefault="00C25A0D" w:rsidP="00C25A0D">
            <w:pPr>
              <w:pStyle w:val="COMTabletext"/>
              <w:rPr>
                <w:rFonts w:ascii="Times" w:hAnsi="Times"/>
                <w:vertAlign w:val="superscript"/>
              </w:rPr>
            </w:pPr>
            <w:r w:rsidRPr="006D075E">
              <w:t>Net cost to MBS</w:t>
            </w:r>
            <w:r w:rsidR="00BA73D7" w:rsidRPr="006D075E">
              <w:t xml:space="preserve"> </w:t>
            </w:r>
            <w:r w:rsidR="0099568A" w:rsidRPr="006D075E">
              <w:rPr>
                <w:vertAlign w:val="superscript"/>
              </w:rPr>
              <w:t>c</w:t>
            </w:r>
          </w:p>
        </w:tc>
        <w:tc>
          <w:tcPr>
            <w:tcW w:w="611" w:type="pct"/>
          </w:tcPr>
          <w:p w14:paraId="5AD7A1FC" w14:textId="56B6F5B8" w:rsidR="00C25A0D" w:rsidRPr="006D075E" w:rsidRDefault="00C25A0D" w:rsidP="00C25A0D">
            <w:pPr>
              <w:pStyle w:val="COMTabletext"/>
              <w:jc w:val="center"/>
            </w:pPr>
            <w:r w:rsidRPr="006D075E">
              <w:t>$0</w:t>
            </w:r>
          </w:p>
        </w:tc>
        <w:tc>
          <w:tcPr>
            <w:tcW w:w="568" w:type="pct"/>
          </w:tcPr>
          <w:p w14:paraId="1D6E215B" w14:textId="10536698" w:rsidR="00C25A0D" w:rsidRPr="008C6701" w:rsidRDefault="00C25A0D" w:rsidP="00C25A0D">
            <w:pPr>
              <w:pStyle w:val="COMTabletext"/>
              <w:jc w:val="center"/>
              <w:rPr>
                <w:vertAlign w:val="superscript"/>
              </w:rPr>
            </w:pPr>
            <w:r w:rsidRPr="006D075E">
              <w:t>$</w:t>
            </w:r>
            <w:r w:rsidR="00800963" w:rsidRPr="00800963">
              <w:rPr>
                <w:color w:val="000000"/>
                <w:spacing w:val="51"/>
                <w:shd w:val="solid" w:color="000000" w:fill="000000"/>
                <w:fitText w:val="324" w:id="-629432828"/>
                <w14:textFill>
                  <w14:solidFill>
                    <w14:srgbClr w14:val="000000">
                      <w14:alpha w14:val="100000"/>
                    </w14:srgbClr>
                  </w14:solidFill>
                </w14:textFill>
              </w:rPr>
              <w:t>|||</w:t>
            </w:r>
            <w:r w:rsidR="00800963" w:rsidRPr="00800963">
              <w:rPr>
                <w:color w:val="000000"/>
                <w:spacing w:val="1"/>
                <w:shd w:val="solid" w:color="000000" w:fill="000000"/>
                <w:fitText w:val="324" w:id="-629432828"/>
                <w14:textFill>
                  <w14:solidFill>
                    <w14:srgbClr w14:val="000000">
                      <w14:alpha w14:val="100000"/>
                    </w14:srgbClr>
                  </w14:solidFill>
                </w14:textFill>
              </w:rPr>
              <w:t>|</w:t>
            </w:r>
            <w:r w:rsidR="008C6701">
              <w:rPr>
                <w:vertAlign w:val="superscript"/>
              </w:rPr>
              <w:t>7</w:t>
            </w:r>
          </w:p>
        </w:tc>
        <w:tc>
          <w:tcPr>
            <w:tcW w:w="654" w:type="pct"/>
          </w:tcPr>
          <w:p w14:paraId="25026D9D" w14:textId="49EE4D44" w:rsidR="00C25A0D" w:rsidRPr="008C6701" w:rsidRDefault="00C25A0D" w:rsidP="00C25A0D">
            <w:pPr>
              <w:pStyle w:val="COMTabletext"/>
              <w:jc w:val="center"/>
              <w:rPr>
                <w:vertAlign w:val="superscript"/>
              </w:rPr>
            </w:pPr>
            <w:r w:rsidRPr="006D075E">
              <w:t>$</w:t>
            </w:r>
            <w:r w:rsidR="00800963" w:rsidRPr="00800963">
              <w:rPr>
                <w:color w:val="000000"/>
                <w:spacing w:val="51"/>
                <w:shd w:val="solid" w:color="000000" w:fill="000000"/>
                <w:fitText w:val="324" w:id="-629432827"/>
                <w14:textFill>
                  <w14:solidFill>
                    <w14:srgbClr w14:val="000000">
                      <w14:alpha w14:val="100000"/>
                    </w14:srgbClr>
                  </w14:solidFill>
                </w14:textFill>
              </w:rPr>
              <w:t>|||</w:t>
            </w:r>
            <w:r w:rsidR="00800963" w:rsidRPr="00800963">
              <w:rPr>
                <w:color w:val="000000"/>
                <w:spacing w:val="1"/>
                <w:shd w:val="solid" w:color="000000" w:fill="000000"/>
                <w:fitText w:val="324" w:id="-629432827"/>
                <w14:textFill>
                  <w14:solidFill>
                    <w14:srgbClr w14:val="000000">
                      <w14:alpha w14:val="100000"/>
                    </w14:srgbClr>
                  </w14:solidFill>
                </w14:textFill>
              </w:rPr>
              <w:t>|</w:t>
            </w:r>
            <w:r w:rsidR="008C6701">
              <w:rPr>
                <w:vertAlign w:val="superscript"/>
              </w:rPr>
              <w:t>7</w:t>
            </w:r>
          </w:p>
        </w:tc>
        <w:tc>
          <w:tcPr>
            <w:tcW w:w="611" w:type="pct"/>
          </w:tcPr>
          <w:p w14:paraId="6933D36F" w14:textId="58D7F6FF" w:rsidR="00C25A0D" w:rsidRPr="008C6701" w:rsidRDefault="00C25A0D" w:rsidP="00C25A0D">
            <w:pPr>
              <w:pStyle w:val="COMTabletext"/>
              <w:jc w:val="center"/>
              <w:rPr>
                <w:vertAlign w:val="superscript"/>
              </w:rPr>
            </w:pPr>
            <w:r w:rsidRPr="006D075E">
              <w:t>$</w:t>
            </w:r>
            <w:r w:rsidR="00800963" w:rsidRPr="00800963">
              <w:rPr>
                <w:color w:val="000000"/>
                <w:spacing w:val="51"/>
                <w:shd w:val="solid" w:color="000000" w:fill="000000"/>
                <w:fitText w:val="324" w:id="-629432826"/>
                <w14:textFill>
                  <w14:solidFill>
                    <w14:srgbClr w14:val="000000">
                      <w14:alpha w14:val="100000"/>
                    </w14:srgbClr>
                  </w14:solidFill>
                </w14:textFill>
              </w:rPr>
              <w:t>|||</w:t>
            </w:r>
            <w:r w:rsidR="00800963" w:rsidRPr="00800963">
              <w:rPr>
                <w:color w:val="000000"/>
                <w:spacing w:val="1"/>
                <w:shd w:val="solid" w:color="000000" w:fill="000000"/>
                <w:fitText w:val="324" w:id="-629432826"/>
                <w14:textFill>
                  <w14:solidFill>
                    <w14:srgbClr w14:val="000000">
                      <w14:alpha w14:val="100000"/>
                    </w14:srgbClr>
                  </w14:solidFill>
                </w14:textFill>
              </w:rPr>
              <w:t>|</w:t>
            </w:r>
            <w:r w:rsidR="008C6701">
              <w:rPr>
                <w:vertAlign w:val="superscript"/>
              </w:rPr>
              <w:t>7</w:t>
            </w:r>
          </w:p>
        </w:tc>
        <w:tc>
          <w:tcPr>
            <w:tcW w:w="611" w:type="pct"/>
          </w:tcPr>
          <w:p w14:paraId="04433A65" w14:textId="75B303B0" w:rsidR="00C25A0D" w:rsidRPr="008C6701" w:rsidRDefault="00C25A0D" w:rsidP="00C25A0D">
            <w:pPr>
              <w:pStyle w:val="COMTabletext"/>
              <w:jc w:val="center"/>
              <w:rPr>
                <w:vertAlign w:val="superscript"/>
              </w:rPr>
            </w:pPr>
            <w:r w:rsidRPr="006D075E">
              <w:t>$</w:t>
            </w:r>
            <w:r w:rsidR="00800963" w:rsidRPr="00800963">
              <w:rPr>
                <w:color w:val="000000"/>
                <w:spacing w:val="51"/>
                <w:shd w:val="solid" w:color="000000" w:fill="000000"/>
                <w:fitText w:val="324" w:id="-629432825"/>
                <w14:textFill>
                  <w14:solidFill>
                    <w14:srgbClr w14:val="000000">
                      <w14:alpha w14:val="100000"/>
                    </w14:srgbClr>
                  </w14:solidFill>
                </w14:textFill>
              </w:rPr>
              <w:t>|||</w:t>
            </w:r>
            <w:r w:rsidR="00800963" w:rsidRPr="00800963">
              <w:rPr>
                <w:color w:val="000000"/>
                <w:spacing w:val="1"/>
                <w:shd w:val="solid" w:color="000000" w:fill="000000"/>
                <w:fitText w:val="324" w:id="-629432825"/>
                <w14:textFill>
                  <w14:solidFill>
                    <w14:srgbClr w14:val="000000">
                      <w14:alpha w14:val="100000"/>
                    </w14:srgbClr>
                  </w14:solidFill>
                </w14:textFill>
              </w:rPr>
              <w:t>|</w:t>
            </w:r>
            <w:r w:rsidR="008C6701">
              <w:rPr>
                <w:vertAlign w:val="superscript"/>
              </w:rPr>
              <w:t>7</w:t>
            </w:r>
          </w:p>
        </w:tc>
        <w:tc>
          <w:tcPr>
            <w:tcW w:w="611" w:type="pct"/>
          </w:tcPr>
          <w:p w14:paraId="2223EBD7" w14:textId="576E3C4E" w:rsidR="00C25A0D" w:rsidRPr="008C6701" w:rsidRDefault="00C25A0D" w:rsidP="00C25A0D">
            <w:pPr>
              <w:pStyle w:val="COMTabletext"/>
              <w:jc w:val="center"/>
              <w:rPr>
                <w:vertAlign w:val="superscript"/>
              </w:rPr>
            </w:pPr>
            <w:r w:rsidRPr="006D075E">
              <w:t>$</w:t>
            </w:r>
            <w:r w:rsidR="00800963" w:rsidRPr="00800963">
              <w:rPr>
                <w:color w:val="000000"/>
                <w:spacing w:val="51"/>
                <w:shd w:val="solid" w:color="000000" w:fill="000000"/>
                <w:fitText w:val="324" w:id="-629432824"/>
                <w14:textFill>
                  <w14:solidFill>
                    <w14:srgbClr w14:val="000000">
                      <w14:alpha w14:val="100000"/>
                    </w14:srgbClr>
                  </w14:solidFill>
                </w14:textFill>
              </w:rPr>
              <w:t>|||</w:t>
            </w:r>
            <w:r w:rsidR="00800963" w:rsidRPr="00800963">
              <w:rPr>
                <w:color w:val="000000"/>
                <w:spacing w:val="1"/>
                <w:shd w:val="solid" w:color="000000" w:fill="000000"/>
                <w:fitText w:val="324" w:id="-629432824"/>
                <w14:textFill>
                  <w14:solidFill>
                    <w14:srgbClr w14:val="000000">
                      <w14:alpha w14:val="100000"/>
                    </w14:srgbClr>
                  </w14:solidFill>
                </w14:textFill>
              </w:rPr>
              <w:t>|</w:t>
            </w:r>
            <w:r w:rsidR="008C6701">
              <w:rPr>
                <w:vertAlign w:val="superscript"/>
              </w:rPr>
              <w:t>7</w:t>
            </w:r>
          </w:p>
        </w:tc>
      </w:tr>
      <w:tr w:rsidR="00C25A0D" w:rsidRPr="006D075E" w14:paraId="123830C0" w14:textId="77777777" w:rsidTr="00023D1B">
        <w:tc>
          <w:tcPr>
            <w:tcW w:w="1334" w:type="pct"/>
            <w:vAlign w:val="center"/>
          </w:tcPr>
          <w:p w14:paraId="50FCDA47" w14:textId="0AB07F7D" w:rsidR="00C25A0D" w:rsidRPr="006D075E" w:rsidRDefault="00C25A0D" w:rsidP="00C25A0D">
            <w:pPr>
              <w:pStyle w:val="COMTabletext"/>
            </w:pPr>
            <w:r w:rsidRPr="006D075E">
              <w:t>Net cost to PBS/RPBS/MBS</w:t>
            </w:r>
          </w:p>
        </w:tc>
        <w:tc>
          <w:tcPr>
            <w:tcW w:w="611" w:type="pct"/>
          </w:tcPr>
          <w:p w14:paraId="0F4EB661" w14:textId="07520807" w:rsidR="00C25A0D" w:rsidRPr="006C5A9E" w:rsidRDefault="00C25A0D" w:rsidP="00C25A0D">
            <w:pPr>
              <w:pStyle w:val="COMTabletext"/>
              <w:jc w:val="center"/>
              <w:rPr>
                <w:vertAlign w:val="superscript"/>
              </w:rPr>
            </w:pPr>
            <w:r w:rsidRPr="006D075E">
              <w:t>$</w:t>
            </w:r>
            <w:r w:rsidR="00800963" w:rsidRPr="00800963">
              <w:rPr>
                <w:color w:val="000000"/>
                <w:spacing w:val="51"/>
                <w:shd w:val="solid" w:color="000000" w:fill="000000"/>
                <w:fitText w:val="324" w:id="-629432823"/>
                <w14:textFill>
                  <w14:solidFill>
                    <w14:srgbClr w14:val="000000">
                      <w14:alpha w14:val="100000"/>
                    </w14:srgbClr>
                  </w14:solidFill>
                </w14:textFill>
              </w:rPr>
              <w:t>|||</w:t>
            </w:r>
            <w:r w:rsidR="00800963" w:rsidRPr="00800963">
              <w:rPr>
                <w:color w:val="000000"/>
                <w:spacing w:val="1"/>
                <w:shd w:val="solid" w:color="000000" w:fill="000000"/>
                <w:fitText w:val="324" w:id="-629432823"/>
                <w14:textFill>
                  <w14:solidFill>
                    <w14:srgbClr w14:val="000000">
                      <w14:alpha w14:val="100000"/>
                    </w14:srgbClr>
                  </w14:solidFill>
                </w14:textFill>
              </w:rPr>
              <w:t>|</w:t>
            </w:r>
            <w:r w:rsidR="006C5A9E">
              <w:rPr>
                <w:vertAlign w:val="superscript"/>
              </w:rPr>
              <w:t>5</w:t>
            </w:r>
          </w:p>
        </w:tc>
        <w:tc>
          <w:tcPr>
            <w:tcW w:w="568" w:type="pct"/>
          </w:tcPr>
          <w:p w14:paraId="59B75FE2" w14:textId="569BCE0A" w:rsidR="00C25A0D" w:rsidRPr="006C5A9E" w:rsidRDefault="00C25A0D" w:rsidP="00C25A0D">
            <w:pPr>
              <w:pStyle w:val="COMTabletext"/>
              <w:jc w:val="center"/>
              <w:rPr>
                <w:vertAlign w:val="superscript"/>
              </w:rPr>
            </w:pPr>
            <w:r w:rsidRPr="006D075E">
              <w:t>$</w:t>
            </w:r>
            <w:r w:rsidR="00800963" w:rsidRPr="00800963">
              <w:rPr>
                <w:color w:val="000000"/>
                <w:spacing w:val="51"/>
                <w:shd w:val="solid" w:color="000000" w:fill="000000"/>
                <w:fitText w:val="324" w:id="-629432822"/>
                <w14:textFill>
                  <w14:solidFill>
                    <w14:srgbClr w14:val="000000">
                      <w14:alpha w14:val="100000"/>
                    </w14:srgbClr>
                  </w14:solidFill>
                </w14:textFill>
              </w:rPr>
              <w:t>|||</w:t>
            </w:r>
            <w:r w:rsidR="00800963" w:rsidRPr="00800963">
              <w:rPr>
                <w:color w:val="000000"/>
                <w:spacing w:val="1"/>
                <w:shd w:val="solid" w:color="000000" w:fill="000000"/>
                <w:fitText w:val="324" w:id="-629432822"/>
                <w14:textFill>
                  <w14:solidFill>
                    <w14:srgbClr w14:val="000000">
                      <w14:alpha w14:val="100000"/>
                    </w14:srgbClr>
                  </w14:solidFill>
                </w14:textFill>
              </w:rPr>
              <w:t>|</w:t>
            </w:r>
            <w:r w:rsidR="006C5A9E">
              <w:rPr>
                <w:vertAlign w:val="superscript"/>
              </w:rPr>
              <w:t>5</w:t>
            </w:r>
          </w:p>
        </w:tc>
        <w:tc>
          <w:tcPr>
            <w:tcW w:w="654" w:type="pct"/>
          </w:tcPr>
          <w:p w14:paraId="6AE6473A" w14:textId="0F2EC407" w:rsidR="00C25A0D" w:rsidRPr="006C5A9E" w:rsidRDefault="00C25A0D" w:rsidP="00C25A0D">
            <w:pPr>
              <w:pStyle w:val="COMTabletext"/>
              <w:jc w:val="center"/>
              <w:rPr>
                <w:vertAlign w:val="superscript"/>
              </w:rPr>
            </w:pPr>
            <w:r w:rsidRPr="006D075E">
              <w:t>$</w:t>
            </w:r>
            <w:r w:rsidR="00800963" w:rsidRPr="00800963">
              <w:rPr>
                <w:color w:val="000000"/>
                <w:spacing w:val="51"/>
                <w:shd w:val="solid" w:color="000000" w:fill="000000"/>
                <w:fitText w:val="324" w:id="-629432821"/>
                <w14:textFill>
                  <w14:solidFill>
                    <w14:srgbClr w14:val="000000">
                      <w14:alpha w14:val="100000"/>
                    </w14:srgbClr>
                  </w14:solidFill>
                </w14:textFill>
              </w:rPr>
              <w:t>|||</w:t>
            </w:r>
            <w:r w:rsidR="00800963" w:rsidRPr="00800963">
              <w:rPr>
                <w:color w:val="000000"/>
                <w:spacing w:val="1"/>
                <w:shd w:val="solid" w:color="000000" w:fill="000000"/>
                <w:fitText w:val="324" w:id="-629432821"/>
                <w14:textFill>
                  <w14:solidFill>
                    <w14:srgbClr w14:val="000000">
                      <w14:alpha w14:val="100000"/>
                    </w14:srgbClr>
                  </w14:solidFill>
                </w14:textFill>
              </w:rPr>
              <w:t>|</w:t>
            </w:r>
            <w:r w:rsidR="006C5A9E">
              <w:rPr>
                <w:vertAlign w:val="superscript"/>
              </w:rPr>
              <w:t>5</w:t>
            </w:r>
          </w:p>
        </w:tc>
        <w:tc>
          <w:tcPr>
            <w:tcW w:w="611" w:type="pct"/>
          </w:tcPr>
          <w:p w14:paraId="1F476C04" w14:textId="2EE3DA95" w:rsidR="00C25A0D" w:rsidRPr="006C5A9E" w:rsidRDefault="00C25A0D" w:rsidP="00C25A0D">
            <w:pPr>
              <w:pStyle w:val="COMTabletext"/>
              <w:jc w:val="center"/>
              <w:rPr>
                <w:vertAlign w:val="superscript"/>
              </w:rPr>
            </w:pPr>
            <w:r w:rsidRPr="006D075E">
              <w:t>$</w:t>
            </w:r>
            <w:r w:rsidR="00800963" w:rsidRPr="00800963">
              <w:rPr>
                <w:color w:val="000000"/>
                <w:spacing w:val="51"/>
                <w:shd w:val="solid" w:color="000000" w:fill="000000"/>
                <w:fitText w:val="324" w:id="-629432820"/>
                <w14:textFill>
                  <w14:solidFill>
                    <w14:srgbClr w14:val="000000">
                      <w14:alpha w14:val="100000"/>
                    </w14:srgbClr>
                  </w14:solidFill>
                </w14:textFill>
              </w:rPr>
              <w:t>|||</w:t>
            </w:r>
            <w:r w:rsidR="00800963" w:rsidRPr="00800963">
              <w:rPr>
                <w:color w:val="000000"/>
                <w:spacing w:val="1"/>
                <w:shd w:val="solid" w:color="000000" w:fill="000000"/>
                <w:fitText w:val="324" w:id="-629432820"/>
                <w14:textFill>
                  <w14:solidFill>
                    <w14:srgbClr w14:val="000000">
                      <w14:alpha w14:val="100000"/>
                    </w14:srgbClr>
                  </w14:solidFill>
                </w14:textFill>
              </w:rPr>
              <w:t>|</w:t>
            </w:r>
            <w:r w:rsidR="006C5A9E">
              <w:rPr>
                <w:vertAlign w:val="superscript"/>
              </w:rPr>
              <w:t>5</w:t>
            </w:r>
          </w:p>
        </w:tc>
        <w:tc>
          <w:tcPr>
            <w:tcW w:w="611" w:type="pct"/>
          </w:tcPr>
          <w:p w14:paraId="12079751" w14:textId="1658F3C0" w:rsidR="00C25A0D" w:rsidRPr="006C5A9E" w:rsidRDefault="00C25A0D" w:rsidP="00C25A0D">
            <w:pPr>
              <w:pStyle w:val="COMTabletext"/>
              <w:jc w:val="center"/>
              <w:rPr>
                <w:vertAlign w:val="superscript"/>
              </w:rPr>
            </w:pPr>
            <w:r w:rsidRPr="006D075E">
              <w:t>$</w:t>
            </w:r>
            <w:r w:rsidR="00800963" w:rsidRPr="00800963">
              <w:rPr>
                <w:color w:val="000000"/>
                <w:spacing w:val="51"/>
                <w:shd w:val="solid" w:color="000000" w:fill="000000"/>
                <w:fitText w:val="324" w:id="-629432819"/>
                <w14:textFill>
                  <w14:solidFill>
                    <w14:srgbClr w14:val="000000">
                      <w14:alpha w14:val="100000"/>
                    </w14:srgbClr>
                  </w14:solidFill>
                </w14:textFill>
              </w:rPr>
              <w:t>|||</w:t>
            </w:r>
            <w:r w:rsidR="00800963" w:rsidRPr="00800963">
              <w:rPr>
                <w:color w:val="000000"/>
                <w:spacing w:val="1"/>
                <w:shd w:val="solid" w:color="000000" w:fill="000000"/>
                <w:fitText w:val="324" w:id="-629432819"/>
                <w14:textFill>
                  <w14:solidFill>
                    <w14:srgbClr w14:val="000000">
                      <w14:alpha w14:val="100000"/>
                    </w14:srgbClr>
                  </w14:solidFill>
                </w14:textFill>
              </w:rPr>
              <w:t>|</w:t>
            </w:r>
            <w:r w:rsidR="006C5A9E">
              <w:rPr>
                <w:vertAlign w:val="superscript"/>
              </w:rPr>
              <w:t>5</w:t>
            </w:r>
          </w:p>
        </w:tc>
        <w:tc>
          <w:tcPr>
            <w:tcW w:w="611" w:type="pct"/>
          </w:tcPr>
          <w:p w14:paraId="4844CB4D" w14:textId="5F58A338" w:rsidR="00C25A0D" w:rsidRPr="002509C2" w:rsidRDefault="00C25A0D" w:rsidP="00C25A0D">
            <w:pPr>
              <w:pStyle w:val="COMTabletext"/>
              <w:jc w:val="center"/>
              <w:rPr>
                <w:vertAlign w:val="superscript"/>
              </w:rPr>
            </w:pPr>
            <w:r w:rsidRPr="006D075E">
              <w:t>$</w:t>
            </w:r>
            <w:r w:rsidR="00800963" w:rsidRPr="00800963">
              <w:rPr>
                <w:color w:val="000000"/>
                <w:spacing w:val="51"/>
                <w:shd w:val="solid" w:color="000000" w:fill="000000"/>
                <w:fitText w:val="324" w:id="-629432818"/>
                <w14:textFill>
                  <w14:solidFill>
                    <w14:srgbClr w14:val="000000">
                      <w14:alpha w14:val="100000"/>
                    </w14:srgbClr>
                  </w14:solidFill>
                </w14:textFill>
              </w:rPr>
              <w:t>|||</w:t>
            </w:r>
            <w:r w:rsidR="00800963" w:rsidRPr="00800963">
              <w:rPr>
                <w:color w:val="000000"/>
                <w:spacing w:val="1"/>
                <w:shd w:val="solid" w:color="000000" w:fill="000000"/>
                <w:fitText w:val="324" w:id="-629432818"/>
                <w14:textFill>
                  <w14:solidFill>
                    <w14:srgbClr w14:val="000000">
                      <w14:alpha w14:val="100000"/>
                    </w14:srgbClr>
                  </w14:solidFill>
                </w14:textFill>
              </w:rPr>
              <w:t>|</w:t>
            </w:r>
            <w:r w:rsidR="002509C2">
              <w:rPr>
                <w:vertAlign w:val="superscript"/>
              </w:rPr>
              <w:t>6</w:t>
            </w:r>
          </w:p>
        </w:tc>
      </w:tr>
      <w:tr w:rsidR="001B581D" w:rsidRPr="006D075E" w14:paraId="75768EAC" w14:textId="77777777" w:rsidTr="00023D1B">
        <w:tc>
          <w:tcPr>
            <w:tcW w:w="1334" w:type="pct"/>
            <w:vAlign w:val="center"/>
          </w:tcPr>
          <w:p w14:paraId="10A89AC0" w14:textId="6D076D4B" w:rsidR="001B581D" w:rsidRPr="007010CA" w:rsidRDefault="001B581D" w:rsidP="001B581D">
            <w:pPr>
              <w:pStyle w:val="COMTabletext"/>
            </w:pPr>
            <w:r w:rsidRPr="007010CA">
              <w:t>Net cost to PBS/RPBS/MBS (PSCR)</w:t>
            </w:r>
          </w:p>
        </w:tc>
        <w:tc>
          <w:tcPr>
            <w:tcW w:w="611" w:type="pct"/>
            <w:vAlign w:val="center"/>
          </w:tcPr>
          <w:p w14:paraId="2F4573B2" w14:textId="0DE4E8BA" w:rsidR="001B581D" w:rsidRPr="006C5A9E" w:rsidRDefault="001B581D" w:rsidP="001B581D">
            <w:pPr>
              <w:pStyle w:val="COMTabletext"/>
              <w:jc w:val="center"/>
              <w:rPr>
                <w:vertAlign w:val="superscript"/>
              </w:rPr>
            </w:pPr>
            <w:r w:rsidRPr="007010CA">
              <w:t>$</w:t>
            </w:r>
            <w:r w:rsidR="00800963" w:rsidRPr="00800963">
              <w:rPr>
                <w:color w:val="000000"/>
                <w:spacing w:val="51"/>
                <w:shd w:val="solid" w:color="000000" w:fill="000000"/>
                <w:fitText w:val="324" w:id="-629432817"/>
                <w14:textFill>
                  <w14:solidFill>
                    <w14:srgbClr w14:val="000000">
                      <w14:alpha w14:val="100000"/>
                    </w14:srgbClr>
                  </w14:solidFill>
                </w14:textFill>
              </w:rPr>
              <w:t>|||</w:t>
            </w:r>
            <w:r w:rsidR="00800963" w:rsidRPr="00800963">
              <w:rPr>
                <w:color w:val="000000"/>
                <w:spacing w:val="1"/>
                <w:shd w:val="solid" w:color="000000" w:fill="000000"/>
                <w:fitText w:val="324" w:id="-629432817"/>
                <w14:textFill>
                  <w14:solidFill>
                    <w14:srgbClr w14:val="000000">
                      <w14:alpha w14:val="100000"/>
                    </w14:srgbClr>
                  </w14:solidFill>
                </w14:textFill>
              </w:rPr>
              <w:t>|</w:t>
            </w:r>
            <w:r w:rsidR="006C5A9E">
              <w:rPr>
                <w:vertAlign w:val="superscript"/>
              </w:rPr>
              <w:t>5</w:t>
            </w:r>
          </w:p>
        </w:tc>
        <w:tc>
          <w:tcPr>
            <w:tcW w:w="568" w:type="pct"/>
            <w:vAlign w:val="center"/>
          </w:tcPr>
          <w:p w14:paraId="16743322" w14:textId="2F1E005F" w:rsidR="001B581D" w:rsidRPr="006C5A9E" w:rsidRDefault="001B581D" w:rsidP="001B581D">
            <w:pPr>
              <w:pStyle w:val="COMTabletext"/>
              <w:jc w:val="center"/>
              <w:rPr>
                <w:vertAlign w:val="superscript"/>
              </w:rPr>
            </w:pPr>
            <w:r w:rsidRPr="007010CA">
              <w:t>$</w:t>
            </w:r>
            <w:r w:rsidR="00800963" w:rsidRPr="00800963">
              <w:rPr>
                <w:color w:val="000000"/>
                <w:spacing w:val="51"/>
                <w:shd w:val="solid" w:color="000000" w:fill="000000"/>
                <w:fitText w:val="324" w:id="-629432816"/>
                <w14:textFill>
                  <w14:solidFill>
                    <w14:srgbClr w14:val="000000">
                      <w14:alpha w14:val="100000"/>
                    </w14:srgbClr>
                  </w14:solidFill>
                </w14:textFill>
              </w:rPr>
              <w:t>|||</w:t>
            </w:r>
            <w:r w:rsidR="00800963" w:rsidRPr="00800963">
              <w:rPr>
                <w:color w:val="000000"/>
                <w:spacing w:val="1"/>
                <w:shd w:val="solid" w:color="000000" w:fill="000000"/>
                <w:fitText w:val="324" w:id="-629432816"/>
                <w14:textFill>
                  <w14:solidFill>
                    <w14:srgbClr w14:val="000000">
                      <w14:alpha w14:val="100000"/>
                    </w14:srgbClr>
                  </w14:solidFill>
                </w14:textFill>
              </w:rPr>
              <w:t>|</w:t>
            </w:r>
            <w:r w:rsidR="006C5A9E">
              <w:rPr>
                <w:vertAlign w:val="superscript"/>
              </w:rPr>
              <w:t>5</w:t>
            </w:r>
          </w:p>
        </w:tc>
        <w:tc>
          <w:tcPr>
            <w:tcW w:w="654" w:type="pct"/>
            <w:vAlign w:val="center"/>
          </w:tcPr>
          <w:p w14:paraId="02DA4D10" w14:textId="63E027A8" w:rsidR="001B581D" w:rsidRPr="006C5A9E" w:rsidRDefault="001B581D" w:rsidP="001B581D">
            <w:pPr>
              <w:pStyle w:val="COMTabletext"/>
              <w:jc w:val="center"/>
              <w:rPr>
                <w:vertAlign w:val="superscript"/>
              </w:rPr>
            </w:pPr>
            <w:r w:rsidRPr="007010CA">
              <w:t>$</w:t>
            </w:r>
            <w:r w:rsidR="00800963" w:rsidRPr="00800963">
              <w:rPr>
                <w:color w:val="000000"/>
                <w:spacing w:val="51"/>
                <w:shd w:val="solid" w:color="000000" w:fill="000000"/>
                <w:fitText w:val="324" w:id="-629432832"/>
                <w14:textFill>
                  <w14:solidFill>
                    <w14:srgbClr w14:val="000000">
                      <w14:alpha w14:val="100000"/>
                    </w14:srgbClr>
                  </w14:solidFill>
                </w14:textFill>
              </w:rPr>
              <w:t>|||</w:t>
            </w:r>
            <w:r w:rsidR="00800963" w:rsidRPr="00800963">
              <w:rPr>
                <w:color w:val="000000"/>
                <w:spacing w:val="1"/>
                <w:shd w:val="solid" w:color="000000" w:fill="000000"/>
                <w:fitText w:val="324" w:id="-629432832"/>
                <w14:textFill>
                  <w14:solidFill>
                    <w14:srgbClr w14:val="000000">
                      <w14:alpha w14:val="100000"/>
                    </w14:srgbClr>
                  </w14:solidFill>
                </w14:textFill>
              </w:rPr>
              <w:t>|</w:t>
            </w:r>
            <w:r w:rsidR="006C5A9E">
              <w:rPr>
                <w:vertAlign w:val="superscript"/>
              </w:rPr>
              <w:t>5</w:t>
            </w:r>
          </w:p>
        </w:tc>
        <w:tc>
          <w:tcPr>
            <w:tcW w:w="611" w:type="pct"/>
            <w:vAlign w:val="center"/>
          </w:tcPr>
          <w:p w14:paraId="0BCB0AA6" w14:textId="3524B006" w:rsidR="001B581D" w:rsidRPr="006C5A9E" w:rsidRDefault="001B581D" w:rsidP="001B581D">
            <w:pPr>
              <w:pStyle w:val="COMTabletext"/>
              <w:jc w:val="center"/>
              <w:rPr>
                <w:vertAlign w:val="superscript"/>
              </w:rPr>
            </w:pPr>
            <w:r w:rsidRPr="007010CA">
              <w:t>$</w:t>
            </w:r>
            <w:r w:rsidR="00800963" w:rsidRPr="00800963">
              <w:rPr>
                <w:color w:val="000000"/>
                <w:spacing w:val="51"/>
                <w:shd w:val="solid" w:color="000000" w:fill="000000"/>
                <w:fitText w:val="324" w:id="-629432831"/>
                <w14:textFill>
                  <w14:solidFill>
                    <w14:srgbClr w14:val="000000">
                      <w14:alpha w14:val="100000"/>
                    </w14:srgbClr>
                  </w14:solidFill>
                </w14:textFill>
              </w:rPr>
              <w:t>|||</w:t>
            </w:r>
            <w:r w:rsidR="00800963" w:rsidRPr="00800963">
              <w:rPr>
                <w:color w:val="000000"/>
                <w:spacing w:val="1"/>
                <w:shd w:val="solid" w:color="000000" w:fill="000000"/>
                <w:fitText w:val="324" w:id="-629432831"/>
                <w14:textFill>
                  <w14:solidFill>
                    <w14:srgbClr w14:val="000000">
                      <w14:alpha w14:val="100000"/>
                    </w14:srgbClr>
                  </w14:solidFill>
                </w14:textFill>
              </w:rPr>
              <w:t>|</w:t>
            </w:r>
            <w:r w:rsidR="006C5A9E">
              <w:rPr>
                <w:vertAlign w:val="superscript"/>
              </w:rPr>
              <w:t>5</w:t>
            </w:r>
          </w:p>
        </w:tc>
        <w:tc>
          <w:tcPr>
            <w:tcW w:w="611" w:type="pct"/>
            <w:vAlign w:val="center"/>
          </w:tcPr>
          <w:p w14:paraId="07643FC1" w14:textId="0A3C67D5" w:rsidR="001B581D" w:rsidRPr="006C5A9E" w:rsidRDefault="001B581D" w:rsidP="001B581D">
            <w:pPr>
              <w:pStyle w:val="COMTabletext"/>
              <w:jc w:val="center"/>
              <w:rPr>
                <w:vertAlign w:val="superscript"/>
              </w:rPr>
            </w:pPr>
            <w:r w:rsidRPr="007010CA">
              <w:t>$</w:t>
            </w:r>
            <w:r w:rsidR="00800963" w:rsidRPr="00800963">
              <w:rPr>
                <w:color w:val="000000"/>
                <w:spacing w:val="51"/>
                <w:shd w:val="solid" w:color="000000" w:fill="000000"/>
                <w:fitText w:val="324" w:id="-629432830"/>
                <w14:textFill>
                  <w14:solidFill>
                    <w14:srgbClr w14:val="000000">
                      <w14:alpha w14:val="100000"/>
                    </w14:srgbClr>
                  </w14:solidFill>
                </w14:textFill>
              </w:rPr>
              <w:t>|||</w:t>
            </w:r>
            <w:r w:rsidR="00800963" w:rsidRPr="00800963">
              <w:rPr>
                <w:color w:val="000000"/>
                <w:spacing w:val="1"/>
                <w:shd w:val="solid" w:color="000000" w:fill="000000"/>
                <w:fitText w:val="324" w:id="-629432830"/>
                <w14:textFill>
                  <w14:solidFill>
                    <w14:srgbClr w14:val="000000">
                      <w14:alpha w14:val="100000"/>
                    </w14:srgbClr>
                  </w14:solidFill>
                </w14:textFill>
              </w:rPr>
              <w:t>|</w:t>
            </w:r>
            <w:r w:rsidR="006C5A9E">
              <w:rPr>
                <w:vertAlign w:val="superscript"/>
              </w:rPr>
              <w:t>5</w:t>
            </w:r>
          </w:p>
        </w:tc>
        <w:tc>
          <w:tcPr>
            <w:tcW w:w="611" w:type="pct"/>
            <w:vAlign w:val="center"/>
          </w:tcPr>
          <w:p w14:paraId="2BEE711F" w14:textId="0D6C623E" w:rsidR="001B581D" w:rsidRPr="002509C2" w:rsidRDefault="001B581D" w:rsidP="001B581D">
            <w:pPr>
              <w:pStyle w:val="COMTabletext"/>
              <w:jc w:val="center"/>
              <w:rPr>
                <w:vertAlign w:val="superscript"/>
              </w:rPr>
            </w:pPr>
            <w:r w:rsidRPr="007010CA">
              <w:t>$</w:t>
            </w:r>
            <w:r w:rsidR="00800963" w:rsidRPr="00DC5498">
              <w:rPr>
                <w:color w:val="000000"/>
                <w:spacing w:val="51"/>
                <w:shd w:val="solid" w:color="000000" w:fill="000000"/>
                <w:fitText w:val="324" w:id="-629432829"/>
                <w14:textFill>
                  <w14:solidFill>
                    <w14:srgbClr w14:val="000000">
                      <w14:alpha w14:val="100000"/>
                    </w14:srgbClr>
                  </w14:solidFill>
                </w14:textFill>
              </w:rPr>
              <w:t>|||</w:t>
            </w:r>
            <w:r w:rsidR="00800963" w:rsidRPr="00DC5498">
              <w:rPr>
                <w:color w:val="000000"/>
                <w:spacing w:val="1"/>
                <w:shd w:val="solid" w:color="000000" w:fill="000000"/>
                <w:fitText w:val="324" w:id="-629432829"/>
                <w14:textFill>
                  <w14:solidFill>
                    <w14:srgbClr w14:val="000000">
                      <w14:alpha w14:val="100000"/>
                    </w14:srgbClr>
                  </w14:solidFill>
                </w14:textFill>
              </w:rPr>
              <w:t>|</w:t>
            </w:r>
            <w:r w:rsidR="002509C2">
              <w:rPr>
                <w:vertAlign w:val="superscript"/>
              </w:rPr>
              <w:t>6</w:t>
            </w:r>
          </w:p>
        </w:tc>
      </w:tr>
    </w:tbl>
    <w:p w14:paraId="484CF5B6" w14:textId="7965A213" w:rsidR="00620C25" w:rsidRPr="006D075E" w:rsidRDefault="00620C25" w:rsidP="007E51D5">
      <w:pPr>
        <w:pStyle w:val="COMTablefooter"/>
      </w:pPr>
      <w:r w:rsidRPr="006D075E">
        <w:t>Source: Table</w:t>
      </w:r>
      <w:r w:rsidR="00C64C6D" w:rsidRPr="006D075E">
        <w:t xml:space="preserve"> 4-4, p152</w:t>
      </w:r>
      <w:r w:rsidR="005C58D7" w:rsidRPr="006D075E">
        <w:t>, Table 4-12, p162; Table 4-13, p163</w:t>
      </w:r>
      <w:r w:rsidR="00C25A0D" w:rsidRPr="006D075E">
        <w:t>; Table 4-14, p164</w:t>
      </w:r>
      <w:r w:rsidR="005C58D7" w:rsidRPr="006D075E">
        <w:t xml:space="preserve"> </w:t>
      </w:r>
      <w:r w:rsidR="00C64C6D" w:rsidRPr="006D075E">
        <w:t>of the submission</w:t>
      </w:r>
      <w:r w:rsidR="005C58D7" w:rsidRPr="006D075E">
        <w:t>; 4.3 Acala UCM March 2025.xlsx</w:t>
      </w:r>
    </w:p>
    <w:p w14:paraId="043023AF" w14:textId="4D135E48" w:rsidR="006D0436" w:rsidRPr="006D075E" w:rsidRDefault="006D0436" w:rsidP="006D0436">
      <w:pPr>
        <w:pStyle w:val="COMTablefooter"/>
        <w:rPr>
          <w:rFonts w:eastAsiaTheme="majorEastAsia"/>
        </w:rPr>
      </w:pPr>
      <w:r w:rsidRPr="006D075E">
        <w:rPr>
          <w:rFonts w:eastAsiaTheme="majorEastAsia"/>
        </w:rPr>
        <w:t>Abbreviations: BTK, Bruton tyrosine kinase; MCL, mantle cell lymphoma</w:t>
      </w:r>
    </w:p>
    <w:p w14:paraId="65E99FBE" w14:textId="61C35956" w:rsidR="00E466F3" w:rsidRPr="006D075E" w:rsidRDefault="00E466F3" w:rsidP="007E51D5">
      <w:pPr>
        <w:pStyle w:val="COMTablefooter"/>
      </w:pPr>
      <w:r w:rsidRPr="006D075E">
        <w:rPr>
          <w:vertAlign w:val="superscript"/>
        </w:rPr>
        <w:t>a</w:t>
      </w:r>
      <w:r w:rsidR="00606FBA" w:rsidRPr="006D075E">
        <w:t xml:space="preserve"> </w:t>
      </w:r>
      <w:r w:rsidR="00DD1D38" w:rsidRPr="006D075E">
        <w:t>Based on 13.04 scripts per patient per year (365.25 days per year/28 days per script) × treatment adherence of 89.02%.</w:t>
      </w:r>
    </w:p>
    <w:p w14:paraId="307CD9D2" w14:textId="6E057508" w:rsidR="00EB6248" w:rsidRPr="00F231F5" w:rsidRDefault="00EB6248" w:rsidP="00EB6248">
      <w:pPr>
        <w:pStyle w:val="COMTablefooter"/>
      </w:pPr>
      <w:r w:rsidRPr="00F231F5">
        <w:rPr>
          <w:vertAlign w:val="superscript"/>
        </w:rPr>
        <w:t xml:space="preserve">b </w:t>
      </w:r>
      <w:proofErr w:type="gramStart"/>
      <w:r w:rsidRPr="00F231F5">
        <w:t>An</w:t>
      </w:r>
      <w:proofErr w:type="gramEnd"/>
      <w:r w:rsidRPr="00F231F5">
        <w:t xml:space="preserve"> error in the submission’s financial spreadsheet resulted in costs calculated for the first 12 months </w:t>
      </w:r>
      <w:r w:rsidR="00882FCD" w:rsidRPr="00F231F5">
        <w:t xml:space="preserve">(of 17.8 months) </w:t>
      </w:r>
      <w:r w:rsidRPr="00F231F5">
        <w:t>of BTK inhibitor therapy</w:t>
      </w:r>
      <w:r w:rsidR="00D276CA" w:rsidRPr="00F231F5">
        <w:t xml:space="preserve"> only</w:t>
      </w:r>
      <w:r w:rsidRPr="00F231F5">
        <w:t>. This error was not corrected during the evaluation</w:t>
      </w:r>
      <w:r w:rsidR="009C6D0D" w:rsidRPr="00F231F5">
        <w:t>, but was corrected in the PSCR</w:t>
      </w:r>
    </w:p>
    <w:p w14:paraId="6DC22159" w14:textId="77777777" w:rsidR="00383945" w:rsidRDefault="0099568A" w:rsidP="00383945">
      <w:pPr>
        <w:pStyle w:val="COMTablefooter"/>
        <w:rPr>
          <w:i/>
          <w:szCs w:val="18"/>
        </w:rPr>
      </w:pPr>
      <w:r w:rsidRPr="00F231F5">
        <w:rPr>
          <w:vertAlign w:val="superscript"/>
        </w:rPr>
        <w:t xml:space="preserve">c </w:t>
      </w:r>
      <w:r w:rsidR="00250816" w:rsidRPr="00F231F5">
        <w:t>In</w:t>
      </w:r>
      <w:r w:rsidR="00BA73D7" w:rsidRPr="00F231F5">
        <w:t>crease in administration costs associated with increased duration of rituximab maintenance therapy with acalabrutinib</w:t>
      </w:r>
      <w:r w:rsidR="00BA73D7" w:rsidRPr="006D075E">
        <w:t xml:space="preserve"> treatment (6.52 services per year, $123.05 per infusion MBS item number 13950 with 80% rebate)</w:t>
      </w:r>
      <w:r w:rsidR="00383945" w:rsidRPr="00383945">
        <w:rPr>
          <w:i/>
          <w:szCs w:val="18"/>
        </w:rPr>
        <w:t xml:space="preserve"> </w:t>
      </w:r>
    </w:p>
    <w:p w14:paraId="45749E0E" w14:textId="6CCC1EAF" w:rsidR="00383945" w:rsidRPr="00383945" w:rsidRDefault="00383945" w:rsidP="00383945">
      <w:pPr>
        <w:pStyle w:val="COMTablefooter"/>
        <w:rPr>
          <w:i/>
        </w:rPr>
      </w:pPr>
      <w:r w:rsidRPr="00383945">
        <w:rPr>
          <w:i/>
        </w:rPr>
        <w:t xml:space="preserve">The redacted values correspond to the following ranges: </w:t>
      </w:r>
    </w:p>
    <w:p w14:paraId="25E057BA" w14:textId="6EC85797" w:rsidR="00383945" w:rsidRPr="00383945" w:rsidRDefault="00383945" w:rsidP="00383945">
      <w:pPr>
        <w:pStyle w:val="COMTablefooter"/>
        <w:rPr>
          <w:i/>
        </w:rPr>
      </w:pPr>
      <w:r w:rsidRPr="00383945">
        <w:rPr>
          <w:i/>
          <w:vertAlign w:val="superscript"/>
        </w:rPr>
        <w:t>1</w:t>
      </w:r>
      <w:r w:rsidRPr="00383945">
        <w:rPr>
          <w:i/>
        </w:rPr>
        <w:t xml:space="preserve"> </w:t>
      </w:r>
      <w:r w:rsidR="00EF1CDD" w:rsidRPr="00EF1CDD">
        <w:rPr>
          <w:i/>
        </w:rPr>
        <w:t>&lt; 500</w:t>
      </w:r>
    </w:p>
    <w:p w14:paraId="2A924FD7" w14:textId="6D90174F" w:rsidR="00383945" w:rsidRPr="00383945" w:rsidRDefault="00383945" w:rsidP="00383945">
      <w:pPr>
        <w:pStyle w:val="COMTablefooter"/>
        <w:rPr>
          <w:i/>
        </w:rPr>
      </w:pPr>
      <w:r w:rsidRPr="00383945">
        <w:rPr>
          <w:i/>
          <w:vertAlign w:val="superscript"/>
        </w:rPr>
        <w:t>2</w:t>
      </w:r>
      <w:r w:rsidRPr="00383945">
        <w:rPr>
          <w:i/>
        </w:rPr>
        <w:t xml:space="preserve"> </w:t>
      </w:r>
      <w:r w:rsidR="0097536D" w:rsidRPr="0097536D">
        <w:rPr>
          <w:i/>
        </w:rPr>
        <w:t>500 to &lt; 5,000</w:t>
      </w:r>
    </w:p>
    <w:p w14:paraId="4A0DB9B4" w14:textId="23DBD7FB" w:rsidR="00383945" w:rsidRPr="00383945" w:rsidRDefault="00383945" w:rsidP="00383945">
      <w:pPr>
        <w:pStyle w:val="COMTablefooter"/>
        <w:rPr>
          <w:i/>
        </w:rPr>
      </w:pPr>
      <w:r w:rsidRPr="00383945">
        <w:rPr>
          <w:i/>
          <w:vertAlign w:val="superscript"/>
        </w:rPr>
        <w:t>3</w:t>
      </w:r>
      <w:r w:rsidRPr="00383945">
        <w:rPr>
          <w:i/>
        </w:rPr>
        <w:t xml:space="preserve"> </w:t>
      </w:r>
      <w:r w:rsidR="00F56B58" w:rsidRPr="00F56B58">
        <w:rPr>
          <w:i/>
        </w:rPr>
        <w:t>5,000 to &lt; 10,000</w:t>
      </w:r>
    </w:p>
    <w:p w14:paraId="0B9A1CFD" w14:textId="14D85CCD" w:rsidR="00383945" w:rsidRPr="00383945" w:rsidRDefault="00383945" w:rsidP="00383945">
      <w:pPr>
        <w:pStyle w:val="COMTablefooter"/>
        <w:rPr>
          <w:i/>
        </w:rPr>
      </w:pPr>
      <w:r w:rsidRPr="00383945">
        <w:rPr>
          <w:i/>
          <w:vertAlign w:val="superscript"/>
        </w:rPr>
        <w:t>4</w:t>
      </w:r>
      <w:r w:rsidRPr="00383945">
        <w:rPr>
          <w:i/>
        </w:rPr>
        <w:t xml:space="preserve"> </w:t>
      </w:r>
      <w:r w:rsidR="00B864A8" w:rsidRPr="00B864A8">
        <w:rPr>
          <w:i/>
        </w:rPr>
        <w:t>10,000 to &lt; 20,000</w:t>
      </w:r>
    </w:p>
    <w:p w14:paraId="3256CD49" w14:textId="531E78FE" w:rsidR="00383945" w:rsidRPr="00383945" w:rsidRDefault="00383945" w:rsidP="00383945">
      <w:pPr>
        <w:pStyle w:val="COMTablefooter"/>
        <w:rPr>
          <w:i/>
        </w:rPr>
      </w:pPr>
      <w:r w:rsidRPr="00383945">
        <w:rPr>
          <w:i/>
          <w:vertAlign w:val="superscript"/>
        </w:rPr>
        <w:t>5</w:t>
      </w:r>
      <w:r w:rsidRPr="00383945">
        <w:rPr>
          <w:i/>
        </w:rPr>
        <w:t xml:space="preserve"> </w:t>
      </w:r>
      <w:r w:rsidR="006C5A9E" w:rsidRPr="006C5A9E">
        <w:rPr>
          <w:i/>
        </w:rPr>
        <w:t>$0 to &lt; $10 million</w:t>
      </w:r>
    </w:p>
    <w:p w14:paraId="470E25E9" w14:textId="7A79F81A" w:rsidR="00383945" w:rsidRDefault="00383945" w:rsidP="002E09D9">
      <w:pPr>
        <w:pStyle w:val="COMTablefooter"/>
        <w:spacing w:after="0"/>
        <w:rPr>
          <w:i/>
        </w:rPr>
      </w:pPr>
      <w:r w:rsidRPr="00383945">
        <w:rPr>
          <w:i/>
          <w:vertAlign w:val="superscript"/>
        </w:rPr>
        <w:t>6</w:t>
      </w:r>
      <w:r w:rsidRPr="00383945">
        <w:rPr>
          <w:i/>
        </w:rPr>
        <w:t xml:space="preserve"> </w:t>
      </w:r>
      <w:r w:rsidR="002509C2" w:rsidRPr="002509C2">
        <w:rPr>
          <w:i/>
        </w:rPr>
        <w:t>$10 million to &lt; $20 million</w:t>
      </w:r>
    </w:p>
    <w:p w14:paraId="16E30801" w14:textId="77777777" w:rsidR="002E09D9" w:rsidRPr="002E09D9" w:rsidRDefault="002509C2" w:rsidP="002E09D9">
      <w:pPr>
        <w:ind w:right="147"/>
        <w:rPr>
          <w:rFonts w:ascii="Arial" w:hAnsi="Arial"/>
          <w:color w:val="333333"/>
          <w:sz w:val="21"/>
          <w:szCs w:val="21"/>
        </w:rPr>
      </w:pPr>
      <w:r w:rsidRPr="002E09D9">
        <w:rPr>
          <w:rFonts w:ascii="Arial Narrow" w:hAnsi="Arial Narrow"/>
          <w:vertAlign w:val="superscript"/>
        </w:rPr>
        <w:t>7</w:t>
      </w:r>
      <w:r>
        <w:t xml:space="preserve"> </w:t>
      </w:r>
      <w:r w:rsidR="002E09D9" w:rsidRPr="002E09D9">
        <w:rPr>
          <w:rFonts w:ascii="Arial Narrow" w:hAnsi="Arial Narrow"/>
          <w:i/>
          <w:snapToGrid w:val="0"/>
          <w:sz w:val="18"/>
          <w:szCs w:val="22"/>
        </w:rPr>
        <w:t>$0 to &lt; $10 million</w:t>
      </w:r>
    </w:p>
    <w:p w14:paraId="2B1337DF" w14:textId="1EB6DCE4" w:rsidR="002509C2" w:rsidRPr="002509C2" w:rsidRDefault="002509C2" w:rsidP="002509C2"/>
    <w:p w14:paraId="3C6DE950" w14:textId="77777777" w:rsidR="002509C2" w:rsidRPr="002509C2" w:rsidRDefault="002509C2" w:rsidP="002509C2">
      <w:pPr>
        <w:rPr>
          <w:vertAlign w:val="superscript"/>
        </w:rPr>
      </w:pPr>
    </w:p>
    <w:p w14:paraId="2FCDA675" w14:textId="77777777" w:rsidR="002509C2" w:rsidRPr="00383945" w:rsidRDefault="002509C2" w:rsidP="002509C2"/>
    <w:p w14:paraId="5AB2BFF5" w14:textId="04D144EC" w:rsidR="00BA73D7" w:rsidRPr="006D075E" w:rsidRDefault="00BA73D7" w:rsidP="00BA73D7">
      <w:pPr>
        <w:pStyle w:val="COMTablefooter"/>
        <w:rPr>
          <w:vertAlign w:val="superscript"/>
        </w:rPr>
      </w:pPr>
    </w:p>
    <w:p w14:paraId="75586731" w14:textId="07861B95" w:rsidR="000902D9" w:rsidRPr="006D075E" w:rsidRDefault="0039482F" w:rsidP="00D244B6">
      <w:pPr>
        <w:pStyle w:val="COMexecsummnumbered"/>
      </w:pPr>
      <w:r w:rsidRPr="006D075E">
        <w:t xml:space="preserve">The estimated net cost to the PBS/RPBS of listing acalabrutinib for first line </w:t>
      </w:r>
      <w:r w:rsidR="008B591E">
        <w:t>MCL</w:t>
      </w:r>
      <w:r w:rsidRPr="006D075E">
        <w:t xml:space="preserve"> </w:t>
      </w:r>
      <w:r w:rsidR="00292F72" w:rsidRPr="006D075E">
        <w:t xml:space="preserve">(per the PSCR) </w:t>
      </w:r>
      <w:r w:rsidRPr="006D075E">
        <w:t xml:space="preserve">was </w:t>
      </w:r>
      <w:r w:rsidR="002E09D9" w:rsidRPr="002E09D9">
        <w:t>$0 to &lt; $10</w:t>
      </w:r>
      <w:r w:rsidR="00292F72" w:rsidRPr="006D075E">
        <w:t xml:space="preserve"> </w:t>
      </w:r>
      <w:r w:rsidRPr="006D075E">
        <w:t xml:space="preserve">million in Year 1 of listing, increasing to </w:t>
      </w:r>
      <w:r w:rsidR="00BE384E" w:rsidRPr="00BE384E">
        <w:t>$10 million to &lt; $20 million</w:t>
      </w:r>
      <w:r w:rsidRPr="006D075E">
        <w:t xml:space="preserve"> in Year 6, a cumulative total of </w:t>
      </w:r>
      <w:r w:rsidR="00A46E2D" w:rsidRPr="00A46E2D">
        <w:t>$30 million to &lt; $40 million</w:t>
      </w:r>
      <w:r w:rsidRPr="006D075E">
        <w:t xml:space="preserve"> over the first 6 years of listing.</w:t>
      </w:r>
    </w:p>
    <w:p w14:paraId="06E2FB9E" w14:textId="2A01F6AA" w:rsidR="006106A8" w:rsidRPr="006D075E" w:rsidRDefault="006106A8" w:rsidP="006106A8">
      <w:pPr>
        <w:pStyle w:val="COMexecsummnumbered"/>
      </w:pPr>
      <w:r w:rsidRPr="006D075E">
        <w:t xml:space="preserve">The </w:t>
      </w:r>
      <w:r w:rsidR="00D93BCD" w:rsidRPr="006D075E">
        <w:t>evaluation and the ESC</w:t>
      </w:r>
      <w:r w:rsidR="00D93BCD">
        <w:t xml:space="preserve"> considered that the</w:t>
      </w:r>
      <w:r w:rsidR="00D93BCD" w:rsidRPr="006D075E">
        <w:t xml:space="preserve"> </w:t>
      </w:r>
      <w:r w:rsidRPr="006D075E">
        <w:t xml:space="preserve">estimated financial impact of listing acalabrutinib for first line </w:t>
      </w:r>
      <w:r w:rsidR="008B591E">
        <w:t>MCL</w:t>
      </w:r>
      <w:r w:rsidRPr="006D075E">
        <w:t xml:space="preserve"> was uncertain</w:t>
      </w:r>
      <w:r w:rsidR="001E00E7" w:rsidRPr="006D075E">
        <w:t xml:space="preserve"> </w:t>
      </w:r>
      <w:r w:rsidR="00292F72" w:rsidRPr="006D075E">
        <w:t>because</w:t>
      </w:r>
      <w:r w:rsidRPr="006D075E">
        <w:t>:</w:t>
      </w:r>
    </w:p>
    <w:p w14:paraId="50007DE6" w14:textId="69E94E2B" w:rsidR="00E67800" w:rsidRPr="006D075E" w:rsidRDefault="00E67800" w:rsidP="00E67800">
      <w:pPr>
        <w:pStyle w:val="COMexecsummmainissuesbullets"/>
        <w:ind w:left="993" w:hanging="284"/>
      </w:pPr>
      <w:r w:rsidRPr="006D075E">
        <w:t xml:space="preserve">The average duration of acalabrutinib treatment was derived from the results of the economic model (based on a </w:t>
      </w:r>
      <w:proofErr w:type="gramStart"/>
      <w:r w:rsidRPr="006D075E">
        <w:t>20 year</w:t>
      </w:r>
      <w:proofErr w:type="gramEnd"/>
      <w:r w:rsidRPr="006D075E">
        <w:t xml:space="preserve"> time horizon), and assume</w:t>
      </w:r>
      <w:r w:rsidR="00D93BCD">
        <w:t>d</w:t>
      </w:r>
      <w:r w:rsidRPr="006D075E">
        <w:t xml:space="preserve"> all patients receive more than 6 years of treatment. This was inconsistent with the extrapolated </w:t>
      </w:r>
      <w:r w:rsidRPr="006D075E">
        <w:lastRenderedPageBreak/>
        <w:t>modelled time on treatment curve from the economic model which estimated that there would be decreasing proportions of patients remaining on acalabrutinib treatment over time. The evaluation and the ESC considered the submission’s approach w</w:t>
      </w:r>
      <w:r w:rsidR="001535AB">
        <w:t>ould</w:t>
      </w:r>
      <w:r w:rsidRPr="006D075E">
        <w:t xml:space="preserve"> overestimate the costs of acalabrutinib treatment.</w:t>
      </w:r>
      <w:r w:rsidR="00E2112D">
        <w:t xml:space="preserve"> The PBAC considered that the</w:t>
      </w:r>
      <w:r w:rsidR="00E2112D" w:rsidRPr="00E2112D">
        <w:t xml:space="preserve"> mean duration of </w:t>
      </w:r>
      <w:r w:rsidR="00E2112D">
        <w:t xml:space="preserve">acalabrutinib </w:t>
      </w:r>
      <w:r w:rsidR="00E2112D" w:rsidRPr="00E2112D">
        <w:t xml:space="preserve">treatment should be </w:t>
      </w:r>
      <w:r w:rsidR="00E2112D">
        <w:t xml:space="preserve">revised </w:t>
      </w:r>
      <w:r w:rsidR="00E2112D" w:rsidRPr="00E2112D">
        <w:t>to be consistent with the extrapolated modelled time on treatment curve</w:t>
      </w:r>
      <w:r w:rsidR="00E2112D">
        <w:t xml:space="preserve"> based on the revised economic model </w:t>
      </w:r>
      <w:r w:rsidR="000351CE">
        <w:t xml:space="preserve">outlined by the PBAC (refer to paragraph </w:t>
      </w:r>
      <w:r w:rsidR="000351CE">
        <w:fldChar w:fldCharType="begin"/>
      </w:r>
      <w:r w:rsidR="000351CE">
        <w:instrText xml:space="preserve"> REF _Ref204594087 \r \h </w:instrText>
      </w:r>
      <w:r w:rsidR="000351CE">
        <w:fldChar w:fldCharType="separate"/>
      </w:r>
      <w:r w:rsidR="00A542E9">
        <w:t>7.13</w:t>
      </w:r>
      <w:r w:rsidR="000351CE">
        <w:fldChar w:fldCharType="end"/>
      </w:r>
      <w:r w:rsidR="000351CE">
        <w:t>)</w:t>
      </w:r>
      <w:r w:rsidR="0011450E">
        <w:t xml:space="preserve"> i.e. using the proportion of patients estimated to remain on treatment each year</w:t>
      </w:r>
      <w:r w:rsidR="000351CE">
        <w:t xml:space="preserve">; </w:t>
      </w:r>
    </w:p>
    <w:p w14:paraId="4CDB83A9" w14:textId="7BC5AE74" w:rsidR="006106A8" w:rsidRPr="006D075E" w:rsidRDefault="006106A8" w:rsidP="00C35E4F">
      <w:pPr>
        <w:pStyle w:val="COMexecsummmainissuesbullets"/>
        <w:ind w:left="993" w:hanging="284"/>
      </w:pPr>
      <w:r w:rsidRPr="006D075E">
        <w:t>The submission’s arguments in support of a 5% annual growth in eligible incident patients were not well supported</w:t>
      </w:r>
      <w:r w:rsidR="004756D5" w:rsidRPr="006D075E">
        <w:t xml:space="preserve"> (see</w:t>
      </w:r>
      <w:r w:rsidR="003E23EA" w:rsidRPr="006D075E">
        <w:t xml:space="preserve"> </w:t>
      </w:r>
      <w:r w:rsidR="003E23EA" w:rsidRPr="006D075E">
        <w:fldChar w:fldCharType="begin"/>
      </w:r>
      <w:r w:rsidR="003E23EA" w:rsidRPr="006D075E">
        <w:instrText xml:space="preserve"> REF _Ref104805262 \h </w:instrText>
      </w:r>
      <w:r w:rsidR="003E23EA" w:rsidRPr="006D075E">
        <w:fldChar w:fldCharType="separate"/>
      </w:r>
      <w:r w:rsidR="00A542E9" w:rsidRPr="006D075E">
        <w:t xml:space="preserve">Table </w:t>
      </w:r>
      <w:r w:rsidR="00A542E9">
        <w:rPr>
          <w:noProof/>
        </w:rPr>
        <w:t>13</w:t>
      </w:r>
      <w:r w:rsidR="003E23EA" w:rsidRPr="006D075E">
        <w:fldChar w:fldCharType="end"/>
      </w:r>
      <w:r w:rsidR="004756D5" w:rsidRPr="006D075E">
        <w:t>)</w:t>
      </w:r>
      <w:r w:rsidRPr="006D075E">
        <w:t>.</w:t>
      </w:r>
    </w:p>
    <w:p w14:paraId="1244A523" w14:textId="033C8E14" w:rsidR="008D4B52" w:rsidRPr="006D075E" w:rsidRDefault="006106A8">
      <w:pPr>
        <w:pStyle w:val="COMexecsummmainissuesbullets"/>
        <w:ind w:left="993" w:hanging="284"/>
      </w:pPr>
      <w:r w:rsidRPr="006D075E">
        <w:t>Acalabrutinib uptake estimates were assumptions and are uncertain.</w:t>
      </w:r>
      <w:r w:rsidR="00BD1C37">
        <w:t xml:space="preserve"> </w:t>
      </w:r>
    </w:p>
    <w:p w14:paraId="35184F0C" w14:textId="505F5AEC" w:rsidR="00E87F07" w:rsidRPr="006D075E" w:rsidRDefault="00C35E4F">
      <w:pPr>
        <w:pStyle w:val="COMexecsummmainissuesbullets"/>
        <w:ind w:left="993" w:hanging="284"/>
      </w:pPr>
      <w:r w:rsidRPr="006D075E">
        <w:t xml:space="preserve">The estimated duration of subsequent BTK inhibitor treatment was derived from one of </w:t>
      </w:r>
      <w:r w:rsidR="00A970D0">
        <w:t>two</w:t>
      </w:r>
      <w:r w:rsidRPr="006D075E">
        <w:t xml:space="preserve"> </w:t>
      </w:r>
      <w:proofErr w:type="spellStart"/>
      <w:r w:rsidRPr="006D075E">
        <w:t>zanubrutinib</w:t>
      </w:r>
      <w:proofErr w:type="spellEnd"/>
      <w:r w:rsidRPr="006D075E">
        <w:t xml:space="preserve"> single arm studies (Study 206) included in the July 2021 consideration of </w:t>
      </w:r>
      <w:proofErr w:type="spellStart"/>
      <w:r w:rsidRPr="006D075E">
        <w:t>zanubrutinib</w:t>
      </w:r>
      <w:proofErr w:type="spellEnd"/>
      <w:r w:rsidRPr="006D075E">
        <w:t xml:space="preserve"> for </w:t>
      </w:r>
      <w:r w:rsidR="00DD04E0" w:rsidRPr="006D075E">
        <w:t xml:space="preserve">relapsed/refractory </w:t>
      </w:r>
      <w:r w:rsidR="008B591E">
        <w:t>MCL</w:t>
      </w:r>
      <w:r w:rsidRPr="006D075E">
        <w:t xml:space="preserve">. Results from a later data cut of this study have since been published (Song 2022), with a median treatment duration of 27.6 months. </w:t>
      </w:r>
      <w:r w:rsidR="00BD1C37" w:rsidRPr="00BD1C37">
        <w:t xml:space="preserve">The </w:t>
      </w:r>
      <w:r w:rsidR="00BD1C37">
        <w:t xml:space="preserve">evaluation considered the </w:t>
      </w:r>
      <w:r w:rsidR="00BD1C37" w:rsidRPr="00BD1C37">
        <w:t xml:space="preserve">use of 17.8 months may be </w:t>
      </w:r>
      <w:r w:rsidR="00BD1C37">
        <w:t>underestimated</w:t>
      </w:r>
      <w:r w:rsidR="00E87F07">
        <w:t>, but noted it was</w:t>
      </w:r>
      <w:r w:rsidR="00BD1C37" w:rsidRPr="00BD1C37">
        <w:t xml:space="preserve"> consistent with the median duration of acalabrutinib treatment in relapsed/refractory mantle cell lymphoma in the ACE-LY-004 study reported in the July 2021 acalabrutinib PSD of 17.5 months.</w:t>
      </w:r>
      <w:r w:rsidR="00BD1C37">
        <w:t xml:space="preserve"> </w:t>
      </w:r>
      <w:r w:rsidR="00580877" w:rsidRPr="00580877">
        <w:t xml:space="preserve">The PBAC noted the duration of subsequent BTK inhibitors of 17.8 months was consistent with the economic model and considered this was appropriate.  </w:t>
      </w:r>
    </w:p>
    <w:p w14:paraId="51E6C6B4" w14:textId="4661DDA0" w:rsidR="00196464" w:rsidRPr="006D075E" w:rsidRDefault="00196464" w:rsidP="00E87F07">
      <w:pPr>
        <w:pStyle w:val="COMexecsummnumbered"/>
      </w:pPr>
      <w:r w:rsidRPr="006D075E">
        <w:t>Overall, the</w:t>
      </w:r>
      <w:r w:rsidR="001E00E7" w:rsidRPr="006D075E">
        <w:t xml:space="preserve"> evaluation </w:t>
      </w:r>
      <w:r w:rsidR="00292F72" w:rsidRPr="006D075E">
        <w:t xml:space="preserve">and the ESC </w:t>
      </w:r>
      <w:r w:rsidR="001E00E7" w:rsidRPr="006D075E">
        <w:t>considered that the</w:t>
      </w:r>
      <w:r w:rsidRPr="006D075E">
        <w:t xml:space="preserve"> submission likely overestimated the cost of listing acalabrutinib.</w:t>
      </w:r>
    </w:p>
    <w:p w14:paraId="6A6CAD89" w14:textId="3EDCD1BC" w:rsidR="00D337FC" w:rsidRPr="006D075E" w:rsidRDefault="00D337FC" w:rsidP="001671A0">
      <w:pPr>
        <w:pStyle w:val="COMexecsummnumbered"/>
      </w:pPr>
      <w:r w:rsidRPr="006D075E">
        <w:t xml:space="preserve">The submission stated that a patient access program for acalabrutinib in patients with previously untreated </w:t>
      </w:r>
      <w:r w:rsidR="008B591E">
        <w:t>MCL</w:t>
      </w:r>
      <w:r w:rsidRPr="006D075E">
        <w:t xml:space="preserve"> is planned to commence upon TGA registration. The submission estimated approximately </w:t>
      </w:r>
      <w:r w:rsidR="003418D3" w:rsidRPr="003418D3">
        <w:t>&lt; 500</w:t>
      </w:r>
      <w:r w:rsidRPr="006D075E">
        <w:t xml:space="preserve"> patients will join the patient access program, and these patients would be able to transition to PBS listed acalabrutinib under the proposed restriction.</w:t>
      </w:r>
      <w:r w:rsidR="00B37096" w:rsidRPr="006D075E">
        <w:t xml:space="preserve"> The treatment duration </w:t>
      </w:r>
      <w:r w:rsidR="003D6E0A" w:rsidRPr="006D075E">
        <w:t xml:space="preserve">for these grandfathered patients was assumed to exclude the </w:t>
      </w:r>
      <w:proofErr w:type="gramStart"/>
      <w:r w:rsidR="003D6E0A" w:rsidRPr="006D075E">
        <w:t>5.52 month</w:t>
      </w:r>
      <w:proofErr w:type="gramEnd"/>
      <w:r w:rsidR="003D6E0A" w:rsidRPr="006D075E">
        <w:t xml:space="preserve"> induction period to account for treatment received </w:t>
      </w:r>
      <w:r w:rsidR="00DD1BB1" w:rsidRPr="006D075E">
        <w:t>prior to PBS listing of acalabrutinib.</w:t>
      </w:r>
      <w:r w:rsidR="00F12ABE" w:rsidRPr="006D075E">
        <w:t xml:space="preserve"> Grandfathered patient</w:t>
      </w:r>
      <w:r w:rsidR="00BD1D62" w:rsidRPr="006D075E">
        <w:t>s</w:t>
      </w:r>
      <w:r w:rsidR="00F12ABE" w:rsidRPr="006D075E">
        <w:t xml:space="preserve"> were in addition to the estimated incident patients in the first 6 years of listing.</w:t>
      </w:r>
    </w:p>
    <w:p w14:paraId="6015A395" w14:textId="2C34F5C7" w:rsidR="00576972" w:rsidRPr="006D075E" w:rsidRDefault="00576972" w:rsidP="003D5DE7">
      <w:pPr>
        <w:pStyle w:val="COMH2-non-numbered"/>
      </w:pPr>
      <w:bookmarkStart w:id="72" w:name="_Toc22897649"/>
      <w:bookmarkStart w:id="73" w:name="_Toc198649043"/>
      <w:r w:rsidRPr="006D075E">
        <w:t>Financial Management – Risk Sharing Arrangements</w:t>
      </w:r>
      <w:bookmarkEnd w:id="72"/>
      <w:bookmarkEnd w:id="73"/>
    </w:p>
    <w:p w14:paraId="0FE67297" w14:textId="10C1FB6D" w:rsidR="00A11D8D" w:rsidRPr="006D075E" w:rsidRDefault="00A11D8D" w:rsidP="00A11D8D">
      <w:pPr>
        <w:pStyle w:val="COMexecsummnumbered"/>
      </w:pPr>
      <w:r w:rsidRPr="006D075E">
        <w:t xml:space="preserve">The submission noted that there are risk sharing arrangements (RSAs) across all other settings where acalabrutinib is used. RSAs apply for acalabrutinib in first line and relapsed/refractory CLL/SLL and relapsed/refractory </w:t>
      </w:r>
      <w:r w:rsidR="008B591E">
        <w:t>MCL</w:t>
      </w:r>
      <w:r w:rsidRPr="006D075E">
        <w:t xml:space="preserve">. The PBAC has previously considered it appropriate for acalabrutinib and </w:t>
      </w:r>
      <w:proofErr w:type="spellStart"/>
      <w:r w:rsidRPr="006D075E">
        <w:t>zanubrutinib</w:t>
      </w:r>
      <w:proofErr w:type="spellEnd"/>
      <w:r w:rsidRPr="006D075E">
        <w:t xml:space="preserve"> to join the existing RSA for ibrutinib for relapsed/refractory </w:t>
      </w:r>
      <w:r w:rsidR="008B591E">
        <w:t>MCL</w:t>
      </w:r>
      <w:r w:rsidRPr="006D075E">
        <w:t xml:space="preserve"> without revision to expenditure caps (para 6.82, acalabrutinib PSD, July 2021 PBAC meeting; para 6.79, </w:t>
      </w:r>
      <w:proofErr w:type="spellStart"/>
      <w:r w:rsidRPr="006D075E">
        <w:t>zanubrutinib</w:t>
      </w:r>
      <w:proofErr w:type="spellEnd"/>
      <w:r w:rsidRPr="006D075E">
        <w:t xml:space="preserve"> PSD, July 2021 PBAC meeting).</w:t>
      </w:r>
    </w:p>
    <w:p w14:paraId="430A10B1" w14:textId="70B19B03" w:rsidR="00D337FC" w:rsidRPr="006D075E" w:rsidRDefault="00A11D8D" w:rsidP="00A11D8D">
      <w:pPr>
        <w:pStyle w:val="COMexecsummnumbered"/>
      </w:pPr>
      <w:r w:rsidRPr="006D075E">
        <w:t xml:space="preserve">However, the submission argued against an RSA for the requested PBS listing for </w:t>
      </w:r>
      <w:r w:rsidR="00E94014" w:rsidRPr="006D075E">
        <w:t>first line</w:t>
      </w:r>
      <w:r w:rsidRPr="006D075E">
        <w:t xml:space="preserve"> acalabrutinib treatment of </w:t>
      </w:r>
      <w:r w:rsidR="008B591E">
        <w:t>MCL</w:t>
      </w:r>
      <w:r w:rsidRPr="006D075E">
        <w:t xml:space="preserve">, stating that financial uncertainty is low, with </w:t>
      </w:r>
      <w:r w:rsidRPr="006D075E">
        <w:lastRenderedPageBreak/>
        <w:t xml:space="preserve">discrete and small numbers of eligible patients, and minimal likelihood of use beyond the proposed Authority restriction. </w:t>
      </w:r>
      <w:r w:rsidR="00A31200" w:rsidRPr="006D075E">
        <w:t>G</w:t>
      </w:r>
      <w:r w:rsidRPr="006D075E">
        <w:t xml:space="preserve">iven the submission’s claim of increased usage of BTK inhibitors as an alternative to ASCT, </w:t>
      </w:r>
      <w:r w:rsidR="00A31200" w:rsidRPr="006D075E">
        <w:t xml:space="preserve">the evaluation considered </w:t>
      </w:r>
      <w:r w:rsidRPr="006D075E">
        <w:t xml:space="preserve">there may be a risk of leakage to patients who are eligible for ASCT. </w:t>
      </w:r>
      <w:r w:rsidR="003861C8" w:rsidRPr="006D075E">
        <w:t>The ESC also considered there may be a risk of use of BTK</w:t>
      </w:r>
      <w:r w:rsidR="00273AD9" w:rsidRPr="00273AD9">
        <w:t xml:space="preserve"> </w:t>
      </w:r>
      <w:r w:rsidR="00273AD9" w:rsidRPr="003B0005">
        <w:t>i</w:t>
      </w:r>
      <w:r w:rsidR="00273AD9">
        <w:t>nhibitor</w:t>
      </w:r>
      <w:r w:rsidR="00273AD9" w:rsidRPr="003B0005">
        <w:t>s</w:t>
      </w:r>
      <w:r w:rsidR="003861C8" w:rsidRPr="006D075E">
        <w:t xml:space="preserve"> after progression, noting this occurred in 4.3% of patients in the trial. </w:t>
      </w:r>
      <w:r w:rsidRPr="006D075E">
        <w:t xml:space="preserve">The submission argued that the ECHO trial data is highly applicable to the proposed PBS population and has a long duration of follow-up, therefore PBS usage is expected to closely align with the population modelled in </w:t>
      </w:r>
      <w:r w:rsidR="00292F72" w:rsidRPr="006D075E">
        <w:t xml:space="preserve">the </w:t>
      </w:r>
      <w:r w:rsidR="00A31200" w:rsidRPr="006D075E">
        <w:t>economic analysis</w:t>
      </w:r>
      <w:r w:rsidRPr="006D075E">
        <w:t>. The submission argued that should the PBAC consider an RSA necessary, the percentage rebate payment beyond the financial caps should be low, given the minimal risk of exceeding the financial estimates.</w:t>
      </w:r>
      <w:bookmarkStart w:id="74" w:name="_Toc22897650"/>
      <w:r w:rsidR="00F5527C" w:rsidRPr="006D075E">
        <w:t xml:space="preserve"> </w:t>
      </w:r>
    </w:p>
    <w:p w14:paraId="3B6D3A7C" w14:textId="487A61C9" w:rsidR="00205B29" w:rsidRPr="006D075E" w:rsidRDefault="00A31200" w:rsidP="00A11D8D">
      <w:pPr>
        <w:pStyle w:val="COMexecsummnumbered"/>
      </w:pPr>
      <w:r w:rsidRPr="006D075E">
        <w:t>G</w:t>
      </w:r>
      <w:r w:rsidR="003F4746" w:rsidRPr="006D075E">
        <w:t xml:space="preserve">iven there is an existing RSA for BTK inhibitors in the relapsed/refractory </w:t>
      </w:r>
      <w:r w:rsidR="008B591E">
        <w:t>MCL</w:t>
      </w:r>
      <w:r w:rsidR="003F4746" w:rsidRPr="006D075E">
        <w:t xml:space="preserve"> setting, </w:t>
      </w:r>
      <w:r w:rsidRPr="006D075E">
        <w:t xml:space="preserve">the </w:t>
      </w:r>
      <w:r w:rsidR="004B125C">
        <w:t>evaluation and the ESC</w:t>
      </w:r>
      <w:r w:rsidRPr="006D075E">
        <w:t xml:space="preserve"> considered </w:t>
      </w:r>
      <w:r w:rsidR="003F4746" w:rsidRPr="006D075E">
        <w:t>it may be appropriate for either: a combined RSA across both the first</w:t>
      </w:r>
      <w:r w:rsidR="0079680A">
        <w:t xml:space="preserve"> </w:t>
      </w:r>
      <w:r w:rsidR="003F4746" w:rsidRPr="006D075E">
        <w:t xml:space="preserve">line and relapsed/refractory </w:t>
      </w:r>
      <w:r w:rsidR="008B591E">
        <w:t>MCL</w:t>
      </w:r>
      <w:r w:rsidR="003F4746" w:rsidRPr="006D075E">
        <w:t xml:space="preserve"> settings; or for the expenditure caps in the relapsed/refractory setting to be adjusted to account for earlier use. </w:t>
      </w:r>
    </w:p>
    <w:p w14:paraId="5F261C93" w14:textId="0861FE02" w:rsidR="00A31200" w:rsidRPr="006D075E" w:rsidRDefault="00A31200">
      <w:pPr>
        <w:pStyle w:val="COMexecsummnumbered"/>
      </w:pPr>
      <w:bookmarkStart w:id="75" w:name="_Hlk200444755"/>
      <w:bookmarkStart w:id="76" w:name="_Ref201562798"/>
      <w:r w:rsidRPr="006D075E">
        <w:t xml:space="preserve">In its March 2018 recommendation of ibrutinib for relapsed/refractory </w:t>
      </w:r>
      <w:r w:rsidR="008B591E">
        <w:t>MCL</w:t>
      </w:r>
      <w:r w:rsidRPr="006D075E">
        <w:t xml:space="preserve">, the PBAC advised that an RSA was necessary to achieve cost-effectiveness </w:t>
      </w:r>
      <w:bookmarkEnd w:id="75"/>
      <w:r w:rsidRPr="006D075E">
        <w:t>and that actual utilisation for this indication should be monitored to ensure that cost-effectiveness would be reached (paragraph 12.4, ibrutinib PSD, March 2018 PBAC meeting). The ESC advised that</w:t>
      </w:r>
      <w:r w:rsidR="00292F72" w:rsidRPr="006D075E">
        <w:t xml:space="preserve">, if a combined RSA </w:t>
      </w:r>
      <w:r w:rsidRPr="006D075E">
        <w:t xml:space="preserve">across the first- and later-line </w:t>
      </w:r>
      <w:r w:rsidR="008B591E">
        <w:t>MCL</w:t>
      </w:r>
      <w:r w:rsidRPr="006D075E">
        <w:t xml:space="preserve"> settings</w:t>
      </w:r>
      <w:r w:rsidR="00292F72" w:rsidRPr="006D075E">
        <w:t xml:space="preserve"> is recommended, then it</w:t>
      </w:r>
      <w:r w:rsidRPr="006D075E">
        <w:t xml:space="preserve"> should be structured to ensure that cost-effectiveness is maintained in the relapsed/refractory setting.</w:t>
      </w:r>
      <w:bookmarkEnd w:id="76"/>
    </w:p>
    <w:p w14:paraId="3FAC2DC4" w14:textId="77777777" w:rsidR="00E67800" w:rsidRPr="006D075E" w:rsidRDefault="00E67800" w:rsidP="00E67800">
      <w:pPr>
        <w:pStyle w:val="COMexecsummnumbered"/>
        <w:numPr>
          <w:ilvl w:val="0"/>
          <w:numId w:val="0"/>
        </w:numPr>
        <w:ind w:left="720"/>
      </w:pPr>
    </w:p>
    <w:bookmarkEnd w:id="74"/>
    <w:p w14:paraId="0FE20CDE" w14:textId="77777777" w:rsidR="00985B76" w:rsidRPr="00FC50D9" w:rsidRDefault="00985B76" w:rsidP="00985B76">
      <w:pPr>
        <w:pStyle w:val="COMexecsummnumbered"/>
        <w:numPr>
          <w:ilvl w:val="0"/>
          <w:numId w:val="0"/>
        </w:numPr>
        <w:rPr>
          <w:i/>
          <w:iCs/>
        </w:rPr>
      </w:pPr>
      <w:r w:rsidRPr="00FC50D9">
        <w:rPr>
          <w:i/>
          <w:iCs/>
        </w:rPr>
        <w:t>For more detail on PBAC’s view, see section 7 PBAC outcome.</w:t>
      </w:r>
    </w:p>
    <w:p w14:paraId="1EDC401E" w14:textId="08AD3C80" w:rsidR="00CA14F1" w:rsidRPr="00E96274" w:rsidRDefault="00CA14F1" w:rsidP="00CA14F1">
      <w:pPr>
        <w:pStyle w:val="2-SectionHeading"/>
        <w:numPr>
          <w:ilvl w:val="0"/>
          <w:numId w:val="2"/>
        </w:numPr>
        <w:outlineLvl w:val="0"/>
      </w:pPr>
      <w:bookmarkStart w:id="77" w:name="_Hlk76381249"/>
      <w:bookmarkStart w:id="78" w:name="_Hlk76377955"/>
      <w:r w:rsidRPr="00E96274">
        <w:t>PBAC Outcome</w:t>
      </w:r>
    </w:p>
    <w:p w14:paraId="04A82EB5" w14:textId="2A9B3C8D" w:rsidR="00995612" w:rsidRPr="00E96274" w:rsidRDefault="00CA14F1">
      <w:pPr>
        <w:pStyle w:val="COMexecsummnumbered"/>
        <w:rPr>
          <w:rFonts w:eastAsia="Times New Roman" w:cs="Arial"/>
          <w:snapToGrid w:val="0"/>
          <w:szCs w:val="24"/>
        </w:rPr>
      </w:pPr>
      <w:r w:rsidRPr="00E96274">
        <w:rPr>
          <w:snapToGrid w:val="0"/>
        </w:rPr>
        <w:t xml:space="preserve">The PBAC recommended </w:t>
      </w:r>
      <w:r w:rsidR="00EB624A" w:rsidRPr="00E96274">
        <w:rPr>
          <w:snapToGrid w:val="0"/>
        </w:rPr>
        <w:t>acalabrutinib</w:t>
      </w:r>
      <w:r w:rsidR="00F37CA0" w:rsidRPr="00E96274">
        <w:rPr>
          <w:snapToGrid w:val="0"/>
        </w:rPr>
        <w:t xml:space="preserve"> (</w:t>
      </w:r>
      <w:r w:rsidR="0003779C" w:rsidRPr="00E96274">
        <w:rPr>
          <w:snapToGrid w:val="0"/>
        </w:rPr>
        <w:t xml:space="preserve">in combination with </w:t>
      </w:r>
      <w:proofErr w:type="spellStart"/>
      <w:r w:rsidR="0003779C" w:rsidRPr="00E96274">
        <w:rPr>
          <w:snapToGrid w:val="0"/>
        </w:rPr>
        <w:t>bendamustine</w:t>
      </w:r>
      <w:proofErr w:type="spellEnd"/>
      <w:r w:rsidR="0003779C" w:rsidRPr="00E96274">
        <w:rPr>
          <w:snapToGrid w:val="0"/>
        </w:rPr>
        <w:t xml:space="preserve"> and rituximab (ABR)</w:t>
      </w:r>
      <w:r w:rsidR="00F37CA0" w:rsidRPr="00E96274">
        <w:rPr>
          <w:snapToGrid w:val="0"/>
        </w:rPr>
        <w:t>)</w:t>
      </w:r>
      <w:r w:rsidR="00325FBD" w:rsidRPr="00E96274">
        <w:rPr>
          <w:snapToGrid w:val="0"/>
        </w:rPr>
        <w:t xml:space="preserve"> </w:t>
      </w:r>
      <w:r w:rsidR="000074D4">
        <w:rPr>
          <w:snapToGrid w:val="0"/>
        </w:rPr>
        <w:t>for</w:t>
      </w:r>
      <w:r w:rsidR="00325FBD" w:rsidRPr="00E96274">
        <w:rPr>
          <w:snapToGrid w:val="0"/>
        </w:rPr>
        <w:t xml:space="preserve"> </w:t>
      </w:r>
      <w:r w:rsidR="0003779C" w:rsidRPr="00E96274">
        <w:rPr>
          <w:snapToGrid w:val="0"/>
        </w:rPr>
        <w:t>the first line treatment of Stage III or IV mantle cell lymphoma (MCL) in patients who are ineligible for stem cell transplantation.</w:t>
      </w:r>
      <w:r w:rsidR="0003779C" w:rsidRPr="00E96274" w:rsidDel="00EB624A">
        <w:rPr>
          <w:snapToGrid w:val="0"/>
        </w:rPr>
        <w:t xml:space="preserve"> </w:t>
      </w:r>
      <w:r w:rsidR="00755F56" w:rsidRPr="00E96274">
        <w:rPr>
          <w:snapToGrid w:val="0"/>
        </w:rPr>
        <w:t>The PBAC noted improvements in progression free survival associated with acalabrutinib for this population.</w:t>
      </w:r>
      <w:r w:rsidR="00A97FF2" w:rsidRPr="00E96274">
        <w:t xml:space="preserve"> </w:t>
      </w:r>
      <w:r w:rsidR="00450303" w:rsidRPr="00E96274">
        <w:t xml:space="preserve">The PBAC considered the submission’s economic model </w:t>
      </w:r>
      <w:r w:rsidR="004505BC">
        <w:t xml:space="preserve">included some assumptions that were </w:t>
      </w:r>
      <w:r w:rsidR="00591C77">
        <w:t xml:space="preserve">uncertain and </w:t>
      </w:r>
      <w:r w:rsidR="00F35097" w:rsidRPr="00E96274">
        <w:t>overly optimistic. As such, t</w:t>
      </w:r>
      <w:r w:rsidR="007D13D2" w:rsidRPr="00E96274">
        <w:t xml:space="preserve">he PBAC’s recommendation was based on, among other matters, its assessment that the cost-effectiveness of </w:t>
      </w:r>
      <w:r w:rsidR="00450303" w:rsidRPr="00E96274">
        <w:t xml:space="preserve">acalabrutinib </w:t>
      </w:r>
      <w:r w:rsidR="007D13D2" w:rsidRPr="00E96274">
        <w:t>would be acceptable with a price reduction</w:t>
      </w:r>
      <w:r w:rsidR="007D6FF7">
        <w:t xml:space="preserve"> using an economic model respecified by the PBAC</w:t>
      </w:r>
      <w:r w:rsidR="007D13D2" w:rsidRPr="00E96274">
        <w:t xml:space="preserve">. </w:t>
      </w:r>
      <w:r w:rsidR="00995612" w:rsidRPr="00E96274">
        <w:rPr>
          <w:rFonts w:eastAsia="Times New Roman" w:cs="Arial"/>
          <w:snapToGrid w:val="0"/>
          <w:szCs w:val="24"/>
        </w:rPr>
        <w:t xml:space="preserve">The PBAC </w:t>
      </w:r>
      <w:r w:rsidR="00E96274">
        <w:rPr>
          <w:rFonts w:eastAsia="Times New Roman" w:cs="Arial"/>
          <w:snapToGrid w:val="0"/>
          <w:szCs w:val="24"/>
        </w:rPr>
        <w:t xml:space="preserve">further </w:t>
      </w:r>
      <w:r w:rsidR="00995612" w:rsidRPr="00E96274">
        <w:rPr>
          <w:rFonts w:eastAsia="Times New Roman" w:cs="Arial"/>
          <w:snapToGrid w:val="0"/>
          <w:szCs w:val="24"/>
        </w:rPr>
        <w:t>advised that</w:t>
      </w:r>
      <w:r w:rsidR="00042F5B">
        <w:rPr>
          <w:rFonts w:eastAsia="Times New Roman" w:cs="Arial"/>
          <w:snapToGrid w:val="0"/>
          <w:szCs w:val="24"/>
        </w:rPr>
        <w:t>, as the cost-effectiveness of the first line listing relies on</w:t>
      </w:r>
      <w:r w:rsidR="00042F5B" w:rsidRPr="00042F5B">
        <w:rPr>
          <w:rFonts w:eastAsia="Times New Roman" w:cs="Arial"/>
          <w:snapToGrid w:val="0"/>
          <w:szCs w:val="24"/>
        </w:rPr>
        <w:t xml:space="preserve"> reduced use of </w:t>
      </w:r>
      <w:r w:rsidR="00042F5B" w:rsidRPr="006D075E">
        <w:t xml:space="preserve">Bruton tyrosine kinase </w:t>
      </w:r>
      <w:r w:rsidR="00042F5B">
        <w:t>(</w:t>
      </w:r>
      <w:r w:rsidR="00042F5B" w:rsidRPr="00042F5B">
        <w:rPr>
          <w:rFonts w:eastAsia="Times New Roman" w:cs="Arial"/>
          <w:snapToGrid w:val="0"/>
          <w:szCs w:val="24"/>
        </w:rPr>
        <w:t>BTK</w:t>
      </w:r>
      <w:r w:rsidR="00042F5B">
        <w:rPr>
          <w:rFonts w:eastAsia="Times New Roman" w:cs="Arial"/>
          <w:snapToGrid w:val="0"/>
          <w:szCs w:val="24"/>
        </w:rPr>
        <w:t>)</w:t>
      </w:r>
      <w:r w:rsidR="00042F5B" w:rsidRPr="00042F5B">
        <w:rPr>
          <w:rFonts w:eastAsia="Times New Roman" w:cs="Arial"/>
          <w:snapToGrid w:val="0"/>
          <w:szCs w:val="24"/>
        </w:rPr>
        <w:t xml:space="preserve"> inhibitors in the relapsed/refractory setting</w:t>
      </w:r>
      <w:r w:rsidR="00042F5B">
        <w:rPr>
          <w:rFonts w:eastAsia="Times New Roman" w:cs="Arial"/>
          <w:snapToGrid w:val="0"/>
          <w:szCs w:val="24"/>
        </w:rPr>
        <w:t>,</w:t>
      </w:r>
      <w:r w:rsidR="00995612" w:rsidRPr="00E96274">
        <w:rPr>
          <w:rFonts w:eastAsia="Times New Roman" w:cs="Arial"/>
          <w:snapToGrid w:val="0"/>
          <w:szCs w:val="24"/>
        </w:rPr>
        <w:t xml:space="preserve"> </w:t>
      </w:r>
      <w:r w:rsidR="00B47A65" w:rsidRPr="00E96274">
        <w:rPr>
          <w:rFonts w:eastAsia="Times New Roman" w:cs="Arial"/>
          <w:snapToGrid w:val="0"/>
          <w:szCs w:val="24"/>
        </w:rPr>
        <w:t>a risk sharing arrangement</w:t>
      </w:r>
      <w:r w:rsidR="00F12CB9" w:rsidRPr="00E96274">
        <w:rPr>
          <w:rFonts w:eastAsia="Times New Roman" w:cs="Arial"/>
          <w:snapToGrid w:val="0"/>
          <w:szCs w:val="24"/>
        </w:rPr>
        <w:t xml:space="preserve"> </w:t>
      </w:r>
      <w:r w:rsidR="006E1C9B">
        <w:rPr>
          <w:rFonts w:eastAsia="Times New Roman" w:cs="Arial"/>
          <w:snapToGrid w:val="0"/>
          <w:szCs w:val="24"/>
        </w:rPr>
        <w:t xml:space="preserve">(RSA) </w:t>
      </w:r>
      <w:r w:rsidR="00F12CB9" w:rsidRPr="00E96274">
        <w:rPr>
          <w:rFonts w:eastAsia="Times New Roman" w:cs="Arial"/>
          <w:snapToGrid w:val="0"/>
          <w:szCs w:val="24"/>
        </w:rPr>
        <w:t>that account</w:t>
      </w:r>
      <w:r w:rsidR="00E96274">
        <w:rPr>
          <w:rFonts w:eastAsia="Times New Roman" w:cs="Arial"/>
          <w:snapToGrid w:val="0"/>
          <w:szCs w:val="24"/>
        </w:rPr>
        <w:t>s</w:t>
      </w:r>
      <w:r w:rsidR="00F12CB9" w:rsidRPr="00E96274">
        <w:rPr>
          <w:rFonts w:eastAsia="Times New Roman" w:cs="Arial"/>
          <w:snapToGrid w:val="0"/>
          <w:szCs w:val="24"/>
        </w:rPr>
        <w:t xml:space="preserve"> for reduced use of </w:t>
      </w:r>
      <w:r w:rsidR="00F02D7E" w:rsidRPr="006D075E">
        <w:t xml:space="preserve">BTK inhibitors </w:t>
      </w:r>
      <w:r w:rsidR="00F12CB9" w:rsidRPr="00E96274">
        <w:rPr>
          <w:rFonts w:eastAsia="Times New Roman" w:cs="Arial"/>
          <w:snapToGrid w:val="0"/>
          <w:szCs w:val="24"/>
        </w:rPr>
        <w:t xml:space="preserve">in </w:t>
      </w:r>
      <w:r w:rsidR="00396591">
        <w:rPr>
          <w:rFonts w:eastAsia="Times New Roman" w:cs="Arial"/>
          <w:snapToGrid w:val="0"/>
          <w:szCs w:val="24"/>
        </w:rPr>
        <w:t>relapsed/refractory</w:t>
      </w:r>
      <w:r w:rsidR="00F12CB9" w:rsidRPr="00E96274">
        <w:rPr>
          <w:rFonts w:eastAsia="Times New Roman" w:cs="Arial"/>
          <w:snapToGrid w:val="0"/>
          <w:szCs w:val="24"/>
        </w:rPr>
        <w:t xml:space="preserve"> MCL would be required.  </w:t>
      </w:r>
    </w:p>
    <w:p w14:paraId="241F2812" w14:textId="46F604D9" w:rsidR="00325FBD" w:rsidRPr="006D075E" w:rsidRDefault="00CA14F1">
      <w:pPr>
        <w:widowControl w:val="0"/>
        <w:numPr>
          <w:ilvl w:val="1"/>
          <w:numId w:val="2"/>
        </w:numPr>
        <w:spacing w:after="120"/>
        <w:rPr>
          <w:rFonts w:asciiTheme="minorHAnsi" w:hAnsiTheme="minorHAnsi"/>
          <w:snapToGrid w:val="0"/>
        </w:rPr>
      </w:pPr>
      <w:r w:rsidRPr="00E96274">
        <w:rPr>
          <w:rFonts w:asciiTheme="minorHAnsi" w:hAnsiTheme="minorHAnsi"/>
          <w:snapToGrid w:val="0"/>
        </w:rPr>
        <w:t xml:space="preserve">The PBAC </w:t>
      </w:r>
      <w:r w:rsidR="007D1B4D" w:rsidRPr="00E96274">
        <w:rPr>
          <w:rFonts w:asciiTheme="minorHAnsi" w:hAnsiTheme="minorHAnsi"/>
          <w:snapToGrid w:val="0"/>
        </w:rPr>
        <w:t>was</w:t>
      </w:r>
      <w:r w:rsidR="007D1B4D" w:rsidRPr="006D075E">
        <w:rPr>
          <w:rFonts w:asciiTheme="minorHAnsi" w:hAnsiTheme="minorHAnsi"/>
          <w:snapToGrid w:val="0"/>
        </w:rPr>
        <w:t xml:space="preserve"> </w:t>
      </w:r>
      <w:r w:rsidRPr="006D075E">
        <w:rPr>
          <w:rFonts w:asciiTheme="minorHAnsi" w:hAnsiTheme="minorHAnsi"/>
          <w:snapToGrid w:val="0"/>
        </w:rPr>
        <w:t>satisfied that</w:t>
      </w:r>
      <w:r w:rsidR="00D45BD4" w:rsidRPr="006D075E">
        <w:rPr>
          <w:rFonts w:asciiTheme="minorHAnsi" w:hAnsiTheme="minorHAnsi"/>
          <w:snapToGrid w:val="0"/>
        </w:rPr>
        <w:t xml:space="preserve"> </w:t>
      </w:r>
      <w:r w:rsidR="00937A32" w:rsidRPr="006D075E">
        <w:rPr>
          <w:rFonts w:asciiTheme="minorHAnsi" w:hAnsiTheme="minorHAnsi"/>
          <w:snapToGrid w:val="0"/>
        </w:rPr>
        <w:t>ABR</w:t>
      </w:r>
      <w:r w:rsidR="00D45BD4" w:rsidRPr="006D075E">
        <w:rPr>
          <w:rFonts w:asciiTheme="minorHAnsi" w:hAnsiTheme="minorHAnsi"/>
          <w:snapToGrid w:val="0"/>
        </w:rPr>
        <w:t xml:space="preserve"> </w:t>
      </w:r>
      <w:r w:rsidRPr="006D075E">
        <w:rPr>
          <w:rFonts w:asciiTheme="minorHAnsi" w:hAnsiTheme="minorHAnsi"/>
          <w:snapToGrid w:val="0"/>
        </w:rPr>
        <w:t xml:space="preserve">provides, for some patients, a significant improvement in efficacy over </w:t>
      </w:r>
      <w:proofErr w:type="spellStart"/>
      <w:r w:rsidR="00D45BD4" w:rsidRPr="006D075E">
        <w:rPr>
          <w:rFonts w:asciiTheme="minorHAnsi" w:hAnsiTheme="minorHAnsi"/>
          <w:snapToGrid w:val="0"/>
        </w:rPr>
        <w:t>bendamustine</w:t>
      </w:r>
      <w:proofErr w:type="spellEnd"/>
      <w:r w:rsidR="00D45BD4" w:rsidRPr="006D075E">
        <w:rPr>
          <w:rFonts w:asciiTheme="minorHAnsi" w:hAnsiTheme="minorHAnsi"/>
          <w:snapToGrid w:val="0"/>
        </w:rPr>
        <w:t xml:space="preserve"> and rituximab</w:t>
      </w:r>
      <w:r w:rsidR="00EB705D">
        <w:rPr>
          <w:rFonts w:asciiTheme="minorHAnsi" w:hAnsiTheme="minorHAnsi"/>
          <w:snapToGrid w:val="0"/>
        </w:rPr>
        <w:t>.</w:t>
      </w:r>
      <w:r w:rsidR="00D45BD4" w:rsidRPr="006D075E">
        <w:rPr>
          <w:rFonts w:asciiTheme="minorHAnsi" w:hAnsiTheme="minorHAnsi"/>
          <w:snapToGrid w:val="0"/>
        </w:rPr>
        <w:t xml:space="preserve"> </w:t>
      </w:r>
    </w:p>
    <w:p w14:paraId="5E55F154" w14:textId="329C0E0E" w:rsidR="00CA14F1" w:rsidRPr="006D075E" w:rsidRDefault="00EB6F0A" w:rsidP="00CA14F1">
      <w:pPr>
        <w:widowControl w:val="0"/>
        <w:numPr>
          <w:ilvl w:val="1"/>
          <w:numId w:val="2"/>
        </w:numPr>
        <w:spacing w:after="120"/>
        <w:rPr>
          <w:rFonts w:asciiTheme="minorHAnsi" w:hAnsiTheme="minorHAnsi"/>
          <w:snapToGrid w:val="0"/>
        </w:rPr>
      </w:pPr>
      <w:r w:rsidRPr="006D075E">
        <w:rPr>
          <w:rFonts w:asciiTheme="minorHAnsi" w:hAnsiTheme="minorHAnsi"/>
          <w:snapToGrid w:val="0"/>
        </w:rPr>
        <w:lastRenderedPageBreak/>
        <w:t xml:space="preserve">The PBAC </w:t>
      </w:r>
      <w:r w:rsidR="00685AF3">
        <w:rPr>
          <w:rFonts w:asciiTheme="minorHAnsi" w:hAnsiTheme="minorHAnsi"/>
          <w:snapToGrid w:val="0"/>
        </w:rPr>
        <w:t xml:space="preserve">welcomed the input </w:t>
      </w:r>
      <w:r w:rsidR="0071404B">
        <w:rPr>
          <w:rFonts w:asciiTheme="minorHAnsi" w:hAnsiTheme="minorHAnsi"/>
          <w:snapToGrid w:val="0"/>
        </w:rPr>
        <w:t>received</w:t>
      </w:r>
      <w:r w:rsidR="00FF33BC">
        <w:rPr>
          <w:rFonts w:asciiTheme="minorHAnsi" w:hAnsiTheme="minorHAnsi"/>
          <w:snapToGrid w:val="0"/>
        </w:rPr>
        <w:t xml:space="preserve"> vi</w:t>
      </w:r>
      <w:r w:rsidR="0071404B">
        <w:rPr>
          <w:rFonts w:asciiTheme="minorHAnsi" w:hAnsiTheme="minorHAnsi"/>
          <w:snapToGrid w:val="0"/>
        </w:rPr>
        <w:t>a the</w:t>
      </w:r>
      <w:r w:rsidR="00FF33BC">
        <w:rPr>
          <w:rFonts w:asciiTheme="minorHAnsi" w:hAnsiTheme="minorHAnsi"/>
          <w:snapToGrid w:val="0"/>
        </w:rPr>
        <w:t xml:space="preserve"> </w:t>
      </w:r>
      <w:r w:rsidR="0071404B" w:rsidRPr="0071404B">
        <w:rPr>
          <w:rFonts w:asciiTheme="minorHAnsi" w:hAnsiTheme="minorHAnsi"/>
          <w:snapToGrid w:val="0"/>
        </w:rPr>
        <w:t xml:space="preserve">Consumer Comments facility on the PBS website </w:t>
      </w:r>
      <w:r w:rsidR="00B50857">
        <w:rPr>
          <w:rFonts w:asciiTheme="minorHAnsi" w:hAnsiTheme="minorHAnsi"/>
          <w:snapToGrid w:val="0"/>
        </w:rPr>
        <w:t xml:space="preserve">which </w:t>
      </w:r>
      <w:r w:rsidR="0071404B">
        <w:rPr>
          <w:rFonts w:asciiTheme="minorHAnsi" w:hAnsiTheme="minorHAnsi"/>
          <w:snapToGrid w:val="0"/>
        </w:rPr>
        <w:t xml:space="preserve">outlined </w:t>
      </w:r>
      <w:r w:rsidRPr="006D075E">
        <w:rPr>
          <w:rFonts w:asciiTheme="minorHAnsi" w:hAnsiTheme="minorHAnsi"/>
          <w:snapToGrid w:val="0"/>
        </w:rPr>
        <w:t>th</w:t>
      </w:r>
      <w:r w:rsidR="00B6124D">
        <w:rPr>
          <w:rFonts w:asciiTheme="minorHAnsi" w:hAnsiTheme="minorHAnsi"/>
          <w:snapToGrid w:val="0"/>
        </w:rPr>
        <w:t>e</w:t>
      </w:r>
      <w:r w:rsidRPr="006D075E">
        <w:rPr>
          <w:rFonts w:asciiTheme="minorHAnsi" w:hAnsiTheme="minorHAnsi"/>
          <w:snapToGrid w:val="0"/>
        </w:rPr>
        <w:t xml:space="preserve"> </w:t>
      </w:r>
      <w:r w:rsidR="00D92E16" w:rsidRPr="006D075E">
        <w:rPr>
          <w:rFonts w:asciiTheme="minorHAnsi" w:hAnsiTheme="minorHAnsi"/>
          <w:snapToGrid w:val="0"/>
        </w:rPr>
        <w:t xml:space="preserve">rare and </w:t>
      </w:r>
      <w:r w:rsidR="00ED7A80" w:rsidRPr="006D075E">
        <w:rPr>
          <w:rFonts w:asciiTheme="minorHAnsi" w:hAnsiTheme="minorHAnsi"/>
          <w:snapToGrid w:val="0"/>
        </w:rPr>
        <w:t>incurable</w:t>
      </w:r>
      <w:r w:rsidR="00B6124D">
        <w:rPr>
          <w:rFonts w:asciiTheme="minorHAnsi" w:hAnsiTheme="minorHAnsi"/>
          <w:snapToGrid w:val="0"/>
        </w:rPr>
        <w:t xml:space="preserve"> nature of MCL</w:t>
      </w:r>
      <w:r w:rsidRPr="006D075E">
        <w:rPr>
          <w:rFonts w:asciiTheme="minorHAnsi" w:hAnsiTheme="minorHAnsi"/>
          <w:snapToGrid w:val="0"/>
        </w:rPr>
        <w:t xml:space="preserve"> and </w:t>
      </w:r>
      <w:r w:rsidR="00B50857">
        <w:rPr>
          <w:rFonts w:asciiTheme="minorHAnsi" w:hAnsiTheme="minorHAnsi"/>
          <w:snapToGrid w:val="0"/>
        </w:rPr>
        <w:t>described</w:t>
      </w:r>
      <w:r w:rsidR="00412677" w:rsidRPr="006D075E">
        <w:rPr>
          <w:rFonts w:asciiTheme="minorHAnsi" w:hAnsiTheme="minorHAnsi"/>
          <w:snapToGrid w:val="0"/>
        </w:rPr>
        <w:t xml:space="preserve"> the</w:t>
      </w:r>
      <w:r w:rsidR="00191545" w:rsidRPr="006D075E">
        <w:rPr>
          <w:rFonts w:asciiTheme="minorHAnsi" w:hAnsiTheme="minorHAnsi"/>
          <w:snapToGrid w:val="0"/>
        </w:rPr>
        <w:t xml:space="preserve"> clinical need for </w:t>
      </w:r>
      <w:r w:rsidR="00296F32">
        <w:rPr>
          <w:rFonts w:asciiTheme="minorHAnsi" w:hAnsiTheme="minorHAnsi"/>
          <w:bCs/>
          <w:iCs/>
          <w:snapToGrid w:val="0"/>
        </w:rPr>
        <w:t xml:space="preserve">more effective treatment options </w:t>
      </w:r>
      <w:r w:rsidR="00296F32" w:rsidRPr="00F232BB">
        <w:rPr>
          <w:rFonts w:asciiTheme="minorHAnsi" w:hAnsiTheme="minorHAnsi"/>
          <w:bCs/>
          <w:iCs/>
          <w:snapToGrid w:val="0"/>
        </w:rPr>
        <w:t>for transplant ineligible patients</w:t>
      </w:r>
      <w:r w:rsidR="00296F32">
        <w:rPr>
          <w:rFonts w:asciiTheme="minorHAnsi" w:hAnsiTheme="minorHAnsi"/>
          <w:bCs/>
          <w:iCs/>
          <w:snapToGrid w:val="0"/>
        </w:rPr>
        <w:t xml:space="preserve"> in the</w:t>
      </w:r>
      <w:r w:rsidR="00296F32" w:rsidRPr="00F232BB">
        <w:rPr>
          <w:rFonts w:asciiTheme="minorHAnsi" w:hAnsiTheme="minorHAnsi"/>
          <w:bCs/>
          <w:iCs/>
          <w:snapToGrid w:val="0"/>
        </w:rPr>
        <w:t xml:space="preserve"> first line </w:t>
      </w:r>
      <w:r w:rsidR="00296F32">
        <w:rPr>
          <w:rFonts w:asciiTheme="minorHAnsi" w:hAnsiTheme="minorHAnsi"/>
          <w:bCs/>
          <w:iCs/>
          <w:snapToGrid w:val="0"/>
        </w:rPr>
        <w:t>setting</w:t>
      </w:r>
      <w:r w:rsidR="00F00A83">
        <w:rPr>
          <w:rFonts w:asciiTheme="minorHAnsi" w:hAnsiTheme="minorHAnsi"/>
          <w:bCs/>
          <w:iCs/>
          <w:snapToGrid w:val="0"/>
        </w:rPr>
        <w:t xml:space="preserve"> </w:t>
      </w:r>
      <w:r w:rsidR="00381649" w:rsidRPr="006D075E">
        <w:rPr>
          <w:rFonts w:asciiTheme="minorHAnsi" w:hAnsiTheme="minorHAnsi"/>
          <w:snapToGrid w:val="0"/>
        </w:rPr>
        <w:t>who have a poor prognosis with existing therapies</w:t>
      </w:r>
      <w:r w:rsidR="00191545" w:rsidRPr="006D075E">
        <w:rPr>
          <w:rFonts w:asciiTheme="minorHAnsi" w:hAnsiTheme="minorHAnsi"/>
          <w:snapToGrid w:val="0"/>
        </w:rPr>
        <w:t xml:space="preserve">. </w:t>
      </w:r>
      <w:r w:rsidR="00F00A83" w:rsidRPr="00F00A83">
        <w:rPr>
          <w:rFonts w:asciiTheme="minorHAnsi" w:hAnsiTheme="minorHAnsi"/>
          <w:snapToGrid w:val="0"/>
        </w:rPr>
        <w:t xml:space="preserve"> </w:t>
      </w:r>
    </w:p>
    <w:p w14:paraId="7B17C6A6" w14:textId="358D93D8" w:rsidR="007402C6" w:rsidRPr="006D075E" w:rsidRDefault="007A49B3">
      <w:pPr>
        <w:pStyle w:val="COMexecsummnumbered"/>
      </w:pPr>
      <w:r w:rsidRPr="006D075E">
        <w:rPr>
          <w:snapToGrid w:val="0"/>
        </w:rPr>
        <w:t xml:space="preserve">The PBAC considered that </w:t>
      </w:r>
      <w:r w:rsidR="001E3823" w:rsidRPr="006D075E">
        <w:rPr>
          <w:snapToGrid w:val="0"/>
        </w:rPr>
        <w:t xml:space="preserve">it would be appropriate for the restriction to include separate induction and continuing treatment phases and a grandfather restriction. </w:t>
      </w:r>
      <w:r w:rsidR="00A42F2A" w:rsidRPr="006D075E">
        <w:rPr>
          <w:snapToGrid w:val="0"/>
        </w:rPr>
        <w:t xml:space="preserve">The PBAC advised that it </w:t>
      </w:r>
      <w:r w:rsidR="00C2489D">
        <w:rPr>
          <w:snapToGrid w:val="0"/>
        </w:rPr>
        <w:t>would be</w:t>
      </w:r>
      <w:r w:rsidR="00C2489D" w:rsidRPr="006D075E">
        <w:rPr>
          <w:snapToGrid w:val="0"/>
        </w:rPr>
        <w:t xml:space="preserve"> </w:t>
      </w:r>
      <w:r w:rsidR="00A42F2A" w:rsidRPr="006D075E">
        <w:rPr>
          <w:snapToGrid w:val="0"/>
        </w:rPr>
        <w:t xml:space="preserve">appropriate to add to the initial restriction the clinical criterion, “the condition must be symptomatic”. </w:t>
      </w:r>
      <w:r w:rsidR="007402C6" w:rsidRPr="006D075E">
        <w:t xml:space="preserve">The PBAC </w:t>
      </w:r>
      <w:r w:rsidR="00C80A71">
        <w:t xml:space="preserve">further </w:t>
      </w:r>
      <w:r w:rsidR="00287DD3" w:rsidRPr="006D075E">
        <w:t xml:space="preserve">considered </w:t>
      </w:r>
      <w:r w:rsidR="0013672C" w:rsidRPr="006D075E">
        <w:t xml:space="preserve">it </w:t>
      </w:r>
      <w:r w:rsidR="00C2489D">
        <w:t>would be</w:t>
      </w:r>
      <w:r w:rsidR="00C2489D" w:rsidRPr="006D075E">
        <w:t xml:space="preserve"> </w:t>
      </w:r>
      <w:r w:rsidR="0013672C" w:rsidRPr="006D075E">
        <w:t xml:space="preserve">appropriate to permit continuation of </w:t>
      </w:r>
      <w:r w:rsidR="0013672C" w:rsidRPr="006D075E">
        <w:rPr>
          <w:snapToGrid w:val="0"/>
        </w:rPr>
        <w:t xml:space="preserve">acalabrutinib if </w:t>
      </w:r>
      <w:proofErr w:type="spellStart"/>
      <w:r w:rsidR="0013672C" w:rsidRPr="006D075E">
        <w:rPr>
          <w:snapToGrid w:val="0"/>
        </w:rPr>
        <w:t>bendamustine</w:t>
      </w:r>
      <w:proofErr w:type="spellEnd"/>
      <w:r w:rsidR="0013672C" w:rsidRPr="006D075E">
        <w:rPr>
          <w:snapToGrid w:val="0"/>
        </w:rPr>
        <w:t xml:space="preserve"> and/or rituximab </w:t>
      </w:r>
      <w:r w:rsidR="00C2489D">
        <w:rPr>
          <w:snapToGrid w:val="0"/>
        </w:rPr>
        <w:t>are</w:t>
      </w:r>
      <w:r w:rsidR="00C2489D" w:rsidRPr="006D075E">
        <w:rPr>
          <w:snapToGrid w:val="0"/>
        </w:rPr>
        <w:t xml:space="preserve"> </w:t>
      </w:r>
      <w:r w:rsidR="0013672C" w:rsidRPr="006D075E">
        <w:t xml:space="preserve">ceased due to intolerance, </w:t>
      </w:r>
      <w:r w:rsidR="00287DD3" w:rsidRPr="009F58F2">
        <w:t>and</w:t>
      </w:r>
      <w:r w:rsidR="0013672C" w:rsidRPr="009F58F2">
        <w:t xml:space="preserve"> </w:t>
      </w:r>
      <w:r w:rsidR="007402C6" w:rsidRPr="009F58F2">
        <w:t xml:space="preserve">that it </w:t>
      </w:r>
      <w:r w:rsidR="00287DD3" w:rsidRPr="009F58F2">
        <w:t>is</w:t>
      </w:r>
      <w:r w:rsidR="007402C6" w:rsidRPr="009F58F2">
        <w:t xml:space="preserve"> reasonable</w:t>
      </w:r>
      <w:r w:rsidR="007402C6" w:rsidRPr="006D075E">
        <w:t xml:space="preserve"> to restrict </w:t>
      </w:r>
      <w:r w:rsidR="00CF066E">
        <w:t>BTK</w:t>
      </w:r>
      <w:r w:rsidR="007C6CA9">
        <w:t xml:space="preserve"> inhibitor</w:t>
      </w:r>
      <w:r w:rsidR="007402C6" w:rsidRPr="006D075E">
        <w:t xml:space="preserve"> listings to once in a lifetime.</w:t>
      </w:r>
      <w:r w:rsidR="00B02964" w:rsidRPr="006D075E">
        <w:t xml:space="preserve"> </w:t>
      </w:r>
    </w:p>
    <w:p w14:paraId="199C9E59" w14:textId="22FC0010" w:rsidR="00A44313" w:rsidRDefault="00F5457C" w:rsidP="001E3BFE">
      <w:pPr>
        <w:pStyle w:val="COMexecsummnumbered"/>
        <w:rPr>
          <w:rFonts w:eastAsia="Times New Roman" w:cs="Arial"/>
          <w:snapToGrid w:val="0"/>
          <w:szCs w:val="24"/>
        </w:rPr>
      </w:pPr>
      <w:r>
        <w:rPr>
          <w:rFonts w:eastAsia="Times New Roman" w:cs="Arial"/>
          <w:snapToGrid w:val="0"/>
          <w:szCs w:val="24"/>
        </w:rPr>
        <w:t>T</w:t>
      </w:r>
      <w:r w:rsidR="001E3BFE" w:rsidRPr="006D075E">
        <w:rPr>
          <w:rFonts w:eastAsia="Times New Roman" w:cs="Arial"/>
          <w:snapToGrid w:val="0"/>
          <w:szCs w:val="24"/>
        </w:rPr>
        <w:t xml:space="preserve">he PBAC </w:t>
      </w:r>
      <w:r>
        <w:rPr>
          <w:rFonts w:eastAsia="Times New Roman" w:cs="Arial"/>
          <w:snapToGrid w:val="0"/>
          <w:szCs w:val="24"/>
        </w:rPr>
        <w:t>considered</w:t>
      </w:r>
      <w:r w:rsidR="001E3BFE" w:rsidRPr="006D075E">
        <w:rPr>
          <w:rFonts w:eastAsia="Times New Roman" w:cs="Arial"/>
          <w:snapToGrid w:val="0"/>
          <w:szCs w:val="24"/>
        </w:rPr>
        <w:t xml:space="preserve"> the submission</w:t>
      </w:r>
      <w:r w:rsidR="00355290" w:rsidRPr="006D075E">
        <w:rPr>
          <w:rFonts w:eastAsia="Times New Roman" w:cs="Arial"/>
          <w:snapToGrid w:val="0"/>
          <w:szCs w:val="24"/>
        </w:rPr>
        <w:t>’s proposed place in therapy</w:t>
      </w:r>
      <w:r>
        <w:rPr>
          <w:rFonts w:eastAsia="Times New Roman" w:cs="Arial"/>
          <w:snapToGrid w:val="0"/>
          <w:szCs w:val="24"/>
        </w:rPr>
        <w:t xml:space="preserve"> was appropriate</w:t>
      </w:r>
      <w:r w:rsidR="00AA12EE">
        <w:rPr>
          <w:rFonts w:eastAsia="Times New Roman" w:cs="Arial"/>
          <w:snapToGrid w:val="0"/>
          <w:szCs w:val="24"/>
        </w:rPr>
        <w:t xml:space="preserve">, which was as </w:t>
      </w:r>
      <w:r w:rsidR="003669E6">
        <w:rPr>
          <w:rFonts w:eastAsia="Times New Roman" w:cs="Arial"/>
          <w:snapToGrid w:val="0"/>
          <w:szCs w:val="24"/>
        </w:rPr>
        <w:t xml:space="preserve">a </w:t>
      </w:r>
      <w:r w:rsidR="00B65B2B" w:rsidRPr="006D075E">
        <w:rPr>
          <w:rFonts w:eastAsia="Times New Roman" w:cs="Arial"/>
          <w:snapToGrid w:val="0"/>
          <w:szCs w:val="24"/>
        </w:rPr>
        <w:t xml:space="preserve">first line treatment </w:t>
      </w:r>
      <w:r w:rsidR="003669E6">
        <w:rPr>
          <w:rFonts w:eastAsia="Times New Roman" w:cs="Arial"/>
          <w:snapToGrid w:val="0"/>
          <w:szCs w:val="24"/>
        </w:rPr>
        <w:t>for</w:t>
      </w:r>
      <w:r w:rsidR="00B65B2B" w:rsidRPr="006D075E">
        <w:rPr>
          <w:rFonts w:eastAsia="Times New Roman" w:cs="Arial"/>
          <w:snapToGrid w:val="0"/>
          <w:szCs w:val="24"/>
        </w:rPr>
        <w:t xml:space="preserve"> advanced stage MCL in patients </w:t>
      </w:r>
      <w:r w:rsidR="00052331">
        <w:rPr>
          <w:rFonts w:eastAsia="Times New Roman" w:cs="Arial"/>
          <w:snapToGrid w:val="0"/>
          <w:szCs w:val="24"/>
        </w:rPr>
        <w:t xml:space="preserve">who are </w:t>
      </w:r>
      <w:r w:rsidR="00B65B2B" w:rsidRPr="006D075E">
        <w:rPr>
          <w:rFonts w:eastAsia="Times New Roman" w:cs="Arial"/>
          <w:snapToGrid w:val="0"/>
          <w:szCs w:val="24"/>
        </w:rPr>
        <w:t>ineligible for stem cell transplant</w:t>
      </w:r>
      <w:r w:rsidR="005E211C" w:rsidRPr="006D075E">
        <w:rPr>
          <w:rFonts w:eastAsia="Times New Roman" w:cs="Arial"/>
          <w:snapToGrid w:val="0"/>
          <w:szCs w:val="24"/>
        </w:rPr>
        <w:t xml:space="preserve">, </w:t>
      </w:r>
      <w:r w:rsidR="002E2BA5" w:rsidRPr="006D075E">
        <w:rPr>
          <w:rFonts w:eastAsia="Times New Roman" w:cs="Arial"/>
          <w:snapToGrid w:val="0"/>
          <w:szCs w:val="24"/>
        </w:rPr>
        <w:t>until disease progression</w:t>
      </w:r>
      <w:r w:rsidR="007A57A9">
        <w:rPr>
          <w:rFonts w:eastAsia="Times New Roman" w:cs="Arial"/>
          <w:snapToGrid w:val="0"/>
          <w:szCs w:val="24"/>
        </w:rPr>
        <w:t xml:space="preserve">. The PBAC noted </w:t>
      </w:r>
      <w:r w:rsidR="00F30F07" w:rsidRPr="006D075E">
        <w:rPr>
          <w:rFonts w:eastAsia="Times New Roman" w:cs="Arial"/>
          <w:snapToGrid w:val="0"/>
          <w:szCs w:val="24"/>
        </w:rPr>
        <w:t xml:space="preserve">this </w:t>
      </w:r>
      <w:r w:rsidR="007A57A9">
        <w:rPr>
          <w:rFonts w:eastAsia="Times New Roman" w:cs="Arial"/>
          <w:snapToGrid w:val="0"/>
          <w:szCs w:val="24"/>
        </w:rPr>
        <w:t>wa</w:t>
      </w:r>
      <w:r w:rsidR="00F30F07" w:rsidRPr="006D075E">
        <w:rPr>
          <w:rFonts w:eastAsia="Times New Roman" w:cs="Arial"/>
          <w:snapToGrid w:val="0"/>
          <w:szCs w:val="24"/>
        </w:rPr>
        <w:t xml:space="preserve">s consistent with </w:t>
      </w:r>
      <w:r w:rsidR="00F37214" w:rsidRPr="0086044E">
        <w:t xml:space="preserve">National Comprehensive Cancer Network (NCCN) </w:t>
      </w:r>
      <w:r w:rsidR="00F30F07" w:rsidRPr="006D075E">
        <w:rPr>
          <w:rFonts w:eastAsia="Times New Roman" w:cs="Arial"/>
          <w:snapToGrid w:val="0"/>
          <w:szCs w:val="24"/>
        </w:rPr>
        <w:t>guidelines</w:t>
      </w:r>
      <w:r w:rsidR="002E2BA5" w:rsidRPr="006D075E">
        <w:rPr>
          <w:rFonts w:eastAsia="Times New Roman" w:cs="Arial"/>
          <w:snapToGrid w:val="0"/>
          <w:szCs w:val="24"/>
        </w:rPr>
        <w:t xml:space="preserve">. However, the PBAC </w:t>
      </w:r>
      <w:r w:rsidR="00E82473">
        <w:rPr>
          <w:rFonts w:eastAsia="Times New Roman" w:cs="Arial"/>
          <w:snapToGrid w:val="0"/>
          <w:szCs w:val="24"/>
        </w:rPr>
        <w:t>not</w:t>
      </w:r>
      <w:r w:rsidR="002E2BA5" w:rsidRPr="006D075E">
        <w:rPr>
          <w:rFonts w:eastAsia="Times New Roman" w:cs="Arial"/>
          <w:snapToGrid w:val="0"/>
          <w:szCs w:val="24"/>
        </w:rPr>
        <w:t>ed that the</w:t>
      </w:r>
      <w:r w:rsidR="001B5A3A" w:rsidRPr="006D075E">
        <w:rPr>
          <w:rFonts w:eastAsia="Times New Roman" w:cs="Arial"/>
          <w:snapToGrid w:val="0"/>
          <w:szCs w:val="24"/>
        </w:rPr>
        <w:t>re</w:t>
      </w:r>
      <w:r w:rsidR="002E2BA5" w:rsidRPr="006D075E">
        <w:rPr>
          <w:rFonts w:eastAsia="Times New Roman" w:cs="Arial"/>
          <w:snapToGrid w:val="0"/>
          <w:szCs w:val="24"/>
        </w:rPr>
        <w:t xml:space="preserve"> is some evidence </w:t>
      </w:r>
      <w:r w:rsidR="00E82473">
        <w:rPr>
          <w:rFonts w:eastAsia="Times New Roman" w:cs="Arial"/>
          <w:snapToGrid w:val="0"/>
          <w:szCs w:val="24"/>
        </w:rPr>
        <w:t>emerging for use</w:t>
      </w:r>
      <w:r w:rsidR="002E2BA5" w:rsidRPr="006D075E">
        <w:rPr>
          <w:rFonts w:eastAsia="Times New Roman" w:cs="Arial"/>
          <w:snapToGrid w:val="0"/>
          <w:szCs w:val="24"/>
        </w:rPr>
        <w:t xml:space="preserve"> </w:t>
      </w:r>
      <w:r w:rsidR="00E82473">
        <w:rPr>
          <w:rFonts w:eastAsia="Times New Roman" w:cs="Arial"/>
          <w:snapToGrid w:val="0"/>
          <w:szCs w:val="24"/>
        </w:rPr>
        <w:t xml:space="preserve">of BTK inhibitors </w:t>
      </w:r>
      <w:r w:rsidR="00CE6499">
        <w:rPr>
          <w:rFonts w:eastAsia="Times New Roman" w:cs="Arial"/>
          <w:snapToGrid w:val="0"/>
          <w:szCs w:val="24"/>
        </w:rPr>
        <w:t xml:space="preserve">in </w:t>
      </w:r>
      <w:r w:rsidR="00E518E3" w:rsidRPr="006D075E">
        <w:rPr>
          <w:rFonts w:eastAsia="Times New Roman" w:cs="Arial"/>
          <w:snapToGrid w:val="0"/>
          <w:szCs w:val="24"/>
        </w:rPr>
        <w:t xml:space="preserve">transplant eligible </w:t>
      </w:r>
      <w:r w:rsidR="00B51D9E">
        <w:rPr>
          <w:rFonts w:eastAsia="Times New Roman" w:cs="Arial"/>
          <w:snapToGrid w:val="0"/>
          <w:szCs w:val="24"/>
        </w:rPr>
        <w:t>patients</w:t>
      </w:r>
      <w:r w:rsidR="00AA1A3C">
        <w:rPr>
          <w:rFonts w:eastAsia="Times New Roman" w:cs="Arial"/>
          <w:snapToGrid w:val="0"/>
          <w:szCs w:val="24"/>
        </w:rPr>
        <w:t xml:space="preserve"> (in the first line setting)</w:t>
      </w:r>
      <w:r w:rsidR="00E518E3" w:rsidRPr="006D075E">
        <w:rPr>
          <w:rFonts w:eastAsia="Times New Roman" w:cs="Arial"/>
          <w:snapToGrid w:val="0"/>
          <w:szCs w:val="24"/>
        </w:rPr>
        <w:t xml:space="preserve"> and therefore</w:t>
      </w:r>
      <w:r w:rsidR="00AA1A3C">
        <w:rPr>
          <w:rFonts w:eastAsia="Times New Roman" w:cs="Arial"/>
          <w:snapToGrid w:val="0"/>
          <w:szCs w:val="24"/>
        </w:rPr>
        <w:t xml:space="preserve"> considered</w:t>
      </w:r>
      <w:r w:rsidR="00E518E3" w:rsidRPr="006D075E">
        <w:rPr>
          <w:rFonts w:eastAsia="Times New Roman" w:cs="Arial"/>
          <w:snapToGrid w:val="0"/>
          <w:szCs w:val="24"/>
        </w:rPr>
        <w:t xml:space="preserve"> there is a risk of use outside the proposed restriction. </w:t>
      </w:r>
      <w:r w:rsidR="00D8281C" w:rsidRPr="006D075E">
        <w:rPr>
          <w:rFonts w:eastAsia="Times New Roman" w:cs="Arial"/>
          <w:snapToGrid w:val="0"/>
          <w:szCs w:val="24"/>
        </w:rPr>
        <w:t xml:space="preserve">The PBAC noted </w:t>
      </w:r>
      <w:r w:rsidR="004D1AD6" w:rsidRPr="006D075E">
        <w:rPr>
          <w:rFonts w:eastAsia="Times New Roman" w:cs="Arial"/>
          <w:snapToGrid w:val="0"/>
          <w:szCs w:val="24"/>
        </w:rPr>
        <w:t>that</w:t>
      </w:r>
      <w:r w:rsidR="002F0AA3">
        <w:rPr>
          <w:rFonts w:eastAsia="Times New Roman" w:cs="Arial"/>
          <w:snapToGrid w:val="0"/>
          <w:szCs w:val="24"/>
        </w:rPr>
        <w:t>, over time,</w:t>
      </w:r>
      <w:r w:rsidR="004D1AD6" w:rsidRPr="006D075E">
        <w:rPr>
          <w:rFonts w:eastAsia="Times New Roman" w:cs="Arial"/>
          <w:snapToGrid w:val="0"/>
          <w:szCs w:val="24"/>
        </w:rPr>
        <w:t xml:space="preserve"> use of ABR </w:t>
      </w:r>
      <w:r w:rsidR="00AA1A3C">
        <w:rPr>
          <w:rFonts w:eastAsia="Times New Roman" w:cs="Arial"/>
          <w:snapToGrid w:val="0"/>
          <w:szCs w:val="24"/>
        </w:rPr>
        <w:t>for</w:t>
      </w:r>
      <w:r w:rsidR="004D1AD6" w:rsidRPr="006D075E">
        <w:rPr>
          <w:rFonts w:eastAsia="Times New Roman" w:cs="Arial"/>
          <w:snapToGrid w:val="0"/>
          <w:szCs w:val="24"/>
        </w:rPr>
        <w:t xml:space="preserve"> the first line treatment of MCL will </w:t>
      </w:r>
      <w:r w:rsidR="003606C3" w:rsidRPr="006D075E">
        <w:rPr>
          <w:rFonts w:eastAsia="Times New Roman" w:cs="Arial"/>
          <w:snapToGrid w:val="0"/>
          <w:szCs w:val="24"/>
        </w:rPr>
        <w:t>replace</w:t>
      </w:r>
      <w:r w:rsidR="003E3749" w:rsidRPr="006D075E">
        <w:rPr>
          <w:rFonts w:eastAsia="Times New Roman" w:cs="Arial"/>
          <w:snapToGrid w:val="0"/>
          <w:szCs w:val="24"/>
        </w:rPr>
        <w:t xml:space="preserve"> </w:t>
      </w:r>
      <w:r w:rsidR="005A2F33">
        <w:rPr>
          <w:rFonts w:eastAsia="Times New Roman" w:cs="Arial"/>
          <w:snapToGrid w:val="0"/>
          <w:szCs w:val="24"/>
        </w:rPr>
        <w:t xml:space="preserve">a substantial proportion of </w:t>
      </w:r>
      <w:r w:rsidR="00AA1A3C">
        <w:rPr>
          <w:rFonts w:eastAsia="Times New Roman" w:cs="Arial"/>
          <w:snapToGrid w:val="0"/>
          <w:szCs w:val="24"/>
        </w:rPr>
        <w:t xml:space="preserve">use of </w:t>
      </w:r>
      <w:r w:rsidR="00E90DE6">
        <w:rPr>
          <w:rFonts w:eastAsia="Times New Roman" w:cs="Arial"/>
          <w:snapToGrid w:val="0"/>
          <w:szCs w:val="24"/>
        </w:rPr>
        <w:t>BTK</w:t>
      </w:r>
      <w:r w:rsidR="00AA1A3C">
        <w:rPr>
          <w:rFonts w:eastAsia="Times New Roman" w:cs="Arial"/>
          <w:snapToGrid w:val="0"/>
          <w:szCs w:val="24"/>
        </w:rPr>
        <w:t xml:space="preserve"> </w:t>
      </w:r>
      <w:r w:rsidR="00E90DE6">
        <w:rPr>
          <w:rFonts w:eastAsia="Times New Roman" w:cs="Arial"/>
          <w:snapToGrid w:val="0"/>
          <w:szCs w:val="24"/>
        </w:rPr>
        <w:t>i</w:t>
      </w:r>
      <w:r w:rsidR="00AA1A3C">
        <w:rPr>
          <w:rFonts w:eastAsia="Times New Roman" w:cs="Arial"/>
          <w:snapToGrid w:val="0"/>
          <w:szCs w:val="24"/>
        </w:rPr>
        <w:t>nhibitors in subsequent</w:t>
      </w:r>
      <w:r w:rsidR="007A001A">
        <w:rPr>
          <w:rFonts w:eastAsia="Times New Roman" w:cs="Arial"/>
          <w:snapToGrid w:val="0"/>
          <w:szCs w:val="24"/>
        </w:rPr>
        <w:t xml:space="preserve"> </w:t>
      </w:r>
      <w:r w:rsidR="00AA1A3C">
        <w:rPr>
          <w:rFonts w:eastAsia="Times New Roman" w:cs="Arial"/>
          <w:snapToGrid w:val="0"/>
          <w:szCs w:val="24"/>
        </w:rPr>
        <w:t>lines</w:t>
      </w:r>
      <w:r w:rsidR="005E3B34">
        <w:rPr>
          <w:rFonts w:eastAsia="Times New Roman" w:cs="Arial"/>
          <w:snapToGrid w:val="0"/>
          <w:szCs w:val="24"/>
        </w:rPr>
        <w:t xml:space="preserve"> given </w:t>
      </w:r>
      <w:r w:rsidR="0087539A">
        <w:rPr>
          <w:rFonts w:eastAsia="Times New Roman" w:cs="Arial"/>
          <w:snapToGrid w:val="0"/>
          <w:szCs w:val="24"/>
        </w:rPr>
        <w:t>these therapies</w:t>
      </w:r>
      <w:r w:rsidR="005E3B34">
        <w:rPr>
          <w:rFonts w:eastAsia="Times New Roman" w:cs="Arial"/>
          <w:snapToGrid w:val="0"/>
          <w:szCs w:val="24"/>
        </w:rPr>
        <w:t xml:space="preserve"> would be limited to</w:t>
      </w:r>
      <w:r w:rsidR="003E3749" w:rsidRPr="006D075E">
        <w:rPr>
          <w:rFonts w:eastAsia="Times New Roman" w:cs="Arial"/>
          <w:snapToGrid w:val="0"/>
          <w:szCs w:val="24"/>
        </w:rPr>
        <w:t xml:space="preserve"> once in a lifetime. </w:t>
      </w:r>
    </w:p>
    <w:p w14:paraId="67013B02" w14:textId="6718C7D7" w:rsidR="001E3BFE" w:rsidRPr="006D075E" w:rsidRDefault="00DD21D1" w:rsidP="001E3BFE">
      <w:pPr>
        <w:pStyle w:val="COMexecsummnumbered"/>
        <w:rPr>
          <w:rFonts w:eastAsia="Times New Roman" w:cs="Arial"/>
          <w:snapToGrid w:val="0"/>
          <w:szCs w:val="24"/>
        </w:rPr>
      </w:pPr>
      <w:r w:rsidRPr="006D075E">
        <w:rPr>
          <w:rFonts w:eastAsia="Times New Roman" w:cs="Arial"/>
          <w:snapToGrid w:val="0"/>
          <w:szCs w:val="24"/>
        </w:rPr>
        <w:t xml:space="preserve">The PBAC considered that </w:t>
      </w:r>
      <w:r w:rsidR="00330734" w:rsidRPr="006D075E">
        <w:rPr>
          <w:rFonts w:eastAsia="Times New Roman" w:cs="Arial"/>
          <w:snapToGrid w:val="0"/>
          <w:szCs w:val="24"/>
        </w:rPr>
        <w:t xml:space="preserve">the nominated comparator, </w:t>
      </w:r>
      <w:proofErr w:type="spellStart"/>
      <w:r w:rsidR="00330734" w:rsidRPr="006D075E">
        <w:rPr>
          <w:rFonts w:eastAsia="Times New Roman" w:cs="Arial"/>
          <w:snapToGrid w:val="0"/>
          <w:szCs w:val="24"/>
        </w:rPr>
        <w:t>bendamustine</w:t>
      </w:r>
      <w:proofErr w:type="spellEnd"/>
      <w:r w:rsidR="00330734" w:rsidRPr="006D075E">
        <w:rPr>
          <w:rFonts w:eastAsia="Times New Roman" w:cs="Arial"/>
          <w:snapToGrid w:val="0"/>
          <w:szCs w:val="24"/>
        </w:rPr>
        <w:t xml:space="preserve"> and rituximab,</w:t>
      </w:r>
      <w:r w:rsidR="00104E5F" w:rsidRPr="006D075E">
        <w:rPr>
          <w:rFonts w:eastAsia="Times New Roman" w:cs="Arial"/>
          <w:snapToGrid w:val="0"/>
          <w:szCs w:val="24"/>
        </w:rPr>
        <w:t xml:space="preserve"> </w:t>
      </w:r>
      <w:r w:rsidR="00090320">
        <w:rPr>
          <w:rFonts w:eastAsia="Times New Roman" w:cs="Arial"/>
          <w:snapToGrid w:val="0"/>
          <w:szCs w:val="24"/>
        </w:rPr>
        <w:t>was</w:t>
      </w:r>
      <w:r w:rsidR="00090320" w:rsidRPr="006D075E">
        <w:rPr>
          <w:rFonts w:eastAsia="Times New Roman" w:cs="Arial"/>
          <w:snapToGrid w:val="0"/>
          <w:szCs w:val="24"/>
        </w:rPr>
        <w:t xml:space="preserve"> </w:t>
      </w:r>
      <w:r w:rsidR="00104E5F" w:rsidRPr="006D075E">
        <w:rPr>
          <w:rFonts w:eastAsia="Times New Roman" w:cs="Arial"/>
          <w:snapToGrid w:val="0"/>
          <w:szCs w:val="24"/>
        </w:rPr>
        <w:t xml:space="preserve">appropriate. </w:t>
      </w:r>
    </w:p>
    <w:p w14:paraId="2A3D7E3D" w14:textId="4AAA8406" w:rsidR="00A06770" w:rsidRPr="00E50158" w:rsidRDefault="00570B22">
      <w:pPr>
        <w:pStyle w:val="COMexecsummnumbered"/>
      </w:pPr>
      <w:r w:rsidRPr="00833B7D">
        <w:rPr>
          <w:snapToGrid w:val="0"/>
        </w:rPr>
        <w:t xml:space="preserve">The PBAC considered that </w:t>
      </w:r>
      <w:r w:rsidR="00C035DA" w:rsidRPr="00833B7D">
        <w:rPr>
          <w:snapToGrid w:val="0"/>
        </w:rPr>
        <w:t xml:space="preserve">the </w:t>
      </w:r>
      <w:r w:rsidRPr="00833B7D">
        <w:rPr>
          <w:snapToGrid w:val="0"/>
        </w:rPr>
        <w:t>submission</w:t>
      </w:r>
      <w:r w:rsidR="000C08DD" w:rsidRPr="00833B7D">
        <w:rPr>
          <w:snapToGrid w:val="0"/>
        </w:rPr>
        <w:t>’s</w:t>
      </w:r>
      <w:r w:rsidRPr="00833B7D">
        <w:rPr>
          <w:snapToGrid w:val="0"/>
        </w:rPr>
        <w:t xml:space="preserve"> </w:t>
      </w:r>
      <w:r w:rsidR="00B143F1" w:rsidRPr="00833B7D">
        <w:rPr>
          <w:snapToGrid w:val="0"/>
        </w:rPr>
        <w:t xml:space="preserve">claim </w:t>
      </w:r>
      <w:r w:rsidR="000C08DD" w:rsidRPr="00833B7D">
        <w:rPr>
          <w:snapToGrid w:val="0"/>
        </w:rPr>
        <w:t xml:space="preserve">of superior </w:t>
      </w:r>
      <w:r w:rsidR="00540040">
        <w:rPr>
          <w:snapToGrid w:val="0"/>
        </w:rPr>
        <w:t xml:space="preserve">comparative </w:t>
      </w:r>
      <w:r w:rsidR="000C08DD" w:rsidRPr="00833B7D">
        <w:rPr>
          <w:snapToGrid w:val="0"/>
        </w:rPr>
        <w:t xml:space="preserve">effectiveness </w:t>
      </w:r>
      <w:r w:rsidRPr="00833B7D">
        <w:rPr>
          <w:snapToGrid w:val="0"/>
        </w:rPr>
        <w:t xml:space="preserve">was supported by a </w:t>
      </w:r>
      <w:r w:rsidR="009470DF" w:rsidRPr="00833B7D">
        <w:rPr>
          <w:snapToGrid w:val="0"/>
        </w:rPr>
        <w:t>well-designed</w:t>
      </w:r>
      <w:r w:rsidRPr="00833B7D">
        <w:rPr>
          <w:snapToGrid w:val="0"/>
        </w:rPr>
        <w:t xml:space="preserve">, </w:t>
      </w:r>
      <w:r w:rsidR="00540040">
        <w:rPr>
          <w:snapToGrid w:val="0"/>
        </w:rPr>
        <w:t>multi-</w:t>
      </w:r>
      <w:r w:rsidRPr="00833B7D">
        <w:rPr>
          <w:snapToGrid w:val="0"/>
        </w:rPr>
        <w:t>national</w:t>
      </w:r>
      <w:r w:rsidR="00540040">
        <w:rPr>
          <w:snapToGrid w:val="0"/>
        </w:rPr>
        <w:t>,</w:t>
      </w:r>
      <w:r w:rsidRPr="00833B7D">
        <w:rPr>
          <w:snapToGrid w:val="0"/>
        </w:rPr>
        <w:t xml:space="preserve"> </w:t>
      </w:r>
      <w:r w:rsidR="00E90DE6" w:rsidRPr="00833B7D">
        <w:rPr>
          <w:snapToGrid w:val="0"/>
        </w:rPr>
        <w:t xml:space="preserve">randomised controlled trial </w:t>
      </w:r>
      <w:r w:rsidR="001F5B91">
        <w:rPr>
          <w:snapToGrid w:val="0"/>
        </w:rPr>
        <w:t>(</w:t>
      </w:r>
      <w:r w:rsidRPr="00833B7D">
        <w:rPr>
          <w:snapToGrid w:val="0"/>
        </w:rPr>
        <w:t>ECHO)</w:t>
      </w:r>
      <w:r w:rsidR="003E70F6">
        <w:rPr>
          <w:snapToGrid w:val="0"/>
        </w:rPr>
        <w:t>. The PBAC</w:t>
      </w:r>
      <w:r w:rsidR="008B7CD0" w:rsidRPr="00833B7D">
        <w:rPr>
          <w:snapToGrid w:val="0"/>
        </w:rPr>
        <w:t xml:space="preserve"> </w:t>
      </w:r>
      <w:r w:rsidR="00246B20" w:rsidRPr="00833B7D">
        <w:rPr>
          <w:snapToGrid w:val="0"/>
        </w:rPr>
        <w:t xml:space="preserve">considered </w:t>
      </w:r>
      <w:r w:rsidR="001F5B91">
        <w:rPr>
          <w:snapToGrid w:val="0"/>
        </w:rPr>
        <w:t xml:space="preserve">the </w:t>
      </w:r>
      <w:r w:rsidR="00930B71" w:rsidRPr="00833B7D">
        <w:rPr>
          <w:snapToGrid w:val="0"/>
        </w:rPr>
        <w:t>characteristics</w:t>
      </w:r>
      <w:r w:rsidR="00930B71">
        <w:rPr>
          <w:snapToGrid w:val="0"/>
        </w:rPr>
        <w:t xml:space="preserve"> </w:t>
      </w:r>
      <w:r w:rsidR="003E70F6">
        <w:rPr>
          <w:snapToGrid w:val="0"/>
        </w:rPr>
        <w:t>of patients enrolled in</w:t>
      </w:r>
      <w:r w:rsidR="00FD0BB2">
        <w:rPr>
          <w:snapToGrid w:val="0"/>
        </w:rPr>
        <w:t xml:space="preserve"> the</w:t>
      </w:r>
      <w:r w:rsidR="003E70F6">
        <w:rPr>
          <w:snapToGrid w:val="0"/>
        </w:rPr>
        <w:t xml:space="preserve"> ECHO </w:t>
      </w:r>
      <w:r w:rsidR="00FD0BB2">
        <w:rPr>
          <w:snapToGrid w:val="0"/>
        </w:rPr>
        <w:t xml:space="preserve">trial </w:t>
      </w:r>
      <w:r w:rsidR="001F5B91">
        <w:rPr>
          <w:snapToGrid w:val="0"/>
        </w:rPr>
        <w:t xml:space="preserve">were </w:t>
      </w:r>
      <w:r w:rsidR="00856686" w:rsidRPr="00833B7D">
        <w:rPr>
          <w:snapToGrid w:val="0"/>
        </w:rPr>
        <w:t xml:space="preserve">generally representative of the </w:t>
      </w:r>
      <w:r w:rsidR="00856686" w:rsidRPr="00E50158">
        <w:rPr>
          <w:snapToGrid w:val="0"/>
        </w:rPr>
        <w:t xml:space="preserve">PBS </w:t>
      </w:r>
      <w:proofErr w:type="gramStart"/>
      <w:r w:rsidR="00856686" w:rsidRPr="00E50158">
        <w:rPr>
          <w:snapToGrid w:val="0"/>
        </w:rPr>
        <w:t>population</w:t>
      </w:r>
      <w:r w:rsidR="00E13A5A" w:rsidRPr="00E50158">
        <w:rPr>
          <w:snapToGrid w:val="0"/>
        </w:rPr>
        <w:t>, but</w:t>
      </w:r>
      <w:proofErr w:type="gramEnd"/>
      <w:r w:rsidR="00E13A5A" w:rsidRPr="00E50158">
        <w:rPr>
          <w:snapToGrid w:val="0"/>
        </w:rPr>
        <w:t xml:space="preserve"> </w:t>
      </w:r>
      <w:r w:rsidR="00856686" w:rsidRPr="00E50158">
        <w:rPr>
          <w:snapToGrid w:val="0"/>
        </w:rPr>
        <w:t>noted</w:t>
      </w:r>
      <w:r w:rsidR="009470DF" w:rsidRPr="00E50158">
        <w:rPr>
          <w:snapToGrid w:val="0"/>
        </w:rPr>
        <w:t xml:space="preserve"> the </w:t>
      </w:r>
      <w:r w:rsidRPr="00E50158">
        <w:rPr>
          <w:snapToGrid w:val="0"/>
        </w:rPr>
        <w:t xml:space="preserve">survival data </w:t>
      </w:r>
      <w:r w:rsidR="00E13A5A" w:rsidRPr="00E50158">
        <w:rPr>
          <w:snapToGrid w:val="0"/>
        </w:rPr>
        <w:t xml:space="preserve">were immature </w:t>
      </w:r>
      <w:r w:rsidR="009470DF" w:rsidRPr="00E50158">
        <w:rPr>
          <w:snapToGrid w:val="0"/>
        </w:rPr>
        <w:t>(</w:t>
      </w:r>
      <w:r w:rsidRPr="00E50158">
        <w:rPr>
          <w:snapToGrid w:val="0"/>
        </w:rPr>
        <w:t>median 4</w:t>
      </w:r>
      <w:r w:rsidR="00823D3B">
        <w:rPr>
          <w:snapToGrid w:val="0"/>
        </w:rPr>
        <w:t>5</w:t>
      </w:r>
      <w:r w:rsidRPr="00E50158">
        <w:rPr>
          <w:snapToGrid w:val="0"/>
        </w:rPr>
        <w:t xml:space="preserve"> months follow up</w:t>
      </w:r>
      <w:r w:rsidR="009470DF" w:rsidRPr="00E50158">
        <w:rPr>
          <w:snapToGrid w:val="0"/>
        </w:rPr>
        <w:t>)</w:t>
      </w:r>
      <w:r w:rsidR="00FD0BB2">
        <w:rPr>
          <w:snapToGrid w:val="0"/>
        </w:rPr>
        <w:t xml:space="preserve"> </w:t>
      </w:r>
      <w:r w:rsidR="009470DF" w:rsidRPr="00E50158">
        <w:rPr>
          <w:snapToGrid w:val="0"/>
        </w:rPr>
        <w:t>with</w:t>
      </w:r>
      <w:r w:rsidRPr="00E50158">
        <w:rPr>
          <w:snapToGrid w:val="0"/>
        </w:rPr>
        <w:t xml:space="preserve"> </w:t>
      </w:r>
      <w:r w:rsidR="0079680A">
        <w:rPr>
          <w:snapToGrid w:val="0"/>
        </w:rPr>
        <w:t xml:space="preserve">the </w:t>
      </w:r>
      <w:proofErr w:type="gramStart"/>
      <w:r w:rsidRPr="00E50158">
        <w:rPr>
          <w:snapToGrid w:val="0"/>
        </w:rPr>
        <w:t>final results</w:t>
      </w:r>
      <w:proofErr w:type="gramEnd"/>
      <w:r w:rsidRPr="00E50158">
        <w:rPr>
          <w:snapToGrid w:val="0"/>
        </w:rPr>
        <w:t xml:space="preserve"> expected in 2027. </w:t>
      </w:r>
      <w:bookmarkStart w:id="79" w:name="_Ref203560707"/>
    </w:p>
    <w:p w14:paraId="2AC1D323" w14:textId="0A4980EB" w:rsidR="00D117E4" w:rsidRPr="00E50158" w:rsidRDefault="007602C1">
      <w:pPr>
        <w:pStyle w:val="COMexecsummnumbered"/>
      </w:pPr>
      <w:bookmarkStart w:id="80" w:name="_Ref204695120"/>
      <w:r w:rsidRPr="00E50158">
        <w:t xml:space="preserve">The </w:t>
      </w:r>
      <w:r w:rsidR="00FE4943" w:rsidRPr="00E50158">
        <w:t>ECHO trial occurred during the COVID-19 pandemic</w:t>
      </w:r>
      <w:r w:rsidR="00FB2A05" w:rsidRPr="00E50158">
        <w:t xml:space="preserve"> </w:t>
      </w:r>
      <w:r w:rsidR="00FE1CB3" w:rsidRPr="00E50158">
        <w:t>where</w:t>
      </w:r>
      <w:r w:rsidR="00FB2A05" w:rsidRPr="00E50158">
        <w:t xml:space="preserve"> COVID-19 </w:t>
      </w:r>
      <w:r w:rsidR="00FE1CB3" w:rsidRPr="00E50158">
        <w:t>had a greater impact on deaths</w:t>
      </w:r>
      <w:r w:rsidR="006302CF" w:rsidRPr="00E50158">
        <w:t>, particularly in the ABR arm</w:t>
      </w:r>
      <w:r w:rsidR="003D5700" w:rsidRPr="00E50158">
        <w:t xml:space="preserve"> </w:t>
      </w:r>
      <w:r w:rsidR="00FD7BB9" w:rsidRPr="00E50158">
        <w:t xml:space="preserve">(i.e. </w:t>
      </w:r>
      <w:r w:rsidR="003D5700" w:rsidRPr="00E50158">
        <w:t>COVID-19</w:t>
      </w:r>
      <w:r w:rsidR="00A0076D" w:rsidRPr="00E50158">
        <w:t xml:space="preserve"> was</w:t>
      </w:r>
      <w:r w:rsidR="003D5700" w:rsidRPr="00E50158">
        <w:t xml:space="preserve"> nominated </w:t>
      </w:r>
      <w:r w:rsidR="00A0076D" w:rsidRPr="00E50158">
        <w:t xml:space="preserve">as a (confirmed or suspected) cause of death </w:t>
      </w:r>
      <w:r w:rsidR="003D5700" w:rsidRPr="00E50158">
        <w:t>for 33 (34%) and 26 (25%) deaths in the acalabrutinib and placebo arms, respectively</w:t>
      </w:r>
      <w:r w:rsidR="00021B84" w:rsidRPr="00E50158">
        <w:t>), as outlined in</w:t>
      </w:r>
      <w:r w:rsidR="00CD79E9" w:rsidRPr="00E50158">
        <w:t xml:space="preserve"> paragraph</w:t>
      </w:r>
      <w:r w:rsidR="00812413">
        <w:t>s</w:t>
      </w:r>
      <w:r w:rsidR="00CD79E9" w:rsidRPr="00E50158">
        <w:t xml:space="preserve"> </w:t>
      </w:r>
      <w:r w:rsidR="00CD79E9" w:rsidRPr="00E50158">
        <w:fldChar w:fldCharType="begin"/>
      </w:r>
      <w:r w:rsidR="00CD79E9" w:rsidRPr="00E50158">
        <w:instrText xml:space="preserve"> REF _Ref204087985 \r \h </w:instrText>
      </w:r>
      <w:r w:rsidR="00833B7D" w:rsidRPr="00E50158">
        <w:instrText xml:space="preserve"> \* MERGEFORMAT </w:instrText>
      </w:r>
      <w:r w:rsidR="00CD79E9" w:rsidRPr="00E50158">
        <w:fldChar w:fldCharType="separate"/>
      </w:r>
      <w:r w:rsidR="00A542E9">
        <w:t>6.14</w:t>
      </w:r>
      <w:r w:rsidR="00CD79E9" w:rsidRPr="00E50158">
        <w:fldChar w:fldCharType="end"/>
      </w:r>
      <w:r w:rsidR="00812413">
        <w:t xml:space="preserve"> and </w:t>
      </w:r>
      <w:r w:rsidR="00812413">
        <w:fldChar w:fldCharType="begin"/>
      </w:r>
      <w:r w:rsidR="00812413">
        <w:instrText xml:space="preserve"> REF _Ref204604676 \r \h </w:instrText>
      </w:r>
      <w:r w:rsidR="00812413">
        <w:fldChar w:fldCharType="separate"/>
      </w:r>
      <w:r w:rsidR="00A542E9">
        <w:t>6.15</w:t>
      </w:r>
      <w:r w:rsidR="00812413">
        <w:fldChar w:fldCharType="end"/>
      </w:r>
      <w:r w:rsidR="00CD79E9" w:rsidRPr="00E50158">
        <w:t>. T</w:t>
      </w:r>
      <w:r w:rsidR="00FE4943" w:rsidRPr="00E50158">
        <w:t xml:space="preserve">he </w:t>
      </w:r>
      <w:r w:rsidRPr="00E50158">
        <w:t xml:space="preserve">submission </w:t>
      </w:r>
      <w:r w:rsidR="00E13A5A" w:rsidRPr="00E50158">
        <w:t xml:space="preserve">presented </w:t>
      </w:r>
      <w:r w:rsidR="00DE51D2" w:rsidRPr="00E50158">
        <w:t xml:space="preserve">the results of an analysis </w:t>
      </w:r>
      <w:r w:rsidR="002B166F" w:rsidRPr="00E50158">
        <w:t xml:space="preserve">in </w:t>
      </w:r>
      <w:r w:rsidR="00DE51D2" w:rsidRPr="00E50158">
        <w:t>which</w:t>
      </w:r>
      <w:r w:rsidR="002B166F" w:rsidRPr="00E50158">
        <w:t xml:space="preserve"> the </w:t>
      </w:r>
      <w:r w:rsidR="0038047B">
        <w:t>OS and PFS results</w:t>
      </w:r>
      <w:r w:rsidR="002B166F" w:rsidRPr="00E50158">
        <w:t xml:space="preserve"> were</w:t>
      </w:r>
      <w:r w:rsidR="00DE51D2" w:rsidRPr="00E50158">
        <w:t xml:space="preserve"> </w:t>
      </w:r>
      <w:r w:rsidR="00DB22CF" w:rsidRPr="00E50158">
        <w:t xml:space="preserve">censored </w:t>
      </w:r>
      <w:r w:rsidRPr="00E50158">
        <w:t xml:space="preserve">to adjust for COVID-19 </w:t>
      </w:r>
      <w:r w:rsidR="002B166F" w:rsidRPr="00E50158">
        <w:t xml:space="preserve">related </w:t>
      </w:r>
      <w:r w:rsidRPr="00E50158">
        <w:t>deaths</w:t>
      </w:r>
      <w:r w:rsidR="00386B8F" w:rsidRPr="00E50158">
        <w:t xml:space="preserve">, which </w:t>
      </w:r>
      <w:r w:rsidR="00E31CD7" w:rsidRPr="00E50158">
        <w:t xml:space="preserve">the submission </w:t>
      </w:r>
      <w:r w:rsidR="00386B8F" w:rsidRPr="00E50158">
        <w:t xml:space="preserve">claimed </w:t>
      </w:r>
      <w:r w:rsidR="000935CF" w:rsidRPr="00E50158">
        <w:t>was</w:t>
      </w:r>
      <w:r w:rsidR="00E90AEF" w:rsidRPr="00E50158">
        <w:t xml:space="preserve"> a </w:t>
      </w:r>
      <w:r w:rsidRPr="00E50158">
        <w:t>more accurate represent</w:t>
      </w:r>
      <w:r w:rsidR="00E90AEF" w:rsidRPr="00E50158">
        <w:t>ation of</w:t>
      </w:r>
      <w:r w:rsidRPr="00E50158">
        <w:t xml:space="preserve"> the present-day situation</w:t>
      </w:r>
      <w:r w:rsidR="007E3461" w:rsidRPr="00E50158">
        <w:t>.</w:t>
      </w:r>
      <w:r w:rsidR="00F42D81" w:rsidRPr="00E50158">
        <w:t xml:space="preserve"> </w:t>
      </w:r>
      <w:r w:rsidR="00456781" w:rsidRPr="00E50158">
        <w:t xml:space="preserve">The PBAC </w:t>
      </w:r>
      <w:r w:rsidR="007E3461" w:rsidRPr="00E50158">
        <w:t xml:space="preserve">considered </w:t>
      </w:r>
      <w:r w:rsidR="00FF3E1C" w:rsidRPr="00E50158">
        <w:t>t</w:t>
      </w:r>
      <w:r w:rsidR="00632996">
        <w:t>he hazard ratio for th</w:t>
      </w:r>
      <w:r w:rsidR="00FF3E1C" w:rsidRPr="00E50158">
        <w:t>is analysis</w:t>
      </w:r>
      <w:r w:rsidR="00E72835" w:rsidRPr="00E50158">
        <w:t xml:space="preserve"> was </w:t>
      </w:r>
      <w:r w:rsidR="00FC36D5">
        <w:t xml:space="preserve">associated with a high degree of uncertainty and </w:t>
      </w:r>
      <w:r w:rsidR="00D92A89">
        <w:t xml:space="preserve">represented an optimistic </w:t>
      </w:r>
      <w:r w:rsidR="00D328C6">
        <w:t>sensitivity analysis</w:t>
      </w:r>
      <w:r w:rsidR="00BE2D1F">
        <w:t>:</w:t>
      </w:r>
      <w:r w:rsidR="00E72835" w:rsidRPr="00E50158">
        <w:t xml:space="preserve"> as it d</w:t>
      </w:r>
      <w:r w:rsidR="00E443B9" w:rsidRPr="00E50158">
        <w:t>id</w:t>
      </w:r>
      <w:r w:rsidR="00E72835" w:rsidRPr="00E50158">
        <w:t xml:space="preserve"> not </w:t>
      </w:r>
      <w:r w:rsidR="00F762DF" w:rsidRPr="00E50158">
        <w:t>account for</w:t>
      </w:r>
      <w:r w:rsidR="004A06BF" w:rsidRPr="00E50158">
        <w:t xml:space="preserve"> competing cause</w:t>
      </w:r>
      <w:r w:rsidR="00F762DF" w:rsidRPr="00E50158">
        <w:t>s</w:t>
      </w:r>
      <w:r w:rsidR="004A06BF" w:rsidRPr="00E50158">
        <w:t xml:space="preserve"> of death</w:t>
      </w:r>
      <w:r w:rsidR="00BE2D1F">
        <w:t>;</w:t>
      </w:r>
      <w:r w:rsidR="001F6586" w:rsidRPr="00E50158">
        <w:t xml:space="preserve"> and given the deaths may have reflected the </w:t>
      </w:r>
      <w:r w:rsidR="00DC3661" w:rsidRPr="00E50158">
        <w:t xml:space="preserve">greater impact on immunosuppression when acalabrutinib is added to </w:t>
      </w:r>
      <w:proofErr w:type="spellStart"/>
      <w:r w:rsidR="00DC3661" w:rsidRPr="00E50158">
        <w:t>bendamustine</w:t>
      </w:r>
      <w:proofErr w:type="spellEnd"/>
      <w:r w:rsidR="00DC3661" w:rsidRPr="00E50158">
        <w:t xml:space="preserve"> and rituximab</w:t>
      </w:r>
      <w:r w:rsidR="005B7236" w:rsidRPr="00E50158">
        <w:t>.</w:t>
      </w:r>
      <w:r w:rsidR="00887C38">
        <w:t xml:space="preserve"> </w:t>
      </w:r>
      <w:bookmarkEnd w:id="79"/>
      <w:bookmarkEnd w:id="80"/>
    </w:p>
    <w:p w14:paraId="57802F44" w14:textId="04447689" w:rsidR="001A1CE1" w:rsidRPr="001B6388" w:rsidRDefault="00B11BBE" w:rsidP="001A1CE1">
      <w:pPr>
        <w:pStyle w:val="COMexecsummnumbered"/>
        <w:rPr>
          <w:snapToGrid w:val="0"/>
        </w:rPr>
      </w:pPr>
      <w:r w:rsidRPr="00E50158">
        <w:rPr>
          <w:snapToGrid w:val="0"/>
        </w:rPr>
        <w:lastRenderedPageBreak/>
        <w:t xml:space="preserve">The PBAC </w:t>
      </w:r>
      <w:r w:rsidR="00E7414A" w:rsidRPr="00E50158">
        <w:rPr>
          <w:snapToGrid w:val="0"/>
        </w:rPr>
        <w:t>considered</w:t>
      </w:r>
      <w:r w:rsidRPr="00E50158">
        <w:rPr>
          <w:snapToGrid w:val="0"/>
        </w:rPr>
        <w:t xml:space="preserve"> that there </w:t>
      </w:r>
      <w:r w:rsidR="00E7414A" w:rsidRPr="00E50158">
        <w:rPr>
          <w:snapToGrid w:val="0"/>
        </w:rPr>
        <w:t>was r</w:t>
      </w:r>
      <w:r w:rsidRPr="00E50158">
        <w:rPr>
          <w:snapToGrid w:val="0"/>
        </w:rPr>
        <w:t xml:space="preserve">obust evidence </w:t>
      </w:r>
      <w:r w:rsidR="0074346C" w:rsidRPr="00E50158">
        <w:rPr>
          <w:snapToGrid w:val="0"/>
        </w:rPr>
        <w:t xml:space="preserve">to support the primary endpoint </w:t>
      </w:r>
      <w:r w:rsidRPr="00E50158">
        <w:rPr>
          <w:snapToGrid w:val="0"/>
        </w:rPr>
        <w:t xml:space="preserve">of improved progression free survival </w:t>
      </w:r>
      <w:r w:rsidR="0024226C">
        <w:rPr>
          <w:snapToGrid w:val="0"/>
        </w:rPr>
        <w:t>with</w:t>
      </w:r>
      <w:r w:rsidR="003E11A3" w:rsidRPr="00E50158">
        <w:rPr>
          <w:snapToGrid w:val="0"/>
        </w:rPr>
        <w:t xml:space="preserve"> ABR compared to </w:t>
      </w:r>
      <w:proofErr w:type="spellStart"/>
      <w:r w:rsidR="00DC5924" w:rsidRPr="006D075E">
        <w:rPr>
          <w:snapToGrid w:val="0"/>
        </w:rPr>
        <w:t>bendamustine</w:t>
      </w:r>
      <w:proofErr w:type="spellEnd"/>
      <w:r w:rsidR="00DC5924" w:rsidRPr="006D075E">
        <w:rPr>
          <w:snapToGrid w:val="0"/>
        </w:rPr>
        <w:t xml:space="preserve"> and rituximab</w:t>
      </w:r>
      <w:r w:rsidR="00DC5924">
        <w:rPr>
          <w:snapToGrid w:val="0"/>
        </w:rPr>
        <w:t xml:space="preserve"> </w:t>
      </w:r>
      <w:r w:rsidR="00E50158">
        <w:rPr>
          <w:snapToGrid w:val="0"/>
        </w:rPr>
        <w:t>alone, with the ECHO trial reporting a</w:t>
      </w:r>
      <w:r w:rsidR="00C93109" w:rsidRPr="00E50158">
        <w:rPr>
          <w:snapToGrid w:val="0"/>
        </w:rPr>
        <w:t xml:space="preserve"> </w:t>
      </w:r>
      <w:r w:rsidR="00E50158" w:rsidRPr="00E50158">
        <w:rPr>
          <w:snapToGrid w:val="0"/>
        </w:rPr>
        <w:t xml:space="preserve">median </w:t>
      </w:r>
      <w:r w:rsidR="00E50158">
        <w:rPr>
          <w:snapToGrid w:val="0"/>
        </w:rPr>
        <w:t xml:space="preserve">increase in PFS of </w:t>
      </w:r>
      <w:r w:rsidRPr="001B6388">
        <w:rPr>
          <w:snapToGrid w:val="0"/>
        </w:rPr>
        <w:t>16.8 months</w:t>
      </w:r>
      <w:r w:rsidR="0024226C">
        <w:rPr>
          <w:snapToGrid w:val="0"/>
        </w:rPr>
        <w:t xml:space="preserve">, and a </w:t>
      </w:r>
      <w:r w:rsidR="00D926E8">
        <w:rPr>
          <w:snapToGrid w:val="0"/>
        </w:rPr>
        <w:t xml:space="preserve">HR </w:t>
      </w:r>
      <w:r w:rsidR="0024226C">
        <w:rPr>
          <w:snapToGrid w:val="0"/>
        </w:rPr>
        <w:t xml:space="preserve">for PFS of </w:t>
      </w:r>
      <w:r w:rsidRPr="001B6388">
        <w:rPr>
          <w:snapToGrid w:val="0"/>
        </w:rPr>
        <w:t>0.73 (</w:t>
      </w:r>
      <w:r w:rsidR="00491C3C">
        <w:rPr>
          <w:snapToGrid w:val="0"/>
        </w:rPr>
        <w:t xml:space="preserve">95% CI: </w:t>
      </w:r>
      <w:r w:rsidRPr="001B6388">
        <w:rPr>
          <w:snapToGrid w:val="0"/>
        </w:rPr>
        <w:t xml:space="preserve">0.57, 0.94) </w:t>
      </w:r>
      <w:r w:rsidR="0024226C">
        <w:rPr>
          <w:snapToGrid w:val="0"/>
        </w:rPr>
        <w:t xml:space="preserve">for the full analysis set </w:t>
      </w:r>
      <w:r w:rsidR="00D926E8">
        <w:rPr>
          <w:snapToGrid w:val="0"/>
        </w:rPr>
        <w:t xml:space="preserve">and </w:t>
      </w:r>
      <w:r w:rsidR="0024226C" w:rsidRPr="001B6388">
        <w:rPr>
          <w:snapToGrid w:val="0"/>
        </w:rPr>
        <w:t>0.64 (</w:t>
      </w:r>
      <w:r w:rsidR="0024226C" w:rsidRPr="001B6388">
        <w:t>95% CI</w:t>
      </w:r>
      <w:r w:rsidR="0024226C">
        <w:t>:</w:t>
      </w:r>
      <w:r w:rsidR="0024226C" w:rsidRPr="001B6388">
        <w:t xml:space="preserve"> 0.48, 0.84</w:t>
      </w:r>
      <w:r w:rsidR="0024226C" w:rsidRPr="001B6388">
        <w:rPr>
          <w:snapToGrid w:val="0"/>
        </w:rPr>
        <w:t>)</w:t>
      </w:r>
      <w:r w:rsidR="0024226C">
        <w:rPr>
          <w:snapToGrid w:val="0"/>
        </w:rPr>
        <w:t xml:space="preserve"> for </w:t>
      </w:r>
      <w:r w:rsidR="00D926E8">
        <w:rPr>
          <w:snapToGrid w:val="0"/>
        </w:rPr>
        <w:t xml:space="preserve">the </w:t>
      </w:r>
      <w:r w:rsidRPr="001B6388">
        <w:rPr>
          <w:snapToGrid w:val="0"/>
        </w:rPr>
        <w:t>COVID</w:t>
      </w:r>
      <w:r w:rsidR="00D926E8">
        <w:rPr>
          <w:snapToGrid w:val="0"/>
        </w:rPr>
        <w:t>-19</w:t>
      </w:r>
      <w:r w:rsidRPr="001B6388">
        <w:rPr>
          <w:snapToGrid w:val="0"/>
        </w:rPr>
        <w:t xml:space="preserve"> censored analysis</w:t>
      </w:r>
      <w:r w:rsidR="0024226C">
        <w:rPr>
          <w:snapToGrid w:val="0"/>
        </w:rPr>
        <w:t xml:space="preserve">. </w:t>
      </w:r>
      <w:r w:rsidR="00362A98">
        <w:rPr>
          <w:snapToGrid w:val="0"/>
        </w:rPr>
        <w:t>As such, t</w:t>
      </w:r>
      <w:r w:rsidR="00362A98" w:rsidRPr="00362A98">
        <w:rPr>
          <w:snapToGrid w:val="0"/>
        </w:rPr>
        <w:t xml:space="preserve">he PBAC considered that the </w:t>
      </w:r>
      <w:r w:rsidR="00362A98">
        <w:rPr>
          <w:snapToGrid w:val="0"/>
        </w:rPr>
        <w:t xml:space="preserve">submission’s </w:t>
      </w:r>
      <w:r w:rsidR="00362A98" w:rsidRPr="00362A98">
        <w:rPr>
          <w:snapToGrid w:val="0"/>
        </w:rPr>
        <w:t>claim of superior comparative effectiveness was reasonable</w:t>
      </w:r>
      <w:r w:rsidR="00362A98">
        <w:rPr>
          <w:snapToGrid w:val="0"/>
        </w:rPr>
        <w:t>.</w:t>
      </w:r>
      <w:r w:rsidR="00362A98" w:rsidRPr="00362A98">
        <w:rPr>
          <w:snapToGrid w:val="0"/>
        </w:rPr>
        <w:t xml:space="preserve"> </w:t>
      </w:r>
      <w:r w:rsidR="0074346C" w:rsidRPr="001B6388">
        <w:rPr>
          <w:snapToGrid w:val="0"/>
        </w:rPr>
        <w:t>However, t</w:t>
      </w:r>
      <w:r w:rsidR="005D572B" w:rsidRPr="001B6388">
        <w:rPr>
          <w:snapToGrid w:val="0"/>
        </w:rPr>
        <w:t xml:space="preserve">he PBAC noted </w:t>
      </w:r>
      <w:r w:rsidR="00DE2B8F">
        <w:rPr>
          <w:snapToGrid w:val="0"/>
        </w:rPr>
        <w:t>a</w:t>
      </w:r>
      <w:r w:rsidR="001A1CE1" w:rsidRPr="001B6388">
        <w:rPr>
          <w:snapToGrid w:val="0"/>
        </w:rPr>
        <w:t xml:space="preserve"> </w:t>
      </w:r>
      <w:r w:rsidR="00C34B28" w:rsidRPr="001B6388">
        <w:rPr>
          <w:snapToGrid w:val="0"/>
        </w:rPr>
        <w:t xml:space="preserve">statistically </w:t>
      </w:r>
      <w:r w:rsidR="001A1CE1" w:rsidRPr="001B6388">
        <w:rPr>
          <w:snapToGrid w:val="0"/>
        </w:rPr>
        <w:t>significant benefit</w:t>
      </w:r>
      <w:r w:rsidR="00DE2B8F">
        <w:rPr>
          <w:snapToGrid w:val="0"/>
        </w:rPr>
        <w:t xml:space="preserve"> was not reported for the </w:t>
      </w:r>
      <w:r w:rsidR="00776F69" w:rsidRPr="001B6388">
        <w:rPr>
          <w:snapToGrid w:val="0"/>
        </w:rPr>
        <w:t>secondary endpoints</w:t>
      </w:r>
      <w:r w:rsidR="00DE2B8F">
        <w:rPr>
          <w:snapToGrid w:val="0"/>
        </w:rPr>
        <w:t xml:space="preserve"> of</w:t>
      </w:r>
      <w:r w:rsidR="00776F69" w:rsidRPr="001B6388">
        <w:rPr>
          <w:snapToGrid w:val="0"/>
        </w:rPr>
        <w:t xml:space="preserve"> OS and </w:t>
      </w:r>
      <w:r w:rsidR="006C4267">
        <w:rPr>
          <w:snapToGrid w:val="0"/>
        </w:rPr>
        <w:t>overall response rate (</w:t>
      </w:r>
      <w:r w:rsidR="00776F69" w:rsidRPr="001B6388">
        <w:rPr>
          <w:snapToGrid w:val="0"/>
        </w:rPr>
        <w:t>ORR</w:t>
      </w:r>
      <w:r w:rsidR="006C4267">
        <w:rPr>
          <w:snapToGrid w:val="0"/>
        </w:rPr>
        <w:t>)</w:t>
      </w:r>
      <w:r w:rsidR="001A1CE1" w:rsidRPr="001B6388">
        <w:rPr>
          <w:snapToGrid w:val="0"/>
        </w:rPr>
        <w:t xml:space="preserve">. </w:t>
      </w:r>
    </w:p>
    <w:p w14:paraId="3C6D905F" w14:textId="700720AC" w:rsidR="009270C6" w:rsidRPr="0009755E" w:rsidRDefault="0092548E" w:rsidP="009270C6">
      <w:pPr>
        <w:pStyle w:val="COMexecsummnumbered"/>
        <w:rPr>
          <w:snapToGrid w:val="0"/>
        </w:rPr>
      </w:pPr>
      <w:r w:rsidRPr="006D075E">
        <w:rPr>
          <w:snapToGrid w:val="0"/>
        </w:rPr>
        <w:t xml:space="preserve">The PBAC noted the </w:t>
      </w:r>
      <w:r w:rsidR="00D65D2E" w:rsidRPr="006D075E">
        <w:rPr>
          <w:snapToGrid w:val="0"/>
        </w:rPr>
        <w:t>i</w:t>
      </w:r>
      <w:r w:rsidRPr="006D075E">
        <w:rPr>
          <w:snapToGrid w:val="0"/>
        </w:rPr>
        <w:t>ncreased risk of infections associated with ABR</w:t>
      </w:r>
      <w:r w:rsidR="0045171B">
        <w:rPr>
          <w:snapToGrid w:val="0"/>
        </w:rPr>
        <w:t xml:space="preserve"> compared with </w:t>
      </w:r>
      <w:proofErr w:type="spellStart"/>
      <w:r w:rsidR="0045171B">
        <w:rPr>
          <w:snapToGrid w:val="0"/>
        </w:rPr>
        <w:t>bendamustine</w:t>
      </w:r>
      <w:proofErr w:type="spellEnd"/>
      <w:r w:rsidR="0045171B">
        <w:rPr>
          <w:snapToGrid w:val="0"/>
        </w:rPr>
        <w:t xml:space="preserve"> plus rituximab alone</w:t>
      </w:r>
      <w:r w:rsidRPr="006D075E">
        <w:rPr>
          <w:snapToGrid w:val="0"/>
        </w:rPr>
        <w:t xml:space="preserve">, </w:t>
      </w:r>
      <w:proofErr w:type="gramStart"/>
      <w:r w:rsidR="00880C39" w:rsidRPr="006D075E">
        <w:rPr>
          <w:snapToGrid w:val="0"/>
        </w:rPr>
        <w:t xml:space="preserve">in particular </w:t>
      </w:r>
      <w:r w:rsidR="0045171B">
        <w:rPr>
          <w:snapToGrid w:val="0"/>
        </w:rPr>
        <w:t>the</w:t>
      </w:r>
      <w:proofErr w:type="gramEnd"/>
      <w:r w:rsidR="0045171B">
        <w:rPr>
          <w:snapToGrid w:val="0"/>
        </w:rPr>
        <w:t xml:space="preserve"> higher rates of </w:t>
      </w:r>
      <w:r w:rsidRPr="006D075E">
        <w:rPr>
          <w:snapToGrid w:val="0"/>
        </w:rPr>
        <w:t xml:space="preserve">COVID-19 </w:t>
      </w:r>
      <w:r w:rsidR="0045171B">
        <w:rPr>
          <w:snapToGrid w:val="0"/>
        </w:rPr>
        <w:t xml:space="preserve">related </w:t>
      </w:r>
      <w:r w:rsidRPr="000B313D">
        <w:rPr>
          <w:snapToGrid w:val="0"/>
        </w:rPr>
        <w:t xml:space="preserve">deaths </w:t>
      </w:r>
      <w:r w:rsidR="00BA634C" w:rsidRPr="000B313D">
        <w:rPr>
          <w:snapToGrid w:val="0"/>
        </w:rPr>
        <w:t>associated with</w:t>
      </w:r>
      <w:r w:rsidRPr="000B313D">
        <w:rPr>
          <w:snapToGrid w:val="0"/>
        </w:rPr>
        <w:t xml:space="preserve"> ABR during the pandemic</w:t>
      </w:r>
      <w:r w:rsidR="00CA14F1" w:rsidRPr="000B313D">
        <w:rPr>
          <w:snapToGrid w:val="0"/>
        </w:rPr>
        <w:t>.</w:t>
      </w:r>
      <w:r w:rsidR="009270C6" w:rsidRPr="000B313D">
        <w:rPr>
          <w:snapToGrid w:val="0"/>
        </w:rPr>
        <w:t xml:space="preserve"> Overall, the </w:t>
      </w:r>
      <w:r w:rsidR="009270C6" w:rsidRPr="0009755E">
        <w:rPr>
          <w:snapToGrid w:val="0"/>
        </w:rPr>
        <w:t xml:space="preserve">PBAC considered that the </w:t>
      </w:r>
      <w:r w:rsidR="00921AF9" w:rsidRPr="0009755E">
        <w:rPr>
          <w:snapToGrid w:val="0"/>
        </w:rPr>
        <w:t xml:space="preserve">submission’s </w:t>
      </w:r>
      <w:r w:rsidR="009270C6" w:rsidRPr="0009755E">
        <w:rPr>
          <w:snapToGrid w:val="0"/>
        </w:rPr>
        <w:t>claim of inferior comparative safety was reasonable.</w:t>
      </w:r>
    </w:p>
    <w:p w14:paraId="3904B618" w14:textId="7BFC8495" w:rsidR="003313BA" w:rsidRPr="0009755E" w:rsidRDefault="004D018D">
      <w:pPr>
        <w:pStyle w:val="COMexecsummnumbered"/>
        <w:rPr>
          <w:snapToGrid w:val="0"/>
        </w:rPr>
      </w:pPr>
      <w:bookmarkStart w:id="81" w:name="_Ref203564102"/>
      <w:bookmarkStart w:id="82" w:name="_Ref204594085"/>
      <w:r w:rsidRPr="0009755E">
        <w:rPr>
          <w:snapToGrid w:val="0"/>
        </w:rPr>
        <w:t xml:space="preserve">The </w:t>
      </w:r>
      <w:bookmarkEnd w:id="81"/>
      <w:r w:rsidR="00D756F1" w:rsidRPr="0009755E">
        <w:rPr>
          <w:snapToGrid w:val="0"/>
        </w:rPr>
        <w:t>PBAC</w:t>
      </w:r>
      <w:r w:rsidR="00CB4145" w:rsidRPr="0009755E">
        <w:rPr>
          <w:snapToGrid w:val="0"/>
        </w:rPr>
        <w:t xml:space="preserve"> considered that </w:t>
      </w:r>
      <w:r w:rsidR="00671D2D" w:rsidRPr="0009755E">
        <w:rPr>
          <w:snapToGrid w:val="0"/>
        </w:rPr>
        <w:t xml:space="preserve">a key limitation of the economic model was that </w:t>
      </w:r>
      <w:r w:rsidR="00CB4145" w:rsidRPr="0009755E">
        <w:rPr>
          <w:snapToGrid w:val="0"/>
        </w:rPr>
        <w:t xml:space="preserve">the </w:t>
      </w:r>
      <w:proofErr w:type="gramStart"/>
      <w:r w:rsidR="00CB4145" w:rsidRPr="0009755E">
        <w:rPr>
          <w:snapToGrid w:val="0"/>
        </w:rPr>
        <w:t>three health</w:t>
      </w:r>
      <w:proofErr w:type="gramEnd"/>
      <w:r w:rsidR="00CB4145" w:rsidRPr="0009755E">
        <w:rPr>
          <w:snapToGrid w:val="0"/>
        </w:rPr>
        <w:t xml:space="preserve"> state partitioned survival analysis limited the ability to incorporate the costs and consequences associated with the utilisation of subsequent anti-cancer treatments over </w:t>
      </w:r>
      <w:r w:rsidR="00CC04E5" w:rsidRPr="0009755E">
        <w:rPr>
          <w:snapToGrid w:val="0"/>
        </w:rPr>
        <w:t xml:space="preserve">the </w:t>
      </w:r>
      <w:r w:rsidR="00CB4145" w:rsidRPr="0009755E">
        <w:rPr>
          <w:snapToGrid w:val="0"/>
        </w:rPr>
        <w:t>20</w:t>
      </w:r>
      <w:r w:rsidR="00CC04E5" w:rsidRPr="0009755E">
        <w:rPr>
          <w:snapToGrid w:val="0"/>
        </w:rPr>
        <w:t>-</w:t>
      </w:r>
      <w:r w:rsidR="00CB4145" w:rsidRPr="0009755E">
        <w:rPr>
          <w:snapToGrid w:val="0"/>
        </w:rPr>
        <w:t>year time horizon</w:t>
      </w:r>
      <w:r w:rsidR="006A24E1" w:rsidRPr="0009755E">
        <w:rPr>
          <w:snapToGrid w:val="0"/>
        </w:rPr>
        <w:t xml:space="preserve"> </w:t>
      </w:r>
      <w:r w:rsidR="005A4FC6" w:rsidRPr="0009755E">
        <w:rPr>
          <w:snapToGrid w:val="0"/>
        </w:rPr>
        <w:t>(</w:t>
      </w:r>
      <w:r w:rsidR="006A24E1" w:rsidRPr="0009755E">
        <w:rPr>
          <w:snapToGrid w:val="0"/>
        </w:rPr>
        <w:t>used in the submission base case</w:t>
      </w:r>
      <w:r w:rsidR="005A4FC6" w:rsidRPr="0009755E">
        <w:rPr>
          <w:snapToGrid w:val="0"/>
        </w:rPr>
        <w:t>)</w:t>
      </w:r>
      <w:r w:rsidR="00CB4145" w:rsidRPr="0009755E">
        <w:rPr>
          <w:snapToGrid w:val="0"/>
        </w:rPr>
        <w:t>.</w:t>
      </w:r>
      <w:r w:rsidR="00146C53" w:rsidRPr="0009755E">
        <w:rPr>
          <w:snapToGrid w:val="0"/>
        </w:rPr>
        <w:t xml:space="preserve"> The PBAC considered that, given the </w:t>
      </w:r>
      <w:r w:rsidR="006A24E1" w:rsidRPr="0009755E">
        <w:rPr>
          <w:snapToGrid w:val="0"/>
        </w:rPr>
        <w:t xml:space="preserve">uncertain </w:t>
      </w:r>
      <w:r w:rsidR="00000DDD" w:rsidRPr="0009755E">
        <w:rPr>
          <w:snapToGrid w:val="0"/>
        </w:rPr>
        <w:t xml:space="preserve">OS </w:t>
      </w:r>
      <w:r w:rsidR="006A24E1" w:rsidRPr="0009755E">
        <w:rPr>
          <w:snapToGrid w:val="0"/>
        </w:rPr>
        <w:t>outcomes</w:t>
      </w:r>
      <w:r w:rsidR="00000DDD" w:rsidRPr="0009755E">
        <w:rPr>
          <w:snapToGrid w:val="0"/>
        </w:rPr>
        <w:t xml:space="preserve"> and limitations of the model structure</w:t>
      </w:r>
      <w:r w:rsidR="006A24E1" w:rsidRPr="0009755E">
        <w:rPr>
          <w:snapToGrid w:val="0"/>
        </w:rPr>
        <w:t>, a 10-year time horizon</w:t>
      </w:r>
      <w:r w:rsidR="000B313D" w:rsidRPr="0009755E">
        <w:rPr>
          <w:snapToGrid w:val="0"/>
        </w:rPr>
        <w:t xml:space="preserve"> would be more appropriate.</w:t>
      </w:r>
      <w:r w:rsidR="00FD3293" w:rsidRPr="0009755E">
        <w:rPr>
          <w:snapToGrid w:val="0"/>
        </w:rPr>
        <w:t xml:space="preserve"> </w:t>
      </w:r>
    </w:p>
    <w:p w14:paraId="65ADE9B2" w14:textId="00B0D61E" w:rsidR="00000F84" w:rsidRPr="006D075E" w:rsidRDefault="00736878">
      <w:pPr>
        <w:pStyle w:val="COMexecsummnumbered"/>
      </w:pPr>
      <w:bookmarkStart w:id="83" w:name="_Ref203567469"/>
      <w:bookmarkEnd w:id="82"/>
      <w:r w:rsidRPr="0009755E">
        <w:t xml:space="preserve">The </w:t>
      </w:r>
      <w:r w:rsidR="00AB1FE5" w:rsidRPr="0009755E">
        <w:t xml:space="preserve">submission’s economic model </w:t>
      </w:r>
      <w:r w:rsidR="007340B4" w:rsidRPr="0009755E">
        <w:t xml:space="preserve">included </w:t>
      </w:r>
      <w:r w:rsidR="00AD75F7" w:rsidRPr="0009755E">
        <w:t xml:space="preserve">the </w:t>
      </w:r>
      <w:r w:rsidR="007340B4" w:rsidRPr="0009755E">
        <w:t>costs of subsequent</w:t>
      </w:r>
      <w:r w:rsidR="007340B4" w:rsidRPr="006D075E">
        <w:t xml:space="preserve"> </w:t>
      </w:r>
      <w:r w:rsidR="00CF066E">
        <w:t>BTK</w:t>
      </w:r>
      <w:r w:rsidR="00704ABD">
        <w:t xml:space="preserve"> </w:t>
      </w:r>
      <w:r w:rsidR="00CF066E">
        <w:t>i</w:t>
      </w:r>
      <w:r w:rsidR="00704ABD">
        <w:t>nhibitor</w:t>
      </w:r>
      <w:r w:rsidR="007340B4" w:rsidRPr="006D075E">
        <w:t xml:space="preserve"> use in the placebo arm, but not in the ABR arm </w:t>
      </w:r>
      <w:r w:rsidR="00C25948" w:rsidRPr="006D075E">
        <w:t>due to the once in a lifetime rule for BTK</w:t>
      </w:r>
      <w:r w:rsidR="00704ABD">
        <w:t xml:space="preserve"> inhibitor</w:t>
      </w:r>
      <w:r w:rsidR="00C25948" w:rsidRPr="006D075E">
        <w:t xml:space="preserve">s. </w:t>
      </w:r>
      <w:r w:rsidR="00E25428" w:rsidRPr="006D075E">
        <w:t xml:space="preserve">However, </w:t>
      </w:r>
      <w:r w:rsidR="004944FA">
        <w:t xml:space="preserve">the PBAC noted that 4.3% of patients in the acalabrutinib arm of </w:t>
      </w:r>
      <w:r w:rsidR="004944FA" w:rsidRPr="006D075E">
        <w:t xml:space="preserve">the ECHO trial </w:t>
      </w:r>
      <w:r w:rsidR="004944FA">
        <w:t>received subsequent BTK inhibitors. T</w:t>
      </w:r>
      <w:r w:rsidR="00E25428" w:rsidRPr="006D075E">
        <w:t xml:space="preserve">he </w:t>
      </w:r>
      <w:r w:rsidR="00DB455A" w:rsidRPr="006D075E">
        <w:t xml:space="preserve">PBAC </w:t>
      </w:r>
      <w:r w:rsidR="00FA1793" w:rsidRPr="006D075E">
        <w:t xml:space="preserve">agreed with the ESC that </w:t>
      </w:r>
      <w:r w:rsidR="00000F84" w:rsidRPr="006D075E">
        <w:t xml:space="preserve">given that outcomes associated with subsequent </w:t>
      </w:r>
      <w:r w:rsidR="00AB1FE5" w:rsidRPr="006D075E">
        <w:t>BTK</w:t>
      </w:r>
      <w:r w:rsidR="00DC033C">
        <w:t xml:space="preserve"> </w:t>
      </w:r>
      <w:r w:rsidR="007E5F95" w:rsidRPr="006D075E">
        <w:t>i</w:t>
      </w:r>
      <w:r w:rsidR="00DC033C">
        <w:t>nhibitor</w:t>
      </w:r>
      <w:r w:rsidR="007E5F95" w:rsidRPr="006D075E">
        <w:t xml:space="preserve"> use</w:t>
      </w:r>
      <w:r w:rsidR="000F689E" w:rsidRPr="006D075E">
        <w:t xml:space="preserve"> could not be removed from the model, it would be </w:t>
      </w:r>
      <w:r w:rsidR="007A7B24" w:rsidRPr="006D075E">
        <w:t xml:space="preserve">appropriate to </w:t>
      </w:r>
      <w:r w:rsidR="00335E25" w:rsidRPr="006D075E">
        <w:t xml:space="preserve">also </w:t>
      </w:r>
      <w:r w:rsidR="007A7B24" w:rsidRPr="006D075E">
        <w:t xml:space="preserve">include the costs of </w:t>
      </w:r>
      <w:r w:rsidR="00DC033C">
        <w:t>these therapies</w:t>
      </w:r>
      <w:r w:rsidR="0029530B">
        <w:t xml:space="preserve"> </w:t>
      </w:r>
      <w:r w:rsidR="00C52840">
        <w:t>in the ABR arm</w:t>
      </w:r>
      <w:r w:rsidR="008C4D09">
        <w:t xml:space="preserve">. </w:t>
      </w:r>
      <w:bookmarkEnd w:id="83"/>
    </w:p>
    <w:p w14:paraId="167EC618" w14:textId="08EF50AE" w:rsidR="001244D2" w:rsidRPr="006D075E" w:rsidRDefault="00983554" w:rsidP="00E81861">
      <w:pPr>
        <w:pStyle w:val="COMexecsummnumbered"/>
        <w:rPr>
          <w:snapToGrid w:val="0"/>
        </w:rPr>
      </w:pPr>
      <w:bookmarkStart w:id="84" w:name="_Ref204594087"/>
      <w:bookmarkStart w:id="85" w:name="_Ref204699141"/>
      <w:r>
        <w:rPr>
          <w:snapToGrid w:val="0"/>
        </w:rPr>
        <w:t>Thus</w:t>
      </w:r>
      <w:r w:rsidR="00D22D55" w:rsidRPr="00FB133E">
        <w:rPr>
          <w:snapToGrid w:val="0"/>
        </w:rPr>
        <w:t>, t</w:t>
      </w:r>
      <w:r w:rsidR="008D7F47" w:rsidRPr="00FB133E">
        <w:rPr>
          <w:snapToGrid w:val="0"/>
        </w:rPr>
        <w:t xml:space="preserve">he PBAC </w:t>
      </w:r>
      <w:r w:rsidR="00D22D55" w:rsidRPr="00FB133E">
        <w:rPr>
          <w:snapToGrid w:val="0"/>
        </w:rPr>
        <w:t>considered that the</w:t>
      </w:r>
      <w:r w:rsidR="001C4674" w:rsidRPr="00FB133E">
        <w:rPr>
          <w:snapToGrid w:val="0"/>
        </w:rPr>
        <w:t xml:space="preserve"> economic model should be </w:t>
      </w:r>
      <w:r w:rsidR="00D21269">
        <w:rPr>
          <w:snapToGrid w:val="0"/>
        </w:rPr>
        <w:t>respecified as follows</w:t>
      </w:r>
      <w:r w:rsidR="001C4674" w:rsidRPr="00FB133E">
        <w:rPr>
          <w:snapToGrid w:val="0"/>
        </w:rPr>
        <w:t>:</w:t>
      </w:r>
      <w:r w:rsidR="00D22D55" w:rsidRPr="00FB133E">
        <w:rPr>
          <w:snapToGrid w:val="0"/>
        </w:rPr>
        <w:t xml:space="preserve"> </w:t>
      </w:r>
      <w:proofErr w:type="gramStart"/>
      <w:r w:rsidR="001C4674" w:rsidRPr="00FB133E">
        <w:rPr>
          <w:snapToGrid w:val="0"/>
        </w:rPr>
        <w:t>10 year</w:t>
      </w:r>
      <w:proofErr w:type="gramEnd"/>
      <w:r w:rsidR="001C4674" w:rsidRPr="00FB133E">
        <w:rPr>
          <w:snapToGrid w:val="0"/>
        </w:rPr>
        <w:t xml:space="preserve"> time horizon</w:t>
      </w:r>
      <w:r>
        <w:rPr>
          <w:snapToGrid w:val="0"/>
        </w:rPr>
        <w:t>;</w:t>
      </w:r>
      <w:r w:rsidR="0021123A">
        <w:rPr>
          <w:snapToGrid w:val="0"/>
        </w:rPr>
        <w:t xml:space="preserve"> and</w:t>
      </w:r>
      <w:r w:rsidR="001C4674" w:rsidRPr="00FB133E">
        <w:rPr>
          <w:snapToGrid w:val="0"/>
        </w:rPr>
        <w:t xml:space="preserve"> BTK inhibitor costs included in the ABR arm consistent with </w:t>
      </w:r>
      <w:r w:rsidR="008772A9" w:rsidRPr="00FB133E">
        <w:rPr>
          <w:snapToGrid w:val="0"/>
        </w:rPr>
        <w:t xml:space="preserve">the </w:t>
      </w:r>
      <w:r w:rsidR="001C4674" w:rsidRPr="00FB133E">
        <w:rPr>
          <w:snapToGrid w:val="0"/>
        </w:rPr>
        <w:t>ECHO</w:t>
      </w:r>
      <w:r w:rsidR="008772A9" w:rsidRPr="00FB133E">
        <w:rPr>
          <w:snapToGrid w:val="0"/>
        </w:rPr>
        <w:t xml:space="preserve"> trial</w:t>
      </w:r>
      <w:r w:rsidR="00FB133E" w:rsidRPr="00FB133E">
        <w:rPr>
          <w:snapToGrid w:val="0"/>
        </w:rPr>
        <w:t xml:space="preserve">. </w:t>
      </w:r>
      <w:r w:rsidR="00795E6A" w:rsidRPr="008A36B5">
        <w:rPr>
          <w:snapToGrid w:val="0"/>
        </w:rPr>
        <w:t>The PBAC noted</w:t>
      </w:r>
      <w:r w:rsidR="00795E6A">
        <w:rPr>
          <w:snapToGrid w:val="0"/>
        </w:rPr>
        <w:t xml:space="preserve"> that </w:t>
      </w:r>
      <w:r w:rsidR="008C28AA">
        <w:rPr>
          <w:snapToGrid w:val="0"/>
        </w:rPr>
        <w:t>this resulted in an ICER of</w:t>
      </w:r>
      <w:r w:rsidR="00795E6A" w:rsidRPr="008A36B5">
        <w:rPr>
          <w:snapToGrid w:val="0"/>
        </w:rPr>
        <w:t xml:space="preserve"> </w:t>
      </w:r>
      <w:r w:rsidR="009A491D" w:rsidRPr="009A491D">
        <w:rPr>
          <w:snapToGrid w:val="0"/>
        </w:rPr>
        <w:t>$95,000 to &lt; $115,000</w:t>
      </w:r>
      <w:r w:rsidR="00795E6A">
        <w:rPr>
          <w:snapToGrid w:val="0"/>
        </w:rPr>
        <w:t xml:space="preserve"> per QALY</w:t>
      </w:r>
      <w:r w:rsidR="00210010">
        <w:rPr>
          <w:snapToGrid w:val="0"/>
        </w:rPr>
        <w:t xml:space="preserve"> using the </w:t>
      </w:r>
      <w:r w:rsidR="00210010" w:rsidRPr="006D075E">
        <w:rPr>
          <w:snapToGrid w:val="0"/>
        </w:rPr>
        <w:t xml:space="preserve">full analysis </w:t>
      </w:r>
      <w:r w:rsidR="00210010" w:rsidRPr="00354CC3">
        <w:rPr>
          <w:snapToGrid w:val="0"/>
        </w:rPr>
        <w:t>set</w:t>
      </w:r>
      <w:r w:rsidR="00210010">
        <w:rPr>
          <w:snapToGrid w:val="0"/>
        </w:rPr>
        <w:t xml:space="preserve"> uncensored for COVID-19</w:t>
      </w:r>
      <w:r w:rsidR="00795E6A" w:rsidRPr="008A36B5">
        <w:rPr>
          <w:snapToGrid w:val="0"/>
        </w:rPr>
        <w:t xml:space="preserve">, although it reduced to </w:t>
      </w:r>
      <w:r w:rsidR="00B64C40" w:rsidRPr="00B64C40">
        <w:rPr>
          <w:snapToGrid w:val="0"/>
        </w:rPr>
        <w:t>$75,000 to &lt; $95,000</w:t>
      </w:r>
      <w:r w:rsidR="00795E6A">
        <w:rPr>
          <w:snapToGrid w:val="0"/>
        </w:rPr>
        <w:t xml:space="preserve"> per QALY if the </w:t>
      </w:r>
      <w:r w:rsidR="00795E6A" w:rsidRPr="00C8335F">
        <w:rPr>
          <w:snapToGrid w:val="0"/>
        </w:rPr>
        <w:t>COVID</w:t>
      </w:r>
      <w:r w:rsidR="00795E6A" w:rsidRPr="006D075E">
        <w:rPr>
          <w:snapToGrid w:val="0"/>
        </w:rPr>
        <w:t>-19</w:t>
      </w:r>
      <w:r w:rsidR="00795E6A" w:rsidRPr="00C8335F">
        <w:rPr>
          <w:snapToGrid w:val="0"/>
        </w:rPr>
        <w:t xml:space="preserve"> censored </w:t>
      </w:r>
      <w:r w:rsidR="00795E6A" w:rsidRPr="006D075E">
        <w:rPr>
          <w:snapToGrid w:val="0"/>
        </w:rPr>
        <w:t>analysis</w:t>
      </w:r>
      <w:r w:rsidR="00795E6A">
        <w:rPr>
          <w:snapToGrid w:val="0"/>
        </w:rPr>
        <w:t xml:space="preserve"> were used. The </w:t>
      </w:r>
      <w:r w:rsidR="00795E6A" w:rsidRPr="008A36B5">
        <w:rPr>
          <w:snapToGrid w:val="0"/>
        </w:rPr>
        <w:t>PBAC considered</w:t>
      </w:r>
      <w:r w:rsidR="00795E6A">
        <w:rPr>
          <w:snapToGrid w:val="0"/>
        </w:rPr>
        <w:t xml:space="preserve"> that </w:t>
      </w:r>
      <w:r w:rsidR="0028778E">
        <w:rPr>
          <w:snapToGrid w:val="0"/>
        </w:rPr>
        <w:t>the most</w:t>
      </w:r>
      <w:r w:rsidR="003602D9" w:rsidRPr="00912923">
        <w:rPr>
          <w:snapToGrid w:val="0"/>
        </w:rPr>
        <w:t xml:space="preserve"> </w:t>
      </w:r>
      <w:r w:rsidR="00912923">
        <w:rPr>
          <w:snapToGrid w:val="0"/>
        </w:rPr>
        <w:t>plausib</w:t>
      </w:r>
      <w:r w:rsidR="003602D9" w:rsidRPr="00912923">
        <w:rPr>
          <w:snapToGrid w:val="0"/>
        </w:rPr>
        <w:t xml:space="preserve">le </w:t>
      </w:r>
      <w:r w:rsidR="00912923" w:rsidRPr="00912923">
        <w:rPr>
          <w:snapToGrid w:val="0"/>
        </w:rPr>
        <w:t xml:space="preserve">estimate of the </w:t>
      </w:r>
      <w:r w:rsidR="00795E6A" w:rsidRPr="00912923">
        <w:rPr>
          <w:snapToGrid w:val="0"/>
        </w:rPr>
        <w:t xml:space="preserve">ICER </w:t>
      </w:r>
      <w:r w:rsidR="00454388">
        <w:rPr>
          <w:snapToGrid w:val="0"/>
        </w:rPr>
        <w:t>would be</w:t>
      </w:r>
      <w:r w:rsidR="00795E6A" w:rsidRPr="00912923">
        <w:rPr>
          <w:snapToGrid w:val="0"/>
        </w:rPr>
        <w:t xml:space="preserve"> between these values (</w:t>
      </w:r>
      <w:r w:rsidR="00A9482B">
        <w:rPr>
          <w:snapToGrid w:val="0"/>
        </w:rPr>
        <w:t xml:space="preserve">given the uncertainty associated with the </w:t>
      </w:r>
      <w:r w:rsidR="005A3C43">
        <w:rPr>
          <w:snapToGrid w:val="0"/>
        </w:rPr>
        <w:t xml:space="preserve">hazard ratio for the COVID-19 censored analysis, </w:t>
      </w:r>
      <w:r w:rsidR="003602D9" w:rsidRPr="00912923">
        <w:rPr>
          <w:snapToGrid w:val="0"/>
        </w:rPr>
        <w:t>as discussed in</w:t>
      </w:r>
      <w:r w:rsidR="003602D9" w:rsidRPr="003602D9">
        <w:rPr>
          <w:snapToGrid w:val="0"/>
        </w:rPr>
        <w:t xml:space="preserve"> paragraph</w:t>
      </w:r>
      <w:r w:rsidR="005A3C43">
        <w:rPr>
          <w:snapToGrid w:val="0"/>
        </w:rPr>
        <w:t xml:space="preserve"> </w:t>
      </w:r>
      <w:r w:rsidR="005A3C43">
        <w:rPr>
          <w:snapToGrid w:val="0"/>
        </w:rPr>
        <w:fldChar w:fldCharType="begin"/>
      </w:r>
      <w:r w:rsidR="005A3C43">
        <w:rPr>
          <w:snapToGrid w:val="0"/>
        </w:rPr>
        <w:instrText xml:space="preserve"> REF _Ref204695120 \r \h </w:instrText>
      </w:r>
      <w:r w:rsidR="005A3C43">
        <w:rPr>
          <w:snapToGrid w:val="0"/>
        </w:rPr>
      </w:r>
      <w:r w:rsidR="005A3C43">
        <w:rPr>
          <w:snapToGrid w:val="0"/>
        </w:rPr>
        <w:fldChar w:fldCharType="separate"/>
      </w:r>
      <w:r w:rsidR="00A542E9">
        <w:rPr>
          <w:snapToGrid w:val="0"/>
        </w:rPr>
        <w:t>7.8</w:t>
      </w:r>
      <w:r w:rsidR="005A3C43">
        <w:rPr>
          <w:snapToGrid w:val="0"/>
        </w:rPr>
        <w:fldChar w:fldCharType="end"/>
      </w:r>
      <w:r w:rsidR="00795E6A" w:rsidRPr="008A36B5">
        <w:rPr>
          <w:snapToGrid w:val="0"/>
        </w:rPr>
        <w:t xml:space="preserve">). The PBAC considered </w:t>
      </w:r>
      <w:r w:rsidR="00E81861">
        <w:rPr>
          <w:snapToGrid w:val="0"/>
        </w:rPr>
        <w:t xml:space="preserve">that </w:t>
      </w:r>
      <w:r w:rsidR="00795E6A">
        <w:rPr>
          <w:snapToGrid w:val="0"/>
        </w:rPr>
        <w:t>acalabrutinib</w:t>
      </w:r>
      <w:r w:rsidR="00795E6A" w:rsidRPr="008A36B5">
        <w:rPr>
          <w:snapToGrid w:val="0"/>
        </w:rPr>
        <w:t xml:space="preserve"> would be</w:t>
      </w:r>
      <w:r w:rsidR="00795E6A">
        <w:rPr>
          <w:snapToGrid w:val="0"/>
        </w:rPr>
        <w:t xml:space="preserve"> acceptably cost-effective </w:t>
      </w:r>
      <w:r w:rsidR="006212A9">
        <w:rPr>
          <w:snapToGrid w:val="0"/>
        </w:rPr>
        <w:t>(</w:t>
      </w:r>
      <w:r w:rsidR="00F20820">
        <w:rPr>
          <w:snapToGrid w:val="0"/>
        </w:rPr>
        <w:t>using the</w:t>
      </w:r>
      <w:r w:rsidR="00A3254E">
        <w:rPr>
          <w:snapToGrid w:val="0"/>
        </w:rPr>
        <w:t xml:space="preserve"> </w:t>
      </w:r>
      <w:proofErr w:type="gramStart"/>
      <w:r w:rsidR="00A3254E">
        <w:rPr>
          <w:snapToGrid w:val="0"/>
        </w:rPr>
        <w:t xml:space="preserve">aforementioned </w:t>
      </w:r>
      <w:r w:rsidR="00F20820">
        <w:rPr>
          <w:snapToGrid w:val="0"/>
        </w:rPr>
        <w:t>resp</w:t>
      </w:r>
      <w:r w:rsidR="000F4E91">
        <w:rPr>
          <w:snapToGrid w:val="0"/>
        </w:rPr>
        <w:t>e</w:t>
      </w:r>
      <w:r w:rsidR="00F20820">
        <w:rPr>
          <w:snapToGrid w:val="0"/>
        </w:rPr>
        <w:t>cified</w:t>
      </w:r>
      <w:proofErr w:type="gramEnd"/>
      <w:r w:rsidR="00EE4A41">
        <w:rPr>
          <w:snapToGrid w:val="0"/>
        </w:rPr>
        <w:t xml:space="preserve"> parameters)</w:t>
      </w:r>
      <w:r w:rsidR="00F20820">
        <w:rPr>
          <w:snapToGrid w:val="0"/>
        </w:rPr>
        <w:t xml:space="preserve"> </w:t>
      </w:r>
      <w:r w:rsidR="005A3C43">
        <w:rPr>
          <w:snapToGrid w:val="0"/>
        </w:rPr>
        <w:t>with an</w:t>
      </w:r>
      <w:r w:rsidR="00795E6A" w:rsidRPr="008A36B5">
        <w:rPr>
          <w:snapToGrid w:val="0"/>
        </w:rPr>
        <w:t xml:space="preserve"> ICER between </w:t>
      </w:r>
      <w:r w:rsidR="00D3220C" w:rsidRPr="00D3220C">
        <w:rPr>
          <w:snapToGrid w:val="0"/>
        </w:rPr>
        <w:t>$55,000 to &lt; $</w:t>
      </w:r>
      <w:proofErr w:type="gramStart"/>
      <w:r w:rsidR="00D3220C" w:rsidRPr="00D3220C">
        <w:rPr>
          <w:snapToGrid w:val="0"/>
        </w:rPr>
        <w:t xml:space="preserve">75,000 </w:t>
      </w:r>
      <w:r w:rsidR="00FD58E8">
        <w:rPr>
          <w:snapToGrid w:val="0"/>
        </w:rPr>
        <w:t xml:space="preserve"> per</w:t>
      </w:r>
      <w:proofErr w:type="gramEnd"/>
      <w:r w:rsidR="00FD58E8">
        <w:rPr>
          <w:snapToGrid w:val="0"/>
        </w:rPr>
        <w:t xml:space="preserve"> QALY</w:t>
      </w:r>
      <w:r w:rsidR="00795E6A" w:rsidRPr="008A36B5">
        <w:rPr>
          <w:snapToGrid w:val="0"/>
        </w:rPr>
        <w:t xml:space="preserve"> (using </w:t>
      </w:r>
      <w:r w:rsidR="0045709F" w:rsidRPr="006D075E">
        <w:t>full analysis set</w:t>
      </w:r>
      <w:r w:rsidR="0045709F">
        <w:t xml:space="preserve"> without censoring for COVID-19</w:t>
      </w:r>
      <w:r w:rsidR="00795E6A" w:rsidRPr="008A36B5">
        <w:rPr>
          <w:snapToGrid w:val="0"/>
        </w:rPr>
        <w:t xml:space="preserve">) and </w:t>
      </w:r>
      <w:r w:rsidR="00D3220C" w:rsidRPr="00D3220C">
        <w:rPr>
          <w:snapToGrid w:val="0"/>
        </w:rPr>
        <w:t>$55,000 to &lt; $</w:t>
      </w:r>
      <w:proofErr w:type="gramStart"/>
      <w:r w:rsidR="00D3220C" w:rsidRPr="00D3220C">
        <w:rPr>
          <w:snapToGrid w:val="0"/>
        </w:rPr>
        <w:t xml:space="preserve">75,000 </w:t>
      </w:r>
      <w:r w:rsidR="00D3220C">
        <w:rPr>
          <w:snapToGrid w:val="0"/>
        </w:rPr>
        <w:t xml:space="preserve"> </w:t>
      </w:r>
      <w:r w:rsidR="00FD58E8">
        <w:rPr>
          <w:snapToGrid w:val="0"/>
        </w:rPr>
        <w:t>per</w:t>
      </w:r>
      <w:proofErr w:type="gramEnd"/>
      <w:r w:rsidR="00FD58E8">
        <w:rPr>
          <w:snapToGrid w:val="0"/>
        </w:rPr>
        <w:t xml:space="preserve"> QALY</w:t>
      </w:r>
      <w:r w:rsidR="00795E6A" w:rsidRPr="008A36B5">
        <w:rPr>
          <w:snapToGrid w:val="0"/>
        </w:rPr>
        <w:t xml:space="preserve"> (using </w:t>
      </w:r>
      <w:r w:rsidR="0045709F" w:rsidRPr="006D075E">
        <w:t>the COVID-19 censored analysis</w:t>
      </w:r>
      <w:r w:rsidR="00795E6A" w:rsidRPr="008A36B5">
        <w:rPr>
          <w:snapToGrid w:val="0"/>
        </w:rPr>
        <w:t>).</w:t>
      </w:r>
      <w:r w:rsidR="00A51830">
        <w:rPr>
          <w:snapToGrid w:val="0"/>
        </w:rPr>
        <w:t xml:space="preserve"> </w:t>
      </w:r>
      <w:bookmarkEnd w:id="84"/>
      <w:r w:rsidR="008D7F47" w:rsidRPr="006D075E">
        <w:rPr>
          <w:snapToGrid w:val="0"/>
        </w:rPr>
        <w:t>The PBAC noted a price reduction would be required to achieve these ICERs.</w:t>
      </w:r>
      <w:bookmarkEnd w:id="85"/>
      <w:r w:rsidR="00CA14F1" w:rsidRPr="006D075E">
        <w:rPr>
          <w:snapToGrid w:val="0"/>
        </w:rPr>
        <w:t xml:space="preserve"> </w:t>
      </w:r>
    </w:p>
    <w:p w14:paraId="6137C19C" w14:textId="0E15C34E" w:rsidR="001C4BEA" w:rsidRDefault="001C4BEA" w:rsidP="001C4BEA">
      <w:pPr>
        <w:pStyle w:val="COMexecsummnumbered"/>
      </w:pPr>
      <w:bookmarkStart w:id="86" w:name="_Ref204602870"/>
      <w:r>
        <w:t>The</w:t>
      </w:r>
      <w:r w:rsidRPr="00262CDA">
        <w:t xml:space="preserve"> PBAC </w:t>
      </w:r>
      <w:r>
        <w:t>advised</w:t>
      </w:r>
      <w:r w:rsidRPr="00262CDA">
        <w:t xml:space="preserve"> </w:t>
      </w:r>
      <w:r>
        <w:t>the financial</w:t>
      </w:r>
      <w:r w:rsidR="00441AD0">
        <w:t xml:space="preserve"> estimate</w:t>
      </w:r>
      <w:r>
        <w:t xml:space="preserve">s should be updated </w:t>
      </w:r>
      <w:r w:rsidR="006D3910">
        <w:t>as follows</w:t>
      </w:r>
      <w:r>
        <w:t>:</w:t>
      </w:r>
      <w:bookmarkEnd w:id="86"/>
    </w:p>
    <w:p w14:paraId="330B782E" w14:textId="68D13FEC" w:rsidR="001C4BEA" w:rsidRDefault="0037532B" w:rsidP="001C4BEA">
      <w:pPr>
        <w:pStyle w:val="COMexecsummbulletlist"/>
      </w:pPr>
      <w:r>
        <w:t>t</w:t>
      </w:r>
      <w:r w:rsidR="001C4BEA" w:rsidRPr="00262CDA">
        <w:t>he mean duration of</w:t>
      </w:r>
      <w:r w:rsidR="004770C7">
        <w:t xml:space="preserve"> acalabrutinib</w:t>
      </w:r>
      <w:r w:rsidR="001C4BEA" w:rsidRPr="00262CDA">
        <w:t xml:space="preserve"> treatment </w:t>
      </w:r>
      <w:r w:rsidR="001C4BEA">
        <w:t xml:space="preserve">should be </w:t>
      </w:r>
      <w:r>
        <w:t xml:space="preserve">adjusted </w:t>
      </w:r>
      <w:r w:rsidR="001C4BEA">
        <w:t xml:space="preserve">to be consistent with the </w:t>
      </w:r>
      <w:r w:rsidR="001C4BEA" w:rsidRPr="00262CDA">
        <w:t>extrapolated time on treatment curve</w:t>
      </w:r>
      <w:r w:rsidR="001C4BEA">
        <w:t xml:space="preserve"> </w:t>
      </w:r>
      <w:r w:rsidR="004770C7">
        <w:t xml:space="preserve">from the economic model </w:t>
      </w:r>
      <w:r w:rsidR="00465F43">
        <w:t xml:space="preserve">based on the revised </w:t>
      </w:r>
      <w:r w:rsidR="007A6FA2">
        <w:t>parameters</w:t>
      </w:r>
      <w:r w:rsidR="00465F43">
        <w:t xml:space="preserve"> outlined by the PBAC (refer to </w:t>
      </w:r>
      <w:r w:rsidR="00380A00">
        <w:t xml:space="preserve">paragraph </w:t>
      </w:r>
      <w:r w:rsidR="00465F43">
        <w:fldChar w:fldCharType="begin"/>
      </w:r>
      <w:r w:rsidR="00465F43">
        <w:instrText xml:space="preserve"> REF _Ref204594087 \r \h </w:instrText>
      </w:r>
      <w:r w:rsidR="00465F43">
        <w:fldChar w:fldCharType="separate"/>
      </w:r>
      <w:r w:rsidR="00A542E9">
        <w:t>7.13</w:t>
      </w:r>
      <w:r w:rsidR="00465F43">
        <w:fldChar w:fldCharType="end"/>
      </w:r>
      <w:r w:rsidR="00465F43">
        <w:t>)</w:t>
      </w:r>
      <w:r>
        <w:t>;</w:t>
      </w:r>
      <w:r w:rsidR="008D7AE6">
        <w:t xml:space="preserve"> and</w:t>
      </w:r>
    </w:p>
    <w:p w14:paraId="02982E82" w14:textId="6E7E5579" w:rsidR="0037532B" w:rsidRDefault="0037532B" w:rsidP="001C4BEA">
      <w:pPr>
        <w:pStyle w:val="COMexecsummbulletlist"/>
      </w:pPr>
      <w:r>
        <w:lastRenderedPageBreak/>
        <w:t xml:space="preserve">the price of acalabrutinib should be consistent with paragraph </w:t>
      </w:r>
      <w:r w:rsidR="0065223F">
        <w:fldChar w:fldCharType="begin"/>
      </w:r>
      <w:r w:rsidR="0065223F">
        <w:instrText xml:space="preserve"> REF _Ref204699141 \r \h </w:instrText>
      </w:r>
      <w:r w:rsidR="0065223F">
        <w:fldChar w:fldCharType="separate"/>
      </w:r>
      <w:r w:rsidR="00A542E9">
        <w:t>7.13</w:t>
      </w:r>
      <w:r w:rsidR="0065223F">
        <w:fldChar w:fldCharType="end"/>
      </w:r>
      <w:r w:rsidR="008D7AE6">
        <w:t>.</w:t>
      </w:r>
    </w:p>
    <w:p w14:paraId="3825339C" w14:textId="05A7EA56" w:rsidR="00B730BB" w:rsidRPr="00B730BB" w:rsidRDefault="002C64E9">
      <w:pPr>
        <w:pStyle w:val="COMexecsummnumbered"/>
        <w:rPr>
          <w:rFonts w:eastAsia="Times New Roman" w:cs="Arial"/>
          <w:snapToGrid w:val="0"/>
          <w:szCs w:val="24"/>
        </w:rPr>
      </w:pPr>
      <w:r w:rsidRPr="001C4BEA">
        <w:rPr>
          <w:snapToGrid w:val="0"/>
        </w:rPr>
        <w:t xml:space="preserve">The PBAC considered </w:t>
      </w:r>
      <w:r w:rsidR="00E21DB3">
        <w:rPr>
          <w:snapToGrid w:val="0"/>
        </w:rPr>
        <w:t xml:space="preserve">that an RSA would be required to </w:t>
      </w:r>
      <w:r w:rsidR="000A4FD3">
        <w:rPr>
          <w:snapToGrid w:val="0"/>
        </w:rPr>
        <w:t xml:space="preserve">help </w:t>
      </w:r>
      <w:r w:rsidR="00E21DB3">
        <w:rPr>
          <w:snapToGrid w:val="0"/>
        </w:rPr>
        <w:t xml:space="preserve">manage the risk of use outside the </w:t>
      </w:r>
      <w:r w:rsidR="00CC404A">
        <w:rPr>
          <w:snapToGrid w:val="0"/>
        </w:rPr>
        <w:t xml:space="preserve">intended restriction particularly </w:t>
      </w:r>
      <w:r w:rsidR="00687AAF">
        <w:rPr>
          <w:snapToGrid w:val="0"/>
        </w:rPr>
        <w:t>as</w:t>
      </w:r>
      <w:r w:rsidR="00CC404A">
        <w:rPr>
          <w:snapToGrid w:val="0"/>
        </w:rPr>
        <w:t xml:space="preserve"> </w:t>
      </w:r>
      <w:r w:rsidRPr="001C4BEA">
        <w:rPr>
          <w:snapToGrid w:val="0"/>
        </w:rPr>
        <w:t xml:space="preserve">there is potential </w:t>
      </w:r>
      <w:r w:rsidR="007D7B1E" w:rsidRPr="001C4BEA">
        <w:rPr>
          <w:snapToGrid w:val="0"/>
        </w:rPr>
        <w:t xml:space="preserve">for </w:t>
      </w:r>
      <w:r w:rsidR="008D7AE6">
        <w:rPr>
          <w:snapToGrid w:val="0"/>
        </w:rPr>
        <w:t xml:space="preserve">acalabrutinib to be used </w:t>
      </w:r>
      <w:r w:rsidRPr="001C4BEA">
        <w:rPr>
          <w:snapToGrid w:val="0"/>
        </w:rPr>
        <w:t xml:space="preserve">in </w:t>
      </w:r>
      <w:r w:rsidR="007C0AC6">
        <w:rPr>
          <w:snapToGrid w:val="0"/>
        </w:rPr>
        <w:t xml:space="preserve">patients who are eligible for </w:t>
      </w:r>
      <w:r w:rsidR="00FA3F99">
        <w:rPr>
          <w:snapToGrid w:val="0"/>
        </w:rPr>
        <w:t xml:space="preserve">stem cell </w:t>
      </w:r>
      <w:r w:rsidRPr="001C4BEA">
        <w:rPr>
          <w:snapToGrid w:val="0"/>
        </w:rPr>
        <w:t>transplant</w:t>
      </w:r>
      <w:r w:rsidR="005908F8">
        <w:rPr>
          <w:snapToGrid w:val="0"/>
        </w:rPr>
        <w:t xml:space="preserve">, noting that </w:t>
      </w:r>
      <w:r w:rsidR="00CC404A" w:rsidRPr="001C4BEA">
        <w:rPr>
          <w:snapToGrid w:val="0"/>
        </w:rPr>
        <w:t>cost-effectiveness has not been evaluated</w:t>
      </w:r>
      <w:r w:rsidR="005908F8">
        <w:rPr>
          <w:snapToGrid w:val="0"/>
        </w:rPr>
        <w:t xml:space="preserve"> in this setting</w:t>
      </w:r>
      <w:r w:rsidR="001066F9" w:rsidRPr="001C4BEA">
        <w:rPr>
          <w:snapToGrid w:val="0"/>
        </w:rPr>
        <w:t>.</w:t>
      </w:r>
      <w:r w:rsidRPr="001C4BEA">
        <w:rPr>
          <w:snapToGrid w:val="0"/>
        </w:rPr>
        <w:t xml:space="preserve"> </w:t>
      </w:r>
      <w:r w:rsidR="00CC404A">
        <w:rPr>
          <w:snapToGrid w:val="0"/>
        </w:rPr>
        <w:t>Further, t</w:t>
      </w:r>
      <w:r w:rsidR="00B730BB">
        <w:rPr>
          <w:snapToGrid w:val="0"/>
        </w:rPr>
        <w:t xml:space="preserve">he PBAC </w:t>
      </w:r>
      <w:r w:rsidR="000F2585">
        <w:rPr>
          <w:snapToGrid w:val="0"/>
        </w:rPr>
        <w:t>considered</w:t>
      </w:r>
      <w:r w:rsidR="00EE1E67">
        <w:rPr>
          <w:snapToGrid w:val="0"/>
        </w:rPr>
        <w:t xml:space="preserve"> that</w:t>
      </w:r>
      <w:r w:rsidR="000F2585">
        <w:rPr>
          <w:snapToGrid w:val="0"/>
        </w:rPr>
        <w:t>, given</w:t>
      </w:r>
      <w:r w:rsidR="00EE1E67">
        <w:rPr>
          <w:snapToGrid w:val="0"/>
        </w:rPr>
        <w:t xml:space="preserve"> the </w:t>
      </w:r>
      <w:r w:rsidR="00852A08" w:rsidRPr="00852A08">
        <w:rPr>
          <w:snapToGrid w:val="0"/>
        </w:rPr>
        <w:t>cost-effectiveness and financial estimates rely on reduced use of BTK</w:t>
      </w:r>
      <w:r w:rsidR="00852A08">
        <w:rPr>
          <w:snapToGrid w:val="0"/>
        </w:rPr>
        <w:t xml:space="preserve"> inhibitors</w:t>
      </w:r>
      <w:r w:rsidR="00852A08" w:rsidRPr="00852A08">
        <w:rPr>
          <w:snapToGrid w:val="0"/>
        </w:rPr>
        <w:t xml:space="preserve"> in </w:t>
      </w:r>
      <w:r w:rsidR="00725CFC">
        <w:rPr>
          <w:snapToGrid w:val="0"/>
        </w:rPr>
        <w:t xml:space="preserve">the </w:t>
      </w:r>
      <w:r w:rsidR="00725CFC" w:rsidRPr="001C4BEA">
        <w:rPr>
          <w:rFonts w:eastAsia="Times New Roman" w:cs="Arial"/>
          <w:snapToGrid w:val="0"/>
          <w:szCs w:val="24"/>
        </w:rPr>
        <w:t xml:space="preserve">relapsed/refractory </w:t>
      </w:r>
      <w:r w:rsidR="00852A08" w:rsidRPr="00852A08">
        <w:rPr>
          <w:snapToGrid w:val="0"/>
        </w:rPr>
        <w:t>setting</w:t>
      </w:r>
      <w:r w:rsidR="000F2585">
        <w:rPr>
          <w:snapToGrid w:val="0"/>
        </w:rPr>
        <w:t xml:space="preserve">, </w:t>
      </w:r>
      <w:r w:rsidR="00CC404A">
        <w:rPr>
          <w:snapToGrid w:val="0"/>
        </w:rPr>
        <w:t xml:space="preserve">a </w:t>
      </w:r>
      <w:r w:rsidR="0001671C">
        <w:rPr>
          <w:snapToGrid w:val="0"/>
        </w:rPr>
        <w:t>combined</w:t>
      </w:r>
      <w:r w:rsidR="00CC404A">
        <w:rPr>
          <w:snapToGrid w:val="0"/>
        </w:rPr>
        <w:t xml:space="preserve"> RSA</w:t>
      </w:r>
      <w:r w:rsidR="0001671C">
        <w:rPr>
          <w:snapToGrid w:val="0"/>
        </w:rPr>
        <w:t xml:space="preserve"> across the first line and relapsed/refractory settings</w:t>
      </w:r>
      <w:r w:rsidR="00CC404A">
        <w:rPr>
          <w:snapToGrid w:val="0"/>
        </w:rPr>
        <w:t xml:space="preserve"> would be </w:t>
      </w:r>
      <w:r w:rsidR="00C25B13">
        <w:rPr>
          <w:snapToGrid w:val="0"/>
        </w:rPr>
        <w:t xml:space="preserve">preferred </w:t>
      </w:r>
      <w:r w:rsidR="00CC404A">
        <w:rPr>
          <w:snapToGrid w:val="0"/>
        </w:rPr>
        <w:t>to ensure the</w:t>
      </w:r>
      <w:r w:rsidR="00725CFC">
        <w:rPr>
          <w:snapToGrid w:val="0"/>
        </w:rPr>
        <w:t>se</w:t>
      </w:r>
      <w:r w:rsidR="00CC404A">
        <w:rPr>
          <w:snapToGrid w:val="0"/>
        </w:rPr>
        <w:t xml:space="preserve"> </w:t>
      </w:r>
      <w:r w:rsidR="00134E2D">
        <w:rPr>
          <w:snapToGrid w:val="0"/>
        </w:rPr>
        <w:t xml:space="preserve">offsets </w:t>
      </w:r>
      <w:r w:rsidR="00725CFC">
        <w:rPr>
          <w:snapToGrid w:val="0"/>
        </w:rPr>
        <w:t>are</w:t>
      </w:r>
      <w:r w:rsidR="00134E2D">
        <w:rPr>
          <w:rFonts w:eastAsia="Times New Roman" w:cs="Arial"/>
          <w:snapToGrid w:val="0"/>
          <w:szCs w:val="24"/>
        </w:rPr>
        <w:t xml:space="preserve"> realised</w:t>
      </w:r>
      <w:r w:rsidR="00085A48">
        <w:rPr>
          <w:rFonts w:eastAsia="Times New Roman" w:cs="Arial"/>
          <w:snapToGrid w:val="0"/>
          <w:szCs w:val="24"/>
        </w:rPr>
        <w:t xml:space="preserve"> </w:t>
      </w:r>
      <w:r w:rsidR="003B57F5">
        <w:rPr>
          <w:rFonts w:eastAsia="Times New Roman" w:cs="Arial"/>
          <w:snapToGrid w:val="0"/>
          <w:szCs w:val="24"/>
        </w:rPr>
        <w:t xml:space="preserve">in practice </w:t>
      </w:r>
      <w:r w:rsidR="00085A48">
        <w:rPr>
          <w:rFonts w:eastAsia="Times New Roman" w:cs="Arial"/>
          <w:snapToGrid w:val="0"/>
          <w:szCs w:val="24"/>
        </w:rPr>
        <w:t xml:space="preserve">(given </w:t>
      </w:r>
      <w:r w:rsidR="00085A48" w:rsidRPr="00852A08">
        <w:rPr>
          <w:snapToGrid w:val="0"/>
        </w:rPr>
        <w:t>BTK</w:t>
      </w:r>
      <w:r w:rsidR="00085A48">
        <w:rPr>
          <w:snapToGrid w:val="0"/>
        </w:rPr>
        <w:t xml:space="preserve"> inhibitors</w:t>
      </w:r>
      <w:r w:rsidR="00085A48">
        <w:rPr>
          <w:rFonts w:eastAsia="Times New Roman" w:cs="Arial"/>
          <w:snapToGrid w:val="0"/>
          <w:szCs w:val="24"/>
        </w:rPr>
        <w:t xml:space="preserve"> are subsidised once per lifetime)</w:t>
      </w:r>
      <w:r w:rsidR="00D74E5F">
        <w:rPr>
          <w:rFonts w:eastAsia="Times New Roman" w:cs="Arial"/>
          <w:snapToGrid w:val="0"/>
          <w:szCs w:val="24"/>
        </w:rPr>
        <w:t>.</w:t>
      </w:r>
      <w:r w:rsidR="00134E2D">
        <w:rPr>
          <w:rFonts w:eastAsia="Times New Roman" w:cs="Arial"/>
          <w:snapToGrid w:val="0"/>
          <w:szCs w:val="24"/>
        </w:rPr>
        <w:t xml:space="preserve"> </w:t>
      </w:r>
      <w:r w:rsidR="0007680F">
        <w:rPr>
          <w:rFonts w:eastAsia="Times New Roman" w:cs="Arial"/>
          <w:snapToGrid w:val="0"/>
          <w:szCs w:val="24"/>
        </w:rPr>
        <w:t xml:space="preserve">The PBAC advised that </w:t>
      </w:r>
      <w:r w:rsidR="00A271F5">
        <w:rPr>
          <w:rFonts w:eastAsia="Times New Roman" w:cs="Arial"/>
          <w:snapToGrid w:val="0"/>
          <w:szCs w:val="24"/>
        </w:rPr>
        <w:t>a</w:t>
      </w:r>
      <w:r w:rsidR="00D25D8A">
        <w:rPr>
          <w:rFonts w:eastAsia="Times New Roman" w:cs="Arial"/>
          <w:snapToGrid w:val="0"/>
          <w:szCs w:val="24"/>
        </w:rPr>
        <w:t xml:space="preserve"> </w:t>
      </w:r>
      <w:r w:rsidR="0007680F">
        <w:rPr>
          <w:rFonts w:eastAsia="Times New Roman" w:cs="Arial"/>
          <w:snapToGrid w:val="0"/>
          <w:szCs w:val="24"/>
        </w:rPr>
        <w:t>100%</w:t>
      </w:r>
      <w:r w:rsidR="00364BAC">
        <w:rPr>
          <w:rFonts w:eastAsia="Times New Roman" w:cs="Arial"/>
          <w:snapToGrid w:val="0"/>
          <w:szCs w:val="24"/>
        </w:rPr>
        <w:t xml:space="preserve"> rebate should apply to any </w:t>
      </w:r>
      <w:r w:rsidR="00BC15C2">
        <w:rPr>
          <w:rFonts w:eastAsia="Times New Roman" w:cs="Arial"/>
          <w:snapToGrid w:val="0"/>
          <w:szCs w:val="24"/>
        </w:rPr>
        <w:t xml:space="preserve">Commonwealth </w:t>
      </w:r>
      <w:r w:rsidR="00364BAC">
        <w:rPr>
          <w:rFonts w:eastAsia="Times New Roman" w:cs="Arial"/>
          <w:snapToGrid w:val="0"/>
          <w:szCs w:val="24"/>
        </w:rPr>
        <w:t>expenditure be</w:t>
      </w:r>
      <w:r w:rsidR="00DC5918">
        <w:rPr>
          <w:rFonts w:eastAsia="Times New Roman" w:cs="Arial"/>
          <w:snapToGrid w:val="0"/>
          <w:szCs w:val="24"/>
        </w:rPr>
        <w:t xml:space="preserve">yond the </w:t>
      </w:r>
      <w:r w:rsidR="00A271F5">
        <w:rPr>
          <w:rFonts w:eastAsia="Times New Roman" w:cs="Arial"/>
          <w:snapToGrid w:val="0"/>
          <w:szCs w:val="24"/>
        </w:rPr>
        <w:t>agreed estimates</w:t>
      </w:r>
      <w:r w:rsidR="00DC5918">
        <w:rPr>
          <w:rFonts w:eastAsia="Times New Roman" w:cs="Arial"/>
          <w:snapToGrid w:val="0"/>
          <w:szCs w:val="24"/>
        </w:rPr>
        <w:t xml:space="preserve"> (including the revisions to the financial estimates outlined in paragraph </w:t>
      </w:r>
      <w:r w:rsidR="00DC5918">
        <w:rPr>
          <w:rFonts w:eastAsia="Times New Roman" w:cs="Arial"/>
          <w:snapToGrid w:val="0"/>
          <w:szCs w:val="24"/>
        </w:rPr>
        <w:fldChar w:fldCharType="begin"/>
      </w:r>
      <w:r w:rsidR="00DC5918">
        <w:rPr>
          <w:rFonts w:eastAsia="Times New Roman" w:cs="Arial"/>
          <w:snapToGrid w:val="0"/>
          <w:szCs w:val="24"/>
        </w:rPr>
        <w:instrText xml:space="preserve"> REF _Ref204602870 \r \h </w:instrText>
      </w:r>
      <w:r w:rsidR="00DC5918">
        <w:rPr>
          <w:rFonts w:eastAsia="Times New Roman" w:cs="Arial"/>
          <w:snapToGrid w:val="0"/>
          <w:szCs w:val="24"/>
        </w:rPr>
      </w:r>
      <w:r w:rsidR="00DC5918">
        <w:rPr>
          <w:rFonts w:eastAsia="Times New Roman" w:cs="Arial"/>
          <w:snapToGrid w:val="0"/>
          <w:szCs w:val="24"/>
        </w:rPr>
        <w:fldChar w:fldCharType="separate"/>
      </w:r>
      <w:r w:rsidR="00A542E9">
        <w:rPr>
          <w:rFonts w:eastAsia="Times New Roman" w:cs="Arial"/>
          <w:snapToGrid w:val="0"/>
          <w:szCs w:val="24"/>
        </w:rPr>
        <w:t>7.14</w:t>
      </w:r>
      <w:r w:rsidR="00DC5918">
        <w:rPr>
          <w:rFonts w:eastAsia="Times New Roman" w:cs="Arial"/>
          <w:snapToGrid w:val="0"/>
          <w:szCs w:val="24"/>
        </w:rPr>
        <w:fldChar w:fldCharType="end"/>
      </w:r>
      <w:r w:rsidR="00DC5918">
        <w:rPr>
          <w:rFonts w:eastAsia="Times New Roman" w:cs="Arial"/>
          <w:snapToGrid w:val="0"/>
          <w:szCs w:val="24"/>
        </w:rPr>
        <w:t xml:space="preserve">). </w:t>
      </w:r>
    </w:p>
    <w:p w14:paraId="497C569A" w14:textId="33C17C3C" w:rsidR="008547B5" w:rsidRPr="006D075E" w:rsidRDefault="004E4B22">
      <w:pPr>
        <w:pStyle w:val="COMexecsummnumbered"/>
        <w:rPr>
          <w:rFonts w:eastAsia="Times New Roman" w:cs="Arial"/>
          <w:snapToGrid w:val="0"/>
          <w:szCs w:val="24"/>
        </w:rPr>
      </w:pPr>
      <w:r>
        <w:rPr>
          <w:snapToGrid w:val="0"/>
        </w:rPr>
        <w:t>T</w:t>
      </w:r>
      <w:r w:rsidR="007C0AC6">
        <w:rPr>
          <w:snapToGrid w:val="0"/>
        </w:rPr>
        <w:t xml:space="preserve">he PBAC </w:t>
      </w:r>
      <w:r w:rsidR="008038EC" w:rsidRPr="001C4BEA">
        <w:rPr>
          <w:snapToGrid w:val="0"/>
        </w:rPr>
        <w:t>noted the</w:t>
      </w:r>
      <w:r w:rsidR="00FA3F99">
        <w:rPr>
          <w:snapToGrid w:val="0"/>
        </w:rPr>
        <w:t>re is an</w:t>
      </w:r>
      <w:r w:rsidR="008038EC" w:rsidRPr="001C4BEA">
        <w:rPr>
          <w:snapToGrid w:val="0"/>
        </w:rPr>
        <w:t xml:space="preserve"> </w:t>
      </w:r>
      <w:r w:rsidR="008038EC" w:rsidRPr="001C4BEA">
        <w:rPr>
          <w:rFonts w:eastAsia="Times New Roman" w:cs="Arial"/>
          <w:snapToGrid w:val="0"/>
          <w:szCs w:val="24"/>
        </w:rPr>
        <w:t>existing RSA for BTK</w:t>
      </w:r>
      <w:r w:rsidR="007C0AC6">
        <w:rPr>
          <w:rFonts w:eastAsia="Times New Roman" w:cs="Arial"/>
          <w:snapToGrid w:val="0"/>
          <w:szCs w:val="24"/>
        </w:rPr>
        <w:t xml:space="preserve"> inhibitors</w:t>
      </w:r>
      <w:r w:rsidR="008038EC" w:rsidRPr="001C4BEA">
        <w:rPr>
          <w:rFonts w:eastAsia="Times New Roman" w:cs="Arial"/>
          <w:snapToGrid w:val="0"/>
          <w:szCs w:val="24"/>
        </w:rPr>
        <w:t xml:space="preserve"> in </w:t>
      </w:r>
      <w:r w:rsidR="00287DBE" w:rsidRPr="001C4BEA">
        <w:rPr>
          <w:rFonts w:eastAsia="Times New Roman" w:cs="Arial"/>
          <w:snapToGrid w:val="0"/>
          <w:szCs w:val="24"/>
        </w:rPr>
        <w:t xml:space="preserve">relapsed/refractory </w:t>
      </w:r>
      <w:r w:rsidR="008038EC" w:rsidRPr="001C4BEA">
        <w:rPr>
          <w:rFonts w:eastAsia="Times New Roman" w:cs="Arial"/>
          <w:snapToGrid w:val="0"/>
          <w:szCs w:val="24"/>
        </w:rPr>
        <w:t>MCL</w:t>
      </w:r>
      <w:r>
        <w:rPr>
          <w:rFonts w:eastAsia="Times New Roman" w:cs="Arial"/>
          <w:snapToGrid w:val="0"/>
          <w:szCs w:val="24"/>
        </w:rPr>
        <w:t xml:space="preserve">, </w:t>
      </w:r>
      <w:r w:rsidR="003F3D44">
        <w:rPr>
          <w:rFonts w:eastAsia="Times New Roman" w:cs="Arial"/>
          <w:snapToGrid w:val="0"/>
          <w:szCs w:val="24"/>
        </w:rPr>
        <w:t xml:space="preserve">that is intended to </w:t>
      </w:r>
      <w:r w:rsidR="003F3D44" w:rsidRPr="006D075E">
        <w:t xml:space="preserve">achieve </w:t>
      </w:r>
      <w:r w:rsidR="00E70CFE">
        <w:t xml:space="preserve">a </w:t>
      </w:r>
      <w:r w:rsidR="003F3D44" w:rsidRPr="006D075E">
        <w:t>cost-</w:t>
      </w:r>
      <w:r w:rsidR="00E70CFE">
        <w:t>effective price</w:t>
      </w:r>
      <w:r w:rsidR="003F3D44">
        <w:t xml:space="preserve"> in this setting, and </w:t>
      </w:r>
      <w:r w:rsidR="00E70CFE">
        <w:t xml:space="preserve">the PBAC reaffirmed that </w:t>
      </w:r>
      <w:r w:rsidR="00DF238D">
        <w:t xml:space="preserve">the intended cost-effectiveness in the relapsed/refractory setting should be maintained going forward. </w:t>
      </w:r>
    </w:p>
    <w:p w14:paraId="488380B4" w14:textId="77777777" w:rsidR="00A47B19" w:rsidRDefault="00CA14F1" w:rsidP="003C4A9E">
      <w:pPr>
        <w:pStyle w:val="COMexecsummnumbered"/>
        <w:rPr>
          <w:rFonts w:cstheme="minorHAnsi"/>
        </w:rPr>
      </w:pPr>
      <w:r w:rsidRPr="006D075E">
        <w:rPr>
          <w:rFonts w:cstheme="minorHAnsi"/>
        </w:rPr>
        <w:t xml:space="preserve">The PBAC found that the criteria prescribed by the </w:t>
      </w:r>
      <w:r w:rsidRPr="006D075E">
        <w:rPr>
          <w:rFonts w:cstheme="minorHAnsi"/>
          <w:i/>
        </w:rPr>
        <w:t>National Health (Pharmaceuticals and Vaccines – Cost Recovery) Regulations 2022</w:t>
      </w:r>
      <w:r w:rsidRPr="006D075E">
        <w:rPr>
          <w:rFonts w:cstheme="minorHAnsi"/>
        </w:rPr>
        <w:t xml:space="preserve"> for Pricing Pathway A were not met. </w:t>
      </w:r>
      <w:r w:rsidR="006D075E" w:rsidRPr="006D075E">
        <w:rPr>
          <w:rFonts w:cstheme="minorHAnsi"/>
        </w:rPr>
        <w:t>Specifically,</w:t>
      </w:r>
      <w:r w:rsidRPr="006D075E">
        <w:rPr>
          <w:rFonts w:cstheme="minorHAnsi"/>
        </w:rPr>
        <w:t xml:space="preserve"> the PBAC found that in the circumstances of its recommendation for </w:t>
      </w:r>
      <w:r w:rsidR="009C3ADF" w:rsidRPr="006D075E">
        <w:rPr>
          <w:rFonts w:cstheme="minorHAnsi"/>
        </w:rPr>
        <w:t>acalabrutinib</w:t>
      </w:r>
      <w:r w:rsidR="00A47B19">
        <w:rPr>
          <w:rFonts w:cstheme="minorHAnsi"/>
        </w:rPr>
        <w:t>:</w:t>
      </w:r>
    </w:p>
    <w:p w14:paraId="0A1B701D" w14:textId="355D42B8" w:rsidR="007021CF" w:rsidRPr="007021CF" w:rsidRDefault="007021CF" w:rsidP="00F629D3">
      <w:pPr>
        <w:pStyle w:val="COMexecsummnumbered"/>
        <w:numPr>
          <w:ilvl w:val="0"/>
          <w:numId w:val="7"/>
        </w:numPr>
        <w:rPr>
          <w:rFonts w:cstheme="minorHAnsi"/>
        </w:rPr>
      </w:pPr>
      <w:r w:rsidRPr="007021CF">
        <w:rPr>
          <w:rFonts w:cstheme="minorHAnsi"/>
        </w:rPr>
        <w:t xml:space="preserve">The treatment is </w:t>
      </w:r>
      <w:r w:rsidR="00052BA0">
        <w:rPr>
          <w:rFonts w:cstheme="minorHAnsi"/>
        </w:rPr>
        <w:t xml:space="preserve">not </w:t>
      </w:r>
      <w:r w:rsidRPr="007021CF">
        <w:rPr>
          <w:rFonts w:cstheme="minorHAnsi"/>
        </w:rPr>
        <w:t xml:space="preserve">expected to provide a substantial and clinically relevant improvement in efficacy over </w:t>
      </w:r>
      <w:proofErr w:type="spellStart"/>
      <w:r w:rsidR="00052BA0">
        <w:rPr>
          <w:rFonts w:cstheme="minorHAnsi"/>
        </w:rPr>
        <w:t>bendamustine</w:t>
      </w:r>
      <w:proofErr w:type="spellEnd"/>
      <w:r w:rsidR="00052BA0">
        <w:rPr>
          <w:rFonts w:cstheme="minorHAnsi"/>
        </w:rPr>
        <w:t xml:space="preserve"> plus rituximab alone, </w:t>
      </w:r>
      <w:r w:rsidR="0047176B" w:rsidRPr="0047176B">
        <w:rPr>
          <w:rFonts w:cstheme="minorHAnsi"/>
        </w:rPr>
        <w:t xml:space="preserve">as while clinically relevant improvements in progression-free survival were evident there was no </w:t>
      </w:r>
      <w:r w:rsidR="006621D3">
        <w:rPr>
          <w:rFonts w:cstheme="minorHAnsi"/>
        </w:rPr>
        <w:t>statis</w:t>
      </w:r>
      <w:r w:rsidR="009A3631">
        <w:rPr>
          <w:rFonts w:cstheme="minorHAnsi"/>
        </w:rPr>
        <w:t xml:space="preserve">tically significant </w:t>
      </w:r>
      <w:r w:rsidR="0047176B" w:rsidRPr="0047176B">
        <w:rPr>
          <w:rFonts w:cstheme="minorHAnsi"/>
        </w:rPr>
        <w:t xml:space="preserve">difference in overall </w:t>
      </w:r>
      <w:proofErr w:type="gramStart"/>
      <w:r w:rsidR="0047176B" w:rsidRPr="0047176B">
        <w:rPr>
          <w:rFonts w:cstheme="minorHAnsi"/>
        </w:rPr>
        <w:t>survival</w:t>
      </w:r>
      <w:r w:rsidRPr="007021CF">
        <w:rPr>
          <w:rFonts w:cstheme="minorHAnsi"/>
        </w:rPr>
        <w:t>;</w:t>
      </w:r>
      <w:proofErr w:type="gramEnd"/>
      <w:r w:rsidRPr="007021CF">
        <w:rPr>
          <w:rFonts w:cstheme="minorHAnsi"/>
        </w:rPr>
        <w:t xml:space="preserve"> </w:t>
      </w:r>
    </w:p>
    <w:p w14:paraId="59A8ACA6" w14:textId="77777777" w:rsidR="007021CF" w:rsidRPr="007021CF" w:rsidRDefault="007021CF" w:rsidP="00F629D3">
      <w:pPr>
        <w:pStyle w:val="COMexecsummnumbered"/>
        <w:numPr>
          <w:ilvl w:val="0"/>
          <w:numId w:val="7"/>
        </w:numPr>
        <w:rPr>
          <w:rFonts w:cstheme="minorHAnsi"/>
        </w:rPr>
      </w:pPr>
      <w:r w:rsidRPr="007021CF">
        <w:rPr>
          <w:rFonts w:cstheme="minorHAnsi"/>
        </w:rPr>
        <w:t xml:space="preserve">The treatment is not expected to address a high and urgent unmet clinical need given the availability of other </w:t>
      </w:r>
      <w:proofErr w:type="gramStart"/>
      <w:r w:rsidRPr="007021CF">
        <w:rPr>
          <w:rFonts w:cstheme="minorHAnsi"/>
        </w:rPr>
        <w:t>therapies;</w:t>
      </w:r>
      <w:proofErr w:type="gramEnd"/>
    </w:p>
    <w:p w14:paraId="36F44B46" w14:textId="77777777" w:rsidR="007021CF" w:rsidRPr="007021CF" w:rsidRDefault="007021CF" w:rsidP="00F629D3">
      <w:pPr>
        <w:pStyle w:val="COMexecsummnumbered"/>
        <w:numPr>
          <w:ilvl w:val="0"/>
          <w:numId w:val="7"/>
        </w:numPr>
        <w:rPr>
          <w:rFonts w:cstheme="minorHAnsi"/>
        </w:rPr>
      </w:pPr>
      <w:r w:rsidRPr="007021CF">
        <w:rPr>
          <w:rFonts w:cstheme="minorHAnsi"/>
        </w:rPr>
        <w:t xml:space="preserve">It was not necessary to make a finding in relation to whether it would be in the public interest for the subsequent pricing application to be progressed under Pricing Pathway A because one or more of the preceding tests had failed. </w:t>
      </w:r>
    </w:p>
    <w:p w14:paraId="5A6E605D" w14:textId="147BEF66" w:rsidR="00CA14F1" w:rsidRPr="006D075E" w:rsidRDefault="00CA14F1" w:rsidP="00CA14F1">
      <w:pPr>
        <w:widowControl w:val="0"/>
        <w:numPr>
          <w:ilvl w:val="1"/>
          <w:numId w:val="2"/>
        </w:numPr>
        <w:spacing w:after="120"/>
        <w:rPr>
          <w:snapToGrid w:val="0"/>
        </w:rPr>
      </w:pPr>
      <w:r w:rsidRPr="006D075E">
        <w:rPr>
          <w:snapToGrid w:val="0"/>
        </w:rPr>
        <w:t>The PBAC noted that this submission is not eligible for an Independent Review</w:t>
      </w:r>
      <w:r w:rsidR="003B2A33" w:rsidRPr="006D075E">
        <w:rPr>
          <w:snapToGrid w:val="0"/>
        </w:rPr>
        <w:t xml:space="preserve"> because it </w:t>
      </w:r>
      <w:r w:rsidR="003B2A33" w:rsidRPr="006D075E">
        <w:rPr>
          <w:rFonts w:asciiTheme="minorHAnsi" w:hAnsiTheme="minorHAnsi"/>
          <w:snapToGrid w:val="0"/>
        </w:rPr>
        <w:t>received</w:t>
      </w:r>
      <w:r w:rsidR="003B2A33" w:rsidRPr="006D075E">
        <w:rPr>
          <w:snapToGrid w:val="0"/>
        </w:rPr>
        <w:t xml:space="preserve"> a positive recommendation. </w:t>
      </w:r>
    </w:p>
    <w:p w14:paraId="5773ACD8" w14:textId="77777777" w:rsidR="00CA14F1" w:rsidRPr="006D075E" w:rsidRDefault="00CA14F1" w:rsidP="00CA14F1">
      <w:pPr>
        <w:spacing w:before="240"/>
        <w:rPr>
          <w:rFonts w:asciiTheme="minorHAnsi" w:hAnsiTheme="minorHAnsi"/>
          <w:b/>
          <w:bCs/>
          <w:snapToGrid w:val="0"/>
        </w:rPr>
      </w:pPr>
      <w:r w:rsidRPr="006D075E">
        <w:rPr>
          <w:rFonts w:asciiTheme="minorHAnsi" w:hAnsiTheme="minorHAnsi"/>
          <w:b/>
          <w:bCs/>
          <w:snapToGrid w:val="0"/>
        </w:rPr>
        <w:t>Outcome:</w:t>
      </w:r>
    </w:p>
    <w:p w14:paraId="0BBACB3D" w14:textId="39CF006D" w:rsidR="00CA14F1" w:rsidRPr="00CD12E2" w:rsidRDefault="00CA14F1" w:rsidP="00CA14F1">
      <w:pPr>
        <w:rPr>
          <w:rFonts w:asciiTheme="minorHAnsi" w:hAnsiTheme="minorHAnsi"/>
          <w:bCs/>
          <w:snapToGrid w:val="0"/>
        </w:rPr>
      </w:pPr>
      <w:r w:rsidRPr="00CD12E2">
        <w:rPr>
          <w:rFonts w:asciiTheme="minorHAnsi" w:hAnsiTheme="minorHAnsi"/>
          <w:bCs/>
          <w:snapToGrid w:val="0"/>
        </w:rPr>
        <w:t xml:space="preserve">Recommended </w:t>
      </w:r>
    </w:p>
    <w:bookmarkEnd w:id="77"/>
    <w:p w14:paraId="4D17D0DE" w14:textId="29582908" w:rsidR="00CA14F1" w:rsidRPr="00FC6D71" w:rsidRDefault="00CA14F1" w:rsidP="00223299">
      <w:pPr>
        <w:pStyle w:val="2-SectionHeading"/>
        <w:numPr>
          <w:ilvl w:val="0"/>
          <w:numId w:val="2"/>
        </w:numPr>
        <w:outlineLvl w:val="0"/>
        <w:rPr>
          <w:b w:val="0"/>
          <w:bCs/>
        </w:rPr>
      </w:pPr>
      <w:r w:rsidRPr="00FC6D71">
        <w:rPr>
          <w:bCs/>
        </w:rPr>
        <w:t>Recommended listing</w:t>
      </w:r>
    </w:p>
    <w:p w14:paraId="502E8B85" w14:textId="54408A67" w:rsidR="00CA14F1" w:rsidRPr="006D075E" w:rsidRDefault="00163E83" w:rsidP="00223299">
      <w:pPr>
        <w:pStyle w:val="COMexecsummnumbered"/>
        <w:rPr>
          <w:bCs/>
          <w:snapToGrid w:val="0"/>
        </w:rPr>
      </w:pPr>
      <w:r w:rsidRPr="006D075E">
        <w:rPr>
          <w:bCs/>
          <w:snapToGrid w:val="0"/>
        </w:rPr>
        <w:t xml:space="preserve">Add </w:t>
      </w:r>
      <w:r w:rsidR="00C1431E" w:rsidRPr="03EC0152">
        <w:t xml:space="preserve">new </w:t>
      </w:r>
      <w:r w:rsidR="00C1431E" w:rsidRPr="2D6B86F0">
        <w:t>listing</w:t>
      </w:r>
      <w:r w:rsidR="39E75377" w:rsidRPr="2D6B86F0">
        <w:rPr>
          <w:snapToGrid w:val="0"/>
        </w:rPr>
        <w:t>s</w:t>
      </w:r>
      <w:r w:rsidR="36ACA867" w:rsidRPr="59CA1C24">
        <w:rPr>
          <w:snapToGrid w:val="0"/>
        </w:rPr>
        <w:t xml:space="preserve"> </w:t>
      </w:r>
      <w:r w:rsidR="36ACA867" w:rsidRPr="03EC0152">
        <w:rPr>
          <w:snapToGrid w:val="0"/>
        </w:rPr>
        <w:t>for acalabrutinib</w:t>
      </w:r>
      <w:r w:rsidR="00ED7006">
        <w:rPr>
          <w:snapToGrid w:val="0"/>
        </w:rPr>
        <w:t xml:space="preserve"> </w:t>
      </w:r>
      <w:r w:rsidR="00CA14F1" w:rsidRPr="006D075E">
        <w:rPr>
          <w:bCs/>
          <w:snapToGrid w:val="0"/>
        </w:rPr>
        <w:t>as follows:</w:t>
      </w:r>
    </w:p>
    <w:bookmarkEnd w:id="78"/>
    <w:p w14:paraId="396D01F5" w14:textId="3AF6C439" w:rsidR="00655CC5" w:rsidRPr="006D075E" w:rsidRDefault="00655CC5" w:rsidP="0056516E">
      <w:pPr>
        <w:pStyle w:val="ListParagraph"/>
        <w:keepNext/>
        <w:spacing w:before="240" w:after="120"/>
        <w:ind w:left="0"/>
        <w:rPr>
          <w:rFonts w:asciiTheme="minorHAnsi" w:hAnsiTheme="minorHAnsi" w:cstheme="minorHAnsi"/>
          <w:i/>
          <w:iCs/>
        </w:rPr>
      </w:pPr>
      <w:r w:rsidRPr="006D075E">
        <w:rPr>
          <w:rFonts w:asciiTheme="minorHAnsi" w:hAnsiTheme="minorHAnsi" w:cstheme="minorHAnsi"/>
          <w:i/>
          <w:iCs/>
        </w:rPr>
        <w:lastRenderedPageBreak/>
        <w:t xml:space="preserve">Induction: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3940"/>
        <w:gridCol w:w="811"/>
        <w:gridCol w:w="812"/>
        <w:gridCol w:w="811"/>
        <w:gridCol w:w="812"/>
        <w:gridCol w:w="1831"/>
      </w:tblGrid>
      <w:tr w:rsidR="00655CC5" w:rsidRPr="006D075E" w14:paraId="0B679B10" w14:textId="77777777" w:rsidTr="00007534">
        <w:trPr>
          <w:cantSplit/>
          <w:trHeight w:val="20"/>
        </w:trPr>
        <w:tc>
          <w:tcPr>
            <w:tcW w:w="3940" w:type="dxa"/>
            <w:vAlign w:val="center"/>
          </w:tcPr>
          <w:p w14:paraId="25F0E740" w14:textId="77777777" w:rsidR="00655CC5" w:rsidRPr="006D075E" w:rsidRDefault="00655CC5">
            <w:pPr>
              <w:keepLines/>
              <w:rPr>
                <w:rFonts w:ascii="Arial Narrow" w:hAnsi="Arial Narrow"/>
                <w:b/>
                <w:bCs/>
                <w:sz w:val="20"/>
                <w:szCs w:val="20"/>
              </w:rPr>
            </w:pPr>
            <w:r w:rsidRPr="006D075E">
              <w:rPr>
                <w:rFonts w:ascii="Arial Narrow" w:hAnsi="Arial Narrow"/>
                <w:b/>
                <w:bCs/>
                <w:sz w:val="20"/>
                <w:szCs w:val="20"/>
              </w:rPr>
              <w:t>MEDICINAL PRODUCT</w:t>
            </w:r>
          </w:p>
          <w:p w14:paraId="25E45486" w14:textId="77777777" w:rsidR="00655CC5" w:rsidRPr="006D075E" w:rsidRDefault="00655CC5">
            <w:pPr>
              <w:keepLines/>
              <w:rPr>
                <w:rFonts w:ascii="Arial Narrow" w:hAnsi="Arial Narrow"/>
                <w:b/>
                <w:sz w:val="20"/>
                <w:szCs w:val="20"/>
              </w:rPr>
            </w:pPr>
            <w:r w:rsidRPr="006D075E">
              <w:rPr>
                <w:rFonts w:ascii="Arial Narrow" w:hAnsi="Arial Narrow"/>
                <w:b/>
                <w:bCs/>
                <w:sz w:val="20"/>
                <w:szCs w:val="20"/>
              </w:rPr>
              <w:t>medicinal product pack</w:t>
            </w:r>
          </w:p>
        </w:tc>
        <w:tc>
          <w:tcPr>
            <w:tcW w:w="811" w:type="dxa"/>
            <w:vAlign w:val="center"/>
          </w:tcPr>
          <w:p w14:paraId="438B5D17" w14:textId="77777777" w:rsidR="00655CC5" w:rsidRPr="006D075E" w:rsidRDefault="00655CC5">
            <w:pPr>
              <w:keepLines/>
              <w:jc w:val="center"/>
              <w:rPr>
                <w:rFonts w:ascii="Arial Narrow" w:hAnsi="Arial Narrow"/>
                <w:b/>
                <w:sz w:val="20"/>
                <w:szCs w:val="20"/>
              </w:rPr>
            </w:pPr>
            <w:r w:rsidRPr="006D075E">
              <w:rPr>
                <w:rFonts w:ascii="Arial Narrow" w:hAnsi="Arial Narrow"/>
                <w:b/>
                <w:sz w:val="20"/>
                <w:szCs w:val="20"/>
              </w:rPr>
              <w:t>PBS item code</w:t>
            </w:r>
          </w:p>
        </w:tc>
        <w:tc>
          <w:tcPr>
            <w:tcW w:w="812" w:type="dxa"/>
            <w:vAlign w:val="center"/>
          </w:tcPr>
          <w:p w14:paraId="547F0EF9" w14:textId="77777777" w:rsidR="00655CC5" w:rsidRPr="006D075E" w:rsidRDefault="00655CC5">
            <w:pPr>
              <w:keepLines/>
              <w:jc w:val="center"/>
              <w:rPr>
                <w:rFonts w:ascii="Arial Narrow" w:hAnsi="Arial Narrow"/>
                <w:b/>
                <w:sz w:val="20"/>
                <w:szCs w:val="20"/>
              </w:rPr>
            </w:pPr>
            <w:r w:rsidRPr="006D075E">
              <w:rPr>
                <w:rFonts w:ascii="Arial Narrow" w:hAnsi="Arial Narrow"/>
                <w:b/>
                <w:sz w:val="20"/>
                <w:szCs w:val="20"/>
              </w:rPr>
              <w:t>Max. qty packs</w:t>
            </w:r>
          </w:p>
        </w:tc>
        <w:tc>
          <w:tcPr>
            <w:tcW w:w="811" w:type="dxa"/>
            <w:vAlign w:val="center"/>
          </w:tcPr>
          <w:p w14:paraId="296E5B92" w14:textId="77777777" w:rsidR="00655CC5" w:rsidRPr="006D075E" w:rsidRDefault="00655CC5">
            <w:pPr>
              <w:keepLines/>
              <w:jc w:val="center"/>
              <w:rPr>
                <w:rFonts w:ascii="Arial Narrow" w:hAnsi="Arial Narrow"/>
                <w:b/>
                <w:sz w:val="20"/>
                <w:szCs w:val="20"/>
              </w:rPr>
            </w:pPr>
            <w:r w:rsidRPr="006D075E">
              <w:rPr>
                <w:rFonts w:ascii="Arial Narrow" w:hAnsi="Arial Narrow"/>
                <w:b/>
                <w:sz w:val="20"/>
                <w:szCs w:val="20"/>
              </w:rPr>
              <w:t>Max. qty units</w:t>
            </w:r>
          </w:p>
        </w:tc>
        <w:tc>
          <w:tcPr>
            <w:tcW w:w="812" w:type="dxa"/>
            <w:vAlign w:val="center"/>
          </w:tcPr>
          <w:p w14:paraId="09BBC636" w14:textId="77777777" w:rsidR="00655CC5" w:rsidRPr="006D075E" w:rsidRDefault="00655CC5">
            <w:pPr>
              <w:keepLines/>
              <w:jc w:val="center"/>
              <w:rPr>
                <w:rFonts w:ascii="Arial Narrow" w:hAnsi="Arial Narrow"/>
                <w:b/>
                <w:sz w:val="20"/>
                <w:szCs w:val="20"/>
              </w:rPr>
            </w:pPr>
            <w:r w:rsidRPr="006D075E">
              <w:rPr>
                <w:rFonts w:ascii="Arial Narrow" w:hAnsi="Arial Narrow"/>
                <w:b/>
                <w:sz w:val="20"/>
                <w:szCs w:val="20"/>
              </w:rPr>
              <w:t>№.of</w:t>
            </w:r>
          </w:p>
          <w:p w14:paraId="03AFB4C0" w14:textId="77777777" w:rsidR="00655CC5" w:rsidRPr="006D075E" w:rsidRDefault="00655CC5">
            <w:pPr>
              <w:keepLines/>
              <w:jc w:val="center"/>
              <w:rPr>
                <w:rFonts w:ascii="Arial Narrow" w:hAnsi="Arial Narrow"/>
                <w:b/>
                <w:sz w:val="20"/>
                <w:szCs w:val="20"/>
              </w:rPr>
            </w:pPr>
            <w:r w:rsidRPr="006D075E">
              <w:rPr>
                <w:rFonts w:ascii="Arial Narrow" w:hAnsi="Arial Narrow"/>
                <w:b/>
                <w:sz w:val="20"/>
                <w:szCs w:val="20"/>
              </w:rPr>
              <w:t>Rpts</w:t>
            </w:r>
          </w:p>
        </w:tc>
        <w:tc>
          <w:tcPr>
            <w:tcW w:w="1831" w:type="dxa"/>
            <w:vAlign w:val="center"/>
          </w:tcPr>
          <w:p w14:paraId="06B5E6E5" w14:textId="77777777" w:rsidR="00655CC5" w:rsidRPr="006D075E" w:rsidRDefault="00655CC5">
            <w:pPr>
              <w:keepLines/>
              <w:rPr>
                <w:rFonts w:ascii="Arial Narrow" w:hAnsi="Arial Narrow"/>
                <w:b/>
                <w:sz w:val="20"/>
                <w:szCs w:val="20"/>
              </w:rPr>
            </w:pPr>
            <w:r w:rsidRPr="006D075E">
              <w:rPr>
                <w:rFonts w:ascii="Arial Narrow" w:hAnsi="Arial Narrow"/>
                <w:b/>
                <w:sz w:val="20"/>
                <w:szCs w:val="20"/>
              </w:rPr>
              <w:t>Available brands</w:t>
            </w:r>
          </w:p>
        </w:tc>
      </w:tr>
      <w:tr w:rsidR="00655CC5" w:rsidRPr="006D075E" w14:paraId="44D247E4" w14:textId="77777777" w:rsidTr="00007534">
        <w:trPr>
          <w:cantSplit/>
          <w:trHeight w:val="20"/>
        </w:trPr>
        <w:tc>
          <w:tcPr>
            <w:tcW w:w="9017" w:type="dxa"/>
            <w:gridSpan w:val="6"/>
            <w:vAlign w:val="center"/>
          </w:tcPr>
          <w:p w14:paraId="20B46D50" w14:textId="77777777" w:rsidR="00655CC5" w:rsidRPr="006D075E" w:rsidRDefault="00655CC5">
            <w:pPr>
              <w:keepLines/>
              <w:rPr>
                <w:rFonts w:ascii="Arial Narrow" w:hAnsi="Arial Narrow"/>
                <w:sz w:val="20"/>
                <w:szCs w:val="20"/>
              </w:rPr>
            </w:pPr>
            <w:r w:rsidRPr="006D075E">
              <w:rPr>
                <w:rFonts w:ascii="Arial Narrow" w:hAnsi="Arial Narrow"/>
                <w:sz w:val="20"/>
                <w:szCs w:val="20"/>
              </w:rPr>
              <w:t>ACALABRUTINIB </w:t>
            </w:r>
          </w:p>
        </w:tc>
      </w:tr>
      <w:tr w:rsidR="00655CC5" w:rsidRPr="006D075E" w14:paraId="4F88EF6B" w14:textId="77777777" w:rsidTr="00007534">
        <w:trPr>
          <w:cantSplit/>
          <w:trHeight w:val="20"/>
        </w:trPr>
        <w:tc>
          <w:tcPr>
            <w:tcW w:w="3940" w:type="dxa"/>
          </w:tcPr>
          <w:p w14:paraId="521CC7A6" w14:textId="77777777" w:rsidR="00655CC5" w:rsidRPr="006D075E" w:rsidRDefault="00655CC5">
            <w:pPr>
              <w:keepLines/>
              <w:rPr>
                <w:rFonts w:ascii="Arial Narrow" w:hAnsi="Arial Narrow"/>
                <w:sz w:val="20"/>
                <w:szCs w:val="20"/>
              </w:rPr>
            </w:pPr>
            <w:r w:rsidRPr="006D075E">
              <w:rPr>
                <w:rFonts w:ascii="Arial Narrow" w:hAnsi="Arial Narrow"/>
                <w:sz w:val="20"/>
                <w:szCs w:val="20"/>
              </w:rPr>
              <w:t>acalabrutinib 100 mg tablet, 56</w:t>
            </w:r>
          </w:p>
        </w:tc>
        <w:tc>
          <w:tcPr>
            <w:tcW w:w="811" w:type="dxa"/>
            <w:vAlign w:val="center"/>
          </w:tcPr>
          <w:p w14:paraId="352412A2" w14:textId="77777777" w:rsidR="00655CC5" w:rsidRPr="006D075E" w:rsidRDefault="00655CC5">
            <w:pPr>
              <w:keepLines/>
              <w:jc w:val="center"/>
              <w:rPr>
                <w:rFonts w:ascii="Arial Narrow" w:hAnsi="Arial Narrow"/>
                <w:sz w:val="20"/>
                <w:szCs w:val="20"/>
              </w:rPr>
            </w:pPr>
            <w:r w:rsidRPr="006D075E">
              <w:rPr>
                <w:rFonts w:ascii="Arial Narrow" w:hAnsi="Arial Narrow"/>
                <w:sz w:val="20"/>
                <w:szCs w:val="20"/>
              </w:rPr>
              <w:t>New</w:t>
            </w:r>
          </w:p>
        </w:tc>
        <w:tc>
          <w:tcPr>
            <w:tcW w:w="812" w:type="dxa"/>
            <w:vAlign w:val="center"/>
          </w:tcPr>
          <w:p w14:paraId="43EB96D6" w14:textId="77777777" w:rsidR="00655CC5" w:rsidRPr="006D075E" w:rsidRDefault="00655CC5">
            <w:pPr>
              <w:keepLines/>
              <w:jc w:val="center"/>
              <w:rPr>
                <w:rFonts w:ascii="Arial Narrow" w:hAnsi="Arial Narrow"/>
                <w:sz w:val="20"/>
                <w:szCs w:val="20"/>
              </w:rPr>
            </w:pPr>
            <w:r w:rsidRPr="006D075E">
              <w:rPr>
                <w:rFonts w:ascii="Arial Narrow" w:hAnsi="Arial Narrow"/>
                <w:sz w:val="20"/>
                <w:szCs w:val="20"/>
              </w:rPr>
              <w:t>1</w:t>
            </w:r>
          </w:p>
        </w:tc>
        <w:tc>
          <w:tcPr>
            <w:tcW w:w="811" w:type="dxa"/>
            <w:vAlign w:val="center"/>
          </w:tcPr>
          <w:p w14:paraId="40065C3F" w14:textId="77777777" w:rsidR="00655CC5" w:rsidRPr="006D075E" w:rsidRDefault="00655CC5">
            <w:pPr>
              <w:keepLines/>
              <w:jc w:val="center"/>
              <w:rPr>
                <w:rFonts w:ascii="Arial Narrow" w:hAnsi="Arial Narrow"/>
                <w:sz w:val="20"/>
                <w:szCs w:val="20"/>
              </w:rPr>
            </w:pPr>
            <w:r w:rsidRPr="006D075E">
              <w:rPr>
                <w:rFonts w:ascii="Arial Narrow" w:hAnsi="Arial Narrow"/>
                <w:sz w:val="20"/>
                <w:szCs w:val="20"/>
              </w:rPr>
              <w:t>56</w:t>
            </w:r>
          </w:p>
        </w:tc>
        <w:tc>
          <w:tcPr>
            <w:tcW w:w="812" w:type="dxa"/>
            <w:vAlign w:val="center"/>
          </w:tcPr>
          <w:p w14:paraId="4F0DA1D2" w14:textId="77777777" w:rsidR="00655CC5" w:rsidRPr="006D075E" w:rsidRDefault="00655CC5">
            <w:pPr>
              <w:keepLines/>
              <w:jc w:val="center"/>
              <w:rPr>
                <w:rFonts w:ascii="Arial Narrow" w:hAnsi="Arial Narrow"/>
                <w:sz w:val="20"/>
                <w:szCs w:val="20"/>
              </w:rPr>
            </w:pPr>
            <w:r w:rsidRPr="006D075E">
              <w:rPr>
                <w:rFonts w:ascii="Arial Narrow" w:hAnsi="Arial Narrow"/>
                <w:sz w:val="20"/>
                <w:szCs w:val="20"/>
              </w:rPr>
              <w:t>5</w:t>
            </w:r>
          </w:p>
        </w:tc>
        <w:tc>
          <w:tcPr>
            <w:tcW w:w="1831" w:type="dxa"/>
            <w:vAlign w:val="center"/>
          </w:tcPr>
          <w:p w14:paraId="5905D353" w14:textId="77777777" w:rsidR="00655CC5" w:rsidRPr="006D075E" w:rsidRDefault="00655CC5">
            <w:pPr>
              <w:keepLines/>
              <w:jc w:val="center"/>
              <w:rPr>
                <w:rFonts w:ascii="Arial Narrow" w:hAnsi="Arial Narrow"/>
                <w:sz w:val="20"/>
                <w:szCs w:val="20"/>
              </w:rPr>
            </w:pPr>
            <w:proofErr w:type="spellStart"/>
            <w:r w:rsidRPr="006D075E">
              <w:rPr>
                <w:rFonts w:ascii="Arial Narrow" w:hAnsi="Arial Narrow"/>
                <w:sz w:val="20"/>
                <w:szCs w:val="20"/>
              </w:rPr>
              <w:t>calquence</w:t>
            </w:r>
            <w:proofErr w:type="spellEnd"/>
          </w:p>
        </w:tc>
      </w:tr>
    </w:tbl>
    <w:p w14:paraId="1113792B" w14:textId="56F1A1CE" w:rsidR="00007534" w:rsidRPr="006D075E" w:rsidRDefault="00007534">
      <w:pP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commended listing"/>
      </w:tblPr>
      <w:tblGrid>
        <w:gridCol w:w="488"/>
        <w:gridCol w:w="925"/>
        <w:gridCol w:w="7604"/>
      </w:tblGrid>
      <w:tr w:rsidR="00655CC5" w:rsidRPr="006D075E" w14:paraId="0BA59552" w14:textId="77777777" w:rsidTr="00007534">
        <w:trPr>
          <w:trHeight w:val="20"/>
        </w:trPr>
        <w:tc>
          <w:tcPr>
            <w:tcW w:w="9017" w:type="dxa"/>
            <w:gridSpan w:val="3"/>
            <w:tcBorders>
              <w:top w:val="single" w:sz="4" w:space="0" w:color="auto"/>
              <w:left w:val="single" w:sz="4" w:space="0" w:color="auto"/>
              <w:right w:val="single" w:sz="4" w:space="0" w:color="auto"/>
            </w:tcBorders>
            <w:vAlign w:val="center"/>
          </w:tcPr>
          <w:p w14:paraId="2437CC4E" w14:textId="266879C0" w:rsidR="00655CC5" w:rsidRPr="009B3352" w:rsidRDefault="00655CC5">
            <w:pPr>
              <w:keepLines/>
              <w:rPr>
                <w:rFonts w:ascii="Arial Narrow" w:hAnsi="Arial Narrow"/>
                <w:b/>
                <w:sz w:val="20"/>
                <w:szCs w:val="20"/>
              </w:rPr>
            </w:pPr>
            <w:r w:rsidRPr="009B3352">
              <w:rPr>
                <w:rFonts w:ascii="Arial Narrow" w:hAnsi="Arial Narrow"/>
                <w:b/>
                <w:sz w:val="20"/>
                <w:szCs w:val="20"/>
              </w:rPr>
              <w:t xml:space="preserve">Restriction Summary [new] / Treatment of Concept: [new] </w:t>
            </w:r>
          </w:p>
        </w:tc>
      </w:tr>
      <w:tr w:rsidR="00655CC5" w:rsidRPr="006D075E" w14:paraId="274124DC" w14:textId="77777777" w:rsidTr="00424C63">
        <w:trPr>
          <w:trHeight w:val="20"/>
        </w:trPr>
        <w:tc>
          <w:tcPr>
            <w:tcW w:w="1413" w:type="dxa"/>
            <w:gridSpan w:val="2"/>
            <w:vMerge w:val="restart"/>
            <w:tcBorders>
              <w:top w:val="single" w:sz="4" w:space="0" w:color="auto"/>
              <w:left w:val="single" w:sz="4" w:space="0" w:color="auto"/>
              <w:right w:val="single" w:sz="4" w:space="0" w:color="auto"/>
            </w:tcBorders>
          </w:tcPr>
          <w:p w14:paraId="6A5E1B1E" w14:textId="77777777" w:rsidR="00655CC5" w:rsidRPr="009B3352" w:rsidRDefault="00655CC5">
            <w:pPr>
              <w:jc w:val="center"/>
              <w:rPr>
                <w:rFonts w:ascii="Arial Narrow" w:hAnsi="Arial Narrow"/>
                <w:b/>
                <w:sz w:val="20"/>
                <w:szCs w:val="20"/>
              </w:rPr>
            </w:pPr>
            <w:r w:rsidRPr="009B3352">
              <w:rPr>
                <w:rFonts w:ascii="Arial Narrow" w:hAnsi="Arial Narrow"/>
                <w:b/>
                <w:sz w:val="20"/>
                <w:szCs w:val="20"/>
              </w:rPr>
              <w:t xml:space="preserve">Concept ID </w:t>
            </w:r>
            <w:r w:rsidRPr="009B3352">
              <w:rPr>
                <w:rFonts w:ascii="Arial Narrow" w:hAnsi="Arial Narrow"/>
                <w:sz w:val="20"/>
                <w:szCs w:val="20"/>
              </w:rPr>
              <w:t>(for internal Dept. use)</w:t>
            </w:r>
          </w:p>
        </w:tc>
        <w:tc>
          <w:tcPr>
            <w:tcW w:w="7604" w:type="dxa"/>
            <w:tcBorders>
              <w:top w:val="single" w:sz="4" w:space="0" w:color="auto"/>
              <w:left w:val="single" w:sz="4" w:space="0" w:color="auto"/>
              <w:bottom w:val="single" w:sz="4" w:space="0" w:color="auto"/>
              <w:right w:val="single" w:sz="4" w:space="0" w:color="auto"/>
            </w:tcBorders>
            <w:vAlign w:val="center"/>
          </w:tcPr>
          <w:p w14:paraId="37432DCF" w14:textId="77777777" w:rsidR="00655CC5" w:rsidRPr="009B3352" w:rsidRDefault="00655CC5">
            <w:pPr>
              <w:keepLines/>
              <w:rPr>
                <w:rFonts w:ascii="Arial Narrow" w:hAnsi="Arial Narrow"/>
                <w:sz w:val="20"/>
                <w:szCs w:val="20"/>
              </w:rPr>
            </w:pPr>
            <w:r w:rsidRPr="009B3352">
              <w:rPr>
                <w:rFonts w:ascii="Arial Narrow" w:hAnsi="Arial Narrow"/>
                <w:b/>
                <w:sz w:val="20"/>
                <w:szCs w:val="20"/>
              </w:rPr>
              <w:t>Category / Program:</w:t>
            </w:r>
            <w:r w:rsidRPr="009B3352">
              <w:rPr>
                <w:rFonts w:ascii="Arial Narrow" w:hAnsi="Arial Narrow"/>
                <w:color w:val="FF0000"/>
                <w:sz w:val="20"/>
                <w:szCs w:val="20"/>
              </w:rPr>
              <w:t xml:space="preserve"> </w:t>
            </w:r>
            <w:r w:rsidRPr="009B3352">
              <w:rPr>
                <w:rFonts w:ascii="Arial Narrow" w:eastAsia="Calibri" w:hAnsi="Arial Narrow"/>
                <w:sz w:val="20"/>
                <w:szCs w:val="20"/>
              </w:rPr>
              <w:fldChar w:fldCharType="begin">
                <w:ffData>
                  <w:name w:val="Check1"/>
                  <w:enabled/>
                  <w:calcOnExit w:val="0"/>
                  <w:checkBox>
                    <w:sizeAuto/>
                    <w:default w:val="1"/>
                  </w:checkBox>
                </w:ffData>
              </w:fldChar>
            </w:r>
            <w:r w:rsidRPr="009B3352">
              <w:rPr>
                <w:rFonts w:ascii="Arial Narrow" w:eastAsia="Calibri" w:hAnsi="Arial Narrow"/>
                <w:sz w:val="20"/>
                <w:szCs w:val="20"/>
              </w:rPr>
              <w:instrText xml:space="preserve"> FORMCHECKBOX </w:instrText>
            </w:r>
            <w:r w:rsidRPr="009B3352">
              <w:rPr>
                <w:rFonts w:ascii="Arial Narrow" w:eastAsia="Calibri" w:hAnsi="Arial Narrow"/>
                <w:sz w:val="20"/>
                <w:szCs w:val="20"/>
              </w:rPr>
            </w:r>
            <w:r w:rsidRPr="009B3352">
              <w:rPr>
                <w:rFonts w:ascii="Arial Narrow" w:eastAsia="Calibri" w:hAnsi="Arial Narrow"/>
                <w:sz w:val="20"/>
                <w:szCs w:val="20"/>
              </w:rPr>
              <w:fldChar w:fldCharType="separate"/>
            </w:r>
            <w:r w:rsidRPr="009B3352">
              <w:rPr>
                <w:rFonts w:ascii="Arial Narrow" w:eastAsia="Calibri" w:hAnsi="Arial Narrow"/>
                <w:sz w:val="20"/>
                <w:szCs w:val="20"/>
              </w:rPr>
              <w:fldChar w:fldCharType="end"/>
            </w:r>
            <w:r w:rsidRPr="009B3352">
              <w:rPr>
                <w:rFonts w:ascii="Arial Narrow" w:eastAsia="Calibri" w:hAnsi="Arial Narrow"/>
                <w:sz w:val="20"/>
                <w:szCs w:val="20"/>
              </w:rPr>
              <w:t xml:space="preserve"> GENERAL - General Schedule (Code GE) </w:t>
            </w:r>
          </w:p>
        </w:tc>
      </w:tr>
      <w:tr w:rsidR="00655CC5" w:rsidRPr="006D075E" w14:paraId="6A28EFE3" w14:textId="77777777" w:rsidTr="00424C63">
        <w:trPr>
          <w:trHeight w:val="20"/>
        </w:trPr>
        <w:tc>
          <w:tcPr>
            <w:tcW w:w="1413" w:type="dxa"/>
            <w:gridSpan w:val="2"/>
            <w:vMerge/>
            <w:tcBorders>
              <w:left w:val="single" w:sz="4" w:space="0" w:color="auto"/>
              <w:right w:val="single" w:sz="4" w:space="0" w:color="auto"/>
            </w:tcBorders>
          </w:tcPr>
          <w:p w14:paraId="092FCA6A" w14:textId="77777777" w:rsidR="00655CC5" w:rsidRPr="009B3352" w:rsidRDefault="00655CC5">
            <w:pPr>
              <w:rPr>
                <w:rFonts w:ascii="Arial Narrow" w:hAnsi="Arial Narrow"/>
                <w:sz w:val="20"/>
                <w:szCs w:val="20"/>
              </w:rPr>
            </w:pPr>
          </w:p>
        </w:tc>
        <w:tc>
          <w:tcPr>
            <w:tcW w:w="7604" w:type="dxa"/>
            <w:tcBorders>
              <w:top w:val="single" w:sz="4" w:space="0" w:color="auto"/>
              <w:left w:val="single" w:sz="4" w:space="0" w:color="auto"/>
              <w:bottom w:val="single" w:sz="4" w:space="0" w:color="auto"/>
              <w:right w:val="single" w:sz="4" w:space="0" w:color="auto"/>
            </w:tcBorders>
            <w:vAlign w:val="center"/>
          </w:tcPr>
          <w:p w14:paraId="09750AB8" w14:textId="77777777" w:rsidR="00655CC5" w:rsidRPr="009B3352" w:rsidRDefault="00655CC5">
            <w:pPr>
              <w:keepLines/>
            </w:pPr>
            <w:r w:rsidRPr="009B3352">
              <w:rPr>
                <w:rFonts w:ascii="Arial Narrow" w:hAnsi="Arial Narrow"/>
                <w:b/>
                <w:sz w:val="20"/>
                <w:szCs w:val="20"/>
              </w:rPr>
              <w:t xml:space="preserve">Prescriber type: </w:t>
            </w:r>
            <w:r w:rsidRPr="009B3352">
              <w:rPr>
                <w:rFonts w:ascii="Arial Narrow" w:hAnsi="Arial Narrow"/>
                <w:sz w:val="20"/>
                <w:szCs w:val="20"/>
              </w:rPr>
              <w:fldChar w:fldCharType="begin">
                <w:ffData>
                  <w:name w:val=""/>
                  <w:enabled/>
                  <w:calcOnExit w:val="0"/>
                  <w:checkBox>
                    <w:sizeAuto/>
                    <w:default w:val="1"/>
                  </w:checkBox>
                </w:ffData>
              </w:fldChar>
            </w:r>
            <w:r w:rsidRPr="009B3352">
              <w:rPr>
                <w:rFonts w:ascii="Arial Narrow" w:hAnsi="Arial Narrow"/>
                <w:sz w:val="20"/>
                <w:szCs w:val="20"/>
              </w:rPr>
              <w:instrText xml:space="preserve"> FORMCHECKBOX </w:instrText>
            </w:r>
            <w:r w:rsidRPr="009B3352">
              <w:rPr>
                <w:rFonts w:ascii="Arial Narrow" w:hAnsi="Arial Narrow"/>
                <w:sz w:val="20"/>
                <w:szCs w:val="20"/>
              </w:rPr>
            </w:r>
            <w:r w:rsidRPr="009B3352">
              <w:rPr>
                <w:rFonts w:ascii="Arial Narrow" w:hAnsi="Arial Narrow"/>
                <w:sz w:val="20"/>
                <w:szCs w:val="20"/>
              </w:rPr>
              <w:fldChar w:fldCharType="separate"/>
            </w:r>
            <w:r w:rsidRPr="009B3352">
              <w:rPr>
                <w:rFonts w:ascii="Arial Narrow" w:hAnsi="Arial Narrow"/>
                <w:sz w:val="20"/>
                <w:szCs w:val="20"/>
              </w:rPr>
              <w:fldChar w:fldCharType="end"/>
            </w:r>
            <w:r w:rsidRPr="009B3352">
              <w:rPr>
                <w:rFonts w:ascii="Arial Narrow" w:hAnsi="Arial Narrow"/>
                <w:sz w:val="20"/>
                <w:szCs w:val="20"/>
              </w:rPr>
              <w:t xml:space="preserve">Medical Practitioners </w:t>
            </w:r>
          </w:p>
        </w:tc>
      </w:tr>
      <w:tr w:rsidR="00655CC5" w:rsidRPr="006D075E" w14:paraId="7F2B79AD" w14:textId="77777777" w:rsidTr="00424C63">
        <w:trPr>
          <w:trHeight w:val="20"/>
        </w:trPr>
        <w:tc>
          <w:tcPr>
            <w:tcW w:w="1413" w:type="dxa"/>
            <w:gridSpan w:val="2"/>
            <w:vMerge/>
            <w:tcBorders>
              <w:left w:val="single" w:sz="4" w:space="0" w:color="auto"/>
              <w:right w:val="single" w:sz="4" w:space="0" w:color="auto"/>
            </w:tcBorders>
          </w:tcPr>
          <w:p w14:paraId="3F87B666" w14:textId="77777777" w:rsidR="00655CC5" w:rsidRPr="009B3352" w:rsidRDefault="00655CC5">
            <w:pPr>
              <w:rPr>
                <w:rFonts w:ascii="Arial Narrow" w:hAnsi="Arial Narrow"/>
                <w:sz w:val="20"/>
                <w:szCs w:val="20"/>
              </w:rPr>
            </w:pPr>
          </w:p>
        </w:tc>
        <w:tc>
          <w:tcPr>
            <w:tcW w:w="7604" w:type="dxa"/>
            <w:tcBorders>
              <w:top w:val="single" w:sz="4" w:space="0" w:color="auto"/>
              <w:left w:val="single" w:sz="4" w:space="0" w:color="auto"/>
              <w:bottom w:val="single" w:sz="4" w:space="0" w:color="auto"/>
              <w:right w:val="single" w:sz="4" w:space="0" w:color="auto"/>
            </w:tcBorders>
            <w:vAlign w:val="center"/>
          </w:tcPr>
          <w:p w14:paraId="546D4636" w14:textId="77777777" w:rsidR="00655CC5" w:rsidRPr="009B3352" w:rsidRDefault="00655CC5">
            <w:pPr>
              <w:keepLines/>
              <w:rPr>
                <w:rFonts w:ascii="Arial Narrow" w:eastAsia="Calibri" w:hAnsi="Arial Narrow"/>
                <w:color w:val="FF0000"/>
                <w:sz w:val="20"/>
                <w:szCs w:val="20"/>
              </w:rPr>
            </w:pPr>
            <w:r w:rsidRPr="009B3352">
              <w:rPr>
                <w:rFonts w:ascii="Arial Narrow" w:hAnsi="Arial Narrow"/>
                <w:b/>
                <w:sz w:val="20"/>
                <w:szCs w:val="20"/>
              </w:rPr>
              <w:t xml:space="preserve">Restriction type: </w:t>
            </w:r>
            <w:r w:rsidRPr="009B3352">
              <w:rPr>
                <w:rFonts w:ascii="Arial Narrow" w:eastAsia="Calibri" w:hAnsi="Arial Narrow"/>
                <w:sz w:val="20"/>
                <w:szCs w:val="20"/>
              </w:rPr>
              <w:fldChar w:fldCharType="begin">
                <w:ffData>
                  <w:name w:val="Check3"/>
                  <w:enabled/>
                  <w:calcOnExit w:val="0"/>
                  <w:checkBox>
                    <w:sizeAuto/>
                    <w:default w:val="1"/>
                  </w:checkBox>
                </w:ffData>
              </w:fldChar>
            </w:r>
            <w:r w:rsidRPr="009B3352">
              <w:rPr>
                <w:rFonts w:ascii="Arial Narrow" w:eastAsia="Calibri" w:hAnsi="Arial Narrow"/>
                <w:sz w:val="20"/>
                <w:szCs w:val="20"/>
              </w:rPr>
              <w:instrText xml:space="preserve"> FORMCHECKBOX </w:instrText>
            </w:r>
            <w:r w:rsidRPr="009B3352">
              <w:rPr>
                <w:rFonts w:ascii="Arial Narrow" w:eastAsia="Calibri" w:hAnsi="Arial Narrow"/>
                <w:sz w:val="20"/>
                <w:szCs w:val="20"/>
              </w:rPr>
            </w:r>
            <w:r w:rsidRPr="009B3352">
              <w:rPr>
                <w:rFonts w:ascii="Arial Narrow" w:eastAsia="Calibri" w:hAnsi="Arial Narrow"/>
                <w:sz w:val="20"/>
                <w:szCs w:val="20"/>
              </w:rPr>
              <w:fldChar w:fldCharType="separate"/>
            </w:r>
            <w:r w:rsidRPr="009B3352">
              <w:rPr>
                <w:rFonts w:ascii="Arial Narrow" w:eastAsia="Calibri" w:hAnsi="Arial Narrow"/>
                <w:sz w:val="20"/>
                <w:szCs w:val="20"/>
              </w:rPr>
              <w:fldChar w:fldCharType="end"/>
            </w:r>
            <w:r w:rsidRPr="009B3352">
              <w:rPr>
                <w:rFonts w:ascii="Arial Narrow" w:eastAsia="Calibri" w:hAnsi="Arial Narrow"/>
                <w:sz w:val="20"/>
                <w:szCs w:val="20"/>
              </w:rPr>
              <w:t xml:space="preserve">Authority Required (telephone/electronic (immediate assessment)) </w:t>
            </w:r>
          </w:p>
        </w:tc>
      </w:tr>
      <w:tr w:rsidR="00655CC5" w:rsidRPr="006D075E" w14:paraId="04F87952" w14:textId="77777777" w:rsidTr="00424C63">
        <w:tblPrEx>
          <w:tblLook w:val="0000" w:firstRow="0" w:lastRow="0" w:firstColumn="0" w:lastColumn="0" w:noHBand="0" w:noVBand="0"/>
        </w:tblPrEx>
        <w:trPr>
          <w:trHeight w:val="20"/>
        </w:trPr>
        <w:tc>
          <w:tcPr>
            <w:tcW w:w="488" w:type="dxa"/>
            <w:vMerge w:val="restart"/>
            <w:tcBorders>
              <w:left w:val="single" w:sz="4" w:space="0" w:color="auto"/>
              <w:right w:val="single" w:sz="4" w:space="0" w:color="auto"/>
            </w:tcBorders>
            <w:textDirection w:val="btLr"/>
            <w:vAlign w:val="center"/>
          </w:tcPr>
          <w:p w14:paraId="41E7EFE9" w14:textId="77777777" w:rsidR="00655CC5" w:rsidRPr="009B3352" w:rsidRDefault="00655CC5">
            <w:pPr>
              <w:rPr>
                <w:rFonts w:ascii="Arial Narrow" w:hAnsi="Arial Narrow"/>
                <w:sz w:val="20"/>
                <w:szCs w:val="20"/>
              </w:rPr>
            </w:pPr>
            <w:r w:rsidRPr="009B3352">
              <w:rPr>
                <w:rFonts w:ascii="Arial Narrow" w:hAnsi="Arial Narrow"/>
                <w:sz w:val="20"/>
                <w:szCs w:val="20"/>
              </w:rPr>
              <w:t>Prescribing rule level</w:t>
            </w:r>
          </w:p>
        </w:tc>
        <w:tc>
          <w:tcPr>
            <w:tcW w:w="925" w:type="dxa"/>
            <w:tcBorders>
              <w:top w:val="single" w:sz="4" w:space="0" w:color="auto"/>
              <w:left w:val="nil"/>
              <w:bottom w:val="single" w:sz="4" w:space="0" w:color="auto"/>
              <w:right w:val="single" w:sz="4" w:space="0" w:color="auto"/>
            </w:tcBorders>
          </w:tcPr>
          <w:p w14:paraId="79EBA677" w14:textId="4F453ED1" w:rsidR="00655CC5" w:rsidRPr="009B3352" w:rsidRDefault="00655CC5">
            <w:pPr>
              <w:jc w:val="center"/>
              <w:rPr>
                <w:rFonts w:ascii="Arial Narrow" w:hAnsi="Arial Narrow"/>
                <w:color w:val="333333"/>
                <w:sz w:val="20"/>
                <w:szCs w:val="20"/>
              </w:rPr>
            </w:pPr>
          </w:p>
        </w:tc>
        <w:tc>
          <w:tcPr>
            <w:tcW w:w="7604" w:type="dxa"/>
            <w:tcBorders>
              <w:top w:val="single" w:sz="4" w:space="0" w:color="auto"/>
              <w:left w:val="single" w:sz="4" w:space="0" w:color="auto"/>
              <w:bottom w:val="single" w:sz="4" w:space="0" w:color="auto"/>
              <w:right w:val="single" w:sz="4" w:space="0" w:color="auto"/>
            </w:tcBorders>
          </w:tcPr>
          <w:p w14:paraId="605E27DA" w14:textId="77777777" w:rsidR="00655CC5" w:rsidRPr="009B3352" w:rsidRDefault="00655CC5">
            <w:pPr>
              <w:pStyle w:val="NormalWeb"/>
              <w:spacing w:before="0" w:beforeAutospacing="0" w:after="0" w:afterAutospacing="0"/>
              <w:textAlignment w:val="baseline"/>
              <w:rPr>
                <w:rFonts w:ascii="Arial Narrow" w:hAnsi="Arial Narrow" w:cs="Open Sans"/>
                <w:color w:val="333333"/>
                <w:sz w:val="20"/>
                <w:szCs w:val="20"/>
              </w:rPr>
            </w:pPr>
            <w:r w:rsidRPr="009B3352">
              <w:rPr>
                <w:rStyle w:val="Strong"/>
                <w:rFonts w:ascii="Arial Narrow" w:hAnsi="Arial Narrow" w:cs="Open Sans"/>
                <w:color w:val="333333"/>
                <w:sz w:val="20"/>
                <w:szCs w:val="20"/>
                <w:bdr w:val="none" w:sz="0" w:space="0" w:color="auto" w:frame="1"/>
              </w:rPr>
              <w:t>Administrative Advice:</w:t>
            </w:r>
          </w:p>
          <w:p w14:paraId="172BC385" w14:textId="77777777" w:rsidR="00655CC5" w:rsidRPr="009B3352" w:rsidRDefault="00655CC5">
            <w:pPr>
              <w:rPr>
                <w:rFonts w:ascii="Arial Narrow" w:hAnsi="Arial Narrow"/>
                <w:b/>
                <w:color w:val="333333"/>
                <w:sz w:val="20"/>
                <w:szCs w:val="20"/>
              </w:rPr>
            </w:pPr>
            <w:r w:rsidRPr="009B3352">
              <w:rPr>
                <w:rFonts w:ascii="Arial Narrow" w:hAnsi="Arial Narrow" w:cs="Open San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655CC5" w:rsidRPr="006D075E" w14:paraId="0FDEB149" w14:textId="77777777" w:rsidTr="00424C63">
        <w:tblPrEx>
          <w:tblLook w:val="0000" w:firstRow="0" w:lastRow="0" w:firstColumn="0" w:lastColumn="0" w:noHBand="0" w:noVBand="0"/>
        </w:tblPrEx>
        <w:trPr>
          <w:trHeight w:val="427"/>
        </w:trPr>
        <w:tc>
          <w:tcPr>
            <w:tcW w:w="488" w:type="dxa"/>
            <w:vMerge/>
            <w:tcBorders>
              <w:left w:val="single" w:sz="4" w:space="0" w:color="auto"/>
              <w:right w:val="single" w:sz="4" w:space="0" w:color="auto"/>
            </w:tcBorders>
            <w:textDirection w:val="btLr"/>
            <w:vAlign w:val="center"/>
          </w:tcPr>
          <w:p w14:paraId="4B52F483" w14:textId="77777777" w:rsidR="00655CC5" w:rsidRPr="009B3352" w:rsidRDefault="00655CC5">
            <w:pPr>
              <w:rPr>
                <w:rFonts w:ascii="Arial Narrow" w:hAnsi="Arial Narrow"/>
                <w:sz w:val="20"/>
                <w:szCs w:val="20"/>
              </w:rPr>
            </w:pPr>
          </w:p>
        </w:tc>
        <w:tc>
          <w:tcPr>
            <w:tcW w:w="925" w:type="dxa"/>
            <w:tcBorders>
              <w:top w:val="single" w:sz="4" w:space="0" w:color="auto"/>
              <w:left w:val="nil"/>
              <w:right w:val="single" w:sz="4" w:space="0" w:color="auto"/>
            </w:tcBorders>
          </w:tcPr>
          <w:p w14:paraId="487B287F" w14:textId="2E87C9F8" w:rsidR="00655CC5" w:rsidRPr="009B3352" w:rsidRDefault="00655CC5">
            <w:pPr>
              <w:jc w:val="center"/>
              <w:rPr>
                <w:rFonts w:ascii="Arial Narrow" w:hAnsi="Arial Narrow" w:cs="Open Sans"/>
                <w:color w:val="333333"/>
                <w:sz w:val="20"/>
                <w:szCs w:val="20"/>
              </w:rPr>
            </w:pPr>
          </w:p>
        </w:tc>
        <w:tc>
          <w:tcPr>
            <w:tcW w:w="7604" w:type="dxa"/>
            <w:tcBorders>
              <w:top w:val="single" w:sz="4" w:space="0" w:color="auto"/>
              <w:left w:val="single" w:sz="4" w:space="0" w:color="auto"/>
              <w:right w:val="single" w:sz="4" w:space="0" w:color="auto"/>
            </w:tcBorders>
          </w:tcPr>
          <w:p w14:paraId="37CD60FC" w14:textId="77777777" w:rsidR="00655CC5" w:rsidRPr="009B3352" w:rsidRDefault="00655CC5">
            <w:pPr>
              <w:pStyle w:val="NormalWeb"/>
              <w:contextualSpacing/>
              <w:textAlignment w:val="baseline"/>
              <w:rPr>
                <w:rStyle w:val="Strong"/>
                <w:rFonts w:ascii="Arial Narrow" w:hAnsi="Arial Narrow" w:cs="Open Sans"/>
                <w:color w:val="333333"/>
                <w:sz w:val="20"/>
                <w:szCs w:val="20"/>
                <w:bdr w:val="none" w:sz="0" w:space="0" w:color="auto" w:frame="1"/>
              </w:rPr>
            </w:pPr>
            <w:r w:rsidRPr="009B3352">
              <w:rPr>
                <w:rStyle w:val="Strong"/>
                <w:rFonts w:ascii="Arial Narrow" w:hAnsi="Arial Narrow" w:cs="Open Sans"/>
                <w:color w:val="333333"/>
                <w:sz w:val="20"/>
                <w:szCs w:val="20"/>
                <w:bdr w:val="none" w:sz="0" w:space="0" w:color="auto" w:frame="1"/>
              </w:rPr>
              <w:t>Administrative Advice:</w:t>
            </w:r>
          </w:p>
          <w:p w14:paraId="5D0E7D03" w14:textId="77777777" w:rsidR="00655CC5" w:rsidRPr="009B3352" w:rsidRDefault="00655CC5">
            <w:pPr>
              <w:pStyle w:val="NormalWeb"/>
              <w:spacing w:before="0" w:after="0"/>
              <w:textAlignment w:val="baseline"/>
              <w:rPr>
                <w:rStyle w:val="Strong"/>
                <w:rFonts w:ascii="Arial Narrow" w:hAnsi="Arial Narrow" w:cs="Open Sans"/>
                <w:color w:val="333333"/>
                <w:sz w:val="20"/>
                <w:szCs w:val="20"/>
                <w:bdr w:val="none" w:sz="0" w:space="0" w:color="auto" w:frame="1"/>
              </w:rPr>
            </w:pPr>
            <w:r w:rsidRPr="009B3352">
              <w:rPr>
                <w:rFonts w:ascii="Arial Narrow" w:hAnsi="Arial Narrow" w:cs="Open Sans"/>
                <w:color w:val="333333"/>
                <w:sz w:val="20"/>
                <w:szCs w:val="20"/>
                <w:bdr w:val="none" w:sz="0" w:space="0" w:color="auto" w:frame="1"/>
              </w:rPr>
              <w:t>No increase in the maximum quantity or number of units may be authorised.</w:t>
            </w:r>
          </w:p>
        </w:tc>
      </w:tr>
      <w:tr w:rsidR="00655CC5" w:rsidRPr="006D075E" w14:paraId="176B602F" w14:textId="77777777" w:rsidTr="00424C63">
        <w:tblPrEx>
          <w:tblLook w:val="0000" w:firstRow="0" w:lastRow="0" w:firstColumn="0" w:lastColumn="0" w:noHBand="0" w:noVBand="0"/>
        </w:tblPrEx>
        <w:trPr>
          <w:trHeight w:val="20"/>
        </w:trPr>
        <w:tc>
          <w:tcPr>
            <w:tcW w:w="488" w:type="dxa"/>
            <w:vMerge/>
            <w:tcBorders>
              <w:left w:val="single" w:sz="4" w:space="0" w:color="auto"/>
              <w:right w:val="single" w:sz="4" w:space="0" w:color="auto"/>
            </w:tcBorders>
            <w:textDirection w:val="btLr"/>
            <w:vAlign w:val="center"/>
          </w:tcPr>
          <w:p w14:paraId="6D440526" w14:textId="77777777" w:rsidR="00655CC5" w:rsidRPr="009B3352" w:rsidRDefault="00655CC5">
            <w:pPr>
              <w:rPr>
                <w:rFonts w:ascii="Arial Narrow" w:hAnsi="Arial Narrow"/>
                <w:sz w:val="20"/>
                <w:szCs w:val="20"/>
              </w:rPr>
            </w:pPr>
          </w:p>
        </w:tc>
        <w:tc>
          <w:tcPr>
            <w:tcW w:w="925" w:type="dxa"/>
            <w:tcBorders>
              <w:top w:val="single" w:sz="4" w:space="0" w:color="auto"/>
              <w:left w:val="nil"/>
              <w:bottom w:val="single" w:sz="4" w:space="0" w:color="auto"/>
              <w:right w:val="single" w:sz="4" w:space="0" w:color="auto"/>
            </w:tcBorders>
          </w:tcPr>
          <w:p w14:paraId="65867585" w14:textId="2A5BF41B" w:rsidR="00655CC5" w:rsidRPr="009B3352" w:rsidRDefault="00655CC5">
            <w:pPr>
              <w:jc w:val="center"/>
              <w:rPr>
                <w:rFonts w:ascii="Arial Narrow" w:hAnsi="Arial Narrow" w:cs="Open Sans"/>
                <w:color w:val="333333"/>
                <w:sz w:val="20"/>
                <w:szCs w:val="20"/>
              </w:rPr>
            </w:pPr>
          </w:p>
        </w:tc>
        <w:tc>
          <w:tcPr>
            <w:tcW w:w="7604" w:type="dxa"/>
            <w:tcBorders>
              <w:top w:val="single" w:sz="4" w:space="0" w:color="auto"/>
              <w:left w:val="single" w:sz="4" w:space="0" w:color="auto"/>
              <w:bottom w:val="single" w:sz="4" w:space="0" w:color="auto"/>
              <w:right w:val="single" w:sz="4" w:space="0" w:color="auto"/>
            </w:tcBorders>
          </w:tcPr>
          <w:p w14:paraId="72574CC0" w14:textId="77777777" w:rsidR="00655CC5" w:rsidRPr="009B3352" w:rsidRDefault="00655CC5">
            <w:pPr>
              <w:pStyle w:val="NormalWeb"/>
              <w:contextualSpacing/>
              <w:textAlignment w:val="baseline"/>
              <w:rPr>
                <w:rStyle w:val="Strong"/>
                <w:rFonts w:ascii="Arial Narrow" w:hAnsi="Arial Narrow" w:cs="Open Sans"/>
                <w:color w:val="333333"/>
                <w:sz w:val="20"/>
                <w:szCs w:val="20"/>
                <w:bdr w:val="none" w:sz="0" w:space="0" w:color="auto" w:frame="1"/>
              </w:rPr>
            </w:pPr>
            <w:r w:rsidRPr="009B3352">
              <w:rPr>
                <w:rStyle w:val="Strong"/>
                <w:rFonts w:ascii="Arial Narrow" w:hAnsi="Arial Narrow" w:cs="Open Sans"/>
                <w:color w:val="333333"/>
                <w:sz w:val="20"/>
                <w:szCs w:val="20"/>
                <w:bdr w:val="none" w:sz="0" w:space="0" w:color="auto" w:frame="1"/>
              </w:rPr>
              <w:t>Administrative Advice:</w:t>
            </w:r>
          </w:p>
          <w:p w14:paraId="1A284F00" w14:textId="77777777" w:rsidR="00655CC5" w:rsidRPr="009B3352" w:rsidRDefault="00655CC5">
            <w:pPr>
              <w:pStyle w:val="NormalWeb"/>
              <w:spacing w:before="0" w:beforeAutospacing="0" w:after="0" w:afterAutospacing="0"/>
              <w:textAlignment w:val="baseline"/>
              <w:rPr>
                <w:rStyle w:val="Strong"/>
                <w:rFonts w:ascii="Arial Narrow" w:hAnsi="Arial Narrow" w:cs="Open Sans"/>
                <w:color w:val="333333"/>
                <w:sz w:val="20"/>
                <w:szCs w:val="20"/>
                <w:bdr w:val="none" w:sz="0" w:space="0" w:color="auto" w:frame="1"/>
              </w:rPr>
            </w:pPr>
            <w:r w:rsidRPr="009B3352">
              <w:rPr>
                <w:rFonts w:ascii="Arial Narrow" w:hAnsi="Arial Narrow" w:cs="Open Sans"/>
                <w:color w:val="333333"/>
                <w:sz w:val="20"/>
                <w:szCs w:val="20"/>
                <w:bdr w:val="none" w:sz="0" w:space="0" w:color="auto" w:frame="1"/>
              </w:rPr>
              <w:t>No increase in the maximum number of repeats may be authorised.</w:t>
            </w:r>
          </w:p>
        </w:tc>
      </w:tr>
      <w:tr w:rsidR="00655CC5" w:rsidRPr="006D075E" w14:paraId="4CD93AF3" w14:textId="77777777" w:rsidTr="00424C63">
        <w:trPr>
          <w:cantSplit/>
          <w:trHeight w:val="20"/>
        </w:trPr>
        <w:tc>
          <w:tcPr>
            <w:tcW w:w="1413" w:type="dxa"/>
            <w:gridSpan w:val="2"/>
            <w:vMerge w:val="restart"/>
            <w:vAlign w:val="center"/>
          </w:tcPr>
          <w:p w14:paraId="0D55B2DC" w14:textId="77777777" w:rsidR="00655CC5" w:rsidRPr="009B3352" w:rsidRDefault="00655CC5">
            <w:pPr>
              <w:keepLines/>
              <w:jc w:val="center"/>
              <w:rPr>
                <w:rFonts w:ascii="Arial Narrow" w:hAnsi="Arial Narrow"/>
                <w:color w:val="333333"/>
                <w:sz w:val="20"/>
                <w:szCs w:val="20"/>
              </w:rPr>
            </w:pPr>
          </w:p>
        </w:tc>
        <w:tc>
          <w:tcPr>
            <w:tcW w:w="7604" w:type="dxa"/>
            <w:vAlign w:val="center"/>
          </w:tcPr>
          <w:p w14:paraId="2BBB55D9" w14:textId="77777777" w:rsidR="00655CC5" w:rsidRPr="009B3352" w:rsidRDefault="00655CC5">
            <w:pPr>
              <w:keepLines/>
              <w:rPr>
                <w:rFonts w:ascii="Arial Narrow" w:hAnsi="Arial Narrow"/>
                <w:sz w:val="20"/>
                <w:szCs w:val="20"/>
              </w:rPr>
            </w:pPr>
            <w:proofErr w:type="spellStart"/>
            <w:r w:rsidRPr="009B3352">
              <w:rPr>
                <w:rFonts w:ascii="Arial Narrow" w:hAnsi="Arial Narrow"/>
                <w:b/>
                <w:color w:val="BFBFBF" w:themeColor="background1" w:themeShade="BF"/>
                <w:sz w:val="20"/>
                <w:szCs w:val="20"/>
              </w:rPr>
              <w:t>Episodicity</w:t>
            </w:r>
            <w:proofErr w:type="spellEnd"/>
            <w:r w:rsidRPr="009B3352">
              <w:rPr>
                <w:rFonts w:ascii="Arial Narrow" w:hAnsi="Arial Narrow"/>
                <w:b/>
                <w:color w:val="BFBFBF" w:themeColor="background1" w:themeShade="BF"/>
                <w:sz w:val="20"/>
                <w:szCs w:val="20"/>
              </w:rPr>
              <w:t xml:space="preserve">: </w:t>
            </w:r>
            <w:r w:rsidRPr="009B3352">
              <w:rPr>
                <w:rFonts w:ascii="Arial Narrow" w:hAnsi="Arial Narrow"/>
                <w:color w:val="BFBFBF" w:themeColor="background1" w:themeShade="BF"/>
                <w:sz w:val="20"/>
                <w:szCs w:val="20"/>
              </w:rPr>
              <w:t xml:space="preserve">[blank] </w:t>
            </w:r>
          </w:p>
        </w:tc>
      </w:tr>
      <w:tr w:rsidR="00655CC5" w:rsidRPr="006D075E" w14:paraId="4B261D2F" w14:textId="77777777" w:rsidTr="00424C63">
        <w:trPr>
          <w:cantSplit/>
          <w:trHeight w:val="20"/>
        </w:trPr>
        <w:tc>
          <w:tcPr>
            <w:tcW w:w="1413" w:type="dxa"/>
            <w:gridSpan w:val="2"/>
            <w:vMerge/>
            <w:vAlign w:val="center"/>
          </w:tcPr>
          <w:p w14:paraId="44B7634E" w14:textId="77777777" w:rsidR="00655CC5" w:rsidRPr="009B3352" w:rsidRDefault="00655CC5">
            <w:pPr>
              <w:keepLines/>
              <w:jc w:val="center"/>
              <w:rPr>
                <w:rFonts w:ascii="Arial Narrow" w:hAnsi="Arial Narrow"/>
                <w:color w:val="333333"/>
                <w:sz w:val="20"/>
                <w:szCs w:val="20"/>
              </w:rPr>
            </w:pPr>
          </w:p>
        </w:tc>
        <w:tc>
          <w:tcPr>
            <w:tcW w:w="7604" w:type="dxa"/>
            <w:vAlign w:val="center"/>
          </w:tcPr>
          <w:p w14:paraId="4A6977CF" w14:textId="5E60F2A8" w:rsidR="00655CC5" w:rsidRPr="009B3352" w:rsidRDefault="00655CC5">
            <w:pPr>
              <w:keepLines/>
              <w:rPr>
                <w:rFonts w:ascii="Arial Narrow" w:hAnsi="Arial Narrow"/>
                <w:b/>
                <w:sz w:val="20"/>
                <w:szCs w:val="20"/>
              </w:rPr>
            </w:pPr>
            <w:r w:rsidRPr="009B3352">
              <w:rPr>
                <w:rFonts w:ascii="Arial Narrow" w:hAnsi="Arial Narrow"/>
                <w:b/>
                <w:sz w:val="20"/>
                <w:szCs w:val="20"/>
              </w:rPr>
              <w:t xml:space="preserve">Severity: </w:t>
            </w:r>
            <w:r w:rsidRPr="009B3352">
              <w:rPr>
                <w:rFonts w:ascii="Arial Narrow" w:hAnsi="Arial Narrow"/>
                <w:sz w:val="20"/>
                <w:szCs w:val="20"/>
              </w:rPr>
              <w:t>Stage III or IV mantle cell lymphoma </w:t>
            </w:r>
          </w:p>
        </w:tc>
      </w:tr>
      <w:tr w:rsidR="00655CC5" w:rsidRPr="006D075E" w14:paraId="0B06B651" w14:textId="77777777" w:rsidTr="00424C63">
        <w:trPr>
          <w:cantSplit/>
          <w:trHeight w:val="20"/>
        </w:trPr>
        <w:tc>
          <w:tcPr>
            <w:tcW w:w="1413" w:type="dxa"/>
            <w:gridSpan w:val="2"/>
            <w:vMerge/>
            <w:vAlign w:val="center"/>
          </w:tcPr>
          <w:p w14:paraId="103A7DE0" w14:textId="77777777" w:rsidR="00655CC5" w:rsidRPr="009B3352" w:rsidRDefault="00655CC5">
            <w:pPr>
              <w:keepLines/>
              <w:jc w:val="center"/>
              <w:rPr>
                <w:rFonts w:ascii="Arial Narrow" w:hAnsi="Arial Narrow"/>
                <w:color w:val="333333"/>
                <w:sz w:val="20"/>
                <w:szCs w:val="20"/>
              </w:rPr>
            </w:pPr>
          </w:p>
        </w:tc>
        <w:tc>
          <w:tcPr>
            <w:tcW w:w="7604" w:type="dxa"/>
            <w:vAlign w:val="center"/>
          </w:tcPr>
          <w:p w14:paraId="2EFBC022" w14:textId="5D65D826" w:rsidR="00655CC5" w:rsidRPr="009B3352" w:rsidRDefault="00655CC5">
            <w:pPr>
              <w:keepLines/>
              <w:rPr>
                <w:rFonts w:ascii="Arial Narrow" w:hAnsi="Arial Narrow"/>
                <w:b/>
                <w:color w:val="333333"/>
                <w:sz w:val="20"/>
                <w:szCs w:val="20"/>
              </w:rPr>
            </w:pPr>
            <w:r w:rsidRPr="009B3352">
              <w:rPr>
                <w:rFonts w:ascii="Arial Narrow" w:hAnsi="Arial Narrow"/>
                <w:b/>
                <w:color w:val="333333"/>
                <w:sz w:val="20"/>
                <w:szCs w:val="20"/>
              </w:rPr>
              <w:t xml:space="preserve">Condition: </w:t>
            </w:r>
            <w:r w:rsidRPr="009B3352">
              <w:rPr>
                <w:rFonts w:ascii="Arial Narrow" w:hAnsi="Arial Narrow"/>
                <w:color w:val="333333"/>
                <w:sz w:val="20"/>
                <w:szCs w:val="20"/>
              </w:rPr>
              <w:t>Mantle cell lymphoma </w:t>
            </w:r>
          </w:p>
        </w:tc>
      </w:tr>
      <w:tr w:rsidR="00655CC5" w:rsidRPr="006D075E" w14:paraId="284D39B6" w14:textId="77777777" w:rsidTr="00424C63">
        <w:trPr>
          <w:cantSplit/>
          <w:trHeight w:val="20"/>
        </w:trPr>
        <w:tc>
          <w:tcPr>
            <w:tcW w:w="1413" w:type="dxa"/>
            <w:gridSpan w:val="2"/>
            <w:vAlign w:val="center"/>
            <w:hideMark/>
          </w:tcPr>
          <w:p w14:paraId="1B8CEC5D" w14:textId="24B06E73" w:rsidR="00655CC5" w:rsidRPr="009B3352" w:rsidRDefault="00655CC5">
            <w:pPr>
              <w:keepLines/>
              <w:jc w:val="center"/>
              <w:rPr>
                <w:rFonts w:ascii="Arial Narrow" w:hAnsi="Arial Narrow"/>
                <w:color w:val="333333"/>
                <w:sz w:val="20"/>
                <w:szCs w:val="20"/>
              </w:rPr>
            </w:pPr>
          </w:p>
        </w:tc>
        <w:tc>
          <w:tcPr>
            <w:tcW w:w="7604" w:type="dxa"/>
            <w:vAlign w:val="center"/>
            <w:hideMark/>
          </w:tcPr>
          <w:p w14:paraId="08546256" w14:textId="3C623E62" w:rsidR="00655CC5" w:rsidRPr="009B3352" w:rsidRDefault="00655CC5">
            <w:pPr>
              <w:keepLines/>
              <w:rPr>
                <w:rFonts w:ascii="Arial Narrow" w:hAnsi="Arial Narrow"/>
                <w:color w:val="333333"/>
                <w:sz w:val="20"/>
                <w:szCs w:val="20"/>
              </w:rPr>
            </w:pPr>
            <w:r w:rsidRPr="009B3352">
              <w:rPr>
                <w:rFonts w:ascii="Arial Narrow" w:hAnsi="Arial Narrow"/>
                <w:b/>
                <w:color w:val="333333"/>
                <w:sz w:val="20"/>
                <w:szCs w:val="20"/>
              </w:rPr>
              <w:t>Indication:</w:t>
            </w:r>
            <w:r w:rsidRPr="009B3352">
              <w:rPr>
                <w:rFonts w:ascii="Arial Narrow" w:hAnsi="Arial Narrow"/>
                <w:color w:val="333333"/>
                <w:sz w:val="20"/>
                <w:szCs w:val="20"/>
              </w:rPr>
              <w:t xml:space="preserve"> Stage III or IV mantle cell lymphoma </w:t>
            </w:r>
          </w:p>
        </w:tc>
      </w:tr>
      <w:tr w:rsidR="00655CC5" w:rsidRPr="006D075E" w14:paraId="412C8787" w14:textId="77777777" w:rsidTr="00424C63">
        <w:trPr>
          <w:cantSplit/>
          <w:trHeight w:val="20"/>
        </w:trPr>
        <w:tc>
          <w:tcPr>
            <w:tcW w:w="1413" w:type="dxa"/>
            <w:gridSpan w:val="2"/>
            <w:vAlign w:val="center"/>
            <w:hideMark/>
          </w:tcPr>
          <w:p w14:paraId="35ABC4FF" w14:textId="77777777" w:rsidR="00655CC5" w:rsidRPr="009B3352" w:rsidRDefault="00655CC5">
            <w:pPr>
              <w:jc w:val="center"/>
              <w:rPr>
                <w:rFonts w:ascii="Arial Narrow" w:hAnsi="Arial Narrow"/>
                <w:sz w:val="20"/>
                <w:szCs w:val="20"/>
              </w:rPr>
            </w:pPr>
          </w:p>
        </w:tc>
        <w:tc>
          <w:tcPr>
            <w:tcW w:w="7604" w:type="dxa"/>
            <w:vAlign w:val="center"/>
            <w:hideMark/>
          </w:tcPr>
          <w:p w14:paraId="19B1483A" w14:textId="77777777" w:rsidR="00655CC5" w:rsidRPr="009B3352" w:rsidRDefault="00655CC5">
            <w:pPr>
              <w:rPr>
                <w:rFonts w:ascii="Arial Narrow" w:hAnsi="Arial Narrow"/>
                <w:sz w:val="20"/>
                <w:szCs w:val="20"/>
              </w:rPr>
            </w:pPr>
            <w:r w:rsidRPr="009B3352">
              <w:rPr>
                <w:rFonts w:ascii="Arial Narrow" w:hAnsi="Arial Narrow"/>
                <w:b/>
                <w:sz w:val="20"/>
                <w:szCs w:val="20"/>
              </w:rPr>
              <w:t>Treatment Phase:</w:t>
            </w:r>
            <w:r w:rsidRPr="009B3352">
              <w:rPr>
                <w:rFonts w:ascii="Arial Narrow" w:hAnsi="Arial Narrow"/>
                <w:sz w:val="20"/>
                <w:szCs w:val="20"/>
              </w:rPr>
              <w:t xml:space="preserve"> First line therapy - Induction treatment </w:t>
            </w:r>
          </w:p>
        </w:tc>
      </w:tr>
      <w:tr w:rsidR="00655CC5" w:rsidRPr="006D075E" w14:paraId="74445CBF" w14:textId="77777777" w:rsidTr="00424C63">
        <w:trPr>
          <w:cantSplit/>
          <w:trHeight w:val="20"/>
        </w:trPr>
        <w:tc>
          <w:tcPr>
            <w:tcW w:w="1413" w:type="dxa"/>
            <w:gridSpan w:val="2"/>
            <w:vAlign w:val="center"/>
            <w:hideMark/>
          </w:tcPr>
          <w:p w14:paraId="64581132" w14:textId="1F8A05ED" w:rsidR="00655CC5" w:rsidRPr="009B3352" w:rsidRDefault="00655CC5">
            <w:pPr>
              <w:jc w:val="center"/>
              <w:rPr>
                <w:rFonts w:ascii="Arial Narrow" w:hAnsi="Arial Narrow"/>
                <w:sz w:val="20"/>
                <w:szCs w:val="20"/>
              </w:rPr>
            </w:pPr>
          </w:p>
        </w:tc>
        <w:tc>
          <w:tcPr>
            <w:tcW w:w="7604" w:type="dxa"/>
            <w:vAlign w:val="center"/>
            <w:hideMark/>
          </w:tcPr>
          <w:p w14:paraId="21988C20" w14:textId="77777777" w:rsidR="00655CC5" w:rsidRPr="009B3352" w:rsidRDefault="00655CC5">
            <w:pPr>
              <w:rPr>
                <w:rFonts w:ascii="Arial Narrow" w:hAnsi="Arial Narrow"/>
                <w:sz w:val="20"/>
                <w:szCs w:val="20"/>
              </w:rPr>
            </w:pPr>
            <w:r w:rsidRPr="009B3352">
              <w:rPr>
                <w:rFonts w:ascii="Arial Narrow" w:hAnsi="Arial Narrow"/>
                <w:b/>
                <w:sz w:val="20"/>
                <w:szCs w:val="20"/>
              </w:rPr>
              <w:t xml:space="preserve">Clinical criteria: </w:t>
            </w:r>
          </w:p>
        </w:tc>
      </w:tr>
      <w:tr w:rsidR="00655CC5" w:rsidRPr="006D075E" w14:paraId="19AC37A5" w14:textId="77777777" w:rsidTr="00424C63">
        <w:trPr>
          <w:cantSplit/>
          <w:trHeight w:val="20"/>
        </w:trPr>
        <w:tc>
          <w:tcPr>
            <w:tcW w:w="1413" w:type="dxa"/>
            <w:gridSpan w:val="2"/>
            <w:vAlign w:val="center"/>
            <w:hideMark/>
          </w:tcPr>
          <w:p w14:paraId="7DA70345" w14:textId="0D1207E7" w:rsidR="00655CC5" w:rsidRPr="009B3352" w:rsidRDefault="00655CC5">
            <w:pPr>
              <w:jc w:val="center"/>
              <w:rPr>
                <w:rFonts w:ascii="Arial Narrow" w:hAnsi="Arial Narrow"/>
                <w:sz w:val="20"/>
                <w:szCs w:val="20"/>
              </w:rPr>
            </w:pPr>
          </w:p>
        </w:tc>
        <w:tc>
          <w:tcPr>
            <w:tcW w:w="7604" w:type="dxa"/>
            <w:vAlign w:val="center"/>
            <w:hideMark/>
          </w:tcPr>
          <w:p w14:paraId="0B355FE3" w14:textId="77777777" w:rsidR="00655CC5" w:rsidRPr="009B3352" w:rsidRDefault="00655CC5">
            <w:pPr>
              <w:rPr>
                <w:rFonts w:ascii="Arial Narrow" w:hAnsi="Arial Narrow"/>
                <w:sz w:val="20"/>
                <w:szCs w:val="20"/>
              </w:rPr>
            </w:pPr>
            <w:r w:rsidRPr="009B3352">
              <w:rPr>
                <w:rFonts w:ascii="Arial Narrow" w:hAnsi="Arial Narrow"/>
                <w:sz w:val="20"/>
                <w:szCs w:val="20"/>
              </w:rPr>
              <w:t>The condition must be previously untreated</w:t>
            </w:r>
          </w:p>
        </w:tc>
      </w:tr>
      <w:tr w:rsidR="00655CC5" w:rsidRPr="006D075E" w14:paraId="341BE176" w14:textId="77777777" w:rsidTr="00424C63">
        <w:trPr>
          <w:cantSplit/>
          <w:trHeight w:val="20"/>
        </w:trPr>
        <w:tc>
          <w:tcPr>
            <w:tcW w:w="1413" w:type="dxa"/>
            <w:gridSpan w:val="2"/>
            <w:vAlign w:val="center"/>
          </w:tcPr>
          <w:p w14:paraId="7EDF86E9" w14:textId="77777777" w:rsidR="00655CC5" w:rsidRPr="009B3352" w:rsidRDefault="00655CC5">
            <w:pPr>
              <w:jc w:val="center"/>
              <w:rPr>
                <w:rFonts w:ascii="Arial Narrow" w:hAnsi="Arial Narrow"/>
                <w:sz w:val="20"/>
                <w:szCs w:val="20"/>
              </w:rPr>
            </w:pPr>
          </w:p>
        </w:tc>
        <w:tc>
          <w:tcPr>
            <w:tcW w:w="7604" w:type="dxa"/>
            <w:vAlign w:val="center"/>
          </w:tcPr>
          <w:p w14:paraId="60478DE8" w14:textId="77777777" w:rsidR="00655CC5" w:rsidRPr="009B3352" w:rsidRDefault="00655CC5">
            <w:pPr>
              <w:rPr>
                <w:rFonts w:ascii="Arial Narrow" w:hAnsi="Arial Narrow"/>
                <w:sz w:val="20"/>
                <w:szCs w:val="20"/>
              </w:rPr>
            </w:pPr>
            <w:r w:rsidRPr="009B3352">
              <w:rPr>
                <w:rFonts w:ascii="Arial Narrow" w:hAnsi="Arial Narrow"/>
                <w:b/>
                <w:sz w:val="20"/>
                <w:szCs w:val="20"/>
              </w:rPr>
              <w:t>AND</w:t>
            </w:r>
          </w:p>
        </w:tc>
      </w:tr>
      <w:tr w:rsidR="00655CC5" w:rsidRPr="006D075E" w14:paraId="2478E330" w14:textId="77777777" w:rsidTr="00424C63">
        <w:trPr>
          <w:cantSplit/>
          <w:trHeight w:val="20"/>
        </w:trPr>
        <w:tc>
          <w:tcPr>
            <w:tcW w:w="1413" w:type="dxa"/>
            <w:gridSpan w:val="2"/>
            <w:vAlign w:val="center"/>
          </w:tcPr>
          <w:p w14:paraId="2CA54017" w14:textId="07C5E23E" w:rsidR="00655CC5" w:rsidRPr="009B3352" w:rsidRDefault="00655CC5">
            <w:pPr>
              <w:jc w:val="center"/>
              <w:rPr>
                <w:rFonts w:ascii="Arial Narrow" w:hAnsi="Arial Narrow"/>
                <w:sz w:val="20"/>
                <w:szCs w:val="20"/>
              </w:rPr>
            </w:pPr>
          </w:p>
        </w:tc>
        <w:tc>
          <w:tcPr>
            <w:tcW w:w="7604" w:type="dxa"/>
            <w:vAlign w:val="center"/>
            <w:hideMark/>
          </w:tcPr>
          <w:p w14:paraId="5A986C20" w14:textId="77777777" w:rsidR="00655CC5" w:rsidRPr="009B3352" w:rsidRDefault="00655CC5">
            <w:pPr>
              <w:rPr>
                <w:rFonts w:ascii="Arial Narrow" w:hAnsi="Arial Narrow"/>
                <w:sz w:val="20"/>
                <w:szCs w:val="20"/>
              </w:rPr>
            </w:pPr>
            <w:r w:rsidRPr="009B3352">
              <w:rPr>
                <w:rFonts w:ascii="Arial Narrow" w:hAnsi="Arial Narrow"/>
                <w:b/>
                <w:sz w:val="20"/>
                <w:szCs w:val="20"/>
              </w:rPr>
              <w:t>Clinical criteria:</w:t>
            </w:r>
          </w:p>
        </w:tc>
      </w:tr>
      <w:tr w:rsidR="00655CC5" w:rsidRPr="006D075E" w14:paraId="319ECF97" w14:textId="77777777" w:rsidTr="00424C63">
        <w:trPr>
          <w:cantSplit/>
          <w:trHeight w:val="20"/>
        </w:trPr>
        <w:tc>
          <w:tcPr>
            <w:tcW w:w="1413" w:type="dxa"/>
            <w:gridSpan w:val="2"/>
            <w:vAlign w:val="center"/>
          </w:tcPr>
          <w:p w14:paraId="4CB080ED" w14:textId="05B46CA6" w:rsidR="00655CC5" w:rsidRPr="009B3352" w:rsidRDefault="00655CC5">
            <w:pPr>
              <w:jc w:val="center"/>
              <w:rPr>
                <w:rFonts w:ascii="Arial Narrow" w:hAnsi="Arial Narrow"/>
                <w:sz w:val="20"/>
                <w:szCs w:val="20"/>
              </w:rPr>
            </w:pPr>
          </w:p>
        </w:tc>
        <w:tc>
          <w:tcPr>
            <w:tcW w:w="7604" w:type="dxa"/>
            <w:vAlign w:val="center"/>
          </w:tcPr>
          <w:p w14:paraId="2A4EF1CB" w14:textId="163A9534" w:rsidR="00655CC5" w:rsidRPr="009B3352" w:rsidRDefault="00655CC5">
            <w:pPr>
              <w:rPr>
                <w:rFonts w:ascii="Arial Narrow" w:hAnsi="Arial Narrow"/>
                <w:sz w:val="20"/>
                <w:szCs w:val="20"/>
              </w:rPr>
            </w:pPr>
            <w:r w:rsidRPr="009B3352">
              <w:rPr>
                <w:rFonts w:ascii="Arial Narrow" w:hAnsi="Arial Narrow"/>
                <w:sz w:val="20"/>
                <w:szCs w:val="20"/>
              </w:rPr>
              <w:t>The treatment must be</w:t>
            </w:r>
            <w:r w:rsidR="001341A3" w:rsidRPr="009B3352">
              <w:rPr>
                <w:rFonts w:ascii="Arial Narrow" w:hAnsi="Arial Narrow"/>
                <w:sz w:val="20"/>
                <w:szCs w:val="20"/>
              </w:rPr>
              <w:t xml:space="preserve"> initiated</w:t>
            </w:r>
            <w:r w:rsidRPr="009B3352">
              <w:rPr>
                <w:rFonts w:ascii="Arial Narrow" w:hAnsi="Arial Narrow"/>
                <w:sz w:val="20"/>
                <w:szCs w:val="20"/>
              </w:rPr>
              <w:t xml:space="preserve"> in combination with rituximab</w:t>
            </w:r>
          </w:p>
        </w:tc>
      </w:tr>
      <w:tr w:rsidR="00655CC5" w:rsidRPr="006D075E" w14:paraId="7882006B" w14:textId="77777777" w:rsidTr="00424C63">
        <w:trPr>
          <w:cantSplit/>
          <w:trHeight w:val="20"/>
        </w:trPr>
        <w:tc>
          <w:tcPr>
            <w:tcW w:w="1413" w:type="dxa"/>
            <w:gridSpan w:val="2"/>
            <w:vAlign w:val="center"/>
          </w:tcPr>
          <w:p w14:paraId="348E9B57" w14:textId="77777777" w:rsidR="00655CC5" w:rsidRPr="009B3352" w:rsidRDefault="00655CC5">
            <w:pPr>
              <w:jc w:val="center"/>
              <w:rPr>
                <w:rFonts w:ascii="Arial Narrow" w:hAnsi="Arial Narrow"/>
                <w:sz w:val="20"/>
                <w:szCs w:val="20"/>
              </w:rPr>
            </w:pPr>
          </w:p>
        </w:tc>
        <w:tc>
          <w:tcPr>
            <w:tcW w:w="7604" w:type="dxa"/>
            <w:vAlign w:val="center"/>
          </w:tcPr>
          <w:p w14:paraId="5DEA1705" w14:textId="77777777" w:rsidR="00655CC5" w:rsidRPr="009B3352" w:rsidRDefault="00655CC5">
            <w:pPr>
              <w:rPr>
                <w:rFonts w:ascii="Arial Narrow" w:hAnsi="Arial Narrow"/>
                <w:b/>
                <w:sz w:val="20"/>
                <w:szCs w:val="20"/>
              </w:rPr>
            </w:pPr>
            <w:r w:rsidRPr="009B3352">
              <w:rPr>
                <w:rFonts w:ascii="Arial Narrow" w:hAnsi="Arial Narrow"/>
                <w:b/>
                <w:sz w:val="20"/>
                <w:szCs w:val="20"/>
              </w:rPr>
              <w:t>AND</w:t>
            </w:r>
          </w:p>
        </w:tc>
      </w:tr>
      <w:tr w:rsidR="00655CC5" w:rsidRPr="006D075E" w14:paraId="44225296" w14:textId="77777777" w:rsidTr="00424C63">
        <w:trPr>
          <w:cantSplit/>
          <w:trHeight w:val="268"/>
        </w:trPr>
        <w:tc>
          <w:tcPr>
            <w:tcW w:w="1413" w:type="dxa"/>
            <w:gridSpan w:val="2"/>
            <w:vAlign w:val="center"/>
          </w:tcPr>
          <w:p w14:paraId="2E56EE66" w14:textId="75B8E163" w:rsidR="00655CC5" w:rsidRPr="009B3352" w:rsidRDefault="00655CC5">
            <w:pPr>
              <w:jc w:val="center"/>
              <w:rPr>
                <w:rFonts w:ascii="Arial Narrow" w:hAnsi="Arial Narrow"/>
                <w:sz w:val="20"/>
                <w:szCs w:val="20"/>
              </w:rPr>
            </w:pPr>
          </w:p>
        </w:tc>
        <w:tc>
          <w:tcPr>
            <w:tcW w:w="7604" w:type="dxa"/>
            <w:vAlign w:val="center"/>
          </w:tcPr>
          <w:p w14:paraId="58049DB0" w14:textId="77777777" w:rsidR="00655CC5" w:rsidRPr="009B3352" w:rsidRDefault="00655CC5">
            <w:pPr>
              <w:rPr>
                <w:rFonts w:ascii="Arial Narrow" w:hAnsi="Arial Narrow"/>
                <w:b/>
                <w:sz w:val="20"/>
                <w:szCs w:val="20"/>
              </w:rPr>
            </w:pPr>
            <w:r w:rsidRPr="009B3352">
              <w:rPr>
                <w:rFonts w:ascii="Arial Narrow" w:hAnsi="Arial Narrow"/>
                <w:b/>
                <w:sz w:val="20"/>
                <w:szCs w:val="20"/>
              </w:rPr>
              <w:t>Clinical criteria:</w:t>
            </w:r>
          </w:p>
        </w:tc>
      </w:tr>
      <w:tr w:rsidR="00655CC5" w:rsidRPr="006D075E" w14:paraId="04EF1C46" w14:textId="77777777" w:rsidTr="00424C63">
        <w:trPr>
          <w:cantSplit/>
          <w:trHeight w:val="20"/>
        </w:trPr>
        <w:tc>
          <w:tcPr>
            <w:tcW w:w="1413" w:type="dxa"/>
            <w:gridSpan w:val="2"/>
            <w:vAlign w:val="center"/>
          </w:tcPr>
          <w:p w14:paraId="73C722AD" w14:textId="50AB7EF0" w:rsidR="00655CC5" w:rsidRPr="009B3352" w:rsidRDefault="00655CC5">
            <w:pPr>
              <w:jc w:val="center"/>
              <w:rPr>
                <w:rFonts w:ascii="Arial Narrow" w:hAnsi="Arial Narrow"/>
                <w:sz w:val="20"/>
                <w:szCs w:val="20"/>
              </w:rPr>
            </w:pPr>
          </w:p>
        </w:tc>
        <w:tc>
          <w:tcPr>
            <w:tcW w:w="7604" w:type="dxa"/>
            <w:vAlign w:val="center"/>
          </w:tcPr>
          <w:p w14:paraId="398A2D0D" w14:textId="7583D7A1" w:rsidR="00655CC5" w:rsidRPr="009B3352" w:rsidRDefault="00655CC5">
            <w:pPr>
              <w:rPr>
                <w:rFonts w:ascii="Arial Narrow" w:hAnsi="Arial Narrow"/>
                <w:sz w:val="20"/>
                <w:szCs w:val="20"/>
              </w:rPr>
            </w:pPr>
            <w:r w:rsidRPr="009B3352">
              <w:rPr>
                <w:rFonts w:ascii="Arial Narrow" w:hAnsi="Arial Narrow"/>
                <w:sz w:val="20"/>
                <w:szCs w:val="20"/>
              </w:rPr>
              <w:t>The treatment must be</w:t>
            </w:r>
            <w:r w:rsidR="001341A3" w:rsidRPr="009B3352">
              <w:rPr>
                <w:rFonts w:ascii="Arial Narrow" w:hAnsi="Arial Narrow"/>
                <w:sz w:val="20"/>
                <w:szCs w:val="20"/>
              </w:rPr>
              <w:t xml:space="preserve"> initiated</w:t>
            </w:r>
            <w:r w:rsidRPr="009B3352">
              <w:rPr>
                <w:rFonts w:ascii="Arial Narrow" w:hAnsi="Arial Narrow"/>
                <w:sz w:val="20"/>
                <w:szCs w:val="20"/>
              </w:rPr>
              <w:t xml:space="preserve"> in combination with </w:t>
            </w:r>
            <w:proofErr w:type="spellStart"/>
            <w:r w:rsidRPr="009B3352">
              <w:rPr>
                <w:rFonts w:ascii="Arial Narrow" w:hAnsi="Arial Narrow"/>
                <w:sz w:val="20"/>
                <w:szCs w:val="20"/>
              </w:rPr>
              <w:t>bendamustine</w:t>
            </w:r>
            <w:proofErr w:type="spellEnd"/>
          </w:p>
        </w:tc>
      </w:tr>
      <w:tr w:rsidR="00655CC5" w:rsidRPr="006D075E" w14:paraId="60EA9E45" w14:textId="77777777" w:rsidTr="00424C63">
        <w:trPr>
          <w:cantSplit/>
          <w:trHeight w:val="20"/>
        </w:trPr>
        <w:tc>
          <w:tcPr>
            <w:tcW w:w="1413" w:type="dxa"/>
            <w:gridSpan w:val="2"/>
            <w:vAlign w:val="center"/>
          </w:tcPr>
          <w:p w14:paraId="641C6705" w14:textId="77777777" w:rsidR="00655CC5" w:rsidRPr="009B3352" w:rsidRDefault="00655CC5">
            <w:pPr>
              <w:jc w:val="center"/>
              <w:rPr>
                <w:rFonts w:ascii="Arial Narrow" w:hAnsi="Arial Narrow"/>
                <w:sz w:val="20"/>
                <w:szCs w:val="20"/>
              </w:rPr>
            </w:pPr>
          </w:p>
        </w:tc>
        <w:tc>
          <w:tcPr>
            <w:tcW w:w="7604" w:type="dxa"/>
            <w:vAlign w:val="center"/>
          </w:tcPr>
          <w:p w14:paraId="30A9107F" w14:textId="77777777" w:rsidR="00655CC5" w:rsidRPr="009B3352" w:rsidRDefault="00655CC5">
            <w:pPr>
              <w:rPr>
                <w:rFonts w:ascii="Arial Narrow" w:hAnsi="Arial Narrow"/>
                <w:sz w:val="20"/>
                <w:szCs w:val="20"/>
              </w:rPr>
            </w:pPr>
            <w:r w:rsidRPr="009B3352">
              <w:rPr>
                <w:rFonts w:ascii="Arial Narrow" w:hAnsi="Arial Narrow"/>
                <w:b/>
                <w:sz w:val="20"/>
                <w:szCs w:val="20"/>
              </w:rPr>
              <w:t>AND</w:t>
            </w:r>
          </w:p>
        </w:tc>
      </w:tr>
      <w:tr w:rsidR="00655CC5" w:rsidRPr="006D075E" w14:paraId="1B75A028" w14:textId="77777777" w:rsidTr="00424C63">
        <w:trPr>
          <w:cantSplit/>
          <w:trHeight w:val="20"/>
        </w:trPr>
        <w:tc>
          <w:tcPr>
            <w:tcW w:w="1413" w:type="dxa"/>
            <w:gridSpan w:val="2"/>
            <w:vAlign w:val="center"/>
          </w:tcPr>
          <w:p w14:paraId="23C69782" w14:textId="5E318D49" w:rsidR="00655CC5" w:rsidRPr="009B3352" w:rsidRDefault="00655CC5">
            <w:pPr>
              <w:jc w:val="center"/>
              <w:rPr>
                <w:rFonts w:ascii="Arial Narrow" w:hAnsi="Arial Narrow"/>
                <w:sz w:val="20"/>
                <w:szCs w:val="20"/>
              </w:rPr>
            </w:pPr>
          </w:p>
        </w:tc>
        <w:tc>
          <w:tcPr>
            <w:tcW w:w="7604" w:type="dxa"/>
            <w:vAlign w:val="center"/>
          </w:tcPr>
          <w:p w14:paraId="14AF12EC" w14:textId="77777777" w:rsidR="00655CC5" w:rsidRPr="009B3352" w:rsidRDefault="00655CC5">
            <w:pPr>
              <w:rPr>
                <w:rFonts w:ascii="Arial Narrow" w:hAnsi="Arial Narrow"/>
                <w:sz w:val="20"/>
                <w:szCs w:val="20"/>
              </w:rPr>
            </w:pPr>
            <w:r w:rsidRPr="009B3352">
              <w:rPr>
                <w:rFonts w:ascii="Arial Narrow" w:hAnsi="Arial Narrow"/>
                <w:b/>
                <w:sz w:val="20"/>
                <w:szCs w:val="20"/>
              </w:rPr>
              <w:t>Clinical criteria:</w:t>
            </w:r>
          </w:p>
        </w:tc>
      </w:tr>
      <w:tr w:rsidR="00655CC5" w:rsidRPr="006D075E" w14:paraId="0FEA210A" w14:textId="77777777" w:rsidTr="00424C63">
        <w:trPr>
          <w:cantSplit/>
          <w:trHeight w:val="20"/>
        </w:trPr>
        <w:tc>
          <w:tcPr>
            <w:tcW w:w="1413" w:type="dxa"/>
            <w:gridSpan w:val="2"/>
            <w:vAlign w:val="center"/>
          </w:tcPr>
          <w:p w14:paraId="0A8DEFC2" w14:textId="2E060A07" w:rsidR="00655CC5" w:rsidRPr="009B3352" w:rsidRDefault="00655CC5">
            <w:pPr>
              <w:jc w:val="center"/>
              <w:rPr>
                <w:rFonts w:ascii="Arial Narrow" w:hAnsi="Arial Narrow"/>
                <w:sz w:val="20"/>
                <w:szCs w:val="20"/>
              </w:rPr>
            </w:pPr>
          </w:p>
        </w:tc>
        <w:tc>
          <w:tcPr>
            <w:tcW w:w="7604" w:type="dxa"/>
            <w:vAlign w:val="center"/>
          </w:tcPr>
          <w:p w14:paraId="0233950F" w14:textId="77777777" w:rsidR="00655CC5" w:rsidRPr="009B3352" w:rsidRDefault="00655CC5">
            <w:pPr>
              <w:rPr>
                <w:rFonts w:ascii="Arial Narrow" w:hAnsi="Arial Narrow"/>
                <w:sz w:val="20"/>
                <w:szCs w:val="20"/>
              </w:rPr>
            </w:pPr>
            <w:r w:rsidRPr="009B3352">
              <w:rPr>
                <w:rFonts w:ascii="Arial Narrow" w:hAnsi="Arial Narrow"/>
                <w:sz w:val="20"/>
                <w:szCs w:val="20"/>
              </w:rPr>
              <w:t>The condition must be symptomatic</w:t>
            </w:r>
          </w:p>
        </w:tc>
      </w:tr>
      <w:tr w:rsidR="00655CC5" w:rsidRPr="006D075E" w14:paraId="52451302" w14:textId="77777777" w:rsidTr="00424C63">
        <w:trPr>
          <w:cantSplit/>
          <w:trHeight w:val="20"/>
        </w:trPr>
        <w:tc>
          <w:tcPr>
            <w:tcW w:w="1413" w:type="dxa"/>
            <w:gridSpan w:val="2"/>
            <w:vAlign w:val="center"/>
          </w:tcPr>
          <w:p w14:paraId="24024624" w14:textId="77777777" w:rsidR="00655CC5" w:rsidRPr="009B3352" w:rsidRDefault="00655CC5">
            <w:pPr>
              <w:jc w:val="center"/>
              <w:rPr>
                <w:rFonts w:ascii="Arial Narrow" w:hAnsi="Arial Narrow"/>
                <w:sz w:val="20"/>
                <w:szCs w:val="20"/>
              </w:rPr>
            </w:pPr>
          </w:p>
        </w:tc>
        <w:tc>
          <w:tcPr>
            <w:tcW w:w="7604" w:type="dxa"/>
            <w:vAlign w:val="center"/>
          </w:tcPr>
          <w:p w14:paraId="0649A4D4" w14:textId="77777777" w:rsidR="00655CC5" w:rsidRPr="009B3352" w:rsidRDefault="00655CC5">
            <w:pPr>
              <w:rPr>
                <w:rFonts w:ascii="Arial Narrow" w:hAnsi="Arial Narrow"/>
                <w:sz w:val="20"/>
                <w:szCs w:val="20"/>
              </w:rPr>
            </w:pPr>
            <w:r w:rsidRPr="009B3352">
              <w:rPr>
                <w:rFonts w:ascii="Arial Narrow" w:hAnsi="Arial Narrow"/>
                <w:b/>
                <w:sz w:val="20"/>
                <w:szCs w:val="20"/>
              </w:rPr>
              <w:t>AND</w:t>
            </w:r>
          </w:p>
        </w:tc>
      </w:tr>
      <w:tr w:rsidR="00655CC5" w:rsidRPr="006D075E" w14:paraId="36122BB4" w14:textId="77777777" w:rsidTr="00424C63">
        <w:trPr>
          <w:cantSplit/>
          <w:trHeight w:val="20"/>
        </w:trPr>
        <w:tc>
          <w:tcPr>
            <w:tcW w:w="1413" w:type="dxa"/>
            <w:gridSpan w:val="2"/>
            <w:vAlign w:val="center"/>
          </w:tcPr>
          <w:p w14:paraId="3EF72432" w14:textId="38BB8696" w:rsidR="00655CC5" w:rsidRPr="009B3352" w:rsidRDefault="00655CC5">
            <w:pPr>
              <w:jc w:val="center"/>
              <w:rPr>
                <w:rFonts w:ascii="Arial Narrow" w:hAnsi="Arial Narrow"/>
                <w:sz w:val="20"/>
                <w:szCs w:val="20"/>
              </w:rPr>
            </w:pPr>
          </w:p>
        </w:tc>
        <w:tc>
          <w:tcPr>
            <w:tcW w:w="7604" w:type="dxa"/>
            <w:vAlign w:val="center"/>
          </w:tcPr>
          <w:p w14:paraId="2A345E4B" w14:textId="77777777" w:rsidR="00655CC5" w:rsidRPr="009B3352" w:rsidRDefault="00655CC5">
            <w:pPr>
              <w:rPr>
                <w:rFonts w:ascii="Arial Narrow" w:hAnsi="Arial Narrow"/>
                <w:sz w:val="20"/>
                <w:szCs w:val="20"/>
              </w:rPr>
            </w:pPr>
            <w:r w:rsidRPr="009B3352">
              <w:rPr>
                <w:rFonts w:ascii="Arial Narrow" w:hAnsi="Arial Narrow"/>
                <w:b/>
                <w:sz w:val="20"/>
                <w:szCs w:val="20"/>
              </w:rPr>
              <w:t>Clinical criteria:</w:t>
            </w:r>
          </w:p>
        </w:tc>
      </w:tr>
      <w:tr w:rsidR="00655CC5" w:rsidRPr="006D075E" w14:paraId="083AEE11" w14:textId="77777777" w:rsidTr="00424C63">
        <w:trPr>
          <w:cantSplit/>
          <w:trHeight w:val="20"/>
        </w:trPr>
        <w:tc>
          <w:tcPr>
            <w:tcW w:w="1413" w:type="dxa"/>
            <w:gridSpan w:val="2"/>
            <w:vAlign w:val="center"/>
          </w:tcPr>
          <w:p w14:paraId="722364AA" w14:textId="0D26EC61" w:rsidR="00655CC5" w:rsidRPr="009B3352" w:rsidRDefault="00655CC5">
            <w:pPr>
              <w:jc w:val="center"/>
              <w:rPr>
                <w:rFonts w:ascii="Arial Narrow" w:hAnsi="Arial Narrow"/>
                <w:sz w:val="20"/>
                <w:szCs w:val="20"/>
              </w:rPr>
            </w:pPr>
          </w:p>
        </w:tc>
        <w:tc>
          <w:tcPr>
            <w:tcW w:w="7604" w:type="dxa"/>
            <w:vAlign w:val="center"/>
          </w:tcPr>
          <w:p w14:paraId="52D9CA83" w14:textId="77777777" w:rsidR="00655CC5" w:rsidRPr="009B3352" w:rsidRDefault="00655CC5">
            <w:pPr>
              <w:rPr>
                <w:rFonts w:ascii="Arial Narrow" w:hAnsi="Arial Narrow"/>
                <w:sz w:val="20"/>
                <w:szCs w:val="20"/>
              </w:rPr>
            </w:pPr>
            <w:r w:rsidRPr="009B3352">
              <w:rPr>
                <w:rFonts w:ascii="Arial Narrow" w:hAnsi="Arial Narrow"/>
                <w:sz w:val="20"/>
                <w:szCs w:val="20"/>
              </w:rPr>
              <w:t>Patient must not receive more than 6 cycles (12 doses) of treatment under this restriction</w:t>
            </w:r>
          </w:p>
        </w:tc>
      </w:tr>
      <w:tr w:rsidR="00655CC5" w:rsidRPr="006D075E" w14:paraId="02290BC4" w14:textId="77777777" w:rsidTr="00424C63">
        <w:trPr>
          <w:cantSplit/>
          <w:trHeight w:val="20"/>
        </w:trPr>
        <w:tc>
          <w:tcPr>
            <w:tcW w:w="1413" w:type="dxa"/>
            <w:gridSpan w:val="2"/>
            <w:vAlign w:val="center"/>
          </w:tcPr>
          <w:p w14:paraId="57CBB9EC" w14:textId="77777777" w:rsidR="00655CC5" w:rsidRPr="009B3352" w:rsidRDefault="00655CC5">
            <w:pPr>
              <w:jc w:val="center"/>
              <w:rPr>
                <w:rFonts w:ascii="Arial Narrow" w:hAnsi="Arial Narrow"/>
                <w:sz w:val="20"/>
                <w:szCs w:val="20"/>
              </w:rPr>
            </w:pPr>
          </w:p>
        </w:tc>
        <w:tc>
          <w:tcPr>
            <w:tcW w:w="7604" w:type="dxa"/>
            <w:vAlign w:val="center"/>
          </w:tcPr>
          <w:p w14:paraId="3DA871F8" w14:textId="77777777" w:rsidR="00655CC5" w:rsidRPr="009B3352" w:rsidRDefault="00655CC5">
            <w:pPr>
              <w:rPr>
                <w:rFonts w:ascii="Arial Narrow" w:hAnsi="Arial Narrow"/>
                <w:b/>
                <w:sz w:val="20"/>
                <w:szCs w:val="20"/>
              </w:rPr>
            </w:pPr>
            <w:r w:rsidRPr="009B3352">
              <w:rPr>
                <w:rFonts w:ascii="Arial Narrow" w:hAnsi="Arial Narrow"/>
                <w:b/>
                <w:sz w:val="20"/>
                <w:szCs w:val="20"/>
              </w:rPr>
              <w:t>AND</w:t>
            </w:r>
          </w:p>
        </w:tc>
      </w:tr>
      <w:tr w:rsidR="00655CC5" w:rsidRPr="006D075E" w14:paraId="3BA0C15B" w14:textId="77777777" w:rsidTr="00424C63">
        <w:trPr>
          <w:cantSplit/>
          <w:trHeight w:val="20"/>
        </w:trPr>
        <w:tc>
          <w:tcPr>
            <w:tcW w:w="1413" w:type="dxa"/>
            <w:gridSpan w:val="2"/>
            <w:vAlign w:val="center"/>
          </w:tcPr>
          <w:p w14:paraId="7BB51B6B" w14:textId="29470E72" w:rsidR="00655CC5" w:rsidRPr="009B3352" w:rsidRDefault="00655CC5">
            <w:pPr>
              <w:jc w:val="center"/>
              <w:rPr>
                <w:rFonts w:ascii="Arial Narrow" w:hAnsi="Arial Narrow"/>
                <w:sz w:val="20"/>
                <w:szCs w:val="20"/>
              </w:rPr>
            </w:pPr>
          </w:p>
        </w:tc>
        <w:tc>
          <w:tcPr>
            <w:tcW w:w="7604" w:type="dxa"/>
            <w:vAlign w:val="center"/>
          </w:tcPr>
          <w:p w14:paraId="6DE9C112" w14:textId="77777777" w:rsidR="00655CC5" w:rsidRPr="009B3352" w:rsidRDefault="00655CC5">
            <w:pPr>
              <w:rPr>
                <w:rFonts w:ascii="Arial Narrow" w:hAnsi="Arial Narrow"/>
                <w:b/>
                <w:sz w:val="20"/>
                <w:szCs w:val="20"/>
              </w:rPr>
            </w:pPr>
            <w:r w:rsidRPr="009B3352">
              <w:rPr>
                <w:rFonts w:ascii="Arial Narrow" w:hAnsi="Arial Narrow"/>
                <w:b/>
                <w:sz w:val="20"/>
                <w:szCs w:val="20"/>
              </w:rPr>
              <w:t>Clinical criteria:</w:t>
            </w:r>
          </w:p>
        </w:tc>
      </w:tr>
      <w:tr w:rsidR="00655CC5" w:rsidRPr="006D075E" w14:paraId="3941FD45" w14:textId="77777777" w:rsidTr="00424C63">
        <w:trPr>
          <w:cantSplit/>
          <w:trHeight w:val="20"/>
        </w:trPr>
        <w:tc>
          <w:tcPr>
            <w:tcW w:w="1413" w:type="dxa"/>
            <w:gridSpan w:val="2"/>
            <w:vAlign w:val="center"/>
          </w:tcPr>
          <w:p w14:paraId="2126969A" w14:textId="2601F0A6" w:rsidR="00655CC5" w:rsidRPr="009B3352" w:rsidRDefault="00655CC5">
            <w:pPr>
              <w:jc w:val="center"/>
              <w:rPr>
                <w:rFonts w:ascii="Arial Narrow" w:hAnsi="Arial Narrow"/>
                <w:sz w:val="20"/>
                <w:szCs w:val="20"/>
              </w:rPr>
            </w:pPr>
          </w:p>
        </w:tc>
        <w:tc>
          <w:tcPr>
            <w:tcW w:w="7604" w:type="dxa"/>
            <w:vAlign w:val="center"/>
            <w:hideMark/>
          </w:tcPr>
          <w:p w14:paraId="606C63EA" w14:textId="77777777" w:rsidR="00655CC5" w:rsidRPr="009B3352" w:rsidRDefault="00655CC5">
            <w:pPr>
              <w:rPr>
                <w:rFonts w:ascii="Arial Narrow" w:hAnsi="Arial Narrow"/>
                <w:sz w:val="20"/>
                <w:szCs w:val="20"/>
              </w:rPr>
            </w:pPr>
            <w:r w:rsidRPr="009B3352">
              <w:rPr>
                <w:rFonts w:ascii="Arial Narrow" w:hAnsi="Arial Narrow"/>
                <w:sz w:val="20"/>
                <w:szCs w:val="20"/>
              </w:rPr>
              <w:t>Patients must have a WHO performance status of 2 or less </w:t>
            </w:r>
          </w:p>
        </w:tc>
      </w:tr>
      <w:tr w:rsidR="00655CC5" w:rsidRPr="006D075E" w14:paraId="75DDD70C" w14:textId="77777777" w:rsidTr="00424C63">
        <w:trPr>
          <w:cantSplit/>
          <w:trHeight w:val="20"/>
        </w:trPr>
        <w:tc>
          <w:tcPr>
            <w:tcW w:w="1413" w:type="dxa"/>
            <w:gridSpan w:val="2"/>
            <w:vAlign w:val="center"/>
          </w:tcPr>
          <w:p w14:paraId="339E242C" w14:textId="77777777" w:rsidR="00655CC5" w:rsidRPr="009B3352" w:rsidRDefault="00655CC5">
            <w:pPr>
              <w:jc w:val="center"/>
              <w:rPr>
                <w:rFonts w:ascii="Arial Narrow" w:hAnsi="Arial Narrow"/>
                <w:sz w:val="20"/>
                <w:szCs w:val="20"/>
              </w:rPr>
            </w:pPr>
          </w:p>
        </w:tc>
        <w:tc>
          <w:tcPr>
            <w:tcW w:w="7604" w:type="dxa"/>
            <w:vAlign w:val="center"/>
            <w:hideMark/>
          </w:tcPr>
          <w:p w14:paraId="54DE793C" w14:textId="77777777" w:rsidR="00655CC5" w:rsidRPr="009B3352" w:rsidRDefault="00655CC5">
            <w:pPr>
              <w:rPr>
                <w:rFonts w:ascii="Arial Narrow" w:hAnsi="Arial Narrow"/>
                <w:sz w:val="20"/>
                <w:szCs w:val="20"/>
              </w:rPr>
            </w:pPr>
            <w:r w:rsidRPr="009B3352">
              <w:rPr>
                <w:rFonts w:ascii="Arial Narrow" w:hAnsi="Arial Narrow"/>
                <w:b/>
                <w:sz w:val="20"/>
                <w:szCs w:val="20"/>
              </w:rPr>
              <w:t>AND</w:t>
            </w:r>
          </w:p>
        </w:tc>
      </w:tr>
      <w:tr w:rsidR="00655CC5" w:rsidRPr="006D075E" w14:paraId="042CFED8" w14:textId="77777777" w:rsidTr="00424C63">
        <w:tblPrEx>
          <w:tblLook w:val="0000" w:firstRow="0" w:lastRow="0" w:firstColumn="0" w:lastColumn="0" w:noHBand="0" w:noVBand="0"/>
        </w:tblPrEx>
        <w:trPr>
          <w:cantSplit/>
          <w:trHeight w:val="20"/>
        </w:trPr>
        <w:tc>
          <w:tcPr>
            <w:tcW w:w="1413" w:type="dxa"/>
            <w:gridSpan w:val="2"/>
            <w:tcBorders>
              <w:top w:val="single" w:sz="4" w:space="0" w:color="auto"/>
              <w:left w:val="single" w:sz="4" w:space="0" w:color="auto"/>
              <w:bottom w:val="single" w:sz="4" w:space="0" w:color="auto"/>
              <w:right w:val="single" w:sz="4" w:space="0" w:color="auto"/>
            </w:tcBorders>
            <w:vAlign w:val="center"/>
          </w:tcPr>
          <w:p w14:paraId="5A8FE8E9" w14:textId="3379E3DA" w:rsidR="00655CC5" w:rsidRPr="009B3352" w:rsidRDefault="00655CC5">
            <w:pPr>
              <w:jc w:val="center"/>
              <w:rPr>
                <w:rFonts w:ascii="Arial Narrow" w:hAnsi="Arial Narrow"/>
                <w:sz w:val="20"/>
                <w:szCs w:val="20"/>
              </w:rPr>
            </w:pPr>
          </w:p>
        </w:tc>
        <w:tc>
          <w:tcPr>
            <w:tcW w:w="7604" w:type="dxa"/>
            <w:vAlign w:val="center"/>
            <w:hideMark/>
          </w:tcPr>
          <w:p w14:paraId="5DE70EBB" w14:textId="77777777" w:rsidR="00655CC5" w:rsidRPr="009B3352" w:rsidRDefault="00655CC5">
            <w:pPr>
              <w:rPr>
                <w:rFonts w:ascii="Arial Narrow" w:hAnsi="Arial Narrow"/>
                <w:sz w:val="20"/>
                <w:szCs w:val="20"/>
              </w:rPr>
            </w:pPr>
            <w:r w:rsidRPr="009B3352">
              <w:rPr>
                <w:rFonts w:ascii="Arial Narrow" w:hAnsi="Arial Narrow"/>
                <w:b/>
                <w:sz w:val="20"/>
                <w:szCs w:val="20"/>
              </w:rPr>
              <w:t>Clinical criteria:</w:t>
            </w:r>
          </w:p>
        </w:tc>
      </w:tr>
      <w:tr w:rsidR="00655CC5" w:rsidRPr="006D075E" w14:paraId="7454A100" w14:textId="77777777" w:rsidTr="00424C63">
        <w:tblPrEx>
          <w:tblLook w:val="0000" w:firstRow="0" w:lastRow="0" w:firstColumn="0" w:lastColumn="0" w:noHBand="0" w:noVBand="0"/>
        </w:tblPrEx>
        <w:trPr>
          <w:cantSplit/>
          <w:trHeight w:val="20"/>
        </w:trPr>
        <w:tc>
          <w:tcPr>
            <w:tcW w:w="1413" w:type="dxa"/>
            <w:gridSpan w:val="2"/>
            <w:tcBorders>
              <w:top w:val="single" w:sz="4" w:space="0" w:color="auto"/>
              <w:left w:val="single" w:sz="4" w:space="0" w:color="auto"/>
              <w:bottom w:val="single" w:sz="4" w:space="0" w:color="auto"/>
              <w:right w:val="single" w:sz="4" w:space="0" w:color="auto"/>
            </w:tcBorders>
            <w:vAlign w:val="center"/>
          </w:tcPr>
          <w:p w14:paraId="4D394EF4" w14:textId="6626E9FA" w:rsidR="00655CC5" w:rsidRPr="009B3352" w:rsidRDefault="00655CC5">
            <w:pPr>
              <w:jc w:val="center"/>
              <w:rPr>
                <w:rFonts w:ascii="Arial Narrow" w:hAnsi="Arial Narrow"/>
                <w:sz w:val="20"/>
                <w:szCs w:val="20"/>
              </w:rPr>
            </w:pPr>
          </w:p>
        </w:tc>
        <w:tc>
          <w:tcPr>
            <w:tcW w:w="7604" w:type="dxa"/>
            <w:vAlign w:val="center"/>
            <w:hideMark/>
          </w:tcPr>
          <w:p w14:paraId="2A96C01B" w14:textId="77777777" w:rsidR="00655CC5" w:rsidRPr="009B3352" w:rsidRDefault="00655CC5">
            <w:pPr>
              <w:rPr>
                <w:rFonts w:ascii="Arial Narrow" w:hAnsi="Arial Narrow"/>
                <w:sz w:val="20"/>
                <w:szCs w:val="20"/>
              </w:rPr>
            </w:pPr>
            <w:r w:rsidRPr="009B3352">
              <w:rPr>
                <w:rFonts w:ascii="Arial Narrow" w:hAnsi="Arial Narrow"/>
                <w:sz w:val="20"/>
                <w:szCs w:val="20"/>
              </w:rPr>
              <w:t>Patient must not be eligible for stem cell transplantation </w:t>
            </w:r>
          </w:p>
        </w:tc>
      </w:tr>
    </w:tbl>
    <w:p w14:paraId="6DB16AFE" w14:textId="77777777" w:rsidR="00655CC5" w:rsidRPr="006D075E" w:rsidRDefault="00655CC5" w:rsidP="00655CC5">
      <w:pPr>
        <w:pStyle w:val="ListParagraph"/>
        <w:spacing w:before="240" w:after="120"/>
        <w:ind w:left="0"/>
        <w:rPr>
          <w:rFonts w:asciiTheme="minorHAnsi" w:hAnsiTheme="minorHAnsi" w:cstheme="minorHAnsi"/>
        </w:rPr>
      </w:pPr>
    </w:p>
    <w:p w14:paraId="4A6284FD" w14:textId="77777777" w:rsidR="00655CC5" w:rsidRPr="009B3352" w:rsidRDefault="00655CC5" w:rsidP="00DC7334">
      <w:pPr>
        <w:pStyle w:val="ListParagraph"/>
        <w:keepNext/>
        <w:keepLines/>
        <w:spacing w:before="240" w:after="120"/>
        <w:ind w:left="0"/>
        <w:rPr>
          <w:rFonts w:asciiTheme="minorHAnsi" w:hAnsiTheme="minorHAnsi" w:cstheme="minorHAnsi"/>
        </w:rPr>
      </w:pPr>
      <w:r w:rsidRPr="009B3352">
        <w:rPr>
          <w:rFonts w:asciiTheme="minorHAnsi" w:hAnsiTheme="minorHAnsi" w:cstheme="minorHAnsi"/>
        </w:rPr>
        <w:lastRenderedPageBreak/>
        <w:t>Continuing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488"/>
        <w:gridCol w:w="784"/>
        <w:gridCol w:w="2668"/>
        <w:gridCol w:w="811"/>
        <w:gridCol w:w="812"/>
        <w:gridCol w:w="811"/>
        <w:gridCol w:w="812"/>
        <w:gridCol w:w="1831"/>
      </w:tblGrid>
      <w:tr w:rsidR="00655CC5" w:rsidRPr="006D075E" w14:paraId="39C76A79" w14:textId="77777777">
        <w:trPr>
          <w:cantSplit/>
          <w:trHeight w:val="20"/>
        </w:trPr>
        <w:tc>
          <w:tcPr>
            <w:tcW w:w="3939" w:type="dxa"/>
            <w:gridSpan w:val="3"/>
            <w:vAlign w:val="center"/>
          </w:tcPr>
          <w:p w14:paraId="4094BB59" w14:textId="77777777" w:rsidR="00655CC5" w:rsidRPr="009B3352" w:rsidRDefault="00655CC5" w:rsidP="00DC7334">
            <w:pPr>
              <w:keepNext/>
              <w:keepLines/>
              <w:rPr>
                <w:rFonts w:ascii="Arial Narrow" w:hAnsi="Arial Narrow"/>
                <w:b/>
                <w:sz w:val="20"/>
                <w:szCs w:val="20"/>
              </w:rPr>
            </w:pPr>
            <w:r w:rsidRPr="009B3352">
              <w:rPr>
                <w:rFonts w:ascii="Arial Narrow" w:hAnsi="Arial Narrow"/>
                <w:b/>
                <w:sz w:val="20"/>
                <w:szCs w:val="20"/>
              </w:rPr>
              <w:t>MEDICINAL PRODUCT</w:t>
            </w:r>
          </w:p>
          <w:p w14:paraId="24E40C37" w14:textId="77777777" w:rsidR="00655CC5" w:rsidRPr="009B3352" w:rsidRDefault="00655CC5" w:rsidP="00DC7334">
            <w:pPr>
              <w:keepNext/>
              <w:keepLines/>
              <w:rPr>
                <w:rFonts w:ascii="Arial Narrow" w:hAnsi="Arial Narrow"/>
                <w:b/>
                <w:sz w:val="20"/>
                <w:szCs w:val="20"/>
              </w:rPr>
            </w:pPr>
            <w:r w:rsidRPr="009B3352">
              <w:rPr>
                <w:rFonts w:ascii="Arial Narrow" w:hAnsi="Arial Narrow"/>
                <w:b/>
                <w:sz w:val="20"/>
                <w:szCs w:val="20"/>
              </w:rPr>
              <w:t>medicinal product pack</w:t>
            </w:r>
          </w:p>
        </w:tc>
        <w:tc>
          <w:tcPr>
            <w:tcW w:w="811" w:type="dxa"/>
            <w:vAlign w:val="center"/>
          </w:tcPr>
          <w:p w14:paraId="5BB56D60" w14:textId="77777777" w:rsidR="00655CC5" w:rsidRPr="009B3352" w:rsidRDefault="00655CC5" w:rsidP="00DC7334">
            <w:pPr>
              <w:keepNext/>
              <w:keepLines/>
              <w:jc w:val="center"/>
              <w:rPr>
                <w:rFonts w:ascii="Arial Narrow" w:hAnsi="Arial Narrow"/>
                <w:b/>
                <w:sz w:val="20"/>
                <w:szCs w:val="20"/>
              </w:rPr>
            </w:pPr>
            <w:r w:rsidRPr="009B3352">
              <w:rPr>
                <w:rFonts w:ascii="Arial Narrow" w:hAnsi="Arial Narrow"/>
                <w:b/>
                <w:sz w:val="20"/>
                <w:szCs w:val="20"/>
              </w:rPr>
              <w:t>PBS item code</w:t>
            </w:r>
          </w:p>
        </w:tc>
        <w:tc>
          <w:tcPr>
            <w:tcW w:w="812" w:type="dxa"/>
            <w:vAlign w:val="center"/>
          </w:tcPr>
          <w:p w14:paraId="5A31DC15" w14:textId="77777777" w:rsidR="00655CC5" w:rsidRPr="009B3352" w:rsidRDefault="00655CC5" w:rsidP="00DC7334">
            <w:pPr>
              <w:keepNext/>
              <w:keepLines/>
              <w:jc w:val="center"/>
              <w:rPr>
                <w:rFonts w:ascii="Arial Narrow" w:hAnsi="Arial Narrow"/>
                <w:b/>
                <w:sz w:val="20"/>
                <w:szCs w:val="20"/>
              </w:rPr>
            </w:pPr>
            <w:r w:rsidRPr="009B3352">
              <w:rPr>
                <w:rFonts w:ascii="Arial Narrow" w:hAnsi="Arial Narrow"/>
                <w:b/>
                <w:sz w:val="20"/>
                <w:szCs w:val="20"/>
              </w:rPr>
              <w:t>Max. qty packs</w:t>
            </w:r>
          </w:p>
        </w:tc>
        <w:tc>
          <w:tcPr>
            <w:tcW w:w="811" w:type="dxa"/>
            <w:vAlign w:val="center"/>
          </w:tcPr>
          <w:p w14:paraId="45D4F429" w14:textId="77777777" w:rsidR="00655CC5" w:rsidRPr="009B3352" w:rsidRDefault="00655CC5" w:rsidP="00DC7334">
            <w:pPr>
              <w:keepNext/>
              <w:keepLines/>
              <w:jc w:val="center"/>
              <w:rPr>
                <w:rFonts w:ascii="Arial Narrow" w:hAnsi="Arial Narrow"/>
                <w:b/>
                <w:sz w:val="20"/>
                <w:szCs w:val="20"/>
              </w:rPr>
            </w:pPr>
            <w:r w:rsidRPr="009B3352">
              <w:rPr>
                <w:rFonts w:ascii="Arial Narrow" w:hAnsi="Arial Narrow"/>
                <w:b/>
                <w:sz w:val="20"/>
                <w:szCs w:val="20"/>
              </w:rPr>
              <w:t>Max. qty units</w:t>
            </w:r>
          </w:p>
        </w:tc>
        <w:tc>
          <w:tcPr>
            <w:tcW w:w="812" w:type="dxa"/>
            <w:vAlign w:val="center"/>
          </w:tcPr>
          <w:p w14:paraId="15A79D44" w14:textId="77777777" w:rsidR="00655CC5" w:rsidRPr="009B3352" w:rsidRDefault="00655CC5" w:rsidP="00DC7334">
            <w:pPr>
              <w:keepNext/>
              <w:keepLines/>
              <w:jc w:val="center"/>
              <w:rPr>
                <w:rFonts w:ascii="Arial Narrow" w:hAnsi="Arial Narrow"/>
                <w:b/>
                <w:sz w:val="20"/>
                <w:szCs w:val="20"/>
              </w:rPr>
            </w:pPr>
            <w:r w:rsidRPr="009B3352">
              <w:rPr>
                <w:rFonts w:ascii="Arial Narrow" w:hAnsi="Arial Narrow"/>
                <w:b/>
                <w:sz w:val="20"/>
                <w:szCs w:val="20"/>
              </w:rPr>
              <w:t>№.of</w:t>
            </w:r>
          </w:p>
          <w:p w14:paraId="5A490169" w14:textId="77777777" w:rsidR="00655CC5" w:rsidRPr="009B3352" w:rsidRDefault="00655CC5" w:rsidP="00DC7334">
            <w:pPr>
              <w:keepNext/>
              <w:keepLines/>
              <w:jc w:val="center"/>
              <w:rPr>
                <w:rFonts w:ascii="Arial Narrow" w:hAnsi="Arial Narrow"/>
                <w:b/>
                <w:sz w:val="20"/>
                <w:szCs w:val="20"/>
              </w:rPr>
            </w:pPr>
            <w:r w:rsidRPr="009B3352">
              <w:rPr>
                <w:rFonts w:ascii="Arial Narrow" w:hAnsi="Arial Narrow"/>
                <w:b/>
                <w:sz w:val="20"/>
                <w:szCs w:val="20"/>
              </w:rPr>
              <w:t>Rpts</w:t>
            </w:r>
          </w:p>
        </w:tc>
        <w:tc>
          <w:tcPr>
            <w:tcW w:w="1831" w:type="dxa"/>
            <w:vAlign w:val="center"/>
          </w:tcPr>
          <w:p w14:paraId="3DC7EC77" w14:textId="77777777" w:rsidR="00655CC5" w:rsidRPr="009B3352" w:rsidRDefault="00655CC5" w:rsidP="00DC7334">
            <w:pPr>
              <w:keepNext/>
              <w:keepLines/>
              <w:rPr>
                <w:rFonts w:ascii="Arial Narrow" w:hAnsi="Arial Narrow"/>
                <w:b/>
                <w:sz w:val="20"/>
                <w:szCs w:val="20"/>
              </w:rPr>
            </w:pPr>
            <w:r w:rsidRPr="009B3352">
              <w:rPr>
                <w:rFonts w:ascii="Arial Narrow" w:hAnsi="Arial Narrow"/>
                <w:b/>
                <w:sz w:val="20"/>
                <w:szCs w:val="20"/>
              </w:rPr>
              <w:t>Available brands</w:t>
            </w:r>
          </w:p>
        </w:tc>
      </w:tr>
      <w:tr w:rsidR="00655CC5" w:rsidRPr="006D075E" w14:paraId="37AE98E2" w14:textId="77777777">
        <w:trPr>
          <w:cantSplit/>
          <w:trHeight w:val="20"/>
        </w:trPr>
        <w:tc>
          <w:tcPr>
            <w:tcW w:w="9016" w:type="dxa"/>
            <w:gridSpan w:val="8"/>
            <w:vAlign w:val="center"/>
          </w:tcPr>
          <w:p w14:paraId="324C643F" w14:textId="77777777" w:rsidR="00655CC5" w:rsidRPr="009B3352" w:rsidRDefault="00655CC5" w:rsidP="00DC7334">
            <w:pPr>
              <w:keepNext/>
              <w:keepLines/>
              <w:rPr>
                <w:rFonts w:ascii="Arial Narrow" w:hAnsi="Arial Narrow"/>
                <w:sz w:val="20"/>
                <w:szCs w:val="20"/>
              </w:rPr>
            </w:pPr>
            <w:r w:rsidRPr="009B3352">
              <w:rPr>
                <w:rFonts w:ascii="Arial Narrow" w:hAnsi="Arial Narrow"/>
                <w:sz w:val="20"/>
                <w:szCs w:val="20"/>
              </w:rPr>
              <w:t>ACALABRUTINIB </w:t>
            </w:r>
          </w:p>
        </w:tc>
      </w:tr>
      <w:tr w:rsidR="00655CC5" w:rsidRPr="006D075E" w14:paraId="1D1648D0" w14:textId="77777777">
        <w:trPr>
          <w:cantSplit/>
          <w:trHeight w:val="20"/>
        </w:trPr>
        <w:tc>
          <w:tcPr>
            <w:tcW w:w="3939" w:type="dxa"/>
            <w:gridSpan w:val="3"/>
          </w:tcPr>
          <w:p w14:paraId="402BE154" w14:textId="77777777" w:rsidR="00655CC5" w:rsidRPr="009B3352" w:rsidRDefault="00655CC5" w:rsidP="00DC7334">
            <w:pPr>
              <w:keepNext/>
              <w:keepLines/>
              <w:rPr>
                <w:rFonts w:ascii="Arial Narrow" w:hAnsi="Arial Narrow"/>
                <w:sz w:val="20"/>
                <w:szCs w:val="20"/>
              </w:rPr>
            </w:pPr>
            <w:r w:rsidRPr="009B3352">
              <w:rPr>
                <w:rFonts w:ascii="Arial Narrow" w:hAnsi="Arial Narrow"/>
                <w:sz w:val="20"/>
                <w:szCs w:val="20"/>
              </w:rPr>
              <w:t>acalabrutinib 100 mg tablet, 56</w:t>
            </w:r>
          </w:p>
        </w:tc>
        <w:tc>
          <w:tcPr>
            <w:tcW w:w="811" w:type="dxa"/>
            <w:vAlign w:val="center"/>
          </w:tcPr>
          <w:p w14:paraId="6E703B70" w14:textId="77777777" w:rsidR="00655CC5" w:rsidRPr="009B3352" w:rsidRDefault="00655CC5" w:rsidP="00DC7334">
            <w:pPr>
              <w:keepNext/>
              <w:keepLines/>
              <w:jc w:val="center"/>
              <w:rPr>
                <w:rFonts w:ascii="Arial Narrow" w:hAnsi="Arial Narrow"/>
                <w:sz w:val="20"/>
                <w:szCs w:val="20"/>
              </w:rPr>
            </w:pPr>
            <w:r w:rsidRPr="009B3352">
              <w:rPr>
                <w:rFonts w:ascii="Arial Narrow" w:hAnsi="Arial Narrow"/>
                <w:sz w:val="20"/>
                <w:szCs w:val="20"/>
              </w:rPr>
              <w:t>New</w:t>
            </w:r>
          </w:p>
        </w:tc>
        <w:tc>
          <w:tcPr>
            <w:tcW w:w="812" w:type="dxa"/>
            <w:vAlign w:val="center"/>
          </w:tcPr>
          <w:p w14:paraId="62A5356A" w14:textId="77777777" w:rsidR="00655CC5" w:rsidRPr="009B3352" w:rsidRDefault="00655CC5" w:rsidP="00DC7334">
            <w:pPr>
              <w:keepNext/>
              <w:keepLines/>
              <w:jc w:val="center"/>
              <w:rPr>
                <w:rFonts w:ascii="Arial Narrow" w:hAnsi="Arial Narrow"/>
                <w:sz w:val="20"/>
                <w:szCs w:val="20"/>
              </w:rPr>
            </w:pPr>
            <w:r w:rsidRPr="009B3352">
              <w:rPr>
                <w:rFonts w:ascii="Arial Narrow" w:hAnsi="Arial Narrow"/>
                <w:sz w:val="20"/>
                <w:szCs w:val="20"/>
              </w:rPr>
              <w:t>1</w:t>
            </w:r>
          </w:p>
        </w:tc>
        <w:tc>
          <w:tcPr>
            <w:tcW w:w="811" w:type="dxa"/>
            <w:vAlign w:val="center"/>
          </w:tcPr>
          <w:p w14:paraId="76FF1BEA" w14:textId="77777777" w:rsidR="00655CC5" w:rsidRPr="009B3352" w:rsidRDefault="00655CC5" w:rsidP="00DC7334">
            <w:pPr>
              <w:keepNext/>
              <w:keepLines/>
              <w:jc w:val="center"/>
              <w:rPr>
                <w:rFonts w:ascii="Arial Narrow" w:hAnsi="Arial Narrow"/>
                <w:sz w:val="20"/>
                <w:szCs w:val="20"/>
              </w:rPr>
            </w:pPr>
            <w:r w:rsidRPr="009B3352">
              <w:rPr>
                <w:rFonts w:ascii="Arial Narrow" w:hAnsi="Arial Narrow"/>
                <w:sz w:val="20"/>
                <w:szCs w:val="20"/>
              </w:rPr>
              <w:t>56</w:t>
            </w:r>
          </w:p>
        </w:tc>
        <w:tc>
          <w:tcPr>
            <w:tcW w:w="812" w:type="dxa"/>
            <w:vAlign w:val="center"/>
          </w:tcPr>
          <w:p w14:paraId="33DEDC3D" w14:textId="77777777" w:rsidR="00655CC5" w:rsidRPr="009B3352" w:rsidRDefault="00655CC5" w:rsidP="00DC7334">
            <w:pPr>
              <w:keepNext/>
              <w:keepLines/>
              <w:jc w:val="center"/>
              <w:rPr>
                <w:rFonts w:ascii="Arial Narrow" w:hAnsi="Arial Narrow"/>
                <w:sz w:val="20"/>
                <w:szCs w:val="20"/>
              </w:rPr>
            </w:pPr>
            <w:r w:rsidRPr="009B3352">
              <w:rPr>
                <w:rFonts w:ascii="Arial Narrow" w:hAnsi="Arial Narrow"/>
                <w:sz w:val="20"/>
                <w:szCs w:val="20"/>
              </w:rPr>
              <w:t>5</w:t>
            </w:r>
          </w:p>
        </w:tc>
        <w:tc>
          <w:tcPr>
            <w:tcW w:w="1831" w:type="dxa"/>
            <w:vAlign w:val="center"/>
          </w:tcPr>
          <w:p w14:paraId="07B3F04C" w14:textId="77777777" w:rsidR="00655CC5" w:rsidRPr="009B3352" w:rsidRDefault="00655CC5" w:rsidP="00DC7334">
            <w:pPr>
              <w:keepNext/>
              <w:keepLines/>
              <w:jc w:val="center"/>
              <w:rPr>
                <w:rFonts w:ascii="Arial Narrow" w:hAnsi="Arial Narrow"/>
                <w:sz w:val="20"/>
                <w:szCs w:val="20"/>
              </w:rPr>
            </w:pPr>
            <w:proofErr w:type="spellStart"/>
            <w:r w:rsidRPr="009B3352">
              <w:rPr>
                <w:rFonts w:ascii="Arial Narrow" w:hAnsi="Arial Narrow"/>
                <w:sz w:val="20"/>
                <w:szCs w:val="20"/>
              </w:rPr>
              <w:t>calquence</w:t>
            </w:r>
            <w:proofErr w:type="spellEnd"/>
          </w:p>
        </w:tc>
      </w:tr>
      <w:tr w:rsidR="00655CC5" w:rsidRPr="006D075E" w14:paraId="7E8B1EA1"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AF405B0" w14:textId="77777777" w:rsidR="00655CC5" w:rsidRPr="009B3352" w:rsidRDefault="00655CC5" w:rsidP="00DC7334">
            <w:pPr>
              <w:keepNext/>
              <w:keepLines/>
              <w:rPr>
                <w:rFonts w:ascii="Arial Narrow" w:hAnsi="Arial Narrow"/>
                <w:sz w:val="20"/>
                <w:szCs w:val="20"/>
              </w:rPr>
            </w:pPr>
          </w:p>
        </w:tc>
      </w:tr>
      <w:tr w:rsidR="00655CC5" w:rsidRPr="006D075E" w14:paraId="6C518B38"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3A2303B2" w14:textId="77777777" w:rsidR="00655CC5" w:rsidRPr="009B3352" w:rsidRDefault="00655CC5" w:rsidP="00DC7334">
            <w:pPr>
              <w:keepNext/>
              <w:keepLines/>
              <w:rPr>
                <w:rFonts w:ascii="Arial Narrow" w:hAnsi="Arial Narrow"/>
                <w:b/>
                <w:sz w:val="20"/>
                <w:szCs w:val="20"/>
              </w:rPr>
            </w:pPr>
            <w:r w:rsidRPr="009B3352">
              <w:rPr>
                <w:rFonts w:ascii="Arial Narrow" w:hAnsi="Arial Narrow"/>
                <w:b/>
                <w:sz w:val="20"/>
                <w:szCs w:val="20"/>
              </w:rPr>
              <w:t xml:space="preserve">Restriction Summary [new] / Treatment of Concept: [new] </w:t>
            </w:r>
          </w:p>
        </w:tc>
      </w:tr>
      <w:tr w:rsidR="00655CC5" w:rsidRPr="006D075E" w14:paraId="6F6E6562"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0F56CF18" w14:textId="77777777" w:rsidR="00655CC5" w:rsidRPr="009B3352" w:rsidRDefault="00655CC5">
            <w:pPr>
              <w:jc w:val="center"/>
              <w:rPr>
                <w:rFonts w:ascii="Arial Narrow" w:hAnsi="Arial Narrow"/>
                <w:b/>
                <w:sz w:val="20"/>
                <w:szCs w:val="20"/>
              </w:rPr>
            </w:pPr>
            <w:r w:rsidRPr="009B3352">
              <w:rPr>
                <w:rFonts w:ascii="Arial Narrow" w:hAnsi="Arial Narrow"/>
                <w:b/>
                <w:sz w:val="20"/>
                <w:szCs w:val="20"/>
              </w:rPr>
              <w:t xml:space="preserve">Concept ID </w:t>
            </w:r>
            <w:r w:rsidRPr="009B3352">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05386FE" w14:textId="77777777" w:rsidR="00655CC5" w:rsidRPr="009B3352" w:rsidRDefault="00655CC5">
            <w:pPr>
              <w:keepLines/>
              <w:rPr>
                <w:rFonts w:ascii="Arial Narrow" w:hAnsi="Arial Narrow"/>
                <w:sz w:val="20"/>
                <w:szCs w:val="20"/>
              </w:rPr>
            </w:pPr>
            <w:r w:rsidRPr="009B3352">
              <w:rPr>
                <w:rFonts w:ascii="Arial Narrow" w:hAnsi="Arial Narrow"/>
                <w:b/>
                <w:sz w:val="20"/>
                <w:szCs w:val="20"/>
              </w:rPr>
              <w:t>Category / Program:</w:t>
            </w:r>
            <w:r w:rsidRPr="009B3352">
              <w:rPr>
                <w:rFonts w:ascii="Arial Narrow" w:hAnsi="Arial Narrow"/>
                <w:color w:val="FF0000"/>
                <w:sz w:val="20"/>
                <w:szCs w:val="20"/>
              </w:rPr>
              <w:t xml:space="preserve"> </w:t>
            </w:r>
            <w:r w:rsidRPr="009B3352">
              <w:rPr>
                <w:rFonts w:ascii="Arial Narrow" w:eastAsia="Calibri" w:hAnsi="Arial Narrow"/>
                <w:sz w:val="20"/>
                <w:szCs w:val="20"/>
              </w:rPr>
              <w:fldChar w:fldCharType="begin">
                <w:ffData>
                  <w:name w:val="Check1"/>
                  <w:enabled/>
                  <w:calcOnExit w:val="0"/>
                  <w:checkBox>
                    <w:sizeAuto/>
                    <w:default w:val="1"/>
                  </w:checkBox>
                </w:ffData>
              </w:fldChar>
            </w:r>
            <w:r w:rsidRPr="009B3352">
              <w:rPr>
                <w:rFonts w:ascii="Arial Narrow" w:eastAsia="Calibri" w:hAnsi="Arial Narrow"/>
                <w:sz w:val="20"/>
                <w:szCs w:val="20"/>
              </w:rPr>
              <w:instrText xml:space="preserve"> FORMCHECKBOX </w:instrText>
            </w:r>
            <w:r w:rsidRPr="009B3352">
              <w:rPr>
                <w:rFonts w:ascii="Arial Narrow" w:eastAsia="Calibri" w:hAnsi="Arial Narrow"/>
                <w:sz w:val="20"/>
                <w:szCs w:val="20"/>
              </w:rPr>
            </w:r>
            <w:r w:rsidRPr="009B3352">
              <w:rPr>
                <w:rFonts w:ascii="Arial Narrow" w:eastAsia="Calibri" w:hAnsi="Arial Narrow"/>
                <w:sz w:val="20"/>
                <w:szCs w:val="20"/>
              </w:rPr>
              <w:fldChar w:fldCharType="separate"/>
            </w:r>
            <w:r w:rsidRPr="009B3352">
              <w:rPr>
                <w:rFonts w:ascii="Arial Narrow" w:eastAsia="Calibri" w:hAnsi="Arial Narrow"/>
                <w:sz w:val="20"/>
                <w:szCs w:val="20"/>
              </w:rPr>
              <w:fldChar w:fldCharType="end"/>
            </w:r>
            <w:r w:rsidRPr="009B3352">
              <w:rPr>
                <w:rFonts w:ascii="Arial Narrow" w:eastAsia="Calibri" w:hAnsi="Arial Narrow"/>
                <w:sz w:val="20"/>
                <w:szCs w:val="20"/>
              </w:rPr>
              <w:t xml:space="preserve"> GENERAL - General Schedule (Code GE) </w:t>
            </w:r>
          </w:p>
        </w:tc>
      </w:tr>
      <w:tr w:rsidR="00655CC5" w:rsidRPr="006D075E" w14:paraId="6D46A2D6" w14:textId="7777777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793459C2" w14:textId="77777777" w:rsidR="00655CC5" w:rsidRPr="009B3352" w:rsidRDefault="00655CC5">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8645CBD" w14:textId="77777777" w:rsidR="00655CC5" w:rsidRPr="009B3352" w:rsidRDefault="00655CC5">
            <w:pPr>
              <w:keepLines/>
            </w:pPr>
            <w:r w:rsidRPr="009B3352">
              <w:rPr>
                <w:rFonts w:ascii="Arial Narrow" w:hAnsi="Arial Narrow"/>
                <w:b/>
                <w:sz w:val="20"/>
                <w:szCs w:val="20"/>
              </w:rPr>
              <w:t xml:space="preserve">Prescriber type: </w:t>
            </w:r>
            <w:r w:rsidRPr="009B3352">
              <w:rPr>
                <w:rFonts w:ascii="Arial Narrow" w:hAnsi="Arial Narrow"/>
                <w:sz w:val="20"/>
                <w:szCs w:val="20"/>
              </w:rPr>
              <w:fldChar w:fldCharType="begin">
                <w:ffData>
                  <w:name w:val=""/>
                  <w:enabled/>
                  <w:calcOnExit w:val="0"/>
                  <w:checkBox>
                    <w:sizeAuto/>
                    <w:default w:val="1"/>
                  </w:checkBox>
                </w:ffData>
              </w:fldChar>
            </w:r>
            <w:r w:rsidRPr="009B3352">
              <w:rPr>
                <w:rFonts w:ascii="Arial Narrow" w:hAnsi="Arial Narrow"/>
                <w:sz w:val="20"/>
                <w:szCs w:val="20"/>
              </w:rPr>
              <w:instrText xml:space="preserve"> FORMCHECKBOX </w:instrText>
            </w:r>
            <w:r w:rsidRPr="009B3352">
              <w:rPr>
                <w:rFonts w:ascii="Arial Narrow" w:hAnsi="Arial Narrow"/>
                <w:sz w:val="20"/>
                <w:szCs w:val="20"/>
              </w:rPr>
            </w:r>
            <w:r w:rsidRPr="009B3352">
              <w:rPr>
                <w:rFonts w:ascii="Arial Narrow" w:hAnsi="Arial Narrow"/>
                <w:sz w:val="20"/>
                <w:szCs w:val="20"/>
              </w:rPr>
              <w:fldChar w:fldCharType="separate"/>
            </w:r>
            <w:r w:rsidRPr="009B3352">
              <w:rPr>
                <w:rFonts w:ascii="Arial Narrow" w:hAnsi="Arial Narrow"/>
                <w:sz w:val="20"/>
                <w:szCs w:val="20"/>
              </w:rPr>
              <w:fldChar w:fldCharType="end"/>
            </w:r>
            <w:r w:rsidRPr="009B3352">
              <w:rPr>
                <w:rFonts w:ascii="Arial Narrow" w:hAnsi="Arial Narrow"/>
                <w:sz w:val="20"/>
                <w:szCs w:val="20"/>
              </w:rPr>
              <w:t xml:space="preserve">Medical Practitioners </w:t>
            </w:r>
          </w:p>
        </w:tc>
      </w:tr>
      <w:tr w:rsidR="00655CC5" w:rsidRPr="006D075E" w14:paraId="18557216" w14:textId="7777777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9E1E653" w14:textId="77777777" w:rsidR="00655CC5" w:rsidRPr="009B3352" w:rsidRDefault="00655CC5">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A4DDE48" w14:textId="77777777" w:rsidR="00655CC5" w:rsidRPr="009B3352" w:rsidRDefault="00655CC5">
            <w:pPr>
              <w:keepLines/>
              <w:rPr>
                <w:rFonts w:ascii="Arial Narrow" w:eastAsia="Calibri" w:hAnsi="Arial Narrow"/>
                <w:color w:val="FF0000"/>
                <w:sz w:val="20"/>
                <w:szCs w:val="20"/>
              </w:rPr>
            </w:pPr>
            <w:r w:rsidRPr="009B3352">
              <w:rPr>
                <w:rFonts w:ascii="Arial Narrow" w:hAnsi="Arial Narrow"/>
                <w:b/>
                <w:sz w:val="20"/>
                <w:szCs w:val="20"/>
              </w:rPr>
              <w:t xml:space="preserve">Restriction type: </w:t>
            </w:r>
            <w:r w:rsidRPr="009B3352">
              <w:rPr>
                <w:rFonts w:ascii="Arial Narrow" w:eastAsia="Calibri" w:hAnsi="Arial Narrow"/>
                <w:sz w:val="20"/>
                <w:szCs w:val="20"/>
              </w:rPr>
              <w:fldChar w:fldCharType="begin">
                <w:ffData>
                  <w:name w:val="Check3"/>
                  <w:enabled/>
                  <w:calcOnExit w:val="0"/>
                  <w:checkBox>
                    <w:sizeAuto/>
                    <w:default w:val="1"/>
                  </w:checkBox>
                </w:ffData>
              </w:fldChar>
            </w:r>
            <w:r w:rsidRPr="009B3352">
              <w:rPr>
                <w:rFonts w:ascii="Arial Narrow" w:eastAsia="Calibri" w:hAnsi="Arial Narrow"/>
                <w:sz w:val="20"/>
                <w:szCs w:val="20"/>
              </w:rPr>
              <w:instrText xml:space="preserve"> FORMCHECKBOX </w:instrText>
            </w:r>
            <w:r w:rsidRPr="009B3352">
              <w:rPr>
                <w:rFonts w:ascii="Arial Narrow" w:eastAsia="Calibri" w:hAnsi="Arial Narrow"/>
                <w:sz w:val="20"/>
                <w:szCs w:val="20"/>
              </w:rPr>
            </w:r>
            <w:r w:rsidRPr="009B3352">
              <w:rPr>
                <w:rFonts w:ascii="Arial Narrow" w:eastAsia="Calibri" w:hAnsi="Arial Narrow"/>
                <w:sz w:val="20"/>
                <w:szCs w:val="20"/>
              </w:rPr>
              <w:fldChar w:fldCharType="separate"/>
            </w:r>
            <w:r w:rsidRPr="009B3352">
              <w:rPr>
                <w:rFonts w:ascii="Arial Narrow" w:eastAsia="Calibri" w:hAnsi="Arial Narrow"/>
                <w:sz w:val="20"/>
                <w:szCs w:val="20"/>
              </w:rPr>
              <w:fldChar w:fldCharType="end"/>
            </w:r>
            <w:r w:rsidRPr="009B3352">
              <w:rPr>
                <w:rFonts w:ascii="Arial Narrow" w:eastAsia="Calibri" w:hAnsi="Arial Narrow"/>
                <w:sz w:val="20"/>
                <w:szCs w:val="20"/>
              </w:rPr>
              <w:t xml:space="preserve">Authority Required (telephone/electronic (immediate assessment)) </w:t>
            </w:r>
          </w:p>
        </w:tc>
      </w:tr>
      <w:tr w:rsidR="00655CC5" w:rsidRPr="006D075E" w14:paraId="6BF23BC3" w14:textId="77777777" w:rsidTr="006D5D01">
        <w:tblPrEx>
          <w:tblCellMar>
            <w:top w:w="15" w:type="dxa"/>
            <w:bottom w:w="15" w:type="dxa"/>
          </w:tblCellMar>
        </w:tblPrEx>
        <w:trPr>
          <w:trHeight w:val="20"/>
        </w:trPr>
        <w:tc>
          <w:tcPr>
            <w:tcW w:w="487" w:type="dxa"/>
            <w:vMerge w:val="restart"/>
            <w:tcBorders>
              <w:left w:val="single" w:sz="4" w:space="0" w:color="auto"/>
              <w:right w:val="single" w:sz="4" w:space="0" w:color="auto"/>
            </w:tcBorders>
            <w:textDirection w:val="btLr"/>
            <w:vAlign w:val="center"/>
          </w:tcPr>
          <w:p w14:paraId="21066845" w14:textId="77777777" w:rsidR="00655CC5" w:rsidRPr="009B3352" w:rsidRDefault="00655CC5">
            <w:pPr>
              <w:jc w:val="center"/>
              <w:rPr>
                <w:rFonts w:ascii="Arial Narrow" w:hAnsi="Arial Narrow"/>
                <w:sz w:val="20"/>
                <w:szCs w:val="20"/>
              </w:rPr>
            </w:pPr>
            <w:r w:rsidRPr="009B3352">
              <w:rPr>
                <w:rFonts w:ascii="Arial Narrow" w:hAnsi="Arial Narrow"/>
                <w:sz w:val="20"/>
                <w:szCs w:val="20"/>
              </w:rPr>
              <w:t>Prescribing rule level</w:t>
            </w:r>
          </w:p>
        </w:tc>
        <w:tc>
          <w:tcPr>
            <w:tcW w:w="784" w:type="dxa"/>
            <w:tcBorders>
              <w:top w:val="single" w:sz="4" w:space="0" w:color="auto"/>
              <w:left w:val="nil"/>
              <w:bottom w:val="single" w:sz="4" w:space="0" w:color="auto"/>
              <w:right w:val="single" w:sz="4" w:space="0" w:color="auto"/>
            </w:tcBorders>
          </w:tcPr>
          <w:p w14:paraId="0DDAF457" w14:textId="7DEAF61B" w:rsidR="00655CC5" w:rsidRPr="009B3352" w:rsidRDefault="00655CC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23DC55D8" w14:textId="77777777" w:rsidR="00655CC5" w:rsidRPr="009B3352" w:rsidRDefault="00655CC5">
            <w:pPr>
              <w:pStyle w:val="NormalWeb"/>
              <w:spacing w:before="0" w:beforeAutospacing="0" w:after="0" w:afterAutospacing="0"/>
              <w:textAlignment w:val="baseline"/>
              <w:rPr>
                <w:rFonts w:ascii="Arial Narrow" w:hAnsi="Arial Narrow" w:cs="Open Sans"/>
                <w:color w:val="333333"/>
                <w:sz w:val="20"/>
                <w:szCs w:val="20"/>
              </w:rPr>
            </w:pPr>
            <w:r w:rsidRPr="009B3352">
              <w:rPr>
                <w:rStyle w:val="Strong"/>
                <w:rFonts w:ascii="Arial Narrow" w:hAnsi="Arial Narrow" w:cs="Open Sans"/>
                <w:color w:val="333333"/>
                <w:sz w:val="20"/>
                <w:szCs w:val="20"/>
                <w:bdr w:val="none" w:sz="0" w:space="0" w:color="auto" w:frame="1"/>
              </w:rPr>
              <w:t>Administrative Advice:</w:t>
            </w:r>
          </w:p>
          <w:p w14:paraId="56D607B3" w14:textId="77777777" w:rsidR="00655CC5" w:rsidRPr="009B3352" w:rsidRDefault="00655CC5">
            <w:pPr>
              <w:rPr>
                <w:rFonts w:ascii="Arial Narrow" w:hAnsi="Arial Narrow"/>
                <w:b/>
                <w:color w:val="333333"/>
                <w:sz w:val="20"/>
                <w:szCs w:val="20"/>
              </w:rPr>
            </w:pPr>
            <w:r w:rsidRPr="009B3352">
              <w:rPr>
                <w:rFonts w:ascii="Arial Narrow" w:hAnsi="Arial Narrow" w:cs="Open San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655CC5" w:rsidRPr="006D075E" w14:paraId="3FE2ED12" w14:textId="77777777" w:rsidTr="006D5D01">
        <w:tblPrEx>
          <w:tblCellMar>
            <w:top w:w="15" w:type="dxa"/>
            <w:bottom w:w="15" w:type="dxa"/>
          </w:tblCellMar>
        </w:tblPrEx>
        <w:trPr>
          <w:trHeight w:val="411"/>
        </w:trPr>
        <w:tc>
          <w:tcPr>
            <w:tcW w:w="487" w:type="dxa"/>
            <w:vMerge/>
            <w:tcBorders>
              <w:left w:val="single" w:sz="4" w:space="0" w:color="auto"/>
              <w:right w:val="single" w:sz="4" w:space="0" w:color="auto"/>
            </w:tcBorders>
            <w:textDirection w:val="btLr"/>
            <w:vAlign w:val="center"/>
          </w:tcPr>
          <w:p w14:paraId="46EB8A98" w14:textId="77777777" w:rsidR="00655CC5" w:rsidRPr="009B3352" w:rsidRDefault="00655CC5">
            <w:pPr>
              <w:rPr>
                <w:rFonts w:ascii="Arial Narrow" w:hAnsi="Arial Narrow"/>
                <w:sz w:val="20"/>
                <w:szCs w:val="20"/>
              </w:rPr>
            </w:pPr>
          </w:p>
        </w:tc>
        <w:tc>
          <w:tcPr>
            <w:tcW w:w="784" w:type="dxa"/>
            <w:tcBorders>
              <w:top w:val="single" w:sz="4" w:space="0" w:color="auto"/>
              <w:left w:val="nil"/>
              <w:right w:val="single" w:sz="4" w:space="0" w:color="auto"/>
            </w:tcBorders>
          </w:tcPr>
          <w:p w14:paraId="5530D2A4" w14:textId="39F0654B" w:rsidR="00655CC5" w:rsidRPr="009B3352" w:rsidRDefault="00655CC5">
            <w:pPr>
              <w:jc w:val="center"/>
              <w:rPr>
                <w:rFonts w:ascii="Arial Narrow" w:hAnsi="Arial Narrow" w:cs="Open Sans"/>
                <w:color w:val="333333"/>
                <w:sz w:val="20"/>
                <w:szCs w:val="20"/>
              </w:rPr>
            </w:pPr>
          </w:p>
        </w:tc>
        <w:tc>
          <w:tcPr>
            <w:tcW w:w="7745" w:type="dxa"/>
            <w:gridSpan w:val="6"/>
            <w:tcBorders>
              <w:top w:val="single" w:sz="4" w:space="0" w:color="auto"/>
              <w:left w:val="single" w:sz="4" w:space="0" w:color="auto"/>
              <w:right w:val="single" w:sz="4" w:space="0" w:color="auto"/>
            </w:tcBorders>
          </w:tcPr>
          <w:p w14:paraId="4D0DCD39" w14:textId="77777777" w:rsidR="00655CC5" w:rsidRPr="009B3352" w:rsidRDefault="00655CC5">
            <w:pPr>
              <w:pStyle w:val="NormalWeb"/>
              <w:contextualSpacing/>
              <w:textAlignment w:val="baseline"/>
              <w:rPr>
                <w:rStyle w:val="Strong"/>
                <w:rFonts w:ascii="Arial Narrow" w:eastAsiaTheme="minorHAnsi" w:hAnsi="Arial Narrow" w:cs="Open Sans"/>
                <w:color w:val="333333"/>
                <w:sz w:val="20"/>
                <w:szCs w:val="20"/>
                <w:bdr w:val="none" w:sz="0" w:space="0" w:color="auto" w:frame="1"/>
                <w:lang w:eastAsia="en-US"/>
              </w:rPr>
            </w:pPr>
            <w:r w:rsidRPr="009B3352">
              <w:rPr>
                <w:rStyle w:val="Strong"/>
                <w:rFonts w:ascii="Arial Narrow" w:hAnsi="Arial Narrow" w:cs="Open Sans"/>
                <w:color w:val="333333"/>
                <w:sz w:val="20"/>
                <w:szCs w:val="20"/>
                <w:bdr w:val="none" w:sz="0" w:space="0" w:color="auto" w:frame="1"/>
              </w:rPr>
              <w:t>Administrative Advice:</w:t>
            </w:r>
          </w:p>
          <w:p w14:paraId="2586CFE9" w14:textId="77777777" w:rsidR="00655CC5" w:rsidRPr="009B3352" w:rsidRDefault="00655CC5">
            <w:pPr>
              <w:pStyle w:val="NormalWeb"/>
              <w:contextualSpacing/>
              <w:textAlignment w:val="baseline"/>
              <w:rPr>
                <w:rStyle w:val="Strong"/>
                <w:rFonts w:ascii="Arial Narrow" w:hAnsi="Arial Narrow" w:cs="Open Sans"/>
                <w:color w:val="333333"/>
                <w:sz w:val="20"/>
                <w:szCs w:val="20"/>
                <w:bdr w:val="none" w:sz="0" w:space="0" w:color="auto" w:frame="1"/>
              </w:rPr>
            </w:pPr>
            <w:r w:rsidRPr="009B3352">
              <w:rPr>
                <w:rFonts w:ascii="Arial Narrow" w:hAnsi="Arial Narrow" w:cs="Open Sans"/>
                <w:color w:val="333333"/>
                <w:sz w:val="20"/>
                <w:szCs w:val="20"/>
                <w:bdr w:val="none" w:sz="0" w:space="0" w:color="auto" w:frame="1"/>
              </w:rPr>
              <w:t>No increase in the maximum quantity or number of units may be authorised.</w:t>
            </w:r>
          </w:p>
        </w:tc>
      </w:tr>
      <w:tr w:rsidR="00655CC5" w:rsidRPr="006D075E" w14:paraId="6F88A296" w14:textId="77777777" w:rsidTr="006D5D01">
        <w:tblPrEx>
          <w:tblCellMar>
            <w:top w:w="15" w:type="dxa"/>
            <w:bottom w:w="15" w:type="dxa"/>
          </w:tblCellMar>
        </w:tblPrEx>
        <w:trPr>
          <w:trHeight w:val="20"/>
        </w:trPr>
        <w:tc>
          <w:tcPr>
            <w:tcW w:w="487" w:type="dxa"/>
            <w:vMerge/>
            <w:tcBorders>
              <w:left w:val="single" w:sz="4" w:space="0" w:color="auto"/>
              <w:right w:val="single" w:sz="4" w:space="0" w:color="auto"/>
            </w:tcBorders>
            <w:textDirection w:val="btLr"/>
            <w:vAlign w:val="center"/>
          </w:tcPr>
          <w:p w14:paraId="7FAD93B1" w14:textId="77777777" w:rsidR="00655CC5" w:rsidRPr="009B3352" w:rsidRDefault="00655CC5">
            <w:pPr>
              <w:rPr>
                <w:rFonts w:ascii="Arial Narrow" w:hAnsi="Arial Narrow"/>
                <w:sz w:val="20"/>
                <w:szCs w:val="20"/>
              </w:rPr>
            </w:pPr>
          </w:p>
        </w:tc>
        <w:tc>
          <w:tcPr>
            <w:tcW w:w="784" w:type="dxa"/>
            <w:tcBorders>
              <w:top w:val="single" w:sz="4" w:space="0" w:color="auto"/>
              <w:left w:val="nil"/>
              <w:bottom w:val="single" w:sz="4" w:space="0" w:color="auto"/>
              <w:right w:val="single" w:sz="4" w:space="0" w:color="auto"/>
            </w:tcBorders>
          </w:tcPr>
          <w:p w14:paraId="4107EA6E" w14:textId="566AAEE8" w:rsidR="00655CC5" w:rsidRPr="009B3352" w:rsidRDefault="00655CC5">
            <w:pPr>
              <w:jc w:val="center"/>
              <w:rPr>
                <w:rFonts w:ascii="Arial Narrow" w:hAnsi="Arial Narrow" w:cs="Open Sans"/>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67B964FC" w14:textId="77777777" w:rsidR="00655CC5" w:rsidRPr="009B3352" w:rsidRDefault="00655CC5">
            <w:pPr>
              <w:pStyle w:val="NormalWeb"/>
              <w:contextualSpacing/>
              <w:textAlignment w:val="baseline"/>
              <w:rPr>
                <w:rStyle w:val="Strong"/>
                <w:rFonts w:ascii="Arial Narrow" w:hAnsi="Arial Narrow" w:cs="Open Sans"/>
                <w:color w:val="333333"/>
                <w:sz w:val="20"/>
                <w:szCs w:val="20"/>
                <w:bdr w:val="none" w:sz="0" w:space="0" w:color="auto" w:frame="1"/>
              </w:rPr>
            </w:pPr>
            <w:r w:rsidRPr="009B3352">
              <w:rPr>
                <w:rStyle w:val="Strong"/>
                <w:rFonts w:ascii="Arial Narrow" w:hAnsi="Arial Narrow" w:cs="Open Sans"/>
                <w:color w:val="333333"/>
                <w:sz w:val="20"/>
                <w:szCs w:val="20"/>
                <w:bdr w:val="none" w:sz="0" w:space="0" w:color="auto" w:frame="1"/>
              </w:rPr>
              <w:t>Administrative Advice:</w:t>
            </w:r>
          </w:p>
          <w:p w14:paraId="4E640E62" w14:textId="77777777" w:rsidR="00655CC5" w:rsidRPr="009B3352" w:rsidRDefault="00655CC5">
            <w:pPr>
              <w:pStyle w:val="NormalWeb"/>
              <w:contextualSpacing/>
              <w:textAlignment w:val="baseline"/>
              <w:rPr>
                <w:rStyle w:val="Strong"/>
                <w:rFonts w:ascii="Arial Narrow" w:hAnsi="Arial Narrow" w:cs="Open Sans"/>
                <w:color w:val="333333"/>
                <w:sz w:val="20"/>
                <w:szCs w:val="20"/>
                <w:bdr w:val="none" w:sz="0" w:space="0" w:color="auto" w:frame="1"/>
              </w:rPr>
            </w:pPr>
            <w:r w:rsidRPr="009B3352">
              <w:rPr>
                <w:rFonts w:ascii="Arial Narrow" w:hAnsi="Arial Narrow" w:cs="Open Sans"/>
                <w:color w:val="333333"/>
                <w:sz w:val="20"/>
                <w:szCs w:val="20"/>
                <w:bdr w:val="none" w:sz="0" w:space="0" w:color="auto" w:frame="1"/>
              </w:rPr>
              <w:t>No increase in the maximum number of repeats may be authorised.</w:t>
            </w:r>
          </w:p>
        </w:tc>
      </w:tr>
      <w:tr w:rsidR="00655CC5" w:rsidRPr="006D075E" w14:paraId="0110C954" w14:textId="77777777">
        <w:tblPrEx>
          <w:tblCellMar>
            <w:top w:w="15" w:type="dxa"/>
            <w:bottom w:w="15" w:type="dxa"/>
          </w:tblCellMar>
          <w:tblLook w:val="04A0" w:firstRow="1" w:lastRow="0" w:firstColumn="1" w:lastColumn="0" w:noHBand="0" w:noVBand="1"/>
        </w:tblPrEx>
        <w:trPr>
          <w:cantSplit/>
          <w:trHeight w:val="20"/>
        </w:trPr>
        <w:tc>
          <w:tcPr>
            <w:tcW w:w="1271" w:type="dxa"/>
            <w:gridSpan w:val="2"/>
            <w:vMerge w:val="restart"/>
            <w:vAlign w:val="center"/>
          </w:tcPr>
          <w:p w14:paraId="67D23E4A" w14:textId="77777777" w:rsidR="00655CC5" w:rsidRPr="009B3352" w:rsidRDefault="00655CC5">
            <w:pPr>
              <w:keepLines/>
              <w:jc w:val="center"/>
              <w:rPr>
                <w:rFonts w:ascii="Arial Narrow" w:hAnsi="Arial Narrow"/>
                <w:color w:val="333333"/>
                <w:sz w:val="20"/>
                <w:szCs w:val="20"/>
              </w:rPr>
            </w:pPr>
          </w:p>
        </w:tc>
        <w:tc>
          <w:tcPr>
            <w:tcW w:w="7745" w:type="dxa"/>
            <w:gridSpan w:val="6"/>
            <w:vAlign w:val="center"/>
          </w:tcPr>
          <w:p w14:paraId="07AC8902" w14:textId="77777777" w:rsidR="00655CC5" w:rsidRPr="009B3352" w:rsidRDefault="00655CC5">
            <w:pPr>
              <w:keepLines/>
              <w:rPr>
                <w:rFonts w:ascii="Arial Narrow" w:hAnsi="Arial Narrow"/>
                <w:sz w:val="20"/>
                <w:szCs w:val="20"/>
              </w:rPr>
            </w:pPr>
            <w:proofErr w:type="spellStart"/>
            <w:r w:rsidRPr="009B3352">
              <w:rPr>
                <w:rFonts w:ascii="Arial Narrow" w:hAnsi="Arial Narrow"/>
                <w:b/>
                <w:color w:val="BFBFBF" w:themeColor="background1" w:themeShade="BF"/>
                <w:sz w:val="20"/>
                <w:szCs w:val="20"/>
              </w:rPr>
              <w:t>Episodicity</w:t>
            </w:r>
            <w:proofErr w:type="spellEnd"/>
            <w:r w:rsidRPr="009B3352">
              <w:rPr>
                <w:rFonts w:ascii="Arial Narrow" w:hAnsi="Arial Narrow"/>
                <w:b/>
                <w:color w:val="BFBFBF" w:themeColor="background1" w:themeShade="BF"/>
                <w:sz w:val="20"/>
                <w:szCs w:val="20"/>
              </w:rPr>
              <w:t xml:space="preserve">: </w:t>
            </w:r>
            <w:r w:rsidRPr="009B3352">
              <w:rPr>
                <w:rFonts w:ascii="Arial Narrow" w:hAnsi="Arial Narrow"/>
                <w:color w:val="BFBFBF" w:themeColor="background1" w:themeShade="BF"/>
                <w:sz w:val="20"/>
                <w:szCs w:val="20"/>
              </w:rPr>
              <w:t xml:space="preserve">[blank] </w:t>
            </w:r>
          </w:p>
        </w:tc>
      </w:tr>
      <w:tr w:rsidR="00655CC5" w:rsidRPr="006D075E" w14:paraId="24D2FC4F" w14:textId="77777777">
        <w:tblPrEx>
          <w:tblCellMar>
            <w:top w:w="15" w:type="dxa"/>
            <w:bottom w:w="15" w:type="dxa"/>
          </w:tblCellMar>
          <w:tblLook w:val="04A0" w:firstRow="1" w:lastRow="0" w:firstColumn="1" w:lastColumn="0" w:noHBand="0" w:noVBand="1"/>
        </w:tblPrEx>
        <w:trPr>
          <w:cantSplit/>
          <w:trHeight w:val="20"/>
        </w:trPr>
        <w:tc>
          <w:tcPr>
            <w:tcW w:w="1271" w:type="dxa"/>
            <w:gridSpan w:val="2"/>
            <w:vMerge/>
            <w:vAlign w:val="center"/>
          </w:tcPr>
          <w:p w14:paraId="7C084672" w14:textId="77777777" w:rsidR="00655CC5" w:rsidRPr="009B3352" w:rsidRDefault="00655CC5">
            <w:pPr>
              <w:keepLines/>
              <w:jc w:val="center"/>
              <w:rPr>
                <w:rFonts w:ascii="Arial Narrow" w:hAnsi="Arial Narrow"/>
                <w:color w:val="333333"/>
                <w:sz w:val="20"/>
                <w:szCs w:val="20"/>
              </w:rPr>
            </w:pPr>
          </w:p>
        </w:tc>
        <w:tc>
          <w:tcPr>
            <w:tcW w:w="7745" w:type="dxa"/>
            <w:gridSpan w:val="6"/>
            <w:vAlign w:val="center"/>
          </w:tcPr>
          <w:p w14:paraId="648386B0" w14:textId="0D40D0AF" w:rsidR="00655CC5" w:rsidRPr="009B3352" w:rsidRDefault="00655CC5">
            <w:pPr>
              <w:keepLines/>
              <w:rPr>
                <w:rFonts w:ascii="Arial Narrow" w:hAnsi="Arial Narrow"/>
                <w:b/>
                <w:sz w:val="20"/>
                <w:szCs w:val="20"/>
              </w:rPr>
            </w:pPr>
            <w:r w:rsidRPr="009B3352">
              <w:rPr>
                <w:rFonts w:ascii="Arial Narrow" w:hAnsi="Arial Narrow"/>
                <w:b/>
                <w:sz w:val="20"/>
                <w:szCs w:val="20"/>
              </w:rPr>
              <w:t xml:space="preserve">Severity: </w:t>
            </w:r>
            <w:r w:rsidRPr="009B3352">
              <w:rPr>
                <w:rFonts w:ascii="Arial Narrow" w:hAnsi="Arial Narrow"/>
                <w:sz w:val="20"/>
                <w:szCs w:val="20"/>
              </w:rPr>
              <w:t>Stage III or IV mantle cell lymphoma </w:t>
            </w:r>
          </w:p>
        </w:tc>
      </w:tr>
      <w:tr w:rsidR="00655CC5" w:rsidRPr="006D075E" w14:paraId="3812120C" w14:textId="77777777">
        <w:tblPrEx>
          <w:tblCellMar>
            <w:top w:w="15" w:type="dxa"/>
            <w:bottom w:w="15" w:type="dxa"/>
          </w:tblCellMar>
          <w:tblLook w:val="04A0" w:firstRow="1" w:lastRow="0" w:firstColumn="1" w:lastColumn="0" w:noHBand="0" w:noVBand="1"/>
        </w:tblPrEx>
        <w:trPr>
          <w:cantSplit/>
          <w:trHeight w:val="20"/>
        </w:trPr>
        <w:tc>
          <w:tcPr>
            <w:tcW w:w="1271" w:type="dxa"/>
            <w:gridSpan w:val="2"/>
            <w:vMerge/>
            <w:vAlign w:val="center"/>
          </w:tcPr>
          <w:p w14:paraId="4D262B87" w14:textId="77777777" w:rsidR="00655CC5" w:rsidRPr="009B3352" w:rsidRDefault="00655CC5">
            <w:pPr>
              <w:keepLines/>
              <w:jc w:val="center"/>
              <w:rPr>
                <w:rFonts w:ascii="Arial Narrow" w:hAnsi="Arial Narrow"/>
                <w:color w:val="333333"/>
                <w:sz w:val="20"/>
                <w:szCs w:val="20"/>
              </w:rPr>
            </w:pPr>
          </w:p>
        </w:tc>
        <w:tc>
          <w:tcPr>
            <w:tcW w:w="7745" w:type="dxa"/>
            <w:gridSpan w:val="6"/>
            <w:vAlign w:val="center"/>
          </w:tcPr>
          <w:p w14:paraId="4C60C929" w14:textId="3C3DB0B0" w:rsidR="00655CC5" w:rsidRPr="009B3352" w:rsidRDefault="00655CC5">
            <w:pPr>
              <w:keepLines/>
              <w:rPr>
                <w:rFonts w:ascii="Arial Narrow" w:hAnsi="Arial Narrow"/>
                <w:b/>
                <w:color w:val="333333"/>
                <w:sz w:val="20"/>
                <w:szCs w:val="20"/>
              </w:rPr>
            </w:pPr>
            <w:r w:rsidRPr="009B3352">
              <w:rPr>
                <w:rFonts w:ascii="Arial Narrow" w:hAnsi="Arial Narrow"/>
                <w:b/>
                <w:color w:val="333333"/>
                <w:sz w:val="20"/>
                <w:szCs w:val="20"/>
              </w:rPr>
              <w:t xml:space="preserve">Condition: </w:t>
            </w:r>
            <w:r w:rsidRPr="009B3352">
              <w:rPr>
                <w:rFonts w:ascii="Arial Narrow" w:hAnsi="Arial Narrow"/>
                <w:color w:val="333333"/>
                <w:sz w:val="20"/>
                <w:szCs w:val="20"/>
              </w:rPr>
              <w:t>Mantle cell lymphoma </w:t>
            </w:r>
          </w:p>
        </w:tc>
      </w:tr>
      <w:tr w:rsidR="00655CC5" w:rsidRPr="006D075E" w14:paraId="5B560500"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284B1C45" w14:textId="55C4F11E" w:rsidR="00655CC5" w:rsidRPr="009B3352" w:rsidRDefault="00655CC5">
            <w:pPr>
              <w:keepLines/>
              <w:jc w:val="center"/>
              <w:rPr>
                <w:rFonts w:ascii="Arial Narrow" w:hAnsi="Arial Narrow"/>
                <w:color w:val="333333"/>
                <w:sz w:val="20"/>
                <w:szCs w:val="20"/>
              </w:rPr>
            </w:pPr>
          </w:p>
        </w:tc>
        <w:tc>
          <w:tcPr>
            <w:tcW w:w="7745" w:type="dxa"/>
            <w:gridSpan w:val="6"/>
            <w:vAlign w:val="center"/>
            <w:hideMark/>
          </w:tcPr>
          <w:p w14:paraId="64884899" w14:textId="395CA709" w:rsidR="00655CC5" w:rsidRPr="009B3352" w:rsidRDefault="00655CC5">
            <w:pPr>
              <w:keepLines/>
              <w:rPr>
                <w:rFonts w:ascii="Arial Narrow" w:hAnsi="Arial Narrow"/>
                <w:color w:val="333333"/>
                <w:sz w:val="20"/>
                <w:szCs w:val="20"/>
              </w:rPr>
            </w:pPr>
            <w:r w:rsidRPr="009B3352">
              <w:rPr>
                <w:rFonts w:ascii="Arial Narrow" w:hAnsi="Arial Narrow"/>
                <w:b/>
                <w:color w:val="333333"/>
                <w:sz w:val="20"/>
                <w:szCs w:val="20"/>
              </w:rPr>
              <w:t>Indication:</w:t>
            </w:r>
            <w:r w:rsidRPr="009B3352">
              <w:rPr>
                <w:rFonts w:ascii="Arial Narrow" w:hAnsi="Arial Narrow"/>
                <w:color w:val="333333"/>
                <w:sz w:val="20"/>
                <w:szCs w:val="20"/>
              </w:rPr>
              <w:t xml:space="preserve"> Stage III or IV mantle cell lymphoma </w:t>
            </w:r>
          </w:p>
        </w:tc>
      </w:tr>
      <w:tr w:rsidR="00655CC5" w:rsidRPr="006D075E" w14:paraId="5DC5831B"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0E0AAEAA" w14:textId="77777777" w:rsidR="00655CC5" w:rsidRPr="009B3352" w:rsidRDefault="00655CC5">
            <w:pPr>
              <w:jc w:val="center"/>
              <w:rPr>
                <w:rFonts w:ascii="Arial Narrow" w:hAnsi="Arial Narrow"/>
                <w:sz w:val="20"/>
                <w:szCs w:val="20"/>
              </w:rPr>
            </w:pPr>
          </w:p>
        </w:tc>
        <w:tc>
          <w:tcPr>
            <w:tcW w:w="7745" w:type="dxa"/>
            <w:gridSpan w:val="6"/>
            <w:vAlign w:val="center"/>
            <w:hideMark/>
          </w:tcPr>
          <w:p w14:paraId="4ADB652E" w14:textId="77777777" w:rsidR="00655CC5" w:rsidRPr="009B3352" w:rsidRDefault="00655CC5">
            <w:pPr>
              <w:rPr>
                <w:rFonts w:ascii="Arial Narrow" w:hAnsi="Arial Narrow"/>
                <w:sz w:val="20"/>
                <w:szCs w:val="20"/>
              </w:rPr>
            </w:pPr>
            <w:r w:rsidRPr="009B3352">
              <w:rPr>
                <w:rFonts w:ascii="Arial Narrow" w:hAnsi="Arial Narrow"/>
                <w:b/>
                <w:sz w:val="20"/>
                <w:szCs w:val="20"/>
              </w:rPr>
              <w:t>Treatment Phase:</w:t>
            </w:r>
            <w:r w:rsidRPr="009B3352">
              <w:rPr>
                <w:rFonts w:ascii="Arial Narrow" w:hAnsi="Arial Narrow"/>
                <w:sz w:val="20"/>
                <w:szCs w:val="20"/>
              </w:rPr>
              <w:t xml:space="preserve"> First line therapy - Continuing treatment </w:t>
            </w:r>
          </w:p>
        </w:tc>
      </w:tr>
      <w:tr w:rsidR="00655CC5" w:rsidRPr="006D075E" w14:paraId="5433566D"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7D438423" w14:textId="7F62E8E2" w:rsidR="00655CC5" w:rsidRPr="009B3352" w:rsidRDefault="00655CC5">
            <w:pPr>
              <w:jc w:val="center"/>
              <w:rPr>
                <w:rFonts w:ascii="Arial Narrow" w:hAnsi="Arial Narrow"/>
                <w:sz w:val="20"/>
                <w:szCs w:val="20"/>
              </w:rPr>
            </w:pPr>
          </w:p>
        </w:tc>
        <w:tc>
          <w:tcPr>
            <w:tcW w:w="7745" w:type="dxa"/>
            <w:gridSpan w:val="6"/>
            <w:vAlign w:val="center"/>
            <w:hideMark/>
          </w:tcPr>
          <w:p w14:paraId="2231310C" w14:textId="77777777" w:rsidR="00655CC5" w:rsidRPr="009B3352" w:rsidRDefault="00655CC5">
            <w:pPr>
              <w:rPr>
                <w:rFonts w:ascii="Arial Narrow" w:hAnsi="Arial Narrow"/>
                <w:sz w:val="20"/>
                <w:szCs w:val="20"/>
              </w:rPr>
            </w:pPr>
            <w:r w:rsidRPr="009B3352">
              <w:rPr>
                <w:rFonts w:ascii="Arial Narrow" w:hAnsi="Arial Narrow"/>
                <w:b/>
                <w:sz w:val="20"/>
                <w:szCs w:val="20"/>
              </w:rPr>
              <w:t xml:space="preserve">Clinical criteria: </w:t>
            </w:r>
          </w:p>
        </w:tc>
      </w:tr>
      <w:tr w:rsidR="00655CC5" w:rsidRPr="006D075E" w14:paraId="11BF05BD"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50876EDC" w14:textId="108D0FE7" w:rsidR="00655CC5" w:rsidRPr="009B3352" w:rsidRDefault="00655CC5">
            <w:pPr>
              <w:jc w:val="center"/>
              <w:rPr>
                <w:rFonts w:ascii="Arial Narrow" w:hAnsi="Arial Narrow"/>
                <w:sz w:val="20"/>
                <w:szCs w:val="20"/>
              </w:rPr>
            </w:pPr>
          </w:p>
        </w:tc>
        <w:tc>
          <w:tcPr>
            <w:tcW w:w="7745" w:type="dxa"/>
            <w:gridSpan w:val="6"/>
            <w:vAlign w:val="center"/>
            <w:hideMark/>
          </w:tcPr>
          <w:p w14:paraId="76B4D0E6" w14:textId="0CF16511" w:rsidR="00655CC5" w:rsidRPr="009B3352" w:rsidRDefault="00655CC5">
            <w:pPr>
              <w:rPr>
                <w:rFonts w:ascii="Arial Narrow" w:hAnsi="Arial Narrow"/>
                <w:sz w:val="20"/>
                <w:szCs w:val="20"/>
              </w:rPr>
            </w:pPr>
            <w:r w:rsidRPr="009B3352">
              <w:rPr>
                <w:rFonts w:ascii="Arial Narrow" w:hAnsi="Arial Narrow"/>
                <w:sz w:val="20"/>
                <w:szCs w:val="20"/>
              </w:rPr>
              <w:t xml:space="preserve">Patient must have previously received PBS-subsidised treatment with this drug for this </w:t>
            </w:r>
            <w:r w:rsidR="00763097">
              <w:rPr>
                <w:rFonts w:ascii="Arial Narrow" w:hAnsi="Arial Narrow"/>
                <w:sz w:val="20"/>
                <w:szCs w:val="20"/>
              </w:rPr>
              <w:t>indication</w:t>
            </w:r>
          </w:p>
        </w:tc>
      </w:tr>
      <w:tr w:rsidR="00655CC5" w:rsidRPr="006D075E" w14:paraId="10D17CEB"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84BD2A3" w14:textId="77777777" w:rsidR="00655CC5" w:rsidRPr="009B3352" w:rsidRDefault="00655CC5">
            <w:pPr>
              <w:jc w:val="center"/>
              <w:rPr>
                <w:rFonts w:ascii="Arial Narrow" w:hAnsi="Arial Narrow"/>
                <w:sz w:val="20"/>
                <w:szCs w:val="20"/>
              </w:rPr>
            </w:pPr>
          </w:p>
        </w:tc>
        <w:tc>
          <w:tcPr>
            <w:tcW w:w="7745" w:type="dxa"/>
            <w:gridSpan w:val="6"/>
            <w:vAlign w:val="center"/>
          </w:tcPr>
          <w:p w14:paraId="3FDCB326" w14:textId="77777777" w:rsidR="00655CC5" w:rsidRPr="009B3352" w:rsidRDefault="00655CC5">
            <w:pPr>
              <w:rPr>
                <w:rFonts w:ascii="Arial Narrow" w:hAnsi="Arial Narrow"/>
                <w:sz w:val="20"/>
                <w:szCs w:val="20"/>
              </w:rPr>
            </w:pPr>
            <w:r w:rsidRPr="009B3352">
              <w:rPr>
                <w:rFonts w:ascii="Arial Narrow" w:hAnsi="Arial Narrow"/>
                <w:b/>
                <w:sz w:val="20"/>
                <w:szCs w:val="20"/>
              </w:rPr>
              <w:t>AND</w:t>
            </w:r>
          </w:p>
        </w:tc>
      </w:tr>
      <w:tr w:rsidR="00655CC5" w:rsidRPr="006D075E" w14:paraId="42622605"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FB1FB1E" w14:textId="0EA7D6AE" w:rsidR="00655CC5" w:rsidRPr="009B3352" w:rsidRDefault="00655CC5">
            <w:pPr>
              <w:jc w:val="center"/>
              <w:rPr>
                <w:rFonts w:ascii="Arial Narrow" w:hAnsi="Arial Narrow"/>
                <w:sz w:val="20"/>
                <w:szCs w:val="20"/>
              </w:rPr>
            </w:pPr>
          </w:p>
        </w:tc>
        <w:tc>
          <w:tcPr>
            <w:tcW w:w="7745" w:type="dxa"/>
            <w:gridSpan w:val="6"/>
            <w:vAlign w:val="center"/>
          </w:tcPr>
          <w:p w14:paraId="79FB8D21" w14:textId="77777777" w:rsidR="00655CC5" w:rsidRPr="009B3352" w:rsidRDefault="00655CC5">
            <w:pPr>
              <w:rPr>
                <w:rFonts w:ascii="Arial Narrow" w:hAnsi="Arial Narrow"/>
                <w:sz w:val="20"/>
                <w:szCs w:val="20"/>
              </w:rPr>
            </w:pPr>
            <w:r w:rsidRPr="009B3352">
              <w:rPr>
                <w:rFonts w:ascii="Arial Narrow" w:hAnsi="Arial Narrow"/>
                <w:b/>
                <w:sz w:val="20"/>
                <w:szCs w:val="20"/>
              </w:rPr>
              <w:t>Clinical criteria:</w:t>
            </w:r>
          </w:p>
        </w:tc>
      </w:tr>
      <w:tr w:rsidR="00655CC5" w:rsidRPr="006D075E" w14:paraId="3234915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A59718C" w14:textId="57E388CE" w:rsidR="00655CC5" w:rsidRPr="009B3352" w:rsidRDefault="00655CC5">
            <w:pPr>
              <w:jc w:val="center"/>
              <w:rPr>
                <w:rFonts w:ascii="Arial Narrow" w:hAnsi="Arial Narrow"/>
                <w:sz w:val="20"/>
                <w:szCs w:val="20"/>
              </w:rPr>
            </w:pPr>
          </w:p>
        </w:tc>
        <w:tc>
          <w:tcPr>
            <w:tcW w:w="7745" w:type="dxa"/>
            <w:gridSpan w:val="6"/>
            <w:vAlign w:val="center"/>
          </w:tcPr>
          <w:p w14:paraId="6465D8A1" w14:textId="6BA44833" w:rsidR="00655CC5" w:rsidRPr="009B3352" w:rsidRDefault="00655CC5">
            <w:pPr>
              <w:rPr>
                <w:rFonts w:ascii="Arial Narrow" w:hAnsi="Arial Narrow"/>
                <w:sz w:val="20"/>
                <w:szCs w:val="20"/>
              </w:rPr>
            </w:pPr>
            <w:r w:rsidRPr="009B3352">
              <w:rPr>
                <w:rFonts w:ascii="Arial Narrow" w:hAnsi="Arial Narrow"/>
                <w:sz w:val="20"/>
                <w:szCs w:val="20"/>
              </w:rPr>
              <w:t xml:space="preserve">Patient must not have developed disease progression while being treated with this drug for this </w:t>
            </w:r>
            <w:r w:rsidR="00763097">
              <w:rPr>
                <w:rFonts w:ascii="Arial Narrow" w:hAnsi="Arial Narrow"/>
                <w:sz w:val="20"/>
                <w:szCs w:val="20"/>
              </w:rPr>
              <w:t>indication</w:t>
            </w:r>
          </w:p>
        </w:tc>
      </w:tr>
    </w:tbl>
    <w:p w14:paraId="25B8DCA6" w14:textId="77777777" w:rsidR="00655CC5" w:rsidRPr="009B3352" w:rsidRDefault="00655CC5" w:rsidP="00377924">
      <w:pPr>
        <w:pStyle w:val="ListParagraph"/>
        <w:keepNext/>
        <w:keepLines/>
        <w:spacing w:before="240" w:after="120"/>
        <w:ind w:left="0"/>
        <w:rPr>
          <w:rFonts w:asciiTheme="minorHAnsi" w:hAnsiTheme="minorHAnsi" w:cstheme="minorHAnsi"/>
        </w:rPr>
      </w:pPr>
      <w:r w:rsidRPr="009B3352">
        <w:rPr>
          <w:rFonts w:asciiTheme="minorHAnsi" w:hAnsiTheme="minorHAnsi" w:cstheme="minorHAnsi"/>
        </w:rPr>
        <w:t xml:space="preserve">Grandfather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488"/>
        <w:gridCol w:w="784"/>
        <w:gridCol w:w="2668"/>
        <w:gridCol w:w="811"/>
        <w:gridCol w:w="812"/>
        <w:gridCol w:w="811"/>
        <w:gridCol w:w="812"/>
        <w:gridCol w:w="1831"/>
      </w:tblGrid>
      <w:tr w:rsidR="00655CC5" w:rsidRPr="006D075E" w14:paraId="12E22C0A" w14:textId="77777777" w:rsidTr="00207063">
        <w:trPr>
          <w:cantSplit/>
          <w:trHeight w:val="20"/>
        </w:trPr>
        <w:tc>
          <w:tcPr>
            <w:tcW w:w="3940" w:type="dxa"/>
            <w:gridSpan w:val="3"/>
            <w:vAlign w:val="center"/>
          </w:tcPr>
          <w:p w14:paraId="3FF59390" w14:textId="77777777" w:rsidR="00655CC5" w:rsidRPr="009B3352" w:rsidRDefault="00655CC5" w:rsidP="00377924">
            <w:pPr>
              <w:keepNext/>
              <w:keepLines/>
              <w:rPr>
                <w:rFonts w:ascii="Arial Narrow" w:hAnsi="Arial Narrow"/>
                <w:b/>
                <w:sz w:val="20"/>
                <w:szCs w:val="20"/>
              </w:rPr>
            </w:pPr>
            <w:r w:rsidRPr="009B3352">
              <w:rPr>
                <w:rFonts w:ascii="Arial Narrow" w:hAnsi="Arial Narrow"/>
                <w:b/>
                <w:sz w:val="20"/>
                <w:szCs w:val="20"/>
              </w:rPr>
              <w:t>MEDICINAL PRODUCT</w:t>
            </w:r>
          </w:p>
          <w:p w14:paraId="4B2ACB30" w14:textId="77777777" w:rsidR="00655CC5" w:rsidRPr="009B3352" w:rsidRDefault="00655CC5" w:rsidP="00377924">
            <w:pPr>
              <w:keepNext/>
              <w:keepLines/>
              <w:rPr>
                <w:rFonts w:ascii="Arial Narrow" w:hAnsi="Arial Narrow"/>
                <w:b/>
                <w:sz w:val="20"/>
                <w:szCs w:val="20"/>
              </w:rPr>
            </w:pPr>
            <w:r w:rsidRPr="009B3352">
              <w:rPr>
                <w:rFonts w:ascii="Arial Narrow" w:hAnsi="Arial Narrow"/>
                <w:b/>
                <w:sz w:val="20"/>
                <w:szCs w:val="20"/>
              </w:rPr>
              <w:t>medicinal product pack</w:t>
            </w:r>
          </w:p>
        </w:tc>
        <w:tc>
          <w:tcPr>
            <w:tcW w:w="811" w:type="dxa"/>
            <w:vAlign w:val="center"/>
          </w:tcPr>
          <w:p w14:paraId="43C1BC0A" w14:textId="77777777" w:rsidR="00655CC5" w:rsidRPr="009B3352" w:rsidRDefault="00655CC5" w:rsidP="00377924">
            <w:pPr>
              <w:keepNext/>
              <w:keepLines/>
              <w:jc w:val="center"/>
              <w:rPr>
                <w:rFonts w:ascii="Arial Narrow" w:hAnsi="Arial Narrow"/>
                <w:b/>
                <w:sz w:val="20"/>
                <w:szCs w:val="20"/>
              </w:rPr>
            </w:pPr>
            <w:r w:rsidRPr="009B3352">
              <w:rPr>
                <w:rFonts w:ascii="Arial Narrow" w:hAnsi="Arial Narrow"/>
                <w:b/>
                <w:sz w:val="20"/>
                <w:szCs w:val="20"/>
              </w:rPr>
              <w:t>PBS item code</w:t>
            </w:r>
          </w:p>
        </w:tc>
        <w:tc>
          <w:tcPr>
            <w:tcW w:w="812" w:type="dxa"/>
            <w:vAlign w:val="center"/>
          </w:tcPr>
          <w:p w14:paraId="7A57B009" w14:textId="77777777" w:rsidR="00655CC5" w:rsidRPr="009B3352" w:rsidRDefault="00655CC5" w:rsidP="00377924">
            <w:pPr>
              <w:keepNext/>
              <w:keepLines/>
              <w:jc w:val="center"/>
              <w:rPr>
                <w:rFonts w:ascii="Arial Narrow" w:hAnsi="Arial Narrow"/>
                <w:b/>
                <w:sz w:val="20"/>
                <w:szCs w:val="20"/>
              </w:rPr>
            </w:pPr>
            <w:r w:rsidRPr="009B3352">
              <w:rPr>
                <w:rFonts w:ascii="Arial Narrow" w:hAnsi="Arial Narrow"/>
                <w:b/>
                <w:sz w:val="20"/>
                <w:szCs w:val="20"/>
              </w:rPr>
              <w:t>Max. qty packs</w:t>
            </w:r>
          </w:p>
        </w:tc>
        <w:tc>
          <w:tcPr>
            <w:tcW w:w="811" w:type="dxa"/>
            <w:vAlign w:val="center"/>
          </w:tcPr>
          <w:p w14:paraId="11093266" w14:textId="77777777" w:rsidR="00655CC5" w:rsidRPr="009B3352" w:rsidRDefault="00655CC5" w:rsidP="00377924">
            <w:pPr>
              <w:keepNext/>
              <w:keepLines/>
              <w:jc w:val="center"/>
              <w:rPr>
                <w:rFonts w:ascii="Arial Narrow" w:hAnsi="Arial Narrow"/>
                <w:b/>
                <w:sz w:val="20"/>
                <w:szCs w:val="20"/>
              </w:rPr>
            </w:pPr>
            <w:r w:rsidRPr="009B3352">
              <w:rPr>
                <w:rFonts w:ascii="Arial Narrow" w:hAnsi="Arial Narrow"/>
                <w:b/>
                <w:sz w:val="20"/>
                <w:szCs w:val="20"/>
              </w:rPr>
              <w:t>Max. qty units</w:t>
            </w:r>
          </w:p>
        </w:tc>
        <w:tc>
          <w:tcPr>
            <w:tcW w:w="812" w:type="dxa"/>
            <w:vAlign w:val="center"/>
          </w:tcPr>
          <w:p w14:paraId="28DF208A" w14:textId="77777777" w:rsidR="00655CC5" w:rsidRPr="009B3352" w:rsidRDefault="00655CC5" w:rsidP="00377924">
            <w:pPr>
              <w:keepNext/>
              <w:keepLines/>
              <w:jc w:val="center"/>
              <w:rPr>
                <w:rFonts w:ascii="Arial Narrow" w:hAnsi="Arial Narrow"/>
                <w:b/>
                <w:sz w:val="20"/>
                <w:szCs w:val="20"/>
              </w:rPr>
            </w:pPr>
            <w:r w:rsidRPr="009B3352">
              <w:rPr>
                <w:rFonts w:ascii="Arial Narrow" w:hAnsi="Arial Narrow"/>
                <w:b/>
                <w:sz w:val="20"/>
                <w:szCs w:val="20"/>
              </w:rPr>
              <w:t>№.of</w:t>
            </w:r>
          </w:p>
          <w:p w14:paraId="12F00B6D" w14:textId="77777777" w:rsidR="00655CC5" w:rsidRPr="009B3352" w:rsidRDefault="00655CC5" w:rsidP="00377924">
            <w:pPr>
              <w:keepNext/>
              <w:keepLines/>
              <w:jc w:val="center"/>
              <w:rPr>
                <w:rFonts w:ascii="Arial Narrow" w:hAnsi="Arial Narrow"/>
                <w:b/>
                <w:sz w:val="20"/>
                <w:szCs w:val="20"/>
              </w:rPr>
            </w:pPr>
            <w:r w:rsidRPr="009B3352">
              <w:rPr>
                <w:rFonts w:ascii="Arial Narrow" w:hAnsi="Arial Narrow"/>
                <w:b/>
                <w:sz w:val="20"/>
                <w:szCs w:val="20"/>
              </w:rPr>
              <w:t>Rpts</w:t>
            </w:r>
          </w:p>
        </w:tc>
        <w:tc>
          <w:tcPr>
            <w:tcW w:w="1831" w:type="dxa"/>
            <w:vAlign w:val="center"/>
          </w:tcPr>
          <w:p w14:paraId="1DF31E68" w14:textId="77777777" w:rsidR="00655CC5" w:rsidRPr="009B3352" w:rsidRDefault="00655CC5" w:rsidP="00377924">
            <w:pPr>
              <w:keepNext/>
              <w:keepLines/>
              <w:rPr>
                <w:rFonts w:ascii="Arial Narrow" w:hAnsi="Arial Narrow"/>
                <w:b/>
                <w:sz w:val="20"/>
                <w:szCs w:val="20"/>
              </w:rPr>
            </w:pPr>
            <w:r w:rsidRPr="009B3352">
              <w:rPr>
                <w:rFonts w:ascii="Arial Narrow" w:hAnsi="Arial Narrow"/>
                <w:b/>
                <w:sz w:val="20"/>
                <w:szCs w:val="20"/>
              </w:rPr>
              <w:t>Available brands</w:t>
            </w:r>
          </w:p>
        </w:tc>
      </w:tr>
      <w:tr w:rsidR="00655CC5" w:rsidRPr="006D075E" w14:paraId="2CB99866" w14:textId="77777777" w:rsidTr="00207063">
        <w:trPr>
          <w:cantSplit/>
          <w:trHeight w:val="20"/>
        </w:trPr>
        <w:tc>
          <w:tcPr>
            <w:tcW w:w="9017" w:type="dxa"/>
            <w:gridSpan w:val="8"/>
            <w:vAlign w:val="center"/>
          </w:tcPr>
          <w:p w14:paraId="09C02E37" w14:textId="77777777" w:rsidR="00655CC5" w:rsidRPr="009B3352" w:rsidRDefault="00655CC5" w:rsidP="00377924">
            <w:pPr>
              <w:keepNext/>
              <w:keepLines/>
              <w:rPr>
                <w:rFonts w:ascii="Arial Narrow" w:hAnsi="Arial Narrow"/>
                <w:sz w:val="20"/>
                <w:szCs w:val="20"/>
              </w:rPr>
            </w:pPr>
            <w:r w:rsidRPr="009B3352">
              <w:rPr>
                <w:rFonts w:ascii="Arial Narrow" w:hAnsi="Arial Narrow"/>
                <w:sz w:val="20"/>
                <w:szCs w:val="20"/>
              </w:rPr>
              <w:t>ACALABRUTINIB </w:t>
            </w:r>
          </w:p>
        </w:tc>
      </w:tr>
      <w:tr w:rsidR="00655CC5" w:rsidRPr="006D075E" w14:paraId="58093F75" w14:textId="77777777" w:rsidTr="00207063">
        <w:trPr>
          <w:cantSplit/>
          <w:trHeight w:val="20"/>
        </w:trPr>
        <w:tc>
          <w:tcPr>
            <w:tcW w:w="3940" w:type="dxa"/>
            <w:gridSpan w:val="3"/>
          </w:tcPr>
          <w:p w14:paraId="67183F2B" w14:textId="77777777" w:rsidR="00655CC5" w:rsidRPr="009B3352" w:rsidRDefault="00655CC5" w:rsidP="00377924">
            <w:pPr>
              <w:keepNext/>
              <w:keepLines/>
              <w:rPr>
                <w:rFonts w:ascii="Arial Narrow" w:hAnsi="Arial Narrow"/>
                <w:sz w:val="20"/>
                <w:szCs w:val="20"/>
              </w:rPr>
            </w:pPr>
            <w:r w:rsidRPr="009B3352">
              <w:rPr>
                <w:rFonts w:ascii="Arial Narrow" w:hAnsi="Arial Narrow"/>
                <w:sz w:val="20"/>
                <w:szCs w:val="20"/>
              </w:rPr>
              <w:t>acalabrutinib 100 mg tablet, 56</w:t>
            </w:r>
          </w:p>
        </w:tc>
        <w:tc>
          <w:tcPr>
            <w:tcW w:w="811" w:type="dxa"/>
            <w:vAlign w:val="center"/>
          </w:tcPr>
          <w:p w14:paraId="283C44B7" w14:textId="77777777" w:rsidR="00655CC5" w:rsidRPr="009B3352" w:rsidRDefault="00655CC5" w:rsidP="00377924">
            <w:pPr>
              <w:keepNext/>
              <w:keepLines/>
              <w:jc w:val="center"/>
              <w:rPr>
                <w:rFonts w:ascii="Arial Narrow" w:hAnsi="Arial Narrow"/>
                <w:sz w:val="20"/>
                <w:szCs w:val="20"/>
              </w:rPr>
            </w:pPr>
            <w:r w:rsidRPr="009B3352">
              <w:rPr>
                <w:rFonts w:ascii="Arial Narrow" w:hAnsi="Arial Narrow"/>
                <w:sz w:val="20"/>
                <w:szCs w:val="20"/>
              </w:rPr>
              <w:t>New</w:t>
            </w:r>
          </w:p>
        </w:tc>
        <w:tc>
          <w:tcPr>
            <w:tcW w:w="812" w:type="dxa"/>
            <w:vAlign w:val="center"/>
          </w:tcPr>
          <w:p w14:paraId="2B24F021" w14:textId="77777777" w:rsidR="00655CC5" w:rsidRPr="009B3352" w:rsidRDefault="00655CC5" w:rsidP="00377924">
            <w:pPr>
              <w:keepNext/>
              <w:keepLines/>
              <w:jc w:val="center"/>
              <w:rPr>
                <w:rFonts w:ascii="Arial Narrow" w:hAnsi="Arial Narrow"/>
                <w:sz w:val="20"/>
                <w:szCs w:val="20"/>
              </w:rPr>
            </w:pPr>
            <w:r w:rsidRPr="009B3352">
              <w:rPr>
                <w:rFonts w:ascii="Arial Narrow" w:hAnsi="Arial Narrow"/>
                <w:sz w:val="20"/>
                <w:szCs w:val="20"/>
              </w:rPr>
              <w:t>1</w:t>
            </w:r>
          </w:p>
        </w:tc>
        <w:tc>
          <w:tcPr>
            <w:tcW w:w="811" w:type="dxa"/>
            <w:vAlign w:val="center"/>
          </w:tcPr>
          <w:p w14:paraId="431CFF0D" w14:textId="77777777" w:rsidR="00655CC5" w:rsidRPr="009B3352" w:rsidRDefault="00655CC5" w:rsidP="00377924">
            <w:pPr>
              <w:keepNext/>
              <w:keepLines/>
              <w:jc w:val="center"/>
              <w:rPr>
                <w:rFonts w:ascii="Arial Narrow" w:hAnsi="Arial Narrow"/>
                <w:sz w:val="20"/>
                <w:szCs w:val="20"/>
              </w:rPr>
            </w:pPr>
            <w:r w:rsidRPr="009B3352">
              <w:rPr>
                <w:rFonts w:ascii="Arial Narrow" w:hAnsi="Arial Narrow"/>
                <w:sz w:val="20"/>
                <w:szCs w:val="20"/>
              </w:rPr>
              <w:t>56</w:t>
            </w:r>
          </w:p>
        </w:tc>
        <w:tc>
          <w:tcPr>
            <w:tcW w:w="812" w:type="dxa"/>
            <w:vAlign w:val="center"/>
          </w:tcPr>
          <w:p w14:paraId="4A716020" w14:textId="77777777" w:rsidR="00655CC5" w:rsidRPr="009B3352" w:rsidRDefault="00655CC5" w:rsidP="00377924">
            <w:pPr>
              <w:keepNext/>
              <w:keepLines/>
              <w:jc w:val="center"/>
              <w:rPr>
                <w:rFonts w:ascii="Arial Narrow" w:hAnsi="Arial Narrow"/>
                <w:sz w:val="20"/>
                <w:szCs w:val="20"/>
              </w:rPr>
            </w:pPr>
            <w:r w:rsidRPr="009B3352">
              <w:rPr>
                <w:rFonts w:ascii="Arial Narrow" w:hAnsi="Arial Narrow"/>
                <w:sz w:val="20"/>
                <w:szCs w:val="20"/>
              </w:rPr>
              <w:t>5</w:t>
            </w:r>
          </w:p>
        </w:tc>
        <w:tc>
          <w:tcPr>
            <w:tcW w:w="1831" w:type="dxa"/>
            <w:vAlign w:val="center"/>
          </w:tcPr>
          <w:p w14:paraId="7A81939F" w14:textId="77777777" w:rsidR="00655CC5" w:rsidRPr="009B3352" w:rsidRDefault="00655CC5" w:rsidP="00377924">
            <w:pPr>
              <w:keepNext/>
              <w:keepLines/>
              <w:jc w:val="center"/>
              <w:rPr>
                <w:rFonts w:ascii="Arial Narrow" w:hAnsi="Arial Narrow"/>
                <w:sz w:val="20"/>
                <w:szCs w:val="20"/>
              </w:rPr>
            </w:pPr>
            <w:proofErr w:type="spellStart"/>
            <w:r w:rsidRPr="009B3352">
              <w:rPr>
                <w:rFonts w:ascii="Arial Narrow" w:hAnsi="Arial Narrow"/>
                <w:sz w:val="20"/>
                <w:szCs w:val="20"/>
              </w:rPr>
              <w:t>calquence</w:t>
            </w:r>
            <w:proofErr w:type="spellEnd"/>
          </w:p>
        </w:tc>
      </w:tr>
      <w:tr w:rsidR="00655CC5" w:rsidRPr="006D075E" w14:paraId="6F68E51E" w14:textId="77777777" w:rsidTr="00207063">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75D45FB7" w14:textId="77777777" w:rsidR="00655CC5" w:rsidRPr="009B3352" w:rsidRDefault="00655CC5" w:rsidP="00377924">
            <w:pPr>
              <w:keepNext/>
              <w:keepLines/>
              <w:rPr>
                <w:rFonts w:ascii="Arial Narrow" w:hAnsi="Arial Narrow"/>
                <w:sz w:val="20"/>
                <w:szCs w:val="20"/>
              </w:rPr>
            </w:pPr>
          </w:p>
        </w:tc>
      </w:tr>
      <w:tr w:rsidR="00655CC5" w:rsidRPr="006D075E" w14:paraId="49FB5D82" w14:textId="77777777" w:rsidTr="00207063">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262A90A2" w14:textId="77777777" w:rsidR="00655CC5" w:rsidRPr="009B3352" w:rsidRDefault="00655CC5" w:rsidP="00377924">
            <w:pPr>
              <w:keepNext/>
              <w:keepLines/>
              <w:rPr>
                <w:rFonts w:ascii="Arial Narrow" w:hAnsi="Arial Narrow"/>
                <w:b/>
                <w:sz w:val="20"/>
                <w:szCs w:val="20"/>
              </w:rPr>
            </w:pPr>
            <w:r w:rsidRPr="009B3352">
              <w:rPr>
                <w:rFonts w:ascii="Arial Narrow" w:hAnsi="Arial Narrow"/>
                <w:b/>
                <w:sz w:val="20"/>
                <w:szCs w:val="20"/>
              </w:rPr>
              <w:t xml:space="preserve">Restriction Summary [new] / Treatment of Concept: [new] </w:t>
            </w:r>
          </w:p>
        </w:tc>
      </w:tr>
      <w:tr w:rsidR="00655CC5" w:rsidRPr="006D075E" w14:paraId="19B38327" w14:textId="77777777" w:rsidTr="00207063">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4B3F2914" w14:textId="77777777" w:rsidR="00655CC5" w:rsidRPr="009B3352" w:rsidRDefault="00655CC5" w:rsidP="00377924">
            <w:pPr>
              <w:keepNext/>
              <w:keepLines/>
              <w:jc w:val="center"/>
              <w:rPr>
                <w:rFonts w:ascii="Arial Narrow" w:hAnsi="Arial Narrow"/>
                <w:b/>
                <w:sz w:val="20"/>
                <w:szCs w:val="20"/>
              </w:rPr>
            </w:pPr>
            <w:r w:rsidRPr="009B3352">
              <w:rPr>
                <w:rFonts w:ascii="Arial Narrow" w:hAnsi="Arial Narrow"/>
                <w:b/>
                <w:sz w:val="20"/>
                <w:szCs w:val="20"/>
              </w:rPr>
              <w:t xml:space="preserve">Concept ID </w:t>
            </w:r>
            <w:r w:rsidRPr="009B3352">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117D0D6" w14:textId="77777777" w:rsidR="00655CC5" w:rsidRPr="009B3352" w:rsidRDefault="00655CC5" w:rsidP="00377924">
            <w:pPr>
              <w:keepNext/>
              <w:keepLines/>
              <w:rPr>
                <w:rFonts w:ascii="Arial Narrow" w:hAnsi="Arial Narrow"/>
                <w:sz w:val="20"/>
                <w:szCs w:val="20"/>
              </w:rPr>
            </w:pPr>
            <w:r w:rsidRPr="009B3352">
              <w:rPr>
                <w:rFonts w:ascii="Arial Narrow" w:hAnsi="Arial Narrow"/>
                <w:b/>
                <w:sz w:val="20"/>
                <w:szCs w:val="20"/>
              </w:rPr>
              <w:t>Category / Program:</w:t>
            </w:r>
            <w:r w:rsidRPr="009B3352">
              <w:rPr>
                <w:rFonts w:ascii="Arial Narrow" w:hAnsi="Arial Narrow"/>
                <w:color w:val="FF0000"/>
                <w:sz w:val="20"/>
                <w:szCs w:val="20"/>
              </w:rPr>
              <w:t xml:space="preserve"> </w:t>
            </w:r>
            <w:r w:rsidRPr="009B3352">
              <w:rPr>
                <w:rFonts w:ascii="Arial Narrow" w:eastAsia="Calibri" w:hAnsi="Arial Narrow"/>
                <w:sz w:val="20"/>
                <w:szCs w:val="20"/>
              </w:rPr>
              <w:fldChar w:fldCharType="begin">
                <w:ffData>
                  <w:name w:val="Check1"/>
                  <w:enabled/>
                  <w:calcOnExit w:val="0"/>
                  <w:checkBox>
                    <w:sizeAuto/>
                    <w:default w:val="1"/>
                  </w:checkBox>
                </w:ffData>
              </w:fldChar>
            </w:r>
            <w:r w:rsidRPr="009B3352">
              <w:rPr>
                <w:rFonts w:ascii="Arial Narrow" w:eastAsia="Calibri" w:hAnsi="Arial Narrow"/>
                <w:sz w:val="20"/>
                <w:szCs w:val="20"/>
              </w:rPr>
              <w:instrText xml:space="preserve"> FORMCHECKBOX </w:instrText>
            </w:r>
            <w:r w:rsidRPr="009B3352">
              <w:rPr>
                <w:rFonts w:ascii="Arial Narrow" w:eastAsia="Calibri" w:hAnsi="Arial Narrow"/>
                <w:sz w:val="20"/>
                <w:szCs w:val="20"/>
              </w:rPr>
            </w:r>
            <w:r w:rsidRPr="009B3352">
              <w:rPr>
                <w:rFonts w:ascii="Arial Narrow" w:eastAsia="Calibri" w:hAnsi="Arial Narrow"/>
                <w:sz w:val="20"/>
                <w:szCs w:val="20"/>
              </w:rPr>
              <w:fldChar w:fldCharType="separate"/>
            </w:r>
            <w:r w:rsidRPr="009B3352">
              <w:rPr>
                <w:rFonts w:ascii="Arial Narrow" w:eastAsia="Calibri" w:hAnsi="Arial Narrow"/>
                <w:sz w:val="20"/>
                <w:szCs w:val="20"/>
              </w:rPr>
              <w:fldChar w:fldCharType="end"/>
            </w:r>
            <w:r w:rsidRPr="009B3352">
              <w:rPr>
                <w:rFonts w:ascii="Arial Narrow" w:eastAsia="Calibri" w:hAnsi="Arial Narrow"/>
                <w:sz w:val="20"/>
                <w:szCs w:val="20"/>
              </w:rPr>
              <w:t xml:space="preserve"> GENERAL - General Schedule (Code GE) </w:t>
            </w:r>
          </w:p>
        </w:tc>
      </w:tr>
      <w:tr w:rsidR="00655CC5" w:rsidRPr="006D075E" w14:paraId="3425B1FE" w14:textId="77777777" w:rsidTr="00207063">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16BB27BE" w14:textId="77777777" w:rsidR="00655CC5" w:rsidRPr="009B3352" w:rsidRDefault="00655CC5" w:rsidP="00377924">
            <w:pPr>
              <w:keepNext/>
              <w:keepLines/>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4F05CD2" w14:textId="77777777" w:rsidR="00655CC5" w:rsidRPr="009B3352" w:rsidRDefault="00655CC5" w:rsidP="00377924">
            <w:pPr>
              <w:keepNext/>
              <w:keepLines/>
            </w:pPr>
            <w:r w:rsidRPr="009B3352">
              <w:rPr>
                <w:rFonts w:ascii="Arial Narrow" w:hAnsi="Arial Narrow"/>
                <w:b/>
                <w:sz w:val="20"/>
                <w:szCs w:val="20"/>
              </w:rPr>
              <w:t xml:space="preserve">Prescriber type: </w:t>
            </w:r>
            <w:r w:rsidRPr="009B3352">
              <w:rPr>
                <w:rFonts w:ascii="Arial Narrow" w:hAnsi="Arial Narrow"/>
                <w:sz w:val="20"/>
                <w:szCs w:val="20"/>
              </w:rPr>
              <w:fldChar w:fldCharType="begin">
                <w:ffData>
                  <w:name w:val=""/>
                  <w:enabled/>
                  <w:calcOnExit w:val="0"/>
                  <w:checkBox>
                    <w:sizeAuto/>
                    <w:default w:val="1"/>
                  </w:checkBox>
                </w:ffData>
              </w:fldChar>
            </w:r>
            <w:r w:rsidRPr="009B3352">
              <w:rPr>
                <w:rFonts w:ascii="Arial Narrow" w:hAnsi="Arial Narrow"/>
                <w:sz w:val="20"/>
                <w:szCs w:val="20"/>
              </w:rPr>
              <w:instrText xml:space="preserve"> FORMCHECKBOX </w:instrText>
            </w:r>
            <w:r w:rsidRPr="009B3352">
              <w:rPr>
                <w:rFonts w:ascii="Arial Narrow" w:hAnsi="Arial Narrow"/>
                <w:sz w:val="20"/>
                <w:szCs w:val="20"/>
              </w:rPr>
            </w:r>
            <w:r w:rsidRPr="009B3352">
              <w:rPr>
                <w:rFonts w:ascii="Arial Narrow" w:hAnsi="Arial Narrow"/>
                <w:sz w:val="20"/>
                <w:szCs w:val="20"/>
              </w:rPr>
              <w:fldChar w:fldCharType="separate"/>
            </w:r>
            <w:r w:rsidRPr="009B3352">
              <w:rPr>
                <w:rFonts w:ascii="Arial Narrow" w:hAnsi="Arial Narrow"/>
                <w:sz w:val="20"/>
                <w:szCs w:val="20"/>
              </w:rPr>
              <w:fldChar w:fldCharType="end"/>
            </w:r>
            <w:r w:rsidRPr="009B3352">
              <w:rPr>
                <w:rFonts w:ascii="Arial Narrow" w:hAnsi="Arial Narrow"/>
                <w:sz w:val="20"/>
                <w:szCs w:val="20"/>
              </w:rPr>
              <w:t xml:space="preserve">Medical Practitioners </w:t>
            </w:r>
          </w:p>
        </w:tc>
      </w:tr>
      <w:tr w:rsidR="00655CC5" w:rsidRPr="006D075E" w14:paraId="025BF967" w14:textId="77777777" w:rsidTr="00207063">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252A1E9D" w14:textId="77777777" w:rsidR="00655CC5" w:rsidRPr="009B3352" w:rsidRDefault="00655CC5" w:rsidP="00377924">
            <w:pPr>
              <w:keepNext/>
              <w:keepLines/>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BE52F7F" w14:textId="77777777" w:rsidR="00655CC5" w:rsidRPr="009B3352" w:rsidRDefault="00655CC5" w:rsidP="00377924">
            <w:pPr>
              <w:keepNext/>
              <w:keepLines/>
              <w:rPr>
                <w:rFonts w:ascii="Arial Narrow" w:eastAsia="Calibri" w:hAnsi="Arial Narrow"/>
                <w:color w:val="FF0000"/>
                <w:sz w:val="20"/>
                <w:szCs w:val="20"/>
              </w:rPr>
            </w:pPr>
            <w:r w:rsidRPr="009B3352">
              <w:rPr>
                <w:rFonts w:ascii="Arial Narrow" w:hAnsi="Arial Narrow"/>
                <w:b/>
                <w:sz w:val="20"/>
                <w:szCs w:val="20"/>
              </w:rPr>
              <w:t xml:space="preserve">Restriction type: </w:t>
            </w:r>
            <w:r w:rsidRPr="009B3352">
              <w:rPr>
                <w:rFonts w:ascii="Arial Narrow" w:eastAsia="Calibri" w:hAnsi="Arial Narrow"/>
                <w:sz w:val="20"/>
                <w:szCs w:val="20"/>
              </w:rPr>
              <w:fldChar w:fldCharType="begin">
                <w:ffData>
                  <w:name w:val="Check3"/>
                  <w:enabled/>
                  <w:calcOnExit w:val="0"/>
                  <w:checkBox>
                    <w:sizeAuto/>
                    <w:default w:val="1"/>
                  </w:checkBox>
                </w:ffData>
              </w:fldChar>
            </w:r>
            <w:r w:rsidRPr="009B3352">
              <w:rPr>
                <w:rFonts w:ascii="Arial Narrow" w:eastAsia="Calibri" w:hAnsi="Arial Narrow"/>
                <w:sz w:val="20"/>
                <w:szCs w:val="20"/>
              </w:rPr>
              <w:instrText xml:space="preserve"> FORMCHECKBOX </w:instrText>
            </w:r>
            <w:r w:rsidRPr="009B3352">
              <w:rPr>
                <w:rFonts w:ascii="Arial Narrow" w:eastAsia="Calibri" w:hAnsi="Arial Narrow"/>
                <w:sz w:val="20"/>
                <w:szCs w:val="20"/>
              </w:rPr>
            </w:r>
            <w:r w:rsidRPr="009B3352">
              <w:rPr>
                <w:rFonts w:ascii="Arial Narrow" w:eastAsia="Calibri" w:hAnsi="Arial Narrow"/>
                <w:sz w:val="20"/>
                <w:szCs w:val="20"/>
              </w:rPr>
              <w:fldChar w:fldCharType="separate"/>
            </w:r>
            <w:r w:rsidRPr="009B3352">
              <w:rPr>
                <w:rFonts w:ascii="Arial Narrow" w:eastAsia="Calibri" w:hAnsi="Arial Narrow"/>
                <w:sz w:val="20"/>
                <w:szCs w:val="20"/>
              </w:rPr>
              <w:fldChar w:fldCharType="end"/>
            </w:r>
            <w:r w:rsidRPr="009B3352">
              <w:rPr>
                <w:rFonts w:ascii="Arial Narrow" w:eastAsia="Calibri" w:hAnsi="Arial Narrow"/>
                <w:sz w:val="20"/>
                <w:szCs w:val="20"/>
              </w:rPr>
              <w:t xml:space="preserve">Authority Required (telephone/electronic (immediate assessment)) </w:t>
            </w:r>
          </w:p>
        </w:tc>
      </w:tr>
      <w:tr w:rsidR="00655CC5" w:rsidRPr="006D075E" w14:paraId="7E53C05C" w14:textId="77777777" w:rsidTr="00207063">
        <w:tblPrEx>
          <w:tblCellMar>
            <w:top w:w="15" w:type="dxa"/>
            <w:bottom w:w="15" w:type="dxa"/>
          </w:tblCellMar>
        </w:tblPrEx>
        <w:trPr>
          <w:trHeight w:val="20"/>
        </w:trPr>
        <w:tc>
          <w:tcPr>
            <w:tcW w:w="488" w:type="dxa"/>
            <w:vMerge w:val="restart"/>
            <w:tcBorders>
              <w:left w:val="single" w:sz="4" w:space="0" w:color="auto"/>
              <w:right w:val="single" w:sz="4" w:space="0" w:color="auto"/>
            </w:tcBorders>
            <w:textDirection w:val="btLr"/>
            <w:vAlign w:val="center"/>
          </w:tcPr>
          <w:p w14:paraId="1D7B84DD" w14:textId="77777777" w:rsidR="00655CC5" w:rsidRPr="009B3352" w:rsidRDefault="00655CC5" w:rsidP="00377924">
            <w:pPr>
              <w:keepNext/>
              <w:keepLines/>
              <w:rPr>
                <w:rFonts w:ascii="Arial Narrow" w:hAnsi="Arial Narrow"/>
                <w:sz w:val="20"/>
                <w:szCs w:val="20"/>
              </w:rPr>
            </w:pPr>
            <w:r w:rsidRPr="009B3352">
              <w:rPr>
                <w:rFonts w:ascii="Arial Narrow" w:hAnsi="Arial Narrow"/>
                <w:sz w:val="20"/>
                <w:szCs w:val="20"/>
              </w:rPr>
              <w:t>Prescribing rule level</w:t>
            </w:r>
          </w:p>
        </w:tc>
        <w:tc>
          <w:tcPr>
            <w:tcW w:w="784" w:type="dxa"/>
            <w:tcBorders>
              <w:top w:val="single" w:sz="4" w:space="0" w:color="auto"/>
              <w:left w:val="nil"/>
              <w:bottom w:val="single" w:sz="4" w:space="0" w:color="auto"/>
              <w:right w:val="single" w:sz="4" w:space="0" w:color="auto"/>
            </w:tcBorders>
          </w:tcPr>
          <w:p w14:paraId="26A4DEB7" w14:textId="4F043E7F" w:rsidR="00655CC5" w:rsidRPr="009B3352" w:rsidRDefault="00655CC5" w:rsidP="00377924">
            <w:pPr>
              <w:keepNext/>
              <w:keepLines/>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1E00E774" w14:textId="77777777" w:rsidR="00655CC5" w:rsidRPr="009B3352" w:rsidRDefault="00655CC5" w:rsidP="00377924">
            <w:pPr>
              <w:pStyle w:val="NormalWeb"/>
              <w:keepNext/>
              <w:keepLines/>
              <w:spacing w:before="0" w:beforeAutospacing="0" w:after="0" w:afterAutospacing="0"/>
              <w:textAlignment w:val="baseline"/>
              <w:rPr>
                <w:rFonts w:ascii="Arial Narrow" w:hAnsi="Arial Narrow" w:cs="Open Sans"/>
                <w:color w:val="333333"/>
                <w:sz w:val="20"/>
                <w:szCs w:val="20"/>
              </w:rPr>
            </w:pPr>
            <w:r w:rsidRPr="009B3352">
              <w:rPr>
                <w:rStyle w:val="Strong"/>
                <w:rFonts w:ascii="Arial Narrow" w:hAnsi="Arial Narrow" w:cs="Open Sans"/>
                <w:color w:val="333333"/>
                <w:sz w:val="20"/>
                <w:szCs w:val="20"/>
                <w:bdr w:val="none" w:sz="0" w:space="0" w:color="auto" w:frame="1"/>
              </w:rPr>
              <w:t>Administrative Advice:</w:t>
            </w:r>
          </w:p>
          <w:p w14:paraId="23BBFFDE" w14:textId="77777777" w:rsidR="00655CC5" w:rsidRPr="009B3352" w:rsidRDefault="00655CC5" w:rsidP="00377924">
            <w:pPr>
              <w:keepNext/>
              <w:keepLines/>
              <w:rPr>
                <w:rFonts w:ascii="Arial Narrow" w:hAnsi="Arial Narrow"/>
                <w:b/>
                <w:color w:val="333333"/>
                <w:sz w:val="20"/>
                <w:szCs w:val="20"/>
              </w:rPr>
            </w:pPr>
            <w:r w:rsidRPr="009B3352">
              <w:rPr>
                <w:rFonts w:ascii="Arial Narrow" w:hAnsi="Arial Narrow" w:cs="Open San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655CC5" w:rsidRPr="006D075E" w14:paraId="4688B039" w14:textId="77777777" w:rsidTr="00207063">
        <w:tblPrEx>
          <w:tblCellMar>
            <w:top w:w="15" w:type="dxa"/>
            <w:bottom w:w="15" w:type="dxa"/>
          </w:tblCellMar>
        </w:tblPrEx>
        <w:trPr>
          <w:trHeight w:val="499"/>
        </w:trPr>
        <w:tc>
          <w:tcPr>
            <w:tcW w:w="488" w:type="dxa"/>
            <w:vMerge/>
            <w:tcBorders>
              <w:left w:val="single" w:sz="4" w:space="0" w:color="auto"/>
              <w:right w:val="single" w:sz="4" w:space="0" w:color="auto"/>
            </w:tcBorders>
            <w:textDirection w:val="btLr"/>
            <w:vAlign w:val="center"/>
          </w:tcPr>
          <w:p w14:paraId="6E078C05" w14:textId="77777777" w:rsidR="00655CC5" w:rsidRPr="009B3352" w:rsidRDefault="00655CC5" w:rsidP="00377924">
            <w:pPr>
              <w:keepNext/>
              <w:keepLines/>
              <w:rPr>
                <w:rFonts w:ascii="Arial Narrow" w:hAnsi="Arial Narrow"/>
                <w:sz w:val="20"/>
                <w:szCs w:val="20"/>
              </w:rPr>
            </w:pPr>
          </w:p>
        </w:tc>
        <w:tc>
          <w:tcPr>
            <w:tcW w:w="784" w:type="dxa"/>
            <w:tcBorders>
              <w:top w:val="single" w:sz="4" w:space="0" w:color="auto"/>
              <w:left w:val="nil"/>
              <w:right w:val="single" w:sz="4" w:space="0" w:color="auto"/>
            </w:tcBorders>
          </w:tcPr>
          <w:p w14:paraId="32938CBC" w14:textId="70DE6B0C" w:rsidR="00655CC5" w:rsidRPr="009B3352" w:rsidRDefault="00655CC5" w:rsidP="00377924">
            <w:pPr>
              <w:keepNext/>
              <w:keepLines/>
              <w:jc w:val="center"/>
              <w:rPr>
                <w:rFonts w:ascii="Arial Narrow" w:hAnsi="Arial Narrow" w:cs="Open Sans"/>
                <w:color w:val="333333"/>
                <w:sz w:val="20"/>
                <w:szCs w:val="20"/>
              </w:rPr>
            </w:pPr>
          </w:p>
        </w:tc>
        <w:tc>
          <w:tcPr>
            <w:tcW w:w="7745" w:type="dxa"/>
            <w:gridSpan w:val="6"/>
            <w:tcBorders>
              <w:top w:val="single" w:sz="4" w:space="0" w:color="auto"/>
              <w:left w:val="single" w:sz="4" w:space="0" w:color="auto"/>
              <w:right w:val="single" w:sz="4" w:space="0" w:color="auto"/>
            </w:tcBorders>
          </w:tcPr>
          <w:p w14:paraId="618AD7F2" w14:textId="77777777" w:rsidR="00655CC5" w:rsidRPr="009B3352" w:rsidRDefault="00655CC5" w:rsidP="00377924">
            <w:pPr>
              <w:pStyle w:val="NormalWeb"/>
              <w:keepNext/>
              <w:keepLines/>
              <w:contextualSpacing/>
              <w:textAlignment w:val="baseline"/>
              <w:rPr>
                <w:rStyle w:val="Strong"/>
                <w:rFonts w:ascii="Arial Narrow" w:hAnsi="Arial Narrow" w:cs="Open Sans"/>
                <w:color w:val="333333"/>
                <w:sz w:val="20"/>
                <w:szCs w:val="20"/>
                <w:bdr w:val="none" w:sz="0" w:space="0" w:color="auto" w:frame="1"/>
              </w:rPr>
            </w:pPr>
            <w:r w:rsidRPr="009B3352">
              <w:rPr>
                <w:rStyle w:val="Strong"/>
                <w:rFonts w:ascii="Arial Narrow" w:hAnsi="Arial Narrow" w:cs="Open Sans"/>
                <w:color w:val="333333"/>
                <w:sz w:val="20"/>
                <w:szCs w:val="20"/>
                <w:bdr w:val="none" w:sz="0" w:space="0" w:color="auto" w:frame="1"/>
              </w:rPr>
              <w:t>Administrative Advice:</w:t>
            </w:r>
          </w:p>
          <w:p w14:paraId="268B3BFA" w14:textId="77777777" w:rsidR="00655CC5" w:rsidRPr="009B3352" w:rsidRDefault="00655CC5" w:rsidP="00377924">
            <w:pPr>
              <w:pStyle w:val="NormalWeb"/>
              <w:keepNext/>
              <w:keepLines/>
              <w:spacing w:before="0" w:after="0"/>
              <w:textAlignment w:val="baseline"/>
              <w:rPr>
                <w:rStyle w:val="Strong"/>
                <w:rFonts w:ascii="Arial Narrow" w:hAnsi="Arial Narrow" w:cs="Open Sans"/>
                <w:color w:val="333333"/>
                <w:sz w:val="20"/>
                <w:szCs w:val="20"/>
                <w:bdr w:val="none" w:sz="0" w:space="0" w:color="auto" w:frame="1"/>
              </w:rPr>
            </w:pPr>
            <w:r w:rsidRPr="009B3352">
              <w:rPr>
                <w:rFonts w:ascii="Arial Narrow" w:hAnsi="Arial Narrow" w:cs="Open Sans"/>
                <w:color w:val="333333"/>
                <w:sz w:val="20"/>
                <w:szCs w:val="20"/>
                <w:bdr w:val="none" w:sz="0" w:space="0" w:color="auto" w:frame="1"/>
              </w:rPr>
              <w:t>No increase in the maximum quantity or number of units may be authorised.</w:t>
            </w:r>
          </w:p>
        </w:tc>
      </w:tr>
      <w:tr w:rsidR="00655CC5" w:rsidRPr="006D075E" w14:paraId="0249A9BD" w14:textId="77777777" w:rsidTr="00207063">
        <w:tblPrEx>
          <w:tblCellMar>
            <w:top w:w="15" w:type="dxa"/>
            <w:bottom w:w="15" w:type="dxa"/>
          </w:tblCellMar>
        </w:tblPrEx>
        <w:trPr>
          <w:trHeight w:val="20"/>
        </w:trPr>
        <w:tc>
          <w:tcPr>
            <w:tcW w:w="488" w:type="dxa"/>
            <w:vMerge/>
            <w:tcBorders>
              <w:left w:val="single" w:sz="4" w:space="0" w:color="auto"/>
              <w:right w:val="single" w:sz="4" w:space="0" w:color="auto"/>
            </w:tcBorders>
            <w:textDirection w:val="btLr"/>
            <w:vAlign w:val="center"/>
          </w:tcPr>
          <w:p w14:paraId="04DD62B6" w14:textId="77777777" w:rsidR="00655CC5" w:rsidRPr="009B3352" w:rsidRDefault="00655CC5">
            <w:pPr>
              <w:rPr>
                <w:rFonts w:ascii="Arial Narrow" w:hAnsi="Arial Narrow"/>
                <w:sz w:val="20"/>
                <w:szCs w:val="20"/>
              </w:rPr>
            </w:pPr>
          </w:p>
        </w:tc>
        <w:tc>
          <w:tcPr>
            <w:tcW w:w="784" w:type="dxa"/>
            <w:tcBorders>
              <w:top w:val="single" w:sz="4" w:space="0" w:color="auto"/>
              <w:left w:val="nil"/>
              <w:bottom w:val="single" w:sz="4" w:space="0" w:color="auto"/>
              <w:right w:val="single" w:sz="4" w:space="0" w:color="auto"/>
            </w:tcBorders>
          </w:tcPr>
          <w:p w14:paraId="3C209817" w14:textId="1FBD8E31" w:rsidR="00655CC5" w:rsidRPr="009B3352" w:rsidRDefault="00655CC5">
            <w:pPr>
              <w:jc w:val="center"/>
              <w:rPr>
                <w:rFonts w:ascii="Arial Narrow" w:hAnsi="Arial Narrow" w:cs="Open Sans"/>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49777821" w14:textId="77777777" w:rsidR="00655CC5" w:rsidRPr="009B3352" w:rsidRDefault="00655CC5">
            <w:pPr>
              <w:pStyle w:val="NormalWeb"/>
              <w:contextualSpacing/>
              <w:textAlignment w:val="baseline"/>
              <w:rPr>
                <w:rStyle w:val="Strong"/>
                <w:rFonts w:ascii="Arial Narrow" w:hAnsi="Arial Narrow" w:cs="Open Sans"/>
                <w:color w:val="333333"/>
                <w:sz w:val="20"/>
                <w:szCs w:val="20"/>
                <w:bdr w:val="none" w:sz="0" w:space="0" w:color="auto" w:frame="1"/>
              </w:rPr>
            </w:pPr>
            <w:r w:rsidRPr="009B3352">
              <w:rPr>
                <w:rStyle w:val="Strong"/>
                <w:rFonts w:ascii="Arial Narrow" w:hAnsi="Arial Narrow" w:cs="Open Sans"/>
                <w:color w:val="333333"/>
                <w:sz w:val="20"/>
                <w:szCs w:val="20"/>
                <w:bdr w:val="none" w:sz="0" w:space="0" w:color="auto" w:frame="1"/>
              </w:rPr>
              <w:t>Administrative Advice:</w:t>
            </w:r>
          </w:p>
          <w:p w14:paraId="074878A9" w14:textId="77777777" w:rsidR="00655CC5" w:rsidRPr="009B3352" w:rsidRDefault="00655CC5">
            <w:pPr>
              <w:pStyle w:val="NormalWeb"/>
              <w:spacing w:before="0" w:beforeAutospacing="0" w:after="0" w:afterAutospacing="0"/>
              <w:textAlignment w:val="baseline"/>
              <w:rPr>
                <w:rStyle w:val="Strong"/>
                <w:rFonts w:ascii="Arial Narrow" w:hAnsi="Arial Narrow" w:cs="Open Sans"/>
                <w:color w:val="333333"/>
                <w:sz w:val="20"/>
                <w:szCs w:val="20"/>
                <w:bdr w:val="none" w:sz="0" w:space="0" w:color="auto" w:frame="1"/>
              </w:rPr>
            </w:pPr>
            <w:r w:rsidRPr="009B3352">
              <w:rPr>
                <w:rFonts w:ascii="Arial Narrow" w:hAnsi="Arial Narrow" w:cs="Open Sans"/>
                <w:color w:val="333333"/>
                <w:sz w:val="20"/>
                <w:szCs w:val="20"/>
                <w:bdr w:val="none" w:sz="0" w:space="0" w:color="auto" w:frame="1"/>
              </w:rPr>
              <w:t>No increase in the maximum number of repeats may be authorised.</w:t>
            </w:r>
          </w:p>
        </w:tc>
      </w:tr>
      <w:tr w:rsidR="00655CC5" w:rsidRPr="006D075E" w14:paraId="29C2125D"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Merge w:val="restart"/>
            <w:vAlign w:val="center"/>
          </w:tcPr>
          <w:p w14:paraId="5F016FEE" w14:textId="77777777" w:rsidR="00655CC5" w:rsidRPr="009B3352" w:rsidRDefault="00655CC5">
            <w:pPr>
              <w:keepLines/>
              <w:jc w:val="center"/>
              <w:rPr>
                <w:rFonts w:ascii="Arial Narrow" w:hAnsi="Arial Narrow"/>
                <w:color w:val="333333"/>
                <w:sz w:val="20"/>
                <w:szCs w:val="20"/>
              </w:rPr>
            </w:pPr>
          </w:p>
        </w:tc>
        <w:tc>
          <w:tcPr>
            <w:tcW w:w="7745" w:type="dxa"/>
            <w:gridSpan w:val="6"/>
            <w:vAlign w:val="center"/>
          </w:tcPr>
          <w:p w14:paraId="552FE71C" w14:textId="77777777" w:rsidR="00655CC5" w:rsidRPr="009B3352" w:rsidRDefault="00655CC5">
            <w:pPr>
              <w:keepLines/>
              <w:rPr>
                <w:rFonts w:ascii="Arial Narrow" w:hAnsi="Arial Narrow"/>
                <w:sz w:val="20"/>
                <w:szCs w:val="20"/>
              </w:rPr>
            </w:pPr>
            <w:proofErr w:type="spellStart"/>
            <w:r w:rsidRPr="009B3352">
              <w:rPr>
                <w:rFonts w:ascii="Arial Narrow" w:hAnsi="Arial Narrow"/>
                <w:b/>
                <w:color w:val="BFBFBF" w:themeColor="background1" w:themeShade="BF"/>
                <w:sz w:val="20"/>
                <w:szCs w:val="20"/>
              </w:rPr>
              <w:t>Episodicity</w:t>
            </w:r>
            <w:proofErr w:type="spellEnd"/>
            <w:r w:rsidRPr="009B3352">
              <w:rPr>
                <w:rFonts w:ascii="Arial Narrow" w:hAnsi="Arial Narrow"/>
                <w:b/>
                <w:color w:val="BFBFBF" w:themeColor="background1" w:themeShade="BF"/>
                <w:sz w:val="20"/>
                <w:szCs w:val="20"/>
              </w:rPr>
              <w:t xml:space="preserve">: </w:t>
            </w:r>
            <w:r w:rsidRPr="009B3352">
              <w:rPr>
                <w:rFonts w:ascii="Arial Narrow" w:hAnsi="Arial Narrow"/>
                <w:color w:val="BFBFBF" w:themeColor="background1" w:themeShade="BF"/>
                <w:sz w:val="20"/>
                <w:szCs w:val="20"/>
              </w:rPr>
              <w:t xml:space="preserve">[blank] </w:t>
            </w:r>
          </w:p>
        </w:tc>
      </w:tr>
      <w:tr w:rsidR="00655CC5" w:rsidRPr="006D075E" w14:paraId="1F38C0AC"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Merge/>
            <w:vAlign w:val="center"/>
          </w:tcPr>
          <w:p w14:paraId="15473090" w14:textId="77777777" w:rsidR="00655CC5" w:rsidRPr="009B3352" w:rsidRDefault="00655CC5">
            <w:pPr>
              <w:keepLines/>
              <w:jc w:val="center"/>
              <w:rPr>
                <w:rFonts w:ascii="Arial Narrow" w:hAnsi="Arial Narrow"/>
                <w:color w:val="333333"/>
                <w:sz w:val="20"/>
                <w:szCs w:val="20"/>
              </w:rPr>
            </w:pPr>
          </w:p>
        </w:tc>
        <w:tc>
          <w:tcPr>
            <w:tcW w:w="7745" w:type="dxa"/>
            <w:gridSpan w:val="6"/>
            <w:vAlign w:val="center"/>
          </w:tcPr>
          <w:p w14:paraId="671EAF52" w14:textId="03DF2BFA" w:rsidR="00655CC5" w:rsidRPr="009B3352" w:rsidRDefault="00655CC5">
            <w:pPr>
              <w:keepLines/>
              <w:rPr>
                <w:rFonts w:ascii="Arial Narrow" w:hAnsi="Arial Narrow"/>
                <w:b/>
                <w:sz w:val="20"/>
                <w:szCs w:val="20"/>
              </w:rPr>
            </w:pPr>
            <w:r w:rsidRPr="009B3352">
              <w:rPr>
                <w:rFonts w:ascii="Arial Narrow" w:hAnsi="Arial Narrow"/>
                <w:b/>
                <w:sz w:val="20"/>
                <w:szCs w:val="20"/>
              </w:rPr>
              <w:t xml:space="preserve">Severity: </w:t>
            </w:r>
            <w:r w:rsidRPr="009B3352">
              <w:rPr>
                <w:rFonts w:ascii="Arial Narrow" w:hAnsi="Arial Narrow"/>
                <w:sz w:val="20"/>
                <w:szCs w:val="20"/>
              </w:rPr>
              <w:t>Stage III or IV mantle cell lymphoma </w:t>
            </w:r>
          </w:p>
        </w:tc>
      </w:tr>
      <w:tr w:rsidR="00655CC5" w:rsidRPr="006D075E" w14:paraId="0D9B8FEB"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Merge/>
            <w:vAlign w:val="center"/>
          </w:tcPr>
          <w:p w14:paraId="5F443ED4" w14:textId="77777777" w:rsidR="00655CC5" w:rsidRPr="009B3352" w:rsidRDefault="00655CC5">
            <w:pPr>
              <w:keepLines/>
              <w:jc w:val="center"/>
              <w:rPr>
                <w:rFonts w:ascii="Arial Narrow" w:hAnsi="Arial Narrow"/>
                <w:color w:val="333333"/>
                <w:sz w:val="20"/>
                <w:szCs w:val="20"/>
              </w:rPr>
            </w:pPr>
          </w:p>
        </w:tc>
        <w:tc>
          <w:tcPr>
            <w:tcW w:w="7745" w:type="dxa"/>
            <w:gridSpan w:val="6"/>
            <w:vAlign w:val="center"/>
          </w:tcPr>
          <w:p w14:paraId="582B3BA2" w14:textId="7F2346FB" w:rsidR="00655CC5" w:rsidRPr="009B3352" w:rsidRDefault="00655CC5">
            <w:pPr>
              <w:keepLines/>
              <w:rPr>
                <w:rFonts w:ascii="Arial Narrow" w:hAnsi="Arial Narrow"/>
                <w:b/>
                <w:color w:val="333333"/>
                <w:sz w:val="20"/>
                <w:szCs w:val="20"/>
              </w:rPr>
            </w:pPr>
            <w:r w:rsidRPr="009B3352">
              <w:rPr>
                <w:rFonts w:ascii="Arial Narrow" w:hAnsi="Arial Narrow"/>
                <w:b/>
                <w:color w:val="333333"/>
                <w:sz w:val="20"/>
                <w:szCs w:val="20"/>
              </w:rPr>
              <w:t xml:space="preserve">Condition: </w:t>
            </w:r>
            <w:r w:rsidRPr="009B3352">
              <w:rPr>
                <w:rFonts w:ascii="Arial Narrow" w:hAnsi="Arial Narrow"/>
                <w:color w:val="333333"/>
                <w:sz w:val="20"/>
                <w:szCs w:val="20"/>
              </w:rPr>
              <w:t>Mantle cell lymphoma </w:t>
            </w:r>
          </w:p>
        </w:tc>
      </w:tr>
      <w:tr w:rsidR="00655CC5" w:rsidRPr="006D075E" w14:paraId="674142AA"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23ECEA96" w14:textId="4604B7C1" w:rsidR="00655CC5" w:rsidRPr="009B3352" w:rsidRDefault="00655CC5">
            <w:pPr>
              <w:keepLines/>
              <w:jc w:val="center"/>
              <w:rPr>
                <w:rFonts w:ascii="Arial Narrow" w:hAnsi="Arial Narrow"/>
                <w:color w:val="333333"/>
                <w:sz w:val="20"/>
                <w:szCs w:val="20"/>
              </w:rPr>
            </w:pPr>
          </w:p>
        </w:tc>
        <w:tc>
          <w:tcPr>
            <w:tcW w:w="7745" w:type="dxa"/>
            <w:gridSpan w:val="6"/>
            <w:vAlign w:val="center"/>
            <w:hideMark/>
          </w:tcPr>
          <w:p w14:paraId="52F04985" w14:textId="3A292EBB" w:rsidR="00655CC5" w:rsidRPr="009B3352" w:rsidRDefault="00655CC5">
            <w:pPr>
              <w:keepLines/>
              <w:rPr>
                <w:rFonts w:ascii="Arial Narrow" w:hAnsi="Arial Narrow"/>
                <w:color w:val="333333"/>
                <w:sz w:val="20"/>
                <w:szCs w:val="20"/>
              </w:rPr>
            </w:pPr>
            <w:r w:rsidRPr="009B3352">
              <w:rPr>
                <w:rFonts w:ascii="Arial Narrow" w:hAnsi="Arial Narrow"/>
                <w:b/>
                <w:color w:val="333333"/>
                <w:sz w:val="20"/>
                <w:szCs w:val="20"/>
              </w:rPr>
              <w:t>Indication:</w:t>
            </w:r>
            <w:r w:rsidRPr="009B3352">
              <w:rPr>
                <w:rFonts w:ascii="Arial Narrow" w:hAnsi="Arial Narrow"/>
                <w:color w:val="333333"/>
                <w:sz w:val="20"/>
                <w:szCs w:val="20"/>
              </w:rPr>
              <w:t xml:space="preserve"> </w:t>
            </w:r>
            <w:r w:rsidRPr="009B3352">
              <w:rPr>
                <w:rFonts w:ascii="Arial Narrow" w:hAnsi="Arial Narrow"/>
                <w:strike/>
                <w:color w:val="333333"/>
                <w:sz w:val="20"/>
                <w:szCs w:val="20"/>
              </w:rPr>
              <w:t>Previously untreated</w:t>
            </w:r>
            <w:r w:rsidRPr="009B3352">
              <w:rPr>
                <w:rFonts w:ascii="Arial Narrow" w:hAnsi="Arial Narrow"/>
                <w:color w:val="333333"/>
                <w:sz w:val="20"/>
                <w:szCs w:val="20"/>
              </w:rPr>
              <w:t xml:space="preserve"> Stage III or IV mantle cell lymphoma </w:t>
            </w:r>
          </w:p>
        </w:tc>
      </w:tr>
      <w:tr w:rsidR="00655CC5" w:rsidRPr="006D075E" w14:paraId="08F720FF"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4DA75B4F" w14:textId="77777777" w:rsidR="00655CC5" w:rsidRPr="009B3352" w:rsidRDefault="00655CC5">
            <w:pPr>
              <w:jc w:val="center"/>
              <w:rPr>
                <w:rFonts w:ascii="Arial Narrow" w:hAnsi="Arial Narrow"/>
                <w:sz w:val="20"/>
                <w:szCs w:val="20"/>
              </w:rPr>
            </w:pPr>
          </w:p>
        </w:tc>
        <w:tc>
          <w:tcPr>
            <w:tcW w:w="7745" w:type="dxa"/>
            <w:gridSpan w:val="6"/>
            <w:vAlign w:val="center"/>
            <w:hideMark/>
          </w:tcPr>
          <w:p w14:paraId="2866C097" w14:textId="77777777" w:rsidR="00655CC5" w:rsidRPr="009B3352" w:rsidRDefault="00655CC5">
            <w:pPr>
              <w:rPr>
                <w:rFonts w:ascii="Arial Narrow" w:hAnsi="Arial Narrow"/>
                <w:sz w:val="20"/>
                <w:szCs w:val="20"/>
              </w:rPr>
            </w:pPr>
            <w:r w:rsidRPr="009B3352">
              <w:rPr>
                <w:rFonts w:ascii="Arial Narrow" w:hAnsi="Arial Narrow"/>
                <w:b/>
                <w:sz w:val="20"/>
                <w:szCs w:val="20"/>
              </w:rPr>
              <w:t>Treatment Phase</w:t>
            </w:r>
            <w:r w:rsidRPr="009B3352">
              <w:rPr>
                <w:rFonts w:ascii="Arial Narrow" w:hAnsi="Arial Narrow"/>
                <w:sz w:val="20"/>
                <w:szCs w:val="20"/>
              </w:rPr>
              <w:t>: First line therapy - Grandfathering treatment – induction and maintenance</w:t>
            </w:r>
          </w:p>
        </w:tc>
      </w:tr>
      <w:tr w:rsidR="00655CC5" w:rsidRPr="006D075E" w14:paraId="7652FB86"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0BB99CB3" w14:textId="2C05AFD2" w:rsidR="00655CC5" w:rsidRPr="009B3352" w:rsidRDefault="00655CC5">
            <w:pPr>
              <w:jc w:val="center"/>
              <w:rPr>
                <w:rFonts w:ascii="Arial Narrow" w:hAnsi="Arial Narrow"/>
                <w:sz w:val="20"/>
                <w:szCs w:val="20"/>
              </w:rPr>
            </w:pPr>
          </w:p>
        </w:tc>
        <w:tc>
          <w:tcPr>
            <w:tcW w:w="7745" w:type="dxa"/>
            <w:gridSpan w:val="6"/>
            <w:vAlign w:val="center"/>
            <w:hideMark/>
          </w:tcPr>
          <w:p w14:paraId="6ABD2C22" w14:textId="77777777" w:rsidR="00655CC5" w:rsidRPr="009B3352" w:rsidRDefault="00655CC5">
            <w:pPr>
              <w:rPr>
                <w:rFonts w:ascii="Arial Narrow" w:hAnsi="Arial Narrow"/>
                <w:sz w:val="20"/>
                <w:szCs w:val="20"/>
              </w:rPr>
            </w:pPr>
            <w:r w:rsidRPr="009B3352">
              <w:rPr>
                <w:rFonts w:ascii="Arial Narrow" w:hAnsi="Arial Narrow"/>
                <w:b/>
                <w:sz w:val="20"/>
                <w:szCs w:val="20"/>
              </w:rPr>
              <w:t xml:space="preserve">Clinical criteria: </w:t>
            </w:r>
          </w:p>
        </w:tc>
      </w:tr>
      <w:tr w:rsidR="00655CC5" w:rsidRPr="006D075E" w14:paraId="5954EEA6"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68884873" w14:textId="132DCFBF" w:rsidR="00655CC5" w:rsidRPr="009B3352" w:rsidRDefault="00655CC5">
            <w:pPr>
              <w:jc w:val="center"/>
              <w:rPr>
                <w:rFonts w:ascii="Arial Narrow" w:hAnsi="Arial Narrow"/>
                <w:sz w:val="20"/>
                <w:szCs w:val="20"/>
              </w:rPr>
            </w:pPr>
          </w:p>
        </w:tc>
        <w:tc>
          <w:tcPr>
            <w:tcW w:w="7745" w:type="dxa"/>
            <w:gridSpan w:val="6"/>
            <w:vAlign w:val="center"/>
            <w:hideMark/>
          </w:tcPr>
          <w:p w14:paraId="4F505EE2" w14:textId="6271D74E" w:rsidR="00655CC5" w:rsidRPr="009B3352" w:rsidRDefault="00655CC5">
            <w:pPr>
              <w:rPr>
                <w:rFonts w:ascii="Arial Narrow" w:hAnsi="Arial Narrow"/>
                <w:sz w:val="20"/>
                <w:szCs w:val="20"/>
              </w:rPr>
            </w:pPr>
            <w:r w:rsidRPr="009B3352">
              <w:rPr>
                <w:rFonts w:ascii="Arial Narrow" w:hAnsi="Arial Narrow"/>
                <w:sz w:val="20"/>
                <w:szCs w:val="20"/>
              </w:rPr>
              <w:t xml:space="preserve">Patient must have been receiving non-PBS subsidised treatment with this drug for this </w:t>
            </w:r>
            <w:r w:rsidR="00F61656">
              <w:rPr>
                <w:rFonts w:ascii="Arial Narrow" w:hAnsi="Arial Narrow"/>
                <w:sz w:val="20"/>
                <w:szCs w:val="20"/>
              </w:rPr>
              <w:t xml:space="preserve">indication </w:t>
            </w:r>
            <w:r w:rsidRPr="009B3352">
              <w:rPr>
                <w:rFonts w:ascii="Arial Narrow" w:hAnsi="Arial Narrow"/>
                <w:sz w:val="20"/>
                <w:szCs w:val="20"/>
              </w:rPr>
              <w:t>prior to [listing date]</w:t>
            </w:r>
          </w:p>
        </w:tc>
      </w:tr>
      <w:tr w:rsidR="00655CC5" w:rsidRPr="006D075E" w14:paraId="7B56B685"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A543B62" w14:textId="77777777" w:rsidR="00655CC5" w:rsidRPr="009B3352" w:rsidRDefault="00655CC5">
            <w:pPr>
              <w:jc w:val="center"/>
              <w:rPr>
                <w:rFonts w:ascii="Arial Narrow" w:hAnsi="Arial Narrow"/>
                <w:sz w:val="20"/>
                <w:szCs w:val="20"/>
              </w:rPr>
            </w:pPr>
          </w:p>
        </w:tc>
        <w:tc>
          <w:tcPr>
            <w:tcW w:w="7745" w:type="dxa"/>
            <w:gridSpan w:val="6"/>
            <w:vAlign w:val="center"/>
          </w:tcPr>
          <w:p w14:paraId="7C76F9B6" w14:textId="77777777" w:rsidR="00655CC5" w:rsidRPr="009B3352" w:rsidRDefault="00655CC5">
            <w:pPr>
              <w:rPr>
                <w:rFonts w:ascii="Arial Narrow" w:hAnsi="Arial Narrow"/>
                <w:sz w:val="20"/>
                <w:szCs w:val="20"/>
              </w:rPr>
            </w:pPr>
            <w:r w:rsidRPr="009B3352">
              <w:rPr>
                <w:rFonts w:ascii="Arial Narrow" w:hAnsi="Arial Narrow"/>
                <w:b/>
                <w:sz w:val="20"/>
                <w:szCs w:val="20"/>
              </w:rPr>
              <w:t>AND</w:t>
            </w:r>
          </w:p>
        </w:tc>
      </w:tr>
      <w:tr w:rsidR="00655CC5" w:rsidRPr="006D075E" w14:paraId="590230FC"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8A512D0" w14:textId="5F878663" w:rsidR="00655CC5" w:rsidRPr="009B3352" w:rsidRDefault="00655CC5">
            <w:pPr>
              <w:jc w:val="center"/>
              <w:rPr>
                <w:rFonts w:ascii="Arial Narrow" w:hAnsi="Arial Narrow"/>
                <w:sz w:val="20"/>
                <w:szCs w:val="20"/>
              </w:rPr>
            </w:pPr>
          </w:p>
        </w:tc>
        <w:tc>
          <w:tcPr>
            <w:tcW w:w="7745" w:type="dxa"/>
            <w:gridSpan w:val="6"/>
            <w:vAlign w:val="center"/>
            <w:hideMark/>
          </w:tcPr>
          <w:p w14:paraId="7FCF9132" w14:textId="77777777" w:rsidR="00655CC5" w:rsidRPr="009B3352" w:rsidRDefault="00655CC5">
            <w:pPr>
              <w:rPr>
                <w:rFonts w:ascii="Arial Narrow" w:hAnsi="Arial Narrow"/>
                <w:sz w:val="20"/>
                <w:szCs w:val="20"/>
              </w:rPr>
            </w:pPr>
            <w:r w:rsidRPr="009B3352">
              <w:rPr>
                <w:rFonts w:ascii="Arial Narrow" w:hAnsi="Arial Narrow"/>
                <w:b/>
                <w:sz w:val="20"/>
                <w:szCs w:val="20"/>
              </w:rPr>
              <w:t>Clinical criteria:</w:t>
            </w:r>
          </w:p>
        </w:tc>
      </w:tr>
      <w:tr w:rsidR="00655CC5" w:rsidRPr="006D075E" w14:paraId="3F7BD76D"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41E1D45" w14:textId="6D3B600D" w:rsidR="00655CC5" w:rsidRPr="009B3352" w:rsidRDefault="00655CC5">
            <w:pPr>
              <w:jc w:val="center"/>
              <w:rPr>
                <w:rFonts w:ascii="Arial Narrow" w:hAnsi="Arial Narrow"/>
                <w:sz w:val="20"/>
                <w:szCs w:val="20"/>
              </w:rPr>
            </w:pPr>
          </w:p>
        </w:tc>
        <w:tc>
          <w:tcPr>
            <w:tcW w:w="7745" w:type="dxa"/>
            <w:gridSpan w:val="6"/>
            <w:vAlign w:val="center"/>
          </w:tcPr>
          <w:p w14:paraId="5255C538" w14:textId="77777777" w:rsidR="00655CC5" w:rsidRPr="009B3352" w:rsidRDefault="00655CC5">
            <w:pPr>
              <w:rPr>
                <w:rFonts w:ascii="Arial Narrow" w:hAnsi="Arial Narrow"/>
                <w:sz w:val="20"/>
                <w:szCs w:val="20"/>
              </w:rPr>
            </w:pPr>
            <w:r w:rsidRPr="009B3352">
              <w:rPr>
                <w:rFonts w:ascii="Arial Narrow" w:hAnsi="Arial Narrow"/>
                <w:sz w:val="20"/>
                <w:szCs w:val="20"/>
              </w:rPr>
              <w:t>The treatment must have been initiated in combination with rituximab</w:t>
            </w:r>
          </w:p>
        </w:tc>
      </w:tr>
      <w:tr w:rsidR="00655CC5" w:rsidRPr="006D075E" w14:paraId="2FFC75D3"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D044186" w14:textId="77777777" w:rsidR="00655CC5" w:rsidRPr="009B3352" w:rsidRDefault="00655CC5">
            <w:pPr>
              <w:jc w:val="center"/>
              <w:rPr>
                <w:rFonts w:ascii="Arial Narrow" w:hAnsi="Arial Narrow"/>
                <w:sz w:val="20"/>
                <w:szCs w:val="20"/>
              </w:rPr>
            </w:pPr>
          </w:p>
        </w:tc>
        <w:tc>
          <w:tcPr>
            <w:tcW w:w="7745" w:type="dxa"/>
            <w:gridSpan w:val="6"/>
            <w:vAlign w:val="center"/>
          </w:tcPr>
          <w:p w14:paraId="77526BBF" w14:textId="77777777" w:rsidR="00655CC5" w:rsidRPr="009B3352" w:rsidRDefault="00655CC5">
            <w:pPr>
              <w:rPr>
                <w:rFonts w:ascii="Arial Narrow" w:hAnsi="Arial Narrow"/>
                <w:b/>
                <w:sz w:val="20"/>
                <w:szCs w:val="20"/>
              </w:rPr>
            </w:pPr>
            <w:r w:rsidRPr="009B3352">
              <w:rPr>
                <w:rFonts w:ascii="Arial Narrow" w:hAnsi="Arial Narrow"/>
                <w:b/>
                <w:sz w:val="20"/>
                <w:szCs w:val="20"/>
              </w:rPr>
              <w:t>AND</w:t>
            </w:r>
          </w:p>
        </w:tc>
      </w:tr>
      <w:tr w:rsidR="00655CC5" w:rsidRPr="006D075E" w14:paraId="4E22D89C"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340E7D0" w14:textId="19E0B5A1" w:rsidR="00655CC5" w:rsidRPr="009B3352" w:rsidRDefault="00655CC5">
            <w:pPr>
              <w:jc w:val="center"/>
              <w:rPr>
                <w:rFonts w:ascii="Arial Narrow" w:hAnsi="Arial Narrow"/>
                <w:sz w:val="20"/>
                <w:szCs w:val="20"/>
              </w:rPr>
            </w:pPr>
          </w:p>
        </w:tc>
        <w:tc>
          <w:tcPr>
            <w:tcW w:w="7745" w:type="dxa"/>
            <w:gridSpan w:val="6"/>
            <w:vAlign w:val="center"/>
          </w:tcPr>
          <w:p w14:paraId="6C09C6F7" w14:textId="77777777" w:rsidR="00655CC5" w:rsidRPr="009B3352" w:rsidRDefault="00655CC5">
            <w:pPr>
              <w:rPr>
                <w:rFonts w:ascii="Arial Narrow" w:hAnsi="Arial Narrow"/>
                <w:b/>
                <w:sz w:val="20"/>
                <w:szCs w:val="20"/>
              </w:rPr>
            </w:pPr>
            <w:r w:rsidRPr="009B3352">
              <w:rPr>
                <w:rFonts w:ascii="Arial Narrow" w:hAnsi="Arial Narrow"/>
                <w:b/>
                <w:sz w:val="20"/>
                <w:szCs w:val="20"/>
              </w:rPr>
              <w:t>Clinical criteria:</w:t>
            </w:r>
          </w:p>
        </w:tc>
      </w:tr>
      <w:tr w:rsidR="00655CC5" w:rsidRPr="006D075E" w14:paraId="298AC52B"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9DCB236" w14:textId="5CA4B256" w:rsidR="00655CC5" w:rsidRPr="009B3352" w:rsidRDefault="00655CC5">
            <w:pPr>
              <w:jc w:val="center"/>
              <w:rPr>
                <w:rFonts w:ascii="Arial Narrow" w:hAnsi="Arial Narrow"/>
                <w:sz w:val="20"/>
                <w:szCs w:val="20"/>
              </w:rPr>
            </w:pPr>
          </w:p>
        </w:tc>
        <w:tc>
          <w:tcPr>
            <w:tcW w:w="7745" w:type="dxa"/>
            <w:gridSpan w:val="6"/>
            <w:vAlign w:val="center"/>
          </w:tcPr>
          <w:p w14:paraId="12AD9DC8" w14:textId="77777777" w:rsidR="00655CC5" w:rsidRPr="009B3352" w:rsidRDefault="00655CC5">
            <w:pPr>
              <w:rPr>
                <w:rFonts w:ascii="Arial Narrow" w:hAnsi="Arial Narrow"/>
                <w:sz w:val="20"/>
                <w:szCs w:val="20"/>
              </w:rPr>
            </w:pPr>
            <w:r w:rsidRPr="009B3352">
              <w:rPr>
                <w:rFonts w:ascii="Arial Narrow" w:hAnsi="Arial Narrow"/>
                <w:sz w:val="20"/>
                <w:szCs w:val="20"/>
              </w:rPr>
              <w:t xml:space="preserve">The treatment must have been initiated in combination with </w:t>
            </w:r>
            <w:proofErr w:type="spellStart"/>
            <w:r w:rsidRPr="009B3352">
              <w:rPr>
                <w:rFonts w:ascii="Arial Narrow" w:hAnsi="Arial Narrow"/>
                <w:sz w:val="20"/>
                <w:szCs w:val="20"/>
              </w:rPr>
              <w:t>bendamustine</w:t>
            </w:r>
            <w:proofErr w:type="spellEnd"/>
            <w:r w:rsidRPr="009B3352">
              <w:rPr>
                <w:rFonts w:ascii="Arial Narrow" w:hAnsi="Arial Narrow"/>
                <w:sz w:val="20"/>
                <w:szCs w:val="20"/>
              </w:rPr>
              <w:t xml:space="preserve"> </w:t>
            </w:r>
          </w:p>
        </w:tc>
      </w:tr>
      <w:tr w:rsidR="00655CC5" w:rsidRPr="006D075E" w14:paraId="283660A8"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BBACF59" w14:textId="77777777" w:rsidR="00655CC5" w:rsidRPr="009B3352" w:rsidRDefault="00655CC5">
            <w:pPr>
              <w:jc w:val="center"/>
              <w:rPr>
                <w:rFonts w:ascii="Arial Narrow" w:hAnsi="Arial Narrow"/>
                <w:sz w:val="20"/>
                <w:szCs w:val="20"/>
              </w:rPr>
            </w:pPr>
          </w:p>
        </w:tc>
        <w:tc>
          <w:tcPr>
            <w:tcW w:w="7745" w:type="dxa"/>
            <w:gridSpan w:val="6"/>
            <w:vAlign w:val="center"/>
          </w:tcPr>
          <w:p w14:paraId="58B1632B" w14:textId="77777777" w:rsidR="00655CC5" w:rsidRPr="009B3352" w:rsidRDefault="00655CC5">
            <w:pPr>
              <w:rPr>
                <w:rFonts w:ascii="Arial Narrow" w:hAnsi="Arial Narrow"/>
                <w:sz w:val="20"/>
                <w:szCs w:val="20"/>
              </w:rPr>
            </w:pPr>
            <w:r w:rsidRPr="009B3352">
              <w:rPr>
                <w:rFonts w:ascii="Arial Narrow" w:hAnsi="Arial Narrow"/>
                <w:b/>
                <w:sz w:val="20"/>
                <w:szCs w:val="20"/>
              </w:rPr>
              <w:t>AND</w:t>
            </w:r>
          </w:p>
        </w:tc>
      </w:tr>
      <w:tr w:rsidR="00655CC5" w:rsidRPr="006D075E" w14:paraId="038CF9A0"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26E66C" w14:textId="682302F2" w:rsidR="00655CC5" w:rsidRPr="009B3352" w:rsidRDefault="00655CC5">
            <w:pPr>
              <w:jc w:val="center"/>
              <w:rPr>
                <w:rFonts w:ascii="Arial Narrow" w:hAnsi="Arial Narrow"/>
                <w:sz w:val="20"/>
                <w:szCs w:val="20"/>
              </w:rPr>
            </w:pPr>
          </w:p>
        </w:tc>
        <w:tc>
          <w:tcPr>
            <w:tcW w:w="7745" w:type="dxa"/>
            <w:gridSpan w:val="6"/>
            <w:vAlign w:val="center"/>
          </w:tcPr>
          <w:p w14:paraId="74628B75" w14:textId="77777777" w:rsidR="00655CC5" w:rsidRPr="009B3352" w:rsidRDefault="00655CC5">
            <w:pPr>
              <w:rPr>
                <w:rFonts w:ascii="Arial Narrow" w:hAnsi="Arial Narrow"/>
                <w:sz w:val="20"/>
                <w:szCs w:val="20"/>
              </w:rPr>
            </w:pPr>
            <w:r w:rsidRPr="009B3352">
              <w:rPr>
                <w:rFonts w:ascii="Arial Narrow" w:hAnsi="Arial Narrow"/>
                <w:b/>
                <w:sz w:val="20"/>
                <w:szCs w:val="20"/>
              </w:rPr>
              <w:t>Clinical criteria:</w:t>
            </w:r>
          </w:p>
        </w:tc>
      </w:tr>
      <w:tr w:rsidR="00655CC5" w:rsidRPr="006D075E" w14:paraId="6E5E4DE7"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25114D0" w14:textId="5297B4FF" w:rsidR="00655CC5" w:rsidRPr="009B3352" w:rsidRDefault="00655CC5">
            <w:pPr>
              <w:jc w:val="center"/>
              <w:rPr>
                <w:rFonts w:ascii="Arial Narrow" w:hAnsi="Arial Narrow"/>
                <w:sz w:val="20"/>
                <w:szCs w:val="20"/>
              </w:rPr>
            </w:pPr>
          </w:p>
        </w:tc>
        <w:tc>
          <w:tcPr>
            <w:tcW w:w="7745" w:type="dxa"/>
            <w:gridSpan w:val="6"/>
            <w:vAlign w:val="center"/>
          </w:tcPr>
          <w:p w14:paraId="0B98576B" w14:textId="30F14966" w:rsidR="00655CC5" w:rsidRPr="009B3352" w:rsidRDefault="00655CC5">
            <w:pPr>
              <w:rPr>
                <w:rFonts w:ascii="Arial Narrow" w:hAnsi="Arial Narrow"/>
                <w:sz w:val="20"/>
                <w:szCs w:val="20"/>
              </w:rPr>
            </w:pPr>
            <w:r w:rsidRPr="009B3352">
              <w:rPr>
                <w:rFonts w:ascii="Arial Narrow" w:hAnsi="Arial Narrow"/>
                <w:sz w:val="20"/>
                <w:szCs w:val="20"/>
              </w:rPr>
              <w:t xml:space="preserve">The condition must have been symptomatic prior to being treated with this drug for this </w:t>
            </w:r>
            <w:r w:rsidR="00F61656">
              <w:rPr>
                <w:rFonts w:ascii="Arial Narrow" w:hAnsi="Arial Narrow"/>
                <w:sz w:val="20"/>
                <w:szCs w:val="20"/>
              </w:rPr>
              <w:t>indication</w:t>
            </w:r>
          </w:p>
        </w:tc>
      </w:tr>
      <w:tr w:rsidR="00655CC5" w:rsidRPr="006D075E" w14:paraId="3D0DFECA"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2DF934D" w14:textId="77777777" w:rsidR="00655CC5" w:rsidRPr="009B3352" w:rsidRDefault="00655CC5">
            <w:pPr>
              <w:jc w:val="center"/>
              <w:rPr>
                <w:rFonts w:ascii="Arial Narrow" w:hAnsi="Arial Narrow"/>
                <w:sz w:val="20"/>
                <w:szCs w:val="20"/>
              </w:rPr>
            </w:pPr>
          </w:p>
        </w:tc>
        <w:tc>
          <w:tcPr>
            <w:tcW w:w="7745" w:type="dxa"/>
            <w:gridSpan w:val="6"/>
            <w:vAlign w:val="center"/>
          </w:tcPr>
          <w:p w14:paraId="4622B887" w14:textId="77777777" w:rsidR="00655CC5" w:rsidRPr="009B3352" w:rsidRDefault="00655CC5">
            <w:pPr>
              <w:rPr>
                <w:rFonts w:ascii="Arial Narrow" w:hAnsi="Arial Narrow"/>
                <w:sz w:val="20"/>
                <w:szCs w:val="20"/>
              </w:rPr>
            </w:pPr>
            <w:r w:rsidRPr="009B3352">
              <w:rPr>
                <w:rFonts w:ascii="Arial Narrow" w:hAnsi="Arial Narrow"/>
                <w:b/>
                <w:sz w:val="20"/>
                <w:szCs w:val="20"/>
              </w:rPr>
              <w:t>AND</w:t>
            </w:r>
          </w:p>
        </w:tc>
      </w:tr>
      <w:tr w:rsidR="00655CC5" w:rsidRPr="006D075E" w14:paraId="53084C79"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CF46CDD" w14:textId="37E96886" w:rsidR="00655CC5" w:rsidRPr="009B3352" w:rsidRDefault="00655CC5">
            <w:pPr>
              <w:jc w:val="center"/>
              <w:rPr>
                <w:rFonts w:ascii="Arial Narrow" w:hAnsi="Arial Narrow"/>
                <w:sz w:val="20"/>
                <w:szCs w:val="20"/>
              </w:rPr>
            </w:pPr>
          </w:p>
        </w:tc>
        <w:tc>
          <w:tcPr>
            <w:tcW w:w="7745" w:type="dxa"/>
            <w:gridSpan w:val="6"/>
            <w:vAlign w:val="center"/>
          </w:tcPr>
          <w:p w14:paraId="28014030" w14:textId="77777777" w:rsidR="00655CC5" w:rsidRPr="009B3352" w:rsidRDefault="00655CC5">
            <w:pPr>
              <w:rPr>
                <w:rFonts w:ascii="Arial Narrow" w:hAnsi="Arial Narrow"/>
                <w:b/>
                <w:sz w:val="20"/>
                <w:szCs w:val="20"/>
              </w:rPr>
            </w:pPr>
            <w:r w:rsidRPr="009B3352">
              <w:rPr>
                <w:rFonts w:ascii="Arial Narrow" w:hAnsi="Arial Narrow"/>
                <w:b/>
                <w:sz w:val="20"/>
                <w:szCs w:val="20"/>
              </w:rPr>
              <w:t>Clinical criteria:</w:t>
            </w:r>
          </w:p>
        </w:tc>
      </w:tr>
      <w:tr w:rsidR="00655CC5" w:rsidRPr="006D075E" w14:paraId="04702F3C"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06AB266" w14:textId="1FD3238E" w:rsidR="00655CC5" w:rsidRPr="009B3352" w:rsidRDefault="00655CC5">
            <w:pPr>
              <w:jc w:val="center"/>
              <w:rPr>
                <w:rFonts w:ascii="Arial Narrow" w:hAnsi="Arial Narrow"/>
                <w:sz w:val="20"/>
                <w:szCs w:val="20"/>
              </w:rPr>
            </w:pPr>
          </w:p>
        </w:tc>
        <w:tc>
          <w:tcPr>
            <w:tcW w:w="7745" w:type="dxa"/>
            <w:gridSpan w:val="6"/>
            <w:vAlign w:val="center"/>
            <w:hideMark/>
          </w:tcPr>
          <w:p w14:paraId="184AB0E0" w14:textId="12373BFA" w:rsidR="00655CC5" w:rsidRPr="009B3352" w:rsidRDefault="00655CC5">
            <w:pPr>
              <w:rPr>
                <w:rFonts w:ascii="Arial Narrow" w:hAnsi="Arial Narrow"/>
                <w:sz w:val="20"/>
                <w:szCs w:val="20"/>
              </w:rPr>
            </w:pPr>
            <w:r w:rsidRPr="009B3352">
              <w:rPr>
                <w:rFonts w:ascii="Arial Narrow" w:hAnsi="Arial Narrow"/>
                <w:sz w:val="20"/>
                <w:szCs w:val="20"/>
              </w:rPr>
              <w:t xml:space="preserve">Patient must have had a WHO performance status of 2 or less prior to being treated with this drug for this </w:t>
            </w:r>
            <w:r w:rsidR="00F61656">
              <w:rPr>
                <w:rFonts w:ascii="Arial Narrow" w:hAnsi="Arial Narrow"/>
                <w:sz w:val="20"/>
                <w:szCs w:val="20"/>
              </w:rPr>
              <w:t>indication</w:t>
            </w:r>
          </w:p>
        </w:tc>
      </w:tr>
      <w:tr w:rsidR="00655CC5" w:rsidRPr="006D075E" w14:paraId="053392D5" w14:textId="77777777" w:rsidTr="00207063">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ED0D611" w14:textId="77777777" w:rsidR="00655CC5" w:rsidRPr="009B3352" w:rsidRDefault="00655CC5">
            <w:pPr>
              <w:jc w:val="center"/>
              <w:rPr>
                <w:rFonts w:ascii="Arial Narrow" w:hAnsi="Arial Narrow"/>
                <w:sz w:val="20"/>
                <w:szCs w:val="20"/>
              </w:rPr>
            </w:pPr>
          </w:p>
        </w:tc>
        <w:tc>
          <w:tcPr>
            <w:tcW w:w="7745" w:type="dxa"/>
            <w:gridSpan w:val="6"/>
            <w:vAlign w:val="center"/>
            <w:hideMark/>
          </w:tcPr>
          <w:p w14:paraId="0CB13464" w14:textId="77777777" w:rsidR="00655CC5" w:rsidRPr="009B3352" w:rsidRDefault="00655CC5">
            <w:pPr>
              <w:rPr>
                <w:rFonts w:ascii="Arial Narrow" w:hAnsi="Arial Narrow"/>
                <w:sz w:val="20"/>
                <w:szCs w:val="20"/>
              </w:rPr>
            </w:pPr>
            <w:r w:rsidRPr="009B3352">
              <w:rPr>
                <w:rFonts w:ascii="Arial Narrow" w:hAnsi="Arial Narrow"/>
                <w:b/>
                <w:sz w:val="20"/>
                <w:szCs w:val="20"/>
              </w:rPr>
              <w:t>AND</w:t>
            </w:r>
          </w:p>
        </w:tc>
      </w:tr>
      <w:tr w:rsidR="00655CC5" w:rsidRPr="006D075E" w14:paraId="0B91FBFE" w14:textId="77777777" w:rsidTr="00207063">
        <w:tblPrEx>
          <w:tblCellMar>
            <w:top w:w="15" w:type="dxa"/>
            <w:bottom w:w="15" w:type="dxa"/>
          </w:tblCellMar>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vAlign w:val="center"/>
          </w:tcPr>
          <w:p w14:paraId="2694B931" w14:textId="0207C46C" w:rsidR="00655CC5" w:rsidRPr="009B3352" w:rsidRDefault="00655CC5">
            <w:pPr>
              <w:jc w:val="center"/>
              <w:rPr>
                <w:rFonts w:ascii="Arial Narrow" w:hAnsi="Arial Narrow"/>
                <w:sz w:val="20"/>
                <w:szCs w:val="20"/>
              </w:rPr>
            </w:pPr>
          </w:p>
        </w:tc>
        <w:tc>
          <w:tcPr>
            <w:tcW w:w="7745" w:type="dxa"/>
            <w:gridSpan w:val="6"/>
            <w:vAlign w:val="center"/>
            <w:hideMark/>
          </w:tcPr>
          <w:p w14:paraId="32914F0A" w14:textId="77777777" w:rsidR="00655CC5" w:rsidRPr="009B3352" w:rsidRDefault="00655CC5">
            <w:pPr>
              <w:rPr>
                <w:rFonts w:ascii="Arial Narrow" w:hAnsi="Arial Narrow"/>
                <w:sz w:val="20"/>
                <w:szCs w:val="20"/>
              </w:rPr>
            </w:pPr>
            <w:r w:rsidRPr="009B3352">
              <w:rPr>
                <w:rFonts w:ascii="Arial Narrow" w:hAnsi="Arial Narrow"/>
                <w:b/>
                <w:sz w:val="20"/>
                <w:szCs w:val="20"/>
              </w:rPr>
              <w:t>Clinical criteria:</w:t>
            </w:r>
          </w:p>
        </w:tc>
      </w:tr>
      <w:tr w:rsidR="00655CC5" w:rsidRPr="006D075E" w14:paraId="47EC156E" w14:textId="77777777" w:rsidTr="00207063">
        <w:tblPrEx>
          <w:tblCellMar>
            <w:top w:w="15" w:type="dxa"/>
            <w:bottom w:w="15" w:type="dxa"/>
          </w:tblCellMar>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vAlign w:val="center"/>
          </w:tcPr>
          <w:p w14:paraId="7A7CEC14" w14:textId="7F0721CC" w:rsidR="00655CC5" w:rsidRPr="009B3352" w:rsidRDefault="00655CC5">
            <w:pPr>
              <w:jc w:val="center"/>
              <w:rPr>
                <w:rFonts w:ascii="Arial Narrow" w:hAnsi="Arial Narrow"/>
                <w:sz w:val="20"/>
                <w:szCs w:val="20"/>
              </w:rPr>
            </w:pPr>
          </w:p>
        </w:tc>
        <w:tc>
          <w:tcPr>
            <w:tcW w:w="7745" w:type="dxa"/>
            <w:gridSpan w:val="6"/>
            <w:vAlign w:val="center"/>
            <w:hideMark/>
          </w:tcPr>
          <w:p w14:paraId="2579ACEF" w14:textId="77777777" w:rsidR="00655CC5" w:rsidRPr="009B3352" w:rsidRDefault="00655CC5">
            <w:pPr>
              <w:rPr>
                <w:rFonts w:ascii="Arial Narrow" w:hAnsi="Arial Narrow"/>
                <w:sz w:val="20"/>
                <w:szCs w:val="20"/>
              </w:rPr>
            </w:pPr>
            <w:r w:rsidRPr="009B3352">
              <w:rPr>
                <w:rFonts w:ascii="Arial Narrow" w:hAnsi="Arial Narrow"/>
                <w:sz w:val="20"/>
                <w:szCs w:val="20"/>
              </w:rPr>
              <w:t>Patient must not have been eligible for stem cell transplantation at the time of commencement of this therapy for this indication </w:t>
            </w:r>
          </w:p>
        </w:tc>
      </w:tr>
      <w:tr w:rsidR="00655CC5" w:rsidRPr="006D075E" w14:paraId="1B8CBE49" w14:textId="77777777" w:rsidTr="00207063">
        <w:tblPrEx>
          <w:tblCellMar>
            <w:top w:w="15" w:type="dxa"/>
            <w:bottom w:w="15" w:type="dxa"/>
          </w:tblCellMar>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vAlign w:val="center"/>
          </w:tcPr>
          <w:p w14:paraId="46FEF72D" w14:textId="77777777" w:rsidR="00655CC5" w:rsidRPr="009B3352" w:rsidRDefault="00655CC5">
            <w:pPr>
              <w:jc w:val="center"/>
              <w:rPr>
                <w:rFonts w:ascii="Arial Narrow" w:hAnsi="Arial Narrow"/>
                <w:sz w:val="20"/>
                <w:szCs w:val="20"/>
              </w:rPr>
            </w:pPr>
          </w:p>
        </w:tc>
        <w:tc>
          <w:tcPr>
            <w:tcW w:w="7745" w:type="dxa"/>
            <w:gridSpan w:val="6"/>
            <w:vAlign w:val="center"/>
          </w:tcPr>
          <w:p w14:paraId="3E5D4780" w14:textId="77777777" w:rsidR="00655CC5" w:rsidRPr="009B3352" w:rsidRDefault="00655CC5">
            <w:pPr>
              <w:rPr>
                <w:rFonts w:ascii="Arial Narrow" w:hAnsi="Arial Narrow"/>
                <w:sz w:val="20"/>
                <w:szCs w:val="20"/>
              </w:rPr>
            </w:pPr>
            <w:r w:rsidRPr="009B3352">
              <w:rPr>
                <w:rFonts w:ascii="Arial Narrow" w:hAnsi="Arial Narrow"/>
                <w:b/>
                <w:sz w:val="20"/>
                <w:szCs w:val="20"/>
              </w:rPr>
              <w:t>AND</w:t>
            </w:r>
          </w:p>
        </w:tc>
      </w:tr>
      <w:tr w:rsidR="00655CC5" w:rsidRPr="006D075E" w14:paraId="0AFA4B54" w14:textId="77777777" w:rsidTr="00207063">
        <w:tblPrEx>
          <w:tblCellMar>
            <w:top w:w="15" w:type="dxa"/>
            <w:bottom w:w="15" w:type="dxa"/>
          </w:tblCellMar>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vAlign w:val="center"/>
          </w:tcPr>
          <w:p w14:paraId="016CC69F" w14:textId="4FA882A7" w:rsidR="00655CC5" w:rsidRPr="009B3352" w:rsidRDefault="00655CC5">
            <w:pPr>
              <w:jc w:val="center"/>
              <w:rPr>
                <w:rFonts w:ascii="Arial Narrow" w:hAnsi="Arial Narrow"/>
                <w:sz w:val="20"/>
                <w:szCs w:val="20"/>
              </w:rPr>
            </w:pPr>
          </w:p>
        </w:tc>
        <w:tc>
          <w:tcPr>
            <w:tcW w:w="7745" w:type="dxa"/>
            <w:gridSpan w:val="6"/>
            <w:vAlign w:val="center"/>
          </w:tcPr>
          <w:p w14:paraId="450C7BE8" w14:textId="77777777" w:rsidR="00655CC5" w:rsidRPr="009B3352" w:rsidRDefault="00655CC5">
            <w:pPr>
              <w:rPr>
                <w:rFonts w:ascii="Arial Narrow" w:hAnsi="Arial Narrow"/>
                <w:sz w:val="20"/>
                <w:szCs w:val="20"/>
              </w:rPr>
            </w:pPr>
            <w:r w:rsidRPr="009B3352">
              <w:rPr>
                <w:rFonts w:ascii="Arial Narrow" w:hAnsi="Arial Narrow"/>
                <w:b/>
                <w:sz w:val="20"/>
                <w:szCs w:val="20"/>
              </w:rPr>
              <w:t>Clinical criteria:</w:t>
            </w:r>
          </w:p>
        </w:tc>
      </w:tr>
      <w:tr w:rsidR="00655CC5" w:rsidRPr="006D075E" w14:paraId="36CBB99D" w14:textId="77777777" w:rsidTr="00207063">
        <w:tblPrEx>
          <w:tblCellMar>
            <w:top w:w="15" w:type="dxa"/>
            <w:bottom w:w="15" w:type="dxa"/>
          </w:tblCellMar>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vAlign w:val="center"/>
          </w:tcPr>
          <w:p w14:paraId="3F287E80" w14:textId="0EA90EAC" w:rsidR="00655CC5" w:rsidRPr="009B3352" w:rsidRDefault="00655CC5">
            <w:pPr>
              <w:jc w:val="center"/>
              <w:rPr>
                <w:rFonts w:ascii="Arial Narrow" w:hAnsi="Arial Narrow"/>
                <w:sz w:val="20"/>
                <w:szCs w:val="20"/>
              </w:rPr>
            </w:pPr>
          </w:p>
        </w:tc>
        <w:tc>
          <w:tcPr>
            <w:tcW w:w="7745" w:type="dxa"/>
            <w:gridSpan w:val="6"/>
            <w:vAlign w:val="center"/>
          </w:tcPr>
          <w:p w14:paraId="0F89DC0E" w14:textId="546E2FA6" w:rsidR="00655CC5" w:rsidRPr="009B3352" w:rsidRDefault="00655CC5">
            <w:pPr>
              <w:rPr>
                <w:rFonts w:ascii="Arial Narrow" w:hAnsi="Arial Narrow"/>
                <w:sz w:val="20"/>
                <w:szCs w:val="20"/>
              </w:rPr>
            </w:pPr>
            <w:r w:rsidRPr="009B3352">
              <w:rPr>
                <w:rFonts w:ascii="Arial Narrow" w:hAnsi="Arial Narrow"/>
                <w:sz w:val="20"/>
                <w:szCs w:val="20"/>
              </w:rPr>
              <w:t xml:space="preserve">Patient must not have developed disease progression while being treated with this drug for this </w:t>
            </w:r>
            <w:r w:rsidR="00556FC7">
              <w:rPr>
                <w:rFonts w:ascii="Arial Narrow" w:hAnsi="Arial Narrow"/>
                <w:sz w:val="20"/>
                <w:szCs w:val="20"/>
              </w:rPr>
              <w:t>indication</w:t>
            </w:r>
          </w:p>
        </w:tc>
      </w:tr>
      <w:tr w:rsidR="00655CC5" w:rsidRPr="006D075E" w14:paraId="1D34B941" w14:textId="77777777" w:rsidTr="00207063">
        <w:tblPrEx>
          <w:tblCellMar>
            <w:top w:w="15" w:type="dxa"/>
            <w:bottom w:w="15" w:type="dxa"/>
          </w:tblCellMar>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vAlign w:val="center"/>
          </w:tcPr>
          <w:p w14:paraId="409C7C2D" w14:textId="77777777" w:rsidR="00655CC5" w:rsidRPr="009B3352" w:rsidRDefault="00655CC5">
            <w:pPr>
              <w:jc w:val="center"/>
              <w:rPr>
                <w:rFonts w:ascii="Arial Narrow" w:hAnsi="Arial Narrow"/>
                <w:sz w:val="20"/>
                <w:szCs w:val="20"/>
              </w:rPr>
            </w:pPr>
          </w:p>
        </w:tc>
        <w:tc>
          <w:tcPr>
            <w:tcW w:w="7745" w:type="dxa"/>
            <w:gridSpan w:val="6"/>
            <w:vAlign w:val="center"/>
          </w:tcPr>
          <w:p w14:paraId="4E549068" w14:textId="77777777" w:rsidR="00655CC5" w:rsidRPr="009B3352" w:rsidRDefault="00655CC5">
            <w:pPr>
              <w:rPr>
                <w:rFonts w:ascii="Arial Narrow" w:hAnsi="Arial Narrow"/>
                <w:b/>
                <w:sz w:val="20"/>
                <w:szCs w:val="20"/>
              </w:rPr>
            </w:pPr>
            <w:r w:rsidRPr="009B3352">
              <w:rPr>
                <w:rFonts w:ascii="Arial Narrow" w:hAnsi="Arial Narrow"/>
                <w:b/>
                <w:sz w:val="20"/>
                <w:szCs w:val="20"/>
              </w:rPr>
              <w:t>AND</w:t>
            </w:r>
          </w:p>
        </w:tc>
      </w:tr>
      <w:tr w:rsidR="00655CC5" w:rsidRPr="006D075E" w14:paraId="699F9078" w14:textId="77777777" w:rsidTr="00207063">
        <w:tblPrEx>
          <w:tblCellMar>
            <w:top w:w="15" w:type="dxa"/>
            <w:bottom w:w="15" w:type="dxa"/>
          </w:tblCellMar>
        </w:tblPrEx>
        <w:trPr>
          <w:cantSplit/>
          <w:trHeight w:val="20"/>
        </w:trPr>
        <w:tc>
          <w:tcPr>
            <w:tcW w:w="1272" w:type="dxa"/>
            <w:gridSpan w:val="2"/>
            <w:vAlign w:val="center"/>
          </w:tcPr>
          <w:p w14:paraId="0AB3B36E" w14:textId="72B4FC37" w:rsidR="00655CC5" w:rsidRPr="009B3352" w:rsidRDefault="00655CC5">
            <w:pPr>
              <w:jc w:val="center"/>
              <w:rPr>
                <w:rFonts w:ascii="Arial Narrow" w:hAnsi="Arial Narrow"/>
                <w:sz w:val="20"/>
                <w:szCs w:val="20"/>
              </w:rPr>
            </w:pPr>
          </w:p>
        </w:tc>
        <w:tc>
          <w:tcPr>
            <w:tcW w:w="7745" w:type="dxa"/>
            <w:gridSpan w:val="6"/>
            <w:vAlign w:val="center"/>
          </w:tcPr>
          <w:p w14:paraId="2AF73B02" w14:textId="77777777" w:rsidR="00655CC5" w:rsidRPr="009B3352" w:rsidRDefault="00655CC5">
            <w:pPr>
              <w:rPr>
                <w:rFonts w:ascii="Arial Narrow" w:hAnsi="Arial Narrow"/>
                <w:sz w:val="20"/>
                <w:szCs w:val="20"/>
              </w:rPr>
            </w:pPr>
            <w:r w:rsidRPr="009B3352">
              <w:rPr>
                <w:rFonts w:ascii="Arial Narrow" w:hAnsi="Arial Narrow"/>
                <w:b/>
                <w:sz w:val="20"/>
                <w:szCs w:val="20"/>
              </w:rPr>
              <w:t>Clinical criteria:</w:t>
            </w:r>
          </w:p>
        </w:tc>
      </w:tr>
      <w:tr w:rsidR="00655CC5" w:rsidRPr="006D075E" w14:paraId="456221A5" w14:textId="77777777" w:rsidTr="00207063">
        <w:tblPrEx>
          <w:tblCellMar>
            <w:top w:w="15" w:type="dxa"/>
            <w:bottom w:w="15" w:type="dxa"/>
          </w:tblCellMar>
        </w:tblPrEx>
        <w:trPr>
          <w:cantSplit/>
          <w:trHeight w:val="20"/>
        </w:trPr>
        <w:tc>
          <w:tcPr>
            <w:tcW w:w="1272" w:type="dxa"/>
            <w:gridSpan w:val="2"/>
            <w:vAlign w:val="center"/>
          </w:tcPr>
          <w:p w14:paraId="29763625" w14:textId="76A56BE0" w:rsidR="00655CC5" w:rsidRPr="009B3352" w:rsidRDefault="00655CC5">
            <w:pPr>
              <w:jc w:val="center"/>
              <w:rPr>
                <w:rFonts w:ascii="Arial Narrow" w:hAnsi="Arial Narrow"/>
                <w:sz w:val="20"/>
                <w:szCs w:val="20"/>
              </w:rPr>
            </w:pPr>
          </w:p>
        </w:tc>
        <w:tc>
          <w:tcPr>
            <w:tcW w:w="7745" w:type="dxa"/>
            <w:gridSpan w:val="6"/>
            <w:vAlign w:val="center"/>
          </w:tcPr>
          <w:p w14:paraId="3707E828" w14:textId="57DA0072" w:rsidR="00655CC5" w:rsidRPr="009B3352" w:rsidRDefault="00655CC5">
            <w:pPr>
              <w:rPr>
                <w:rFonts w:ascii="Arial Narrow" w:hAnsi="Arial Narrow"/>
                <w:sz w:val="20"/>
                <w:szCs w:val="20"/>
              </w:rPr>
            </w:pPr>
            <w:r w:rsidRPr="009B3352">
              <w:rPr>
                <w:rFonts w:ascii="Arial Narrow" w:hAnsi="Arial Narrow"/>
                <w:sz w:val="20"/>
                <w:szCs w:val="20"/>
              </w:rPr>
              <w:t xml:space="preserve">Patient must not receive more than 6 cycles (12 doses) of PBS and </w:t>
            </w:r>
            <w:r w:rsidR="00F61656" w:rsidRPr="009B3352">
              <w:rPr>
                <w:rFonts w:ascii="Arial Narrow" w:hAnsi="Arial Narrow"/>
                <w:sz w:val="20"/>
                <w:szCs w:val="20"/>
              </w:rPr>
              <w:t>non-PBS</w:t>
            </w:r>
            <w:r w:rsidRPr="009B3352">
              <w:rPr>
                <w:rFonts w:ascii="Arial Narrow" w:hAnsi="Arial Narrow"/>
                <w:sz w:val="20"/>
                <w:szCs w:val="20"/>
              </w:rPr>
              <w:t xml:space="preserve"> subsidised treatment with this drug as induction therapy</w:t>
            </w:r>
          </w:p>
        </w:tc>
      </w:tr>
      <w:tr w:rsidR="00655CC5" w:rsidRPr="006D075E" w14:paraId="34C068E7" w14:textId="77777777" w:rsidTr="00207063">
        <w:tblPrEx>
          <w:tblCellMar>
            <w:top w:w="15" w:type="dxa"/>
            <w:bottom w:w="15" w:type="dxa"/>
          </w:tblCellMar>
        </w:tblPrEx>
        <w:trPr>
          <w:cantSplit/>
          <w:trHeight w:val="20"/>
        </w:trPr>
        <w:tc>
          <w:tcPr>
            <w:tcW w:w="1272" w:type="dxa"/>
            <w:gridSpan w:val="2"/>
            <w:vAlign w:val="center"/>
          </w:tcPr>
          <w:p w14:paraId="60B18BFC" w14:textId="77777777" w:rsidR="00655CC5" w:rsidRPr="009B3352" w:rsidRDefault="00655CC5">
            <w:pPr>
              <w:jc w:val="center"/>
              <w:rPr>
                <w:rFonts w:ascii="Arial Narrow" w:hAnsi="Arial Narrow"/>
                <w:sz w:val="20"/>
                <w:szCs w:val="20"/>
              </w:rPr>
            </w:pPr>
          </w:p>
        </w:tc>
        <w:tc>
          <w:tcPr>
            <w:tcW w:w="7745" w:type="dxa"/>
            <w:gridSpan w:val="6"/>
            <w:vAlign w:val="center"/>
          </w:tcPr>
          <w:p w14:paraId="1654229C" w14:textId="77777777" w:rsidR="00655CC5" w:rsidRPr="009B3352" w:rsidRDefault="00655CC5">
            <w:pPr>
              <w:rPr>
                <w:rFonts w:ascii="Arial Narrow" w:hAnsi="Arial Narrow"/>
                <w:b/>
                <w:sz w:val="20"/>
                <w:szCs w:val="20"/>
              </w:rPr>
            </w:pPr>
            <w:r w:rsidRPr="009B3352">
              <w:rPr>
                <w:rFonts w:ascii="Arial Narrow" w:hAnsi="Arial Narrow"/>
                <w:b/>
                <w:sz w:val="20"/>
                <w:szCs w:val="20"/>
              </w:rPr>
              <w:t>OR</w:t>
            </w:r>
          </w:p>
        </w:tc>
      </w:tr>
      <w:tr w:rsidR="00655CC5" w:rsidRPr="006D075E" w14:paraId="5E712426" w14:textId="77777777" w:rsidTr="00207063">
        <w:tblPrEx>
          <w:tblCellMar>
            <w:top w:w="15" w:type="dxa"/>
            <w:bottom w:w="15" w:type="dxa"/>
          </w:tblCellMar>
        </w:tblPrEx>
        <w:trPr>
          <w:cantSplit/>
          <w:trHeight w:val="55"/>
        </w:trPr>
        <w:tc>
          <w:tcPr>
            <w:tcW w:w="1272" w:type="dxa"/>
            <w:gridSpan w:val="2"/>
            <w:vAlign w:val="center"/>
          </w:tcPr>
          <w:p w14:paraId="54854287" w14:textId="4DE2DABC" w:rsidR="00655CC5" w:rsidRPr="009B3352" w:rsidRDefault="00655CC5">
            <w:pPr>
              <w:jc w:val="center"/>
              <w:rPr>
                <w:rFonts w:ascii="Arial Narrow" w:hAnsi="Arial Narrow"/>
                <w:sz w:val="20"/>
                <w:szCs w:val="20"/>
              </w:rPr>
            </w:pPr>
          </w:p>
        </w:tc>
        <w:tc>
          <w:tcPr>
            <w:tcW w:w="7745" w:type="dxa"/>
            <w:gridSpan w:val="6"/>
            <w:vAlign w:val="center"/>
          </w:tcPr>
          <w:p w14:paraId="1756225E" w14:textId="77777777" w:rsidR="00655CC5" w:rsidRPr="009B3352" w:rsidRDefault="00655CC5">
            <w:pPr>
              <w:rPr>
                <w:rFonts w:ascii="Arial Narrow" w:hAnsi="Arial Narrow"/>
                <w:sz w:val="20"/>
                <w:szCs w:val="20"/>
              </w:rPr>
            </w:pPr>
            <w:r w:rsidRPr="009B3352">
              <w:rPr>
                <w:rFonts w:ascii="Arial Narrow" w:hAnsi="Arial Narrow"/>
                <w:sz w:val="20"/>
                <w:szCs w:val="20"/>
              </w:rPr>
              <w:t>Patient must have previously received up to a maximum of 6 cycles (12 doses) of this drug as induction therapy</w:t>
            </w:r>
          </w:p>
        </w:tc>
      </w:tr>
    </w:tbl>
    <w:p w14:paraId="57B45475" w14:textId="77777777" w:rsidR="00207063" w:rsidRDefault="00207063" w:rsidP="00207063">
      <w:pPr>
        <w:spacing w:before="240" w:after="120"/>
        <w:rPr>
          <w:rFonts w:asciiTheme="minorHAnsi" w:hAnsiTheme="minorHAnsi" w:cstheme="minorHAnsi"/>
          <w:b/>
          <w:bCs/>
        </w:rPr>
      </w:pPr>
      <w:r w:rsidRPr="00207063">
        <w:rPr>
          <w:rFonts w:asciiTheme="minorHAnsi" w:hAnsiTheme="minorHAnsi" w:cstheme="minorHAnsi"/>
          <w:b/>
          <w:bCs/>
        </w:rPr>
        <w:t xml:space="preserve">Flow on changes to </w:t>
      </w:r>
      <w:proofErr w:type="spellStart"/>
      <w:r w:rsidRPr="00207063">
        <w:rPr>
          <w:rFonts w:asciiTheme="minorHAnsi" w:hAnsiTheme="minorHAnsi" w:cstheme="minorHAnsi"/>
          <w:b/>
          <w:bCs/>
        </w:rPr>
        <w:t>bendamustine</w:t>
      </w:r>
      <w:proofErr w:type="spellEnd"/>
      <w:r w:rsidRPr="00207063">
        <w:rPr>
          <w:rFonts w:asciiTheme="minorHAnsi" w:hAnsiTheme="minorHAnsi" w:cstheme="minorHAnsi"/>
          <w:b/>
          <w:bCs/>
        </w:rPr>
        <w:t xml:space="preserve"> PBS restrictions (for the treatment of MCL, item codes 10760H and 10763L)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Flow on changes"/>
      </w:tblPr>
      <w:tblGrid>
        <w:gridCol w:w="487"/>
        <w:gridCol w:w="784"/>
        <w:gridCol w:w="1823"/>
        <w:gridCol w:w="1973"/>
        <w:gridCol w:w="1973"/>
        <w:gridCol w:w="1977"/>
      </w:tblGrid>
      <w:tr w:rsidR="00F22A43" w:rsidRPr="006D075E" w14:paraId="08FE00D5" w14:textId="77777777" w:rsidTr="00B15785">
        <w:trPr>
          <w:cantSplit/>
          <w:trHeight w:val="20"/>
        </w:trPr>
        <w:tc>
          <w:tcPr>
            <w:tcW w:w="1716" w:type="pct"/>
            <w:gridSpan w:val="3"/>
            <w:vAlign w:val="center"/>
          </w:tcPr>
          <w:p w14:paraId="554DF78B" w14:textId="77777777" w:rsidR="00F22A43" w:rsidRPr="006D075E" w:rsidRDefault="00F22A43" w:rsidP="00B15785">
            <w:pPr>
              <w:keepNext/>
              <w:keepLines/>
              <w:rPr>
                <w:rFonts w:ascii="Arial Narrow" w:hAnsi="Arial Narrow"/>
                <w:b/>
                <w:bCs/>
                <w:sz w:val="20"/>
                <w:szCs w:val="20"/>
              </w:rPr>
            </w:pPr>
            <w:r w:rsidRPr="006D075E">
              <w:rPr>
                <w:rFonts w:ascii="Arial Narrow" w:hAnsi="Arial Narrow"/>
                <w:b/>
                <w:bCs/>
                <w:sz w:val="20"/>
                <w:szCs w:val="20"/>
              </w:rPr>
              <w:lastRenderedPageBreak/>
              <w:t>MEDICINAL PRODUCT</w:t>
            </w:r>
          </w:p>
          <w:p w14:paraId="2B1E73AD" w14:textId="77777777" w:rsidR="00F22A43" w:rsidRPr="006D075E" w:rsidRDefault="00F22A43" w:rsidP="00B15785">
            <w:pPr>
              <w:keepNext/>
              <w:keepLines/>
              <w:rPr>
                <w:rFonts w:ascii="Arial Narrow" w:hAnsi="Arial Narrow"/>
                <w:b/>
                <w:sz w:val="20"/>
                <w:szCs w:val="20"/>
              </w:rPr>
            </w:pPr>
            <w:r w:rsidRPr="006D075E">
              <w:rPr>
                <w:rFonts w:ascii="Arial Narrow" w:hAnsi="Arial Narrow"/>
                <w:b/>
                <w:sz w:val="20"/>
                <w:szCs w:val="20"/>
              </w:rPr>
              <w:t>Form</w:t>
            </w:r>
          </w:p>
        </w:tc>
        <w:tc>
          <w:tcPr>
            <w:tcW w:w="1094" w:type="pct"/>
            <w:vAlign w:val="center"/>
          </w:tcPr>
          <w:p w14:paraId="4A488811" w14:textId="77777777" w:rsidR="00F22A43" w:rsidRPr="006D075E" w:rsidRDefault="00F22A43" w:rsidP="00B15785">
            <w:pPr>
              <w:keepNext/>
              <w:keepLines/>
              <w:jc w:val="center"/>
              <w:rPr>
                <w:rFonts w:ascii="Arial Narrow" w:hAnsi="Arial Narrow"/>
                <w:b/>
                <w:sz w:val="20"/>
                <w:szCs w:val="20"/>
              </w:rPr>
            </w:pPr>
            <w:r w:rsidRPr="006D075E">
              <w:rPr>
                <w:rFonts w:ascii="Arial Narrow" w:hAnsi="Arial Narrow"/>
                <w:b/>
                <w:sz w:val="20"/>
                <w:szCs w:val="20"/>
              </w:rPr>
              <w:t>PBS item code</w:t>
            </w:r>
          </w:p>
        </w:tc>
        <w:tc>
          <w:tcPr>
            <w:tcW w:w="1094" w:type="pct"/>
            <w:vAlign w:val="center"/>
          </w:tcPr>
          <w:p w14:paraId="5B98D44F" w14:textId="77777777" w:rsidR="00F22A43" w:rsidRPr="006D075E" w:rsidRDefault="00F22A43" w:rsidP="00B15785">
            <w:pPr>
              <w:keepNext/>
              <w:keepLines/>
              <w:jc w:val="center"/>
              <w:rPr>
                <w:rFonts w:ascii="Arial Narrow" w:hAnsi="Arial Narrow"/>
                <w:b/>
                <w:sz w:val="20"/>
                <w:szCs w:val="20"/>
              </w:rPr>
            </w:pPr>
            <w:r w:rsidRPr="006D075E">
              <w:rPr>
                <w:rFonts w:ascii="Arial Narrow" w:hAnsi="Arial Narrow"/>
                <w:b/>
                <w:sz w:val="20"/>
                <w:szCs w:val="20"/>
              </w:rPr>
              <w:t>Max. Amount</w:t>
            </w:r>
          </w:p>
        </w:tc>
        <w:tc>
          <w:tcPr>
            <w:tcW w:w="1096" w:type="pct"/>
            <w:vAlign w:val="center"/>
          </w:tcPr>
          <w:p w14:paraId="1115B644" w14:textId="77777777" w:rsidR="00F22A43" w:rsidRPr="006D075E" w:rsidRDefault="00F22A43" w:rsidP="00B15785">
            <w:pPr>
              <w:keepNext/>
              <w:keepLines/>
              <w:jc w:val="center"/>
              <w:rPr>
                <w:rFonts w:ascii="Arial Narrow" w:hAnsi="Arial Narrow"/>
                <w:b/>
                <w:sz w:val="20"/>
                <w:szCs w:val="20"/>
              </w:rPr>
            </w:pPr>
            <w:r w:rsidRPr="006D075E">
              <w:rPr>
                <w:rFonts w:ascii="Arial Narrow" w:hAnsi="Arial Narrow"/>
                <w:b/>
                <w:sz w:val="20"/>
                <w:szCs w:val="20"/>
              </w:rPr>
              <w:t>№.of Rpts</w:t>
            </w:r>
          </w:p>
        </w:tc>
      </w:tr>
      <w:tr w:rsidR="00F22A43" w:rsidRPr="006D075E" w14:paraId="4C310D46" w14:textId="77777777" w:rsidTr="00B15785">
        <w:trPr>
          <w:cantSplit/>
          <w:trHeight w:val="20"/>
        </w:trPr>
        <w:tc>
          <w:tcPr>
            <w:tcW w:w="1716" w:type="pct"/>
            <w:gridSpan w:val="3"/>
            <w:vAlign w:val="center"/>
          </w:tcPr>
          <w:p w14:paraId="1372B2B7" w14:textId="77777777" w:rsidR="00F22A43" w:rsidRPr="006D075E" w:rsidRDefault="00F22A43" w:rsidP="00B15785">
            <w:pPr>
              <w:keepNext/>
              <w:keepLines/>
              <w:rPr>
                <w:rFonts w:ascii="Arial Narrow" w:hAnsi="Arial Narrow" w:cs="Arial Narrow"/>
                <w:sz w:val="20"/>
                <w:szCs w:val="20"/>
              </w:rPr>
            </w:pPr>
            <w:r w:rsidRPr="006D075E">
              <w:rPr>
                <w:rFonts w:ascii="Arial Narrow" w:hAnsi="Arial Narrow"/>
                <w:sz w:val="20"/>
                <w:szCs w:val="20"/>
              </w:rPr>
              <w:t xml:space="preserve">BENDAMUSTINE HYDROCHLORIDE </w:t>
            </w:r>
            <w:r w:rsidRPr="006D075E">
              <w:rPr>
                <w:rFonts w:ascii="Arial Narrow" w:hAnsi="Arial Narrow"/>
                <w:color w:val="FF0000"/>
                <w:sz w:val="20"/>
                <w:szCs w:val="20"/>
              </w:rPr>
              <w:br/>
            </w:r>
            <w:r w:rsidRPr="006D075E">
              <w:rPr>
                <w:rFonts w:ascii="Arial Narrow" w:hAnsi="Arial Narrow" w:cs="Arial Narrow"/>
                <w:sz w:val="20"/>
                <w:szCs w:val="20"/>
              </w:rPr>
              <w:t>Injection</w:t>
            </w:r>
          </w:p>
        </w:tc>
        <w:tc>
          <w:tcPr>
            <w:tcW w:w="1094" w:type="pct"/>
            <w:vAlign w:val="center"/>
          </w:tcPr>
          <w:p w14:paraId="323EC6F6" w14:textId="77777777" w:rsidR="00F22A43" w:rsidRPr="006D075E" w:rsidRDefault="00F22A43" w:rsidP="00B15785">
            <w:pPr>
              <w:keepNext/>
              <w:keepLines/>
              <w:jc w:val="center"/>
              <w:rPr>
                <w:rFonts w:ascii="Arial Narrow" w:hAnsi="Arial Narrow"/>
                <w:sz w:val="20"/>
                <w:szCs w:val="20"/>
              </w:rPr>
            </w:pPr>
            <w:r w:rsidRPr="006D075E">
              <w:rPr>
                <w:rFonts w:ascii="Arial Narrow" w:hAnsi="Arial Narrow"/>
                <w:sz w:val="20"/>
                <w:szCs w:val="20"/>
              </w:rPr>
              <w:t>10760H (Public)</w:t>
            </w:r>
            <w:r w:rsidRPr="006D075E">
              <w:rPr>
                <w:rFonts w:ascii="Arial Narrow" w:hAnsi="Arial Narrow"/>
                <w:sz w:val="20"/>
                <w:szCs w:val="20"/>
              </w:rPr>
              <w:br/>
              <w:t>10763L (Private)</w:t>
            </w:r>
          </w:p>
        </w:tc>
        <w:tc>
          <w:tcPr>
            <w:tcW w:w="1094" w:type="pct"/>
            <w:vAlign w:val="center"/>
          </w:tcPr>
          <w:p w14:paraId="2D6392DA" w14:textId="77777777" w:rsidR="00F22A43" w:rsidRPr="006D075E" w:rsidRDefault="00F22A43" w:rsidP="00B15785">
            <w:pPr>
              <w:keepNext/>
              <w:keepLines/>
              <w:jc w:val="center"/>
              <w:rPr>
                <w:rFonts w:ascii="Arial Narrow" w:hAnsi="Arial Narrow"/>
                <w:sz w:val="20"/>
                <w:szCs w:val="20"/>
              </w:rPr>
            </w:pPr>
            <w:r w:rsidRPr="006D075E">
              <w:rPr>
                <w:rFonts w:ascii="Arial Narrow" w:hAnsi="Arial Narrow"/>
                <w:sz w:val="20"/>
                <w:szCs w:val="20"/>
              </w:rPr>
              <w:t>200 mg</w:t>
            </w:r>
          </w:p>
        </w:tc>
        <w:tc>
          <w:tcPr>
            <w:tcW w:w="1096" w:type="pct"/>
            <w:vAlign w:val="center"/>
          </w:tcPr>
          <w:p w14:paraId="6005739C" w14:textId="77777777" w:rsidR="00F22A43" w:rsidRPr="006D075E" w:rsidRDefault="00F22A43" w:rsidP="00B15785">
            <w:pPr>
              <w:keepNext/>
              <w:keepLines/>
              <w:jc w:val="center"/>
              <w:rPr>
                <w:rFonts w:ascii="Arial Narrow" w:hAnsi="Arial Narrow"/>
                <w:sz w:val="20"/>
                <w:szCs w:val="20"/>
              </w:rPr>
            </w:pPr>
            <w:r w:rsidRPr="006D075E">
              <w:rPr>
                <w:rFonts w:ascii="Arial Narrow" w:hAnsi="Arial Narrow"/>
                <w:sz w:val="20"/>
                <w:szCs w:val="20"/>
              </w:rPr>
              <w:t>11</w:t>
            </w:r>
          </w:p>
        </w:tc>
      </w:tr>
      <w:tr w:rsidR="00F22A43" w:rsidRPr="006D075E" w14:paraId="27586491" w14:textId="77777777" w:rsidTr="00B15785">
        <w:trPr>
          <w:cantSplit/>
          <w:trHeight w:val="20"/>
        </w:trPr>
        <w:tc>
          <w:tcPr>
            <w:tcW w:w="5000" w:type="pct"/>
            <w:gridSpan w:val="6"/>
            <w:vAlign w:val="center"/>
          </w:tcPr>
          <w:p w14:paraId="10D71BF6" w14:textId="77777777" w:rsidR="00F22A43" w:rsidRPr="006D075E" w:rsidRDefault="00F22A43" w:rsidP="00B15785">
            <w:pPr>
              <w:keepNext/>
              <w:keepLines/>
              <w:rPr>
                <w:rFonts w:ascii="Arial Narrow" w:hAnsi="Arial Narrow"/>
                <w:b/>
                <w:sz w:val="20"/>
                <w:szCs w:val="20"/>
              </w:rPr>
            </w:pPr>
            <w:r w:rsidRPr="006D075E">
              <w:rPr>
                <w:rFonts w:ascii="Arial Narrow" w:hAnsi="Arial Narrow"/>
                <w:b/>
                <w:sz w:val="20"/>
                <w:szCs w:val="20"/>
              </w:rPr>
              <w:t xml:space="preserve">Available brands </w:t>
            </w:r>
          </w:p>
        </w:tc>
      </w:tr>
      <w:tr w:rsidR="00F22A43" w:rsidRPr="006D075E" w14:paraId="14979799" w14:textId="77777777" w:rsidTr="00B15785">
        <w:trPr>
          <w:cantSplit/>
          <w:trHeight w:val="20"/>
        </w:trPr>
        <w:tc>
          <w:tcPr>
            <w:tcW w:w="5000" w:type="pct"/>
            <w:gridSpan w:val="6"/>
            <w:vAlign w:val="center"/>
          </w:tcPr>
          <w:p w14:paraId="0516CAFF" w14:textId="77777777" w:rsidR="00F22A43" w:rsidRPr="006D075E" w:rsidRDefault="00F22A43" w:rsidP="00B15785">
            <w:pPr>
              <w:keepNext/>
              <w:keepLines/>
              <w:rPr>
                <w:rFonts w:ascii="Arial Narrow" w:hAnsi="Arial Narrow"/>
                <w:sz w:val="20"/>
                <w:szCs w:val="20"/>
              </w:rPr>
            </w:pPr>
            <w:proofErr w:type="spellStart"/>
            <w:r w:rsidRPr="006D075E">
              <w:rPr>
                <w:rFonts w:ascii="Arial Narrow" w:hAnsi="Arial Narrow"/>
                <w:sz w:val="20"/>
                <w:szCs w:val="20"/>
              </w:rPr>
              <w:t>Bendamustine</w:t>
            </w:r>
            <w:proofErr w:type="spellEnd"/>
            <w:r w:rsidRPr="006D075E">
              <w:rPr>
                <w:rFonts w:ascii="Arial Narrow" w:hAnsi="Arial Narrow"/>
                <w:sz w:val="20"/>
                <w:szCs w:val="20"/>
              </w:rPr>
              <w:t xml:space="preserve"> Juno</w:t>
            </w:r>
          </w:p>
          <w:p w14:paraId="56765494" w14:textId="77777777" w:rsidR="00F22A43" w:rsidRPr="006D075E" w:rsidRDefault="00F22A43" w:rsidP="00B15785">
            <w:pPr>
              <w:keepNext/>
              <w:keepLines/>
              <w:rPr>
                <w:rFonts w:ascii="Arial Narrow" w:hAnsi="Arial Narrow"/>
                <w:sz w:val="20"/>
                <w:szCs w:val="20"/>
              </w:rPr>
            </w:pPr>
            <w:r w:rsidRPr="006D075E">
              <w:rPr>
                <w:rFonts w:ascii="Arial Narrow" w:hAnsi="Arial Narrow"/>
                <w:sz w:val="20"/>
                <w:szCs w:val="20"/>
              </w:rPr>
              <w:t>(</w:t>
            </w:r>
            <w:proofErr w:type="spellStart"/>
            <w:r w:rsidRPr="006D075E">
              <w:rPr>
                <w:rFonts w:ascii="Arial Narrow" w:hAnsi="Arial Narrow"/>
                <w:sz w:val="20"/>
                <w:szCs w:val="20"/>
              </w:rPr>
              <w:t>bendamustine</w:t>
            </w:r>
            <w:proofErr w:type="spellEnd"/>
            <w:r w:rsidRPr="006D075E">
              <w:rPr>
                <w:rFonts w:ascii="Arial Narrow" w:hAnsi="Arial Narrow"/>
                <w:sz w:val="20"/>
                <w:szCs w:val="20"/>
              </w:rPr>
              <w:t xml:space="preserve"> hydrochloride 100 mg injection, 1 vial)</w:t>
            </w:r>
          </w:p>
        </w:tc>
      </w:tr>
      <w:tr w:rsidR="00F22A43" w:rsidRPr="006D075E" w14:paraId="06A72E13" w14:textId="77777777" w:rsidTr="00B15785">
        <w:trPr>
          <w:cantSplit/>
          <w:trHeight w:val="20"/>
        </w:trPr>
        <w:tc>
          <w:tcPr>
            <w:tcW w:w="5000" w:type="pct"/>
            <w:gridSpan w:val="6"/>
            <w:vAlign w:val="center"/>
          </w:tcPr>
          <w:p w14:paraId="169F764B" w14:textId="77777777" w:rsidR="00F22A43" w:rsidRPr="006D075E" w:rsidRDefault="00F22A43" w:rsidP="00B15785">
            <w:pPr>
              <w:keepNext/>
              <w:keepLines/>
              <w:rPr>
                <w:rFonts w:ascii="Arial Narrow" w:hAnsi="Arial Narrow"/>
                <w:sz w:val="20"/>
                <w:szCs w:val="20"/>
              </w:rPr>
            </w:pPr>
            <w:proofErr w:type="spellStart"/>
            <w:r w:rsidRPr="006D075E">
              <w:rPr>
                <w:rFonts w:ascii="Arial Narrow" w:hAnsi="Arial Narrow"/>
                <w:sz w:val="20"/>
                <w:szCs w:val="20"/>
              </w:rPr>
              <w:t>Bendamustine</w:t>
            </w:r>
            <w:proofErr w:type="spellEnd"/>
            <w:r w:rsidRPr="006D075E">
              <w:rPr>
                <w:rFonts w:ascii="Arial Narrow" w:hAnsi="Arial Narrow"/>
                <w:sz w:val="20"/>
                <w:szCs w:val="20"/>
              </w:rPr>
              <w:t xml:space="preserve"> Juno</w:t>
            </w:r>
          </w:p>
          <w:p w14:paraId="7E89C713" w14:textId="77777777" w:rsidR="00F22A43" w:rsidRPr="006D075E" w:rsidRDefault="00F22A43" w:rsidP="00B15785">
            <w:pPr>
              <w:keepNext/>
              <w:keepLines/>
              <w:rPr>
                <w:rFonts w:ascii="Arial Narrow" w:hAnsi="Arial Narrow"/>
                <w:sz w:val="20"/>
                <w:szCs w:val="20"/>
              </w:rPr>
            </w:pPr>
            <w:r w:rsidRPr="006D075E">
              <w:rPr>
                <w:rFonts w:ascii="Arial Narrow" w:hAnsi="Arial Narrow"/>
                <w:sz w:val="20"/>
                <w:szCs w:val="20"/>
              </w:rPr>
              <w:t>(</w:t>
            </w:r>
            <w:proofErr w:type="spellStart"/>
            <w:r w:rsidRPr="006D075E">
              <w:rPr>
                <w:rFonts w:ascii="Arial Narrow" w:hAnsi="Arial Narrow"/>
                <w:sz w:val="20"/>
                <w:szCs w:val="20"/>
              </w:rPr>
              <w:t>bendamustine</w:t>
            </w:r>
            <w:proofErr w:type="spellEnd"/>
            <w:r w:rsidRPr="006D075E">
              <w:rPr>
                <w:rFonts w:ascii="Arial Narrow" w:hAnsi="Arial Narrow"/>
                <w:sz w:val="20"/>
                <w:szCs w:val="20"/>
              </w:rPr>
              <w:t xml:space="preserve"> hydrochloride 100 mg injection, 1 vial)</w:t>
            </w:r>
          </w:p>
        </w:tc>
      </w:tr>
      <w:tr w:rsidR="00F22A43" w:rsidRPr="006D075E" w14:paraId="3671D888" w14:textId="77777777" w:rsidTr="00B15785">
        <w:trPr>
          <w:cantSplit/>
          <w:trHeight w:val="20"/>
        </w:trPr>
        <w:tc>
          <w:tcPr>
            <w:tcW w:w="5000" w:type="pct"/>
            <w:gridSpan w:val="6"/>
          </w:tcPr>
          <w:p w14:paraId="569F4047" w14:textId="77777777" w:rsidR="00F22A43" w:rsidRPr="006D075E" w:rsidRDefault="00F22A43" w:rsidP="00B15785">
            <w:pPr>
              <w:keepNext/>
              <w:keepLines/>
              <w:rPr>
                <w:rFonts w:ascii="Arial Narrow" w:hAnsi="Arial Narrow"/>
                <w:sz w:val="20"/>
                <w:szCs w:val="20"/>
              </w:rPr>
            </w:pPr>
            <w:proofErr w:type="spellStart"/>
            <w:r w:rsidRPr="006D075E">
              <w:rPr>
                <w:rFonts w:ascii="Arial Narrow" w:hAnsi="Arial Narrow"/>
                <w:sz w:val="20"/>
                <w:szCs w:val="20"/>
              </w:rPr>
              <w:t>Bendamustine</w:t>
            </w:r>
            <w:proofErr w:type="spellEnd"/>
            <w:r w:rsidRPr="006D075E">
              <w:rPr>
                <w:rFonts w:ascii="Arial Narrow" w:hAnsi="Arial Narrow"/>
                <w:sz w:val="20"/>
                <w:szCs w:val="20"/>
              </w:rPr>
              <w:t xml:space="preserve"> Sandoz</w:t>
            </w:r>
          </w:p>
        </w:tc>
      </w:tr>
      <w:tr w:rsidR="00F22A43" w:rsidRPr="006D075E" w14:paraId="58BF89D1" w14:textId="77777777" w:rsidTr="00B15785">
        <w:trPr>
          <w:cantSplit/>
          <w:trHeight w:val="20"/>
        </w:trPr>
        <w:tc>
          <w:tcPr>
            <w:tcW w:w="5000" w:type="pct"/>
            <w:gridSpan w:val="6"/>
          </w:tcPr>
          <w:p w14:paraId="488CB318" w14:textId="77777777" w:rsidR="00F22A43" w:rsidRPr="006D075E" w:rsidRDefault="00F22A43" w:rsidP="00B15785">
            <w:pPr>
              <w:keepNext/>
              <w:keepLines/>
              <w:rPr>
                <w:rFonts w:ascii="Arial Narrow" w:hAnsi="Arial Narrow"/>
                <w:sz w:val="20"/>
                <w:szCs w:val="20"/>
              </w:rPr>
            </w:pPr>
            <w:r w:rsidRPr="006D075E">
              <w:rPr>
                <w:rFonts w:ascii="Arial Narrow" w:hAnsi="Arial Narrow"/>
                <w:sz w:val="20"/>
                <w:szCs w:val="20"/>
              </w:rPr>
              <w:t>(</w:t>
            </w:r>
            <w:proofErr w:type="spellStart"/>
            <w:r w:rsidRPr="006D075E">
              <w:rPr>
                <w:rFonts w:ascii="Arial Narrow" w:hAnsi="Arial Narrow"/>
                <w:sz w:val="20"/>
                <w:szCs w:val="20"/>
              </w:rPr>
              <w:t>bendamustine</w:t>
            </w:r>
            <w:proofErr w:type="spellEnd"/>
            <w:r w:rsidRPr="006D075E">
              <w:rPr>
                <w:rFonts w:ascii="Arial Narrow" w:hAnsi="Arial Narrow"/>
                <w:sz w:val="20"/>
                <w:szCs w:val="20"/>
              </w:rPr>
              <w:t xml:space="preserve"> hydrochloride 25 mg injection, 1 vial)</w:t>
            </w:r>
          </w:p>
        </w:tc>
      </w:tr>
      <w:tr w:rsidR="00F22A43" w:rsidRPr="006D075E" w14:paraId="574A536D" w14:textId="77777777" w:rsidTr="00B15785">
        <w:trPr>
          <w:cantSplit/>
          <w:trHeight w:val="20"/>
        </w:trPr>
        <w:tc>
          <w:tcPr>
            <w:tcW w:w="5000" w:type="pct"/>
            <w:gridSpan w:val="6"/>
          </w:tcPr>
          <w:p w14:paraId="4716F88F" w14:textId="77777777" w:rsidR="00F22A43" w:rsidRPr="006D075E" w:rsidRDefault="00F22A43" w:rsidP="00B15785">
            <w:pPr>
              <w:keepNext/>
              <w:keepLines/>
              <w:rPr>
                <w:rFonts w:ascii="Arial Narrow" w:hAnsi="Arial Narrow"/>
                <w:sz w:val="20"/>
                <w:szCs w:val="20"/>
              </w:rPr>
            </w:pPr>
            <w:proofErr w:type="spellStart"/>
            <w:r w:rsidRPr="006D075E">
              <w:rPr>
                <w:rFonts w:ascii="Arial Narrow" w:hAnsi="Arial Narrow"/>
                <w:sz w:val="20"/>
                <w:szCs w:val="20"/>
              </w:rPr>
              <w:t>Bendamustine</w:t>
            </w:r>
            <w:proofErr w:type="spellEnd"/>
            <w:r w:rsidRPr="006D075E">
              <w:rPr>
                <w:rFonts w:ascii="Arial Narrow" w:hAnsi="Arial Narrow"/>
                <w:sz w:val="20"/>
                <w:szCs w:val="20"/>
              </w:rPr>
              <w:t xml:space="preserve"> Sandoz</w:t>
            </w:r>
          </w:p>
        </w:tc>
      </w:tr>
      <w:tr w:rsidR="00F22A43" w:rsidRPr="006D075E" w14:paraId="1E45A485" w14:textId="77777777" w:rsidTr="00B15785">
        <w:trPr>
          <w:cantSplit/>
          <w:trHeight w:val="20"/>
        </w:trPr>
        <w:tc>
          <w:tcPr>
            <w:tcW w:w="5000" w:type="pct"/>
            <w:gridSpan w:val="6"/>
          </w:tcPr>
          <w:p w14:paraId="596F4F64" w14:textId="77777777" w:rsidR="00F22A43" w:rsidRPr="006D075E" w:rsidRDefault="00F22A43" w:rsidP="00B15785">
            <w:pPr>
              <w:keepNext/>
              <w:keepLines/>
              <w:rPr>
                <w:rFonts w:ascii="Arial Narrow" w:hAnsi="Arial Narrow"/>
                <w:sz w:val="20"/>
                <w:szCs w:val="20"/>
              </w:rPr>
            </w:pPr>
            <w:r w:rsidRPr="006D075E">
              <w:rPr>
                <w:rFonts w:ascii="Arial Narrow" w:hAnsi="Arial Narrow"/>
                <w:sz w:val="20"/>
                <w:szCs w:val="20"/>
              </w:rPr>
              <w:t>(</w:t>
            </w:r>
            <w:proofErr w:type="spellStart"/>
            <w:r w:rsidRPr="006D075E">
              <w:rPr>
                <w:rFonts w:ascii="Arial Narrow" w:hAnsi="Arial Narrow"/>
                <w:sz w:val="20"/>
                <w:szCs w:val="20"/>
              </w:rPr>
              <w:t>bendamustine</w:t>
            </w:r>
            <w:proofErr w:type="spellEnd"/>
            <w:r w:rsidRPr="006D075E">
              <w:rPr>
                <w:rFonts w:ascii="Arial Narrow" w:hAnsi="Arial Narrow"/>
                <w:sz w:val="20"/>
                <w:szCs w:val="20"/>
              </w:rPr>
              <w:t xml:space="preserve"> hydrochloride 100 mg injection, 1 vial)</w:t>
            </w:r>
          </w:p>
        </w:tc>
      </w:tr>
      <w:tr w:rsidR="00F22A43" w:rsidRPr="006D075E" w14:paraId="592BF8BA" w14:textId="77777777" w:rsidTr="00B15785">
        <w:trPr>
          <w:cantSplit/>
          <w:trHeight w:val="20"/>
        </w:trPr>
        <w:tc>
          <w:tcPr>
            <w:tcW w:w="5000" w:type="pct"/>
            <w:gridSpan w:val="6"/>
            <w:vAlign w:val="center"/>
          </w:tcPr>
          <w:p w14:paraId="70C53916" w14:textId="77777777" w:rsidR="00F22A43" w:rsidRPr="006D075E" w:rsidRDefault="00F22A43" w:rsidP="00B15785">
            <w:pPr>
              <w:keepNext/>
              <w:keepLines/>
              <w:rPr>
                <w:rFonts w:ascii="Arial Narrow" w:hAnsi="Arial Narrow"/>
                <w:color w:val="FF0000"/>
                <w:sz w:val="20"/>
                <w:szCs w:val="20"/>
              </w:rPr>
            </w:pPr>
          </w:p>
        </w:tc>
      </w:tr>
      <w:tr w:rsidR="00F22A43" w:rsidRPr="006D075E" w14:paraId="0782693B" w14:textId="77777777" w:rsidTr="00B15785">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06F1DB9A" w14:textId="77777777" w:rsidR="00F22A43" w:rsidRPr="006D075E" w:rsidRDefault="00F22A43" w:rsidP="00B15785">
            <w:pPr>
              <w:keepNext/>
              <w:keepLines/>
              <w:rPr>
                <w:rFonts w:ascii="Arial Narrow" w:hAnsi="Arial Narrow"/>
                <w:b/>
                <w:sz w:val="20"/>
                <w:szCs w:val="20"/>
              </w:rPr>
            </w:pPr>
            <w:r w:rsidRPr="006D075E">
              <w:rPr>
                <w:rFonts w:ascii="Arial Narrow" w:hAnsi="Arial Narrow"/>
                <w:b/>
                <w:sz w:val="20"/>
                <w:szCs w:val="20"/>
              </w:rPr>
              <w:t xml:space="preserve">Restriction Summary [7980] / Treatment of Concept: [7972] </w:t>
            </w:r>
          </w:p>
        </w:tc>
      </w:tr>
      <w:tr w:rsidR="00F22A43" w:rsidRPr="006D075E" w14:paraId="5613EE9A" w14:textId="77777777" w:rsidTr="00B15785">
        <w:tblPrEx>
          <w:tblCellMar>
            <w:top w:w="15" w:type="dxa"/>
            <w:bottom w:w="15" w:type="dxa"/>
          </w:tblCellMar>
          <w:tblLook w:val="04A0" w:firstRow="1" w:lastRow="0" w:firstColumn="1" w:lastColumn="0" w:noHBand="0" w:noVBand="1"/>
        </w:tblPrEx>
        <w:trPr>
          <w:trHeight w:val="20"/>
        </w:trPr>
        <w:tc>
          <w:tcPr>
            <w:tcW w:w="705" w:type="pct"/>
            <w:gridSpan w:val="2"/>
            <w:vMerge w:val="restart"/>
            <w:tcBorders>
              <w:top w:val="single" w:sz="4" w:space="0" w:color="auto"/>
              <w:left w:val="single" w:sz="4" w:space="0" w:color="auto"/>
              <w:right w:val="single" w:sz="4" w:space="0" w:color="auto"/>
            </w:tcBorders>
          </w:tcPr>
          <w:p w14:paraId="310BBE72" w14:textId="77777777" w:rsidR="00F22A43" w:rsidRPr="006D075E" w:rsidRDefault="00F22A43" w:rsidP="00B15785">
            <w:pPr>
              <w:keepNext/>
              <w:keepLines/>
              <w:jc w:val="center"/>
              <w:rPr>
                <w:rFonts w:ascii="Arial Narrow" w:hAnsi="Arial Narrow"/>
                <w:b/>
                <w:sz w:val="20"/>
                <w:szCs w:val="20"/>
              </w:rPr>
            </w:pPr>
            <w:r w:rsidRPr="006D075E">
              <w:rPr>
                <w:rFonts w:ascii="Arial Narrow" w:hAnsi="Arial Narrow"/>
                <w:b/>
                <w:sz w:val="20"/>
                <w:szCs w:val="20"/>
              </w:rPr>
              <w:t xml:space="preserve">Concept ID </w:t>
            </w:r>
            <w:r w:rsidRPr="006D075E">
              <w:rPr>
                <w:rFonts w:ascii="Arial Narrow" w:hAnsi="Arial Narrow"/>
                <w:sz w:val="20"/>
                <w:szCs w:val="20"/>
              </w:rPr>
              <w:t>(for internal Dept. use)</w:t>
            </w: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2A95F63B" w14:textId="77777777" w:rsidR="00F22A43" w:rsidRPr="006D075E" w:rsidRDefault="00F22A43" w:rsidP="00B15785">
            <w:pPr>
              <w:keepNext/>
              <w:keepLines/>
              <w:rPr>
                <w:rFonts w:ascii="Arial Narrow" w:hAnsi="Arial Narrow"/>
                <w:sz w:val="20"/>
                <w:szCs w:val="20"/>
              </w:rPr>
            </w:pPr>
            <w:r w:rsidRPr="006D075E">
              <w:rPr>
                <w:rFonts w:ascii="Arial Narrow" w:hAnsi="Arial Narrow"/>
                <w:b/>
                <w:sz w:val="20"/>
                <w:szCs w:val="20"/>
              </w:rPr>
              <w:t>Category / Program:</w:t>
            </w:r>
            <w:r w:rsidRPr="006D075E">
              <w:rPr>
                <w:rFonts w:ascii="Arial Narrow" w:hAnsi="Arial Narrow"/>
                <w:color w:val="FF0000"/>
                <w:sz w:val="20"/>
                <w:szCs w:val="20"/>
              </w:rPr>
              <w:t xml:space="preserve"> </w:t>
            </w:r>
            <w:r w:rsidRPr="006D075E">
              <w:rPr>
                <w:rFonts w:ascii="Arial Narrow" w:eastAsia="Calibri" w:hAnsi="Arial Narrow"/>
                <w:sz w:val="20"/>
                <w:szCs w:val="20"/>
              </w:rPr>
              <w:fldChar w:fldCharType="begin">
                <w:ffData>
                  <w:name w:val="Check1"/>
                  <w:enabled/>
                  <w:calcOnExit w:val="0"/>
                  <w:checkBox>
                    <w:sizeAuto/>
                    <w:default w:val="1"/>
                  </w:checkBox>
                </w:ffData>
              </w:fldChar>
            </w:r>
            <w:r w:rsidRPr="006D075E">
              <w:rPr>
                <w:rFonts w:ascii="Arial Narrow" w:eastAsia="Calibri" w:hAnsi="Arial Narrow"/>
                <w:sz w:val="20"/>
                <w:szCs w:val="20"/>
              </w:rPr>
              <w:instrText xml:space="preserve"> FORMCHECKBOX </w:instrText>
            </w:r>
            <w:r w:rsidRPr="006D075E">
              <w:rPr>
                <w:rFonts w:ascii="Arial Narrow" w:eastAsia="Calibri" w:hAnsi="Arial Narrow"/>
                <w:sz w:val="20"/>
                <w:szCs w:val="20"/>
              </w:rPr>
            </w:r>
            <w:r w:rsidRPr="006D075E">
              <w:rPr>
                <w:rFonts w:ascii="Arial Narrow" w:eastAsia="Calibri" w:hAnsi="Arial Narrow"/>
                <w:sz w:val="20"/>
                <w:szCs w:val="20"/>
              </w:rPr>
              <w:fldChar w:fldCharType="separate"/>
            </w:r>
            <w:r w:rsidRPr="006D075E">
              <w:rPr>
                <w:rFonts w:ascii="Arial Narrow" w:eastAsia="Calibri" w:hAnsi="Arial Narrow"/>
                <w:sz w:val="20"/>
                <w:szCs w:val="20"/>
              </w:rPr>
              <w:fldChar w:fldCharType="end"/>
            </w:r>
            <w:r w:rsidRPr="006D075E">
              <w:rPr>
                <w:rFonts w:ascii="Arial Narrow" w:eastAsia="Calibri" w:hAnsi="Arial Narrow"/>
                <w:sz w:val="20"/>
                <w:szCs w:val="20"/>
              </w:rPr>
              <w:t xml:space="preserve"> GENERAL - General Schedule (Code GE) </w:t>
            </w:r>
          </w:p>
        </w:tc>
      </w:tr>
      <w:tr w:rsidR="00F22A43" w:rsidRPr="006D075E" w14:paraId="71399F8F" w14:textId="77777777" w:rsidTr="00B15785">
        <w:tblPrEx>
          <w:tblCellMar>
            <w:top w:w="15" w:type="dxa"/>
            <w:bottom w:w="15" w:type="dxa"/>
          </w:tblCellMar>
          <w:tblLook w:val="04A0" w:firstRow="1" w:lastRow="0" w:firstColumn="1" w:lastColumn="0" w:noHBand="0" w:noVBand="1"/>
        </w:tblPrEx>
        <w:trPr>
          <w:trHeight w:val="20"/>
        </w:trPr>
        <w:tc>
          <w:tcPr>
            <w:tcW w:w="705" w:type="pct"/>
            <w:gridSpan w:val="2"/>
            <w:vMerge/>
            <w:tcBorders>
              <w:left w:val="single" w:sz="4" w:space="0" w:color="auto"/>
              <w:right w:val="single" w:sz="4" w:space="0" w:color="auto"/>
            </w:tcBorders>
          </w:tcPr>
          <w:p w14:paraId="55B57A7D" w14:textId="77777777" w:rsidR="00F22A43" w:rsidRPr="006D075E" w:rsidRDefault="00F22A43" w:rsidP="00B15785">
            <w:pPr>
              <w:keepNext/>
              <w:keepLines/>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2E28E082" w14:textId="77777777" w:rsidR="00F22A43" w:rsidRPr="006D075E" w:rsidRDefault="00F22A43" w:rsidP="00B15785">
            <w:pPr>
              <w:keepNext/>
              <w:keepLines/>
            </w:pPr>
            <w:r w:rsidRPr="006D075E">
              <w:rPr>
                <w:rFonts w:ascii="Arial Narrow" w:hAnsi="Arial Narrow"/>
                <w:b/>
                <w:sz w:val="20"/>
                <w:szCs w:val="20"/>
              </w:rPr>
              <w:t xml:space="preserve">Prescriber type: </w:t>
            </w:r>
            <w:r w:rsidRPr="006D075E">
              <w:rPr>
                <w:rFonts w:ascii="Arial Narrow" w:hAnsi="Arial Narrow"/>
                <w:sz w:val="20"/>
                <w:szCs w:val="20"/>
              </w:rPr>
              <w:fldChar w:fldCharType="begin">
                <w:ffData>
                  <w:name w:val=""/>
                  <w:enabled/>
                  <w:calcOnExit w:val="0"/>
                  <w:checkBox>
                    <w:sizeAuto/>
                    <w:default w:val="1"/>
                  </w:checkBox>
                </w:ffData>
              </w:fldChar>
            </w:r>
            <w:r w:rsidRPr="006D075E">
              <w:rPr>
                <w:rFonts w:ascii="Arial Narrow" w:hAnsi="Arial Narrow"/>
                <w:sz w:val="20"/>
                <w:szCs w:val="20"/>
              </w:rPr>
              <w:instrText xml:space="preserve"> FORMCHECKBOX </w:instrText>
            </w:r>
            <w:r w:rsidRPr="006D075E">
              <w:rPr>
                <w:rFonts w:ascii="Arial Narrow" w:hAnsi="Arial Narrow"/>
                <w:sz w:val="20"/>
                <w:szCs w:val="20"/>
              </w:rPr>
            </w:r>
            <w:r w:rsidRPr="006D075E">
              <w:rPr>
                <w:rFonts w:ascii="Arial Narrow" w:hAnsi="Arial Narrow"/>
                <w:sz w:val="20"/>
                <w:szCs w:val="20"/>
              </w:rPr>
              <w:fldChar w:fldCharType="separate"/>
            </w:r>
            <w:r w:rsidRPr="006D075E">
              <w:rPr>
                <w:rFonts w:ascii="Arial Narrow" w:hAnsi="Arial Narrow"/>
                <w:sz w:val="20"/>
                <w:szCs w:val="20"/>
              </w:rPr>
              <w:fldChar w:fldCharType="end"/>
            </w:r>
            <w:r w:rsidRPr="006D075E">
              <w:rPr>
                <w:rFonts w:ascii="Arial Narrow" w:hAnsi="Arial Narrow"/>
                <w:sz w:val="20"/>
                <w:szCs w:val="20"/>
              </w:rPr>
              <w:t xml:space="preserve">Medical Practitioners </w:t>
            </w:r>
          </w:p>
        </w:tc>
      </w:tr>
      <w:tr w:rsidR="00F22A43" w:rsidRPr="006D075E" w14:paraId="783B029B" w14:textId="77777777" w:rsidTr="00B15785">
        <w:tblPrEx>
          <w:tblCellMar>
            <w:top w:w="15" w:type="dxa"/>
            <w:bottom w:w="15" w:type="dxa"/>
          </w:tblCellMar>
          <w:tblLook w:val="04A0" w:firstRow="1" w:lastRow="0" w:firstColumn="1" w:lastColumn="0" w:noHBand="0" w:noVBand="1"/>
        </w:tblPrEx>
        <w:trPr>
          <w:trHeight w:val="20"/>
        </w:trPr>
        <w:tc>
          <w:tcPr>
            <w:tcW w:w="705" w:type="pct"/>
            <w:gridSpan w:val="2"/>
            <w:vMerge/>
            <w:tcBorders>
              <w:left w:val="single" w:sz="4" w:space="0" w:color="auto"/>
              <w:right w:val="single" w:sz="4" w:space="0" w:color="auto"/>
            </w:tcBorders>
          </w:tcPr>
          <w:p w14:paraId="4AAB23F7" w14:textId="77777777" w:rsidR="00F22A43" w:rsidRPr="006D075E" w:rsidRDefault="00F22A43" w:rsidP="00B15785">
            <w:pPr>
              <w:keepNext/>
              <w:keepLines/>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228F8DAE" w14:textId="77777777" w:rsidR="00F22A43" w:rsidRPr="006D075E" w:rsidRDefault="00F22A43" w:rsidP="00B15785">
            <w:pPr>
              <w:keepNext/>
              <w:keepLines/>
              <w:rPr>
                <w:rFonts w:ascii="Arial Narrow" w:eastAsia="Calibri" w:hAnsi="Arial Narrow"/>
                <w:color w:val="FF0000"/>
                <w:sz w:val="20"/>
                <w:szCs w:val="20"/>
              </w:rPr>
            </w:pPr>
            <w:r w:rsidRPr="006D075E">
              <w:rPr>
                <w:rFonts w:ascii="Arial Narrow" w:hAnsi="Arial Narrow"/>
                <w:b/>
                <w:sz w:val="20"/>
                <w:szCs w:val="20"/>
              </w:rPr>
              <w:t xml:space="preserve">Restriction type: </w:t>
            </w:r>
            <w:r w:rsidRPr="006D075E">
              <w:rPr>
                <w:rFonts w:ascii="Arial Narrow" w:eastAsia="Calibri" w:hAnsi="Arial Narrow"/>
                <w:sz w:val="20"/>
                <w:szCs w:val="20"/>
              </w:rPr>
              <w:fldChar w:fldCharType="begin">
                <w:ffData>
                  <w:name w:val="Check3"/>
                  <w:enabled/>
                  <w:calcOnExit w:val="0"/>
                  <w:checkBox>
                    <w:sizeAuto/>
                    <w:default w:val="1"/>
                  </w:checkBox>
                </w:ffData>
              </w:fldChar>
            </w:r>
            <w:r w:rsidRPr="006D075E">
              <w:rPr>
                <w:rFonts w:ascii="Arial Narrow" w:eastAsia="Calibri" w:hAnsi="Arial Narrow"/>
                <w:sz w:val="20"/>
                <w:szCs w:val="20"/>
              </w:rPr>
              <w:instrText xml:space="preserve"> FORMCHECKBOX </w:instrText>
            </w:r>
            <w:r w:rsidRPr="006D075E">
              <w:rPr>
                <w:rFonts w:ascii="Arial Narrow" w:eastAsia="Calibri" w:hAnsi="Arial Narrow"/>
                <w:sz w:val="20"/>
                <w:szCs w:val="20"/>
              </w:rPr>
            </w:r>
            <w:r w:rsidRPr="006D075E">
              <w:rPr>
                <w:rFonts w:ascii="Arial Narrow" w:eastAsia="Calibri" w:hAnsi="Arial Narrow"/>
                <w:sz w:val="20"/>
                <w:szCs w:val="20"/>
              </w:rPr>
              <w:fldChar w:fldCharType="separate"/>
            </w:r>
            <w:r w:rsidRPr="006D075E">
              <w:rPr>
                <w:rFonts w:ascii="Arial Narrow" w:eastAsia="Calibri" w:hAnsi="Arial Narrow"/>
                <w:sz w:val="20"/>
                <w:szCs w:val="20"/>
              </w:rPr>
              <w:fldChar w:fldCharType="end"/>
            </w:r>
            <w:r w:rsidRPr="006D075E">
              <w:rPr>
                <w:rFonts w:ascii="Arial Narrow" w:eastAsia="Calibri" w:hAnsi="Arial Narrow"/>
                <w:sz w:val="20"/>
                <w:szCs w:val="20"/>
              </w:rPr>
              <w:t xml:space="preserve">Authority Required (STREAMLINED) </w:t>
            </w:r>
          </w:p>
        </w:tc>
      </w:tr>
      <w:tr w:rsidR="00F22A43" w:rsidRPr="006D075E" w14:paraId="04406C80" w14:textId="77777777" w:rsidTr="00B15785">
        <w:tblPrEx>
          <w:tblCellMar>
            <w:top w:w="15" w:type="dxa"/>
            <w:bottom w:w="15" w:type="dxa"/>
          </w:tblCellMar>
          <w:tblLook w:val="04A0" w:firstRow="1" w:lastRow="0" w:firstColumn="1" w:lastColumn="0" w:noHBand="0" w:noVBand="1"/>
        </w:tblPrEx>
        <w:trPr>
          <w:trHeight w:val="20"/>
        </w:trPr>
        <w:tc>
          <w:tcPr>
            <w:tcW w:w="270" w:type="pct"/>
            <w:tcBorders>
              <w:left w:val="single" w:sz="4" w:space="0" w:color="auto"/>
              <w:right w:val="single" w:sz="4" w:space="0" w:color="auto"/>
            </w:tcBorders>
            <w:textDirection w:val="btLr"/>
            <w:vAlign w:val="center"/>
          </w:tcPr>
          <w:p w14:paraId="0ADFEF92" w14:textId="77777777" w:rsidR="00F22A43" w:rsidRPr="006D075E" w:rsidRDefault="00F22A43" w:rsidP="00B15785">
            <w:pPr>
              <w:keepNext/>
              <w:keepLines/>
              <w:jc w:val="center"/>
              <w:rPr>
                <w:rFonts w:ascii="Arial Narrow" w:hAnsi="Arial Narrow"/>
                <w:sz w:val="20"/>
                <w:szCs w:val="20"/>
              </w:rPr>
            </w:pPr>
            <w:r w:rsidRPr="006D075E">
              <w:rPr>
                <w:rFonts w:ascii="Arial Narrow" w:hAnsi="Arial Narrow"/>
                <w:sz w:val="20"/>
                <w:szCs w:val="20"/>
              </w:rPr>
              <w:t>Prescribing rule level</w:t>
            </w:r>
          </w:p>
        </w:tc>
        <w:tc>
          <w:tcPr>
            <w:tcW w:w="435" w:type="pct"/>
            <w:tcBorders>
              <w:top w:val="single" w:sz="4" w:space="0" w:color="auto"/>
              <w:left w:val="nil"/>
              <w:bottom w:val="single" w:sz="4" w:space="0" w:color="auto"/>
              <w:right w:val="single" w:sz="4" w:space="0" w:color="auto"/>
            </w:tcBorders>
          </w:tcPr>
          <w:p w14:paraId="4BF65FDF" w14:textId="48FFBEF6" w:rsidR="00F22A43" w:rsidRPr="006D075E" w:rsidRDefault="00F22A43" w:rsidP="00B15785">
            <w:pPr>
              <w:keepNext/>
              <w:keepLines/>
              <w:jc w:val="center"/>
              <w:rPr>
                <w:rFonts w:ascii="Arial Narrow" w:hAnsi="Arial Narrow"/>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Pr>
          <w:p w14:paraId="45C8D1D1" w14:textId="77777777" w:rsidR="00F22A43" w:rsidRPr="006D075E" w:rsidRDefault="00F22A43" w:rsidP="00B15785">
            <w:pPr>
              <w:pStyle w:val="NormalWeb"/>
              <w:keepNext/>
              <w:keepLines/>
              <w:spacing w:before="0" w:beforeAutospacing="0" w:after="0" w:afterAutospacing="0"/>
              <w:textAlignment w:val="baseline"/>
              <w:rPr>
                <w:rFonts w:ascii="Arial Narrow" w:hAnsi="Arial Narrow" w:cs="Open Sans"/>
                <w:color w:val="333333"/>
                <w:sz w:val="20"/>
                <w:szCs w:val="20"/>
              </w:rPr>
            </w:pPr>
            <w:r w:rsidRPr="006D075E">
              <w:rPr>
                <w:rStyle w:val="Strong"/>
                <w:rFonts w:ascii="Arial Narrow" w:hAnsi="Arial Narrow" w:cs="Open Sans"/>
                <w:color w:val="333333"/>
                <w:sz w:val="20"/>
                <w:szCs w:val="20"/>
                <w:bdr w:val="none" w:sz="0" w:space="0" w:color="auto" w:frame="1"/>
              </w:rPr>
              <w:t>Administrative Advice:</w:t>
            </w:r>
          </w:p>
          <w:p w14:paraId="442616AB" w14:textId="77777777" w:rsidR="00F22A43" w:rsidRPr="006D075E" w:rsidRDefault="00F22A43" w:rsidP="00B15785">
            <w:pPr>
              <w:keepNext/>
              <w:keepLines/>
              <w:rPr>
                <w:rFonts w:ascii="Arial Narrow" w:hAnsi="Arial Narrow"/>
                <w:color w:val="333333"/>
                <w:sz w:val="20"/>
                <w:szCs w:val="20"/>
              </w:rPr>
            </w:pPr>
            <w:r w:rsidRPr="006D075E">
              <w:rPr>
                <w:rFonts w:ascii="Arial Narrow" w:hAnsi="Arial Narrow" w:cs="Open Sans"/>
                <w:color w:val="333333"/>
                <w:sz w:val="20"/>
                <w:szCs w:val="20"/>
              </w:rPr>
              <w:t>No increase in the maximum number of repeats may be authorised.</w:t>
            </w:r>
          </w:p>
        </w:tc>
      </w:tr>
      <w:tr w:rsidR="00F22A43" w:rsidRPr="006D075E" w14:paraId="384DD462"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vMerge w:val="restart"/>
            <w:vAlign w:val="center"/>
          </w:tcPr>
          <w:p w14:paraId="368F1DD4" w14:textId="77777777" w:rsidR="00F22A43" w:rsidRPr="006D075E" w:rsidRDefault="00F22A43" w:rsidP="00B15785">
            <w:pPr>
              <w:keepNext/>
              <w:keepLines/>
              <w:jc w:val="center"/>
              <w:rPr>
                <w:rFonts w:ascii="Arial Narrow" w:hAnsi="Arial Narrow"/>
                <w:color w:val="333333"/>
                <w:sz w:val="20"/>
                <w:szCs w:val="20"/>
              </w:rPr>
            </w:pPr>
          </w:p>
        </w:tc>
        <w:tc>
          <w:tcPr>
            <w:tcW w:w="4295" w:type="pct"/>
            <w:gridSpan w:val="4"/>
            <w:vAlign w:val="center"/>
          </w:tcPr>
          <w:p w14:paraId="2B7811C1" w14:textId="77777777" w:rsidR="00F22A43" w:rsidRPr="006D075E" w:rsidRDefault="00F22A43" w:rsidP="00B15785">
            <w:pPr>
              <w:keepNext/>
              <w:keepLines/>
              <w:rPr>
                <w:rFonts w:ascii="Arial Narrow" w:hAnsi="Arial Narrow"/>
                <w:bCs/>
                <w:sz w:val="20"/>
                <w:szCs w:val="20"/>
              </w:rPr>
            </w:pPr>
            <w:proofErr w:type="spellStart"/>
            <w:r w:rsidRPr="006D075E">
              <w:rPr>
                <w:rFonts w:ascii="Arial Narrow" w:hAnsi="Arial Narrow"/>
                <w:b/>
                <w:bCs/>
                <w:color w:val="BFBFBF" w:themeColor="background1" w:themeShade="BF"/>
                <w:sz w:val="20"/>
                <w:szCs w:val="20"/>
              </w:rPr>
              <w:t>Episodicity</w:t>
            </w:r>
            <w:proofErr w:type="spellEnd"/>
            <w:r w:rsidRPr="006D075E">
              <w:rPr>
                <w:rFonts w:ascii="Arial Narrow" w:hAnsi="Arial Narrow"/>
                <w:b/>
                <w:bCs/>
                <w:color w:val="BFBFBF" w:themeColor="background1" w:themeShade="BF"/>
                <w:sz w:val="20"/>
                <w:szCs w:val="20"/>
              </w:rPr>
              <w:t xml:space="preserve">: </w:t>
            </w:r>
            <w:r w:rsidRPr="006D075E">
              <w:rPr>
                <w:rFonts w:ascii="Arial Narrow" w:hAnsi="Arial Narrow"/>
                <w:bCs/>
                <w:color w:val="BFBFBF" w:themeColor="background1" w:themeShade="BF"/>
                <w:sz w:val="20"/>
                <w:szCs w:val="20"/>
              </w:rPr>
              <w:t xml:space="preserve">[blank] </w:t>
            </w:r>
          </w:p>
        </w:tc>
      </w:tr>
      <w:tr w:rsidR="00F22A43" w:rsidRPr="006D075E" w14:paraId="42FDC7A3"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1CD98114" w14:textId="77777777" w:rsidR="00F22A43" w:rsidRPr="006D075E" w:rsidRDefault="00F22A43" w:rsidP="00B15785">
            <w:pPr>
              <w:keepNext/>
              <w:keepLines/>
              <w:jc w:val="center"/>
              <w:rPr>
                <w:rFonts w:ascii="Arial Narrow" w:hAnsi="Arial Narrow"/>
                <w:color w:val="333333"/>
                <w:sz w:val="20"/>
                <w:szCs w:val="20"/>
              </w:rPr>
            </w:pPr>
          </w:p>
        </w:tc>
        <w:tc>
          <w:tcPr>
            <w:tcW w:w="4295" w:type="pct"/>
            <w:gridSpan w:val="4"/>
            <w:vAlign w:val="center"/>
          </w:tcPr>
          <w:p w14:paraId="5F39AF0F" w14:textId="77777777" w:rsidR="00F22A43" w:rsidRPr="006D075E" w:rsidRDefault="00F22A43" w:rsidP="00B15785">
            <w:pPr>
              <w:keepNext/>
              <w:keepLines/>
              <w:rPr>
                <w:rFonts w:ascii="Arial Narrow" w:hAnsi="Arial Narrow"/>
                <w:b/>
                <w:bCs/>
                <w:sz w:val="20"/>
                <w:szCs w:val="20"/>
              </w:rPr>
            </w:pPr>
            <w:r w:rsidRPr="006D075E">
              <w:rPr>
                <w:rFonts w:ascii="Arial Narrow" w:hAnsi="Arial Narrow"/>
                <w:b/>
                <w:bCs/>
                <w:sz w:val="20"/>
                <w:szCs w:val="20"/>
              </w:rPr>
              <w:t xml:space="preserve">Severity: </w:t>
            </w:r>
            <w:r w:rsidRPr="006D075E">
              <w:rPr>
                <w:rFonts w:ascii="Arial Narrow" w:hAnsi="Arial Narrow"/>
                <w:bCs/>
                <w:color w:val="BFBFBF" w:themeColor="background1" w:themeShade="BF"/>
                <w:sz w:val="20"/>
                <w:szCs w:val="20"/>
              </w:rPr>
              <w:t>[blank]</w:t>
            </w:r>
          </w:p>
        </w:tc>
      </w:tr>
      <w:tr w:rsidR="00F22A43" w:rsidRPr="006D075E" w14:paraId="0087C30F"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1CE0955A" w14:textId="77777777" w:rsidR="00F22A43" w:rsidRPr="006D075E" w:rsidRDefault="00F22A43" w:rsidP="00B15785">
            <w:pPr>
              <w:keepNext/>
              <w:keepLines/>
              <w:jc w:val="center"/>
              <w:rPr>
                <w:rFonts w:ascii="Arial Narrow" w:hAnsi="Arial Narrow"/>
                <w:color w:val="333333"/>
                <w:sz w:val="20"/>
                <w:szCs w:val="20"/>
              </w:rPr>
            </w:pPr>
          </w:p>
        </w:tc>
        <w:tc>
          <w:tcPr>
            <w:tcW w:w="4295" w:type="pct"/>
            <w:gridSpan w:val="4"/>
            <w:vAlign w:val="center"/>
          </w:tcPr>
          <w:p w14:paraId="6ECE6F11" w14:textId="77777777" w:rsidR="00F22A43" w:rsidRPr="006D075E" w:rsidRDefault="00F22A43" w:rsidP="00B15785">
            <w:pPr>
              <w:keepNext/>
              <w:keepLines/>
              <w:rPr>
                <w:rFonts w:ascii="Arial Narrow" w:hAnsi="Arial Narrow"/>
                <w:b/>
                <w:bCs/>
                <w:color w:val="333333"/>
                <w:sz w:val="20"/>
                <w:szCs w:val="20"/>
              </w:rPr>
            </w:pPr>
            <w:r w:rsidRPr="006D075E">
              <w:rPr>
                <w:rFonts w:ascii="Arial Narrow" w:hAnsi="Arial Narrow"/>
                <w:b/>
                <w:bCs/>
                <w:color w:val="333333"/>
                <w:sz w:val="20"/>
                <w:szCs w:val="20"/>
              </w:rPr>
              <w:t xml:space="preserve">Condition: </w:t>
            </w:r>
            <w:r w:rsidRPr="006D075E">
              <w:rPr>
                <w:rFonts w:ascii="Arial Narrow" w:hAnsi="Arial Narrow"/>
                <w:bCs/>
                <w:color w:val="BFBFBF" w:themeColor="background1" w:themeShade="BF"/>
                <w:sz w:val="20"/>
                <w:szCs w:val="20"/>
              </w:rPr>
              <w:t>[blank]</w:t>
            </w:r>
          </w:p>
        </w:tc>
      </w:tr>
      <w:tr w:rsidR="00F22A43" w:rsidRPr="006D075E" w14:paraId="37E36948" w14:textId="77777777" w:rsidTr="00F22A4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352CEDE" w14:textId="164DB02C" w:rsidR="00F22A43" w:rsidRPr="006D075E" w:rsidRDefault="00F22A43" w:rsidP="00B15785">
            <w:pPr>
              <w:keepNext/>
              <w:keepLines/>
              <w:jc w:val="center"/>
              <w:rPr>
                <w:rFonts w:ascii="Arial Narrow" w:hAnsi="Arial Narrow"/>
                <w:i/>
                <w:iCs/>
                <w:color w:val="333333"/>
                <w:sz w:val="20"/>
                <w:szCs w:val="20"/>
              </w:rPr>
            </w:pPr>
          </w:p>
        </w:tc>
        <w:tc>
          <w:tcPr>
            <w:tcW w:w="4295" w:type="pct"/>
            <w:gridSpan w:val="4"/>
            <w:vAlign w:val="center"/>
            <w:hideMark/>
          </w:tcPr>
          <w:p w14:paraId="4AD7123C" w14:textId="77777777" w:rsidR="00F22A43" w:rsidRPr="006D075E" w:rsidRDefault="00F22A43" w:rsidP="00B15785">
            <w:pPr>
              <w:keepNext/>
              <w:keepLines/>
              <w:rPr>
                <w:rFonts w:ascii="Arial Narrow" w:hAnsi="Arial Narrow"/>
                <w:color w:val="333333"/>
                <w:sz w:val="20"/>
                <w:szCs w:val="20"/>
              </w:rPr>
            </w:pPr>
            <w:r w:rsidRPr="006D075E">
              <w:rPr>
                <w:rFonts w:ascii="Arial Narrow" w:hAnsi="Arial Narrow"/>
                <w:b/>
                <w:bCs/>
                <w:color w:val="333333"/>
                <w:sz w:val="20"/>
                <w:szCs w:val="20"/>
              </w:rPr>
              <w:t>Indication:</w:t>
            </w:r>
            <w:r w:rsidRPr="006D075E">
              <w:rPr>
                <w:rFonts w:ascii="Arial Narrow" w:hAnsi="Arial Narrow"/>
                <w:color w:val="333333"/>
                <w:sz w:val="20"/>
                <w:szCs w:val="20"/>
              </w:rPr>
              <w:t xml:space="preserve"> Previously untreated stage III or IV mantle cell lymphoma</w:t>
            </w:r>
          </w:p>
        </w:tc>
      </w:tr>
      <w:tr w:rsidR="00F22A43" w:rsidRPr="006D075E" w14:paraId="7FA67076" w14:textId="77777777" w:rsidTr="00F22A4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A4AAEB2" w14:textId="77777777" w:rsidR="00F22A43" w:rsidRPr="006D075E" w:rsidRDefault="00F22A43" w:rsidP="00B15785">
            <w:pPr>
              <w:keepNext/>
              <w:keepLines/>
              <w:jc w:val="center"/>
              <w:rPr>
                <w:rFonts w:ascii="Arial Narrow" w:hAnsi="Arial Narrow"/>
                <w:sz w:val="20"/>
                <w:szCs w:val="20"/>
              </w:rPr>
            </w:pPr>
          </w:p>
        </w:tc>
        <w:tc>
          <w:tcPr>
            <w:tcW w:w="4295" w:type="pct"/>
            <w:gridSpan w:val="4"/>
            <w:vAlign w:val="center"/>
            <w:hideMark/>
          </w:tcPr>
          <w:p w14:paraId="0E1CBDB5" w14:textId="77777777" w:rsidR="00F22A43" w:rsidRPr="006D075E" w:rsidRDefault="00F22A43" w:rsidP="00B15785">
            <w:pPr>
              <w:keepNext/>
              <w:keepLines/>
              <w:rPr>
                <w:rFonts w:ascii="Arial Narrow" w:hAnsi="Arial Narrow"/>
                <w:sz w:val="20"/>
                <w:szCs w:val="20"/>
              </w:rPr>
            </w:pPr>
            <w:r w:rsidRPr="006D075E">
              <w:rPr>
                <w:rFonts w:ascii="Arial Narrow" w:hAnsi="Arial Narrow"/>
                <w:b/>
                <w:bCs/>
                <w:sz w:val="20"/>
                <w:szCs w:val="20"/>
              </w:rPr>
              <w:t>Treatment Phase:</w:t>
            </w:r>
            <w:r w:rsidRPr="006D075E">
              <w:rPr>
                <w:rFonts w:ascii="Arial Narrow" w:hAnsi="Arial Narrow"/>
                <w:sz w:val="20"/>
                <w:szCs w:val="20"/>
              </w:rPr>
              <w:t xml:space="preserve"> Induction treatment </w:t>
            </w:r>
          </w:p>
        </w:tc>
      </w:tr>
      <w:tr w:rsidR="00F22A43" w:rsidRPr="006D075E" w14:paraId="085270CB" w14:textId="77777777" w:rsidTr="00F22A43">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F356969" w14:textId="3D6C426E" w:rsidR="00F22A43" w:rsidRPr="006D075E" w:rsidRDefault="00F22A43" w:rsidP="00B15785">
            <w:pPr>
              <w:keepNext/>
              <w:keepLines/>
              <w:jc w:val="center"/>
              <w:rPr>
                <w:rFonts w:ascii="Arial Narrow" w:hAnsi="Arial Narrow"/>
                <w:sz w:val="20"/>
                <w:szCs w:val="20"/>
              </w:rPr>
            </w:pPr>
          </w:p>
        </w:tc>
        <w:tc>
          <w:tcPr>
            <w:tcW w:w="4295" w:type="pct"/>
            <w:gridSpan w:val="4"/>
            <w:vAlign w:val="center"/>
            <w:hideMark/>
          </w:tcPr>
          <w:p w14:paraId="2F19B571" w14:textId="77777777" w:rsidR="00F22A43" w:rsidRPr="006D075E" w:rsidRDefault="00F22A43" w:rsidP="00B15785">
            <w:pPr>
              <w:keepNext/>
              <w:keepLines/>
              <w:rPr>
                <w:rFonts w:ascii="Arial Narrow" w:hAnsi="Arial Narrow"/>
                <w:sz w:val="20"/>
                <w:szCs w:val="20"/>
              </w:rPr>
            </w:pPr>
            <w:r w:rsidRPr="006D075E">
              <w:rPr>
                <w:rFonts w:ascii="Arial Narrow" w:hAnsi="Arial Narrow"/>
                <w:b/>
                <w:bCs/>
                <w:sz w:val="20"/>
                <w:szCs w:val="20"/>
              </w:rPr>
              <w:t xml:space="preserve">Clinical criteria: </w:t>
            </w:r>
          </w:p>
        </w:tc>
      </w:tr>
      <w:tr w:rsidR="00F22A43" w:rsidRPr="006D075E" w14:paraId="01931921" w14:textId="77777777" w:rsidTr="00F22A43">
        <w:tblPrEx>
          <w:tblCellMar>
            <w:top w:w="15" w:type="dxa"/>
            <w:bottom w:w="15" w:type="dxa"/>
          </w:tblCellMar>
          <w:tblLook w:val="04A0" w:firstRow="1" w:lastRow="0" w:firstColumn="1" w:lastColumn="0" w:noHBand="0" w:noVBand="1"/>
        </w:tblPrEx>
        <w:trPr>
          <w:cantSplit/>
          <w:trHeight w:val="194"/>
        </w:trPr>
        <w:tc>
          <w:tcPr>
            <w:tcW w:w="705" w:type="pct"/>
            <w:gridSpan w:val="2"/>
            <w:tcBorders>
              <w:top w:val="single" w:sz="4" w:space="0" w:color="auto"/>
              <w:left w:val="single" w:sz="4" w:space="0" w:color="auto"/>
              <w:bottom w:val="single" w:sz="4" w:space="0" w:color="auto"/>
              <w:right w:val="single" w:sz="4" w:space="0" w:color="auto"/>
            </w:tcBorders>
            <w:vAlign w:val="center"/>
          </w:tcPr>
          <w:p w14:paraId="5DBDCCD3" w14:textId="7D3D4382" w:rsidR="00F22A43" w:rsidRPr="006D075E" w:rsidRDefault="00F22A43" w:rsidP="00B15785">
            <w:pPr>
              <w:keepNext/>
              <w:keepLines/>
              <w:jc w:val="center"/>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hideMark/>
          </w:tcPr>
          <w:p w14:paraId="55679384" w14:textId="77777777" w:rsidR="00F22A43" w:rsidRPr="006D075E" w:rsidRDefault="00F22A43" w:rsidP="00B15785">
            <w:pPr>
              <w:keepNext/>
              <w:keepLines/>
              <w:rPr>
                <w:rFonts w:ascii="Arial Narrow" w:hAnsi="Arial Narrow"/>
                <w:sz w:val="20"/>
                <w:szCs w:val="20"/>
              </w:rPr>
            </w:pPr>
            <w:r w:rsidRPr="006D075E">
              <w:rPr>
                <w:rFonts w:ascii="Arial Narrow" w:hAnsi="Arial Narrow"/>
                <w:sz w:val="20"/>
                <w:szCs w:val="20"/>
              </w:rPr>
              <w:t>The condition must be CD20 positive</w:t>
            </w:r>
          </w:p>
        </w:tc>
      </w:tr>
      <w:tr w:rsidR="00F22A43" w:rsidRPr="006D075E" w14:paraId="4F385744"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337C93B" w14:textId="77777777" w:rsidR="00F22A43" w:rsidRPr="006D075E" w:rsidRDefault="00F22A43" w:rsidP="00B15785">
            <w:pPr>
              <w:keepNext/>
              <w:keepLines/>
              <w:jc w:val="center"/>
              <w:rPr>
                <w:rFonts w:ascii="Arial Narrow" w:hAnsi="Arial Narrow"/>
                <w:sz w:val="20"/>
                <w:szCs w:val="20"/>
              </w:rPr>
            </w:pPr>
          </w:p>
        </w:tc>
        <w:tc>
          <w:tcPr>
            <w:tcW w:w="4295" w:type="pct"/>
            <w:gridSpan w:val="4"/>
            <w:vAlign w:val="center"/>
            <w:hideMark/>
          </w:tcPr>
          <w:p w14:paraId="0E2F7F6E" w14:textId="77777777" w:rsidR="00F22A43" w:rsidRPr="006D075E" w:rsidRDefault="00F22A43" w:rsidP="00B15785">
            <w:pPr>
              <w:keepNext/>
              <w:keepLines/>
              <w:rPr>
                <w:rFonts w:ascii="Arial Narrow" w:hAnsi="Arial Narrow"/>
                <w:sz w:val="20"/>
                <w:szCs w:val="20"/>
              </w:rPr>
            </w:pPr>
            <w:r w:rsidRPr="006D075E">
              <w:rPr>
                <w:rFonts w:ascii="Arial Narrow" w:hAnsi="Arial Narrow"/>
                <w:b/>
                <w:bCs/>
                <w:sz w:val="20"/>
                <w:szCs w:val="20"/>
              </w:rPr>
              <w:t>AND</w:t>
            </w:r>
          </w:p>
        </w:tc>
      </w:tr>
      <w:tr w:rsidR="00F22A43" w:rsidRPr="006D075E" w14:paraId="6B46207F"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F78B504" w14:textId="3253D25B" w:rsidR="00F22A43" w:rsidRPr="006D075E" w:rsidRDefault="00F22A43" w:rsidP="00B15785">
            <w:pPr>
              <w:keepNext/>
              <w:keepLines/>
              <w:jc w:val="center"/>
              <w:rPr>
                <w:rFonts w:ascii="Arial Narrow" w:hAnsi="Arial Narrow"/>
                <w:sz w:val="20"/>
                <w:szCs w:val="20"/>
              </w:rPr>
            </w:pPr>
          </w:p>
        </w:tc>
        <w:tc>
          <w:tcPr>
            <w:tcW w:w="4295" w:type="pct"/>
            <w:gridSpan w:val="4"/>
            <w:vAlign w:val="center"/>
            <w:hideMark/>
          </w:tcPr>
          <w:p w14:paraId="14C52C6D" w14:textId="77777777" w:rsidR="00F22A43" w:rsidRPr="006D075E" w:rsidRDefault="00F22A43" w:rsidP="00B15785">
            <w:pPr>
              <w:keepNext/>
              <w:keepLines/>
              <w:rPr>
                <w:rFonts w:ascii="Arial Narrow" w:hAnsi="Arial Narrow"/>
                <w:sz w:val="20"/>
                <w:szCs w:val="20"/>
              </w:rPr>
            </w:pPr>
            <w:r w:rsidRPr="006D075E">
              <w:rPr>
                <w:rFonts w:ascii="Arial Narrow" w:hAnsi="Arial Narrow"/>
                <w:b/>
                <w:bCs/>
                <w:sz w:val="20"/>
                <w:szCs w:val="20"/>
              </w:rPr>
              <w:t>Clinical criteria:</w:t>
            </w:r>
          </w:p>
        </w:tc>
      </w:tr>
      <w:tr w:rsidR="00F22A43" w:rsidRPr="006D075E" w14:paraId="6C45D742"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7C598C3D" w14:textId="54B9B7E9" w:rsidR="00F22A43" w:rsidRPr="006D075E" w:rsidRDefault="00F22A43" w:rsidP="00B15785">
            <w:pPr>
              <w:keepNext/>
              <w:keepLines/>
              <w:jc w:val="center"/>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hideMark/>
          </w:tcPr>
          <w:p w14:paraId="1265F3C7" w14:textId="77777777" w:rsidR="00F22A43" w:rsidRPr="006D075E" w:rsidRDefault="00F22A43" w:rsidP="00B15785">
            <w:pPr>
              <w:keepNext/>
              <w:keepLines/>
              <w:rPr>
                <w:rFonts w:ascii="Arial Narrow" w:hAnsi="Arial Narrow"/>
                <w:sz w:val="20"/>
                <w:szCs w:val="20"/>
              </w:rPr>
            </w:pPr>
            <w:r w:rsidRPr="006D075E">
              <w:rPr>
                <w:rFonts w:ascii="Arial Narrow" w:hAnsi="Arial Narrow"/>
                <w:sz w:val="20"/>
                <w:szCs w:val="20"/>
              </w:rPr>
              <w:t>The condition must be previously untreated</w:t>
            </w:r>
          </w:p>
        </w:tc>
      </w:tr>
      <w:tr w:rsidR="00F22A43" w:rsidRPr="006D075E" w14:paraId="4BA4BF93"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E5FE122" w14:textId="77777777" w:rsidR="00F22A43" w:rsidRPr="006D075E" w:rsidRDefault="00F22A43" w:rsidP="00B15785">
            <w:pPr>
              <w:keepNext/>
              <w:keepLines/>
              <w:jc w:val="center"/>
              <w:rPr>
                <w:rFonts w:ascii="Arial Narrow" w:hAnsi="Arial Narrow"/>
                <w:sz w:val="20"/>
                <w:szCs w:val="20"/>
              </w:rPr>
            </w:pPr>
          </w:p>
        </w:tc>
        <w:tc>
          <w:tcPr>
            <w:tcW w:w="4295" w:type="pct"/>
            <w:gridSpan w:val="4"/>
            <w:vAlign w:val="center"/>
          </w:tcPr>
          <w:p w14:paraId="4F4CAD64" w14:textId="77777777" w:rsidR="00F22A43" w:rsidRPr="006D075E" w:rsidRDefault="00F22A43" w:rsidP="00B15785">
            <w:pPr>
              <w:keepNext/>
              <w:keepLines/>
              <w:rPr>
                <w:rFonts w:ascii="Arial Narrow" w:hAnsi="Arial Narrow"/>
                <w:sz w:val="20"/>
                <w:szCs w:val="20"/>
              </w:rPr>
            </w:pPr>
            <w:r>
              <w:rPr>
                <w:rFonts w:ascii="Arial Narrow" w:hAnsi="Arial Narrow"/>
                <w:b/>
                <w:bCs/>
                <w:sz w:val="20"/>
                <w:szCs w:val="20"/>
              </w:rPr>
              <w:t>AND</w:t>
            </w:r>
          </w:p>
        </w:tc>
      </w:tr>
      <w:tr w:rsidR="00F22A43" w:rsidRPr="006D075E" w14:paraId="2FF7DBD9"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A5659F9" w14:textId="73D15117" w:rsidR="00F22A43" w:rsidRPr="006D075E" w:rsidRDefault="00F22A43" w:rsidP="00B15785">
            <w:pPr>
              <w:keepNext/>
              <w:keepLines/>
              <w:jc w:val="center"/>
              <w:rPr>
                <w:rFonts w:ascii="Arial Narrow" w:hAnsi="Arial Narrow"/>
                <w:sz w:val="20"/>
                <w:szCs w:val="20"/>
              </w:rPr>
            </w:pPr>
          </w:p>
        </w:tc>
        <w:tc>
          <w:tcPr>
            <w:tcW w:w="4295" w:type="pct"/>
            <w:gridSpan w:val="4"/>
            <w:vAlign w:val="center"/>
          </w:tcPr>
          <w:p w14:paraId="2DC66AB1" w14:textId="77777777" w:rsidR="00F22A43" w:rsidRPr="006D075E" w:rsidRDefault="00F22A43" w:rsidP="00B15785">
            <w:pPr>
              <w:keepNext/>
              <w:keepLines/>
              <w:rPr>
                <w:rFonts w:ascii="Arial Narrow" w:hAnsi="Arial Narrow"/>
                <w:sz w:val="20"/>
                <w:szCs w:val="20"/>
              </w:rPr>
            </w:pPr>
            <w:r w:rsidRPr="006D075E">
              <w:rPr>
                <w:rFonts w:ascii="Arial Narrow" w:hAnsi="Arial Narrow"/>
                <w:b/>
                <w:bCs/>
                <w:sz w:val="20"/>
                <w:szCs w:val="20"/>
              </w:rPr>
              <w:t>Clinical criteria:</w:t>
            </w:r>
          </w:p>
        </w:tc>
      </w:tr>
      <w:tr w:rsidR="00F22A43" w:rsidRPr="006D075E" w14:paraId="6D527545"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52B9DB9D" w14:textId="4020CB54" w:rsidR="00F22A43" w:rsidRPr="006D075E" w:rsidRDefault="00F22A43" w:rsidP="00B15785">
            <w:pPr>
              <w:keepNext/>
              <w:keepLines/>
              <w:jc w:val="center"/>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3F2AF053" w14:textId="77777777" w:rsidR="00F22A43" w:rsidRPr="006D075E" w:rsidRDefault="00F22A43" w:rsidP="00B15785">
            <w:pPr>
              <w:keepNext/>
              <w:keepLines/>
              <w:rPr>
                <w:rFonts w:ascii="Arial Narrow" w:hAnsi="Arial Narrow"/>
                <w:i/>
                <w:iCs/>
                <w:sz w:val="20"/>
                <w:szCs w:val="20"/>
              </w:rPr>
            </w:pPr>
            <w:r w:rsidRPr="006D075E">
              <w:rPr>
                <w:rFonts w:ascii="Arial Narrow" w:hAnsi="Arial Narrow"/>
                <w:sz w:val="20"/>
                <w:szCs w:val="20"/>
              </w:rPr>
              <w:t xml:space="preserve">The treatment must be in combination with rituximab, </w:t>
            </w:r>
          </w:p>
        </w:tc>
      </w:tr>
      <w:tr w:rsidR="00F22A43" w:rsidRPr="006D075E" w14:paraId="0CAD30A9"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0F69BF19" w14:textId="77777777" w:rsidR="00F22A43" w:rsidRPr="006D075E" w:rsidRDefault="00F22A43" w:rsidP="00B15785">
            <w:pPr>
              <w:keepNext/>
              <w:keepLines/>
              <w:jc w:val="center"/>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66D4CC44" w14:textId="77777777" w:rsidR="00F22A43" w:rsidRPr="006D075E" w:rsidRDefault="00F22A43" w:rsidP="00B15785">
            <w:pPr>
              <w:keepNext/>
              <w:keepLines/>
              <w:rPr>
                <w:rFonts w:ascii="Arial Narrow" w:hAnsi="Arial Narrow"/>
                <w:b/>
                <w:bCs/>
                <w:i/>
                <w:iCs/>
                <w:sz w:val="20"/>
                <w:szCs w:val="20"/>
              </w:rPr>
            </w:pPr>
            <w:r w:rsidRPr="006D075E">
              <w:rPr>
                <w:rFonts w:ascii="Arial Narrow" w:hAnsi="Arial Narrow"/>
                <w:b/>
                <w:bCs/>
                <w:i/>
                <w:iCs/>
                <w:sz w:val="20"/>
                <w:szCs w:val="20"/>
              </w:rPr>
              <w:t>OR</w:t>
            </w:r>
          </w:p>
        </w:tc>
      </w:tr>
      <w:tr w:rsidR="00F22A43" w:rsidRPr="006D075E" w14:paraId="617ADFB0"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6B3082B5" w14:textId="4525259D" w:rsidR="00F22A43" w:rsidRPr="009B3352" w:rsidRDefault="00F22A43" w:rsidP="00B15785">
            <w:pPr>
              <w:keepNext/>
              <w:keepLines/>
              <w:jc w:val="center"/>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3F134640" w14:textId="77777777" w:rsidR="00F22A43" w:rsidRPr="009B3352" w:rsidRDefault="00F22A43" w:rsidP="00B15785">
            <w:pPr>
              <w:keepNext/>
              <w:keepLines/>
              <w:rPr>
                <w:rFonts w:ascii="Arial Narrow" w:hAnsi="Arial Narrow"/>
                <w:sz w:val="20"/>
                <w:szCs w:val="20"/>
              </w:rPr>
            </w:pPr>
            <w:r w:rsidRPr="009B3352">
              <w:rPr>
                <w:rFonts w:ascii="Arial Narrow" w:hAnsi="Arial Narrow"/>
                <w:sz w:val="20"/>
                <w:szCs w:val="20"/>
              </w:rPr>
              <w:t xml:space="preserve">The treatment must be in combination with rituximab </w:t>
            </w:r>
            <w:r w:rsidRPr="00C201B0">
              <w:rPr>
                <w:rFonts w:ascii="Arial Narrow" w:hAnsi="Arial Narrow"/>
                <w:i/>
                <w:sz w:val="20"/>
                <w:szCs w:val="20"/>
              </w:rPr>
              <w:t>and acalabrutinib</w:t>
            </w:r>
          </w:p>
        </w:tc>
      </w:tr>
      <w:tr w:rsidR="00F22A43" w:rsidRPr="006D075E" w14:paraId="4A3510AC"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1E445FE" w14:textId="77777777" w:rsidR="00F22A43" w:rsidRPr="006D075E" w:rsidRDefault="00F22A43" w:rsidP="00B15785">
            <w:pPr>
              <w:keepNext/>
              <w:keepLines/>
              <w:jc w:val="center"/>
              <w:rPr>
                <w:rFonts w:ascii="Arial Narrow" w:hAnsi="Arial Narrow"/>
                <w:sz w:val="20"/>
                <w:szCs w:val="20"/>
              </w:rPr>
            </w:pPr>
          </w:p>
        </w:tc>
        <w:tc>
          <w:tcPr>
            <w:tcW w:w="4295" w:type="pct"/>
            <w:gridSpan w:val="4"/>
            <w:vAlign w:val="center"/>
          </w:tcPr>
          <w:p w14:paraId="6D5E000E" w14:textId="77777777" w:rsidR="00F22A43" w:rsidRPr="006D075E" w:rsidRDefault="00F22A43" w:rsidP="00B15785">
            <w:pPr>
              <w:keepNext/>
              <w:keepLines/>
              <w:rPr>
                <w:rFonts w:ascii="Arial Narrow" w:hAnsi="Arial Narrow"/>
                <w:b/>
                <w:bCs/>
                <w:sz w:val="20"/>
                <w:szCs w:val="20"/>
              </w:rPr>
            </w:pPr>
            <w:r w:rsidRPr="006D075E">
              <w:rPr>
                <w:rFonts w:ascii="Arial Narrow" w:hAnsi="Arial Narrow"/>
                <w:b/>
                <w:bCs/>
                <w:sz w:val="20"/>
                <w:szCs w:val="20"/>
              </w:rPr>
              <w:t>AND</w:t>
            </w:r>
          </w:p>
        </w:tc>
      </w:tr>
      <w:tr w:rsidR="00F22A43" w:rsidRPr="006D075E" w14:paraId="19AE82E1"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70CD6C6D" w14:textId="3D20D88B" w:rsidR="00F22A43" w:rsidRPr="006D075E" w:rsidRDefault="00F22A43" w:rsidP="00B15785">
            <w:pPr>
              <w:keepNext/>
              <w:keepLines/>
              <w:jc w:val="center"/>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13C5788D" w14:textId="77777777" w:rsidR="00F22A43" w:rsidRPr="006D075E" w:rsidRDefault="00F22A43" w:rsidP="00B15785">
            <w:pPr>
              <w:keepNext/>
              <w:keepLines/>
              <w:rPr>
                <w:rFonts w:ascii="Arial Narrow" w:hAnsi="Arial Narrow"/>
                <w:b/>
                <w:bCs/>
                <w:sz w:val="20"/>
                <w:szCs w:val="20"/>
              </w:rPr>
            </w:pPr>
            <w:r w:rsidRPr="006D075E">
              <w:rPr>
                <w:rFonts w:ascii="Arial Narrow" w:hAnsi="Arial Narrow"/>
                <w:b/>
                <w:bCs/>
                <w:sz w:val="20"/>
                <w:szCs w:val="20"/>
              </w:rPr>
              <w:t>Clinical criteria:</w:t>
            </w:r>
          </w:p>
        </w:tc>
      </w:tr>
      <w:tr w:rsidR="00F22A43" w:rsidRPr="006D075E" w14:paraId="6746EF1D"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56DFBA6B" w14:textId="3020248A" w:rsidR="00F22A43" w:rsidRPr="006D075E" w:rsidRDefault="00F22A43" w:rsidP="00B15785">
            <w:pPr>
              <w:keepNext/>
              <w:keepLines/>
              <w:jc w:val="center"/>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5FFF7C0D" w14:textId="77777777" w:rsidR="00F22A43" w:rsidRPr="006D075E" w:rsidRDefault="00F22A43" w:rsidP="00B15785">
            <w:pPr>
              <w:keepNext/>
              <w:keepLines/>
              <w:rPr>
                <w:rFonts w:ascii="Arial Narrow" w:hAnsi="Arial Narrow"/>
                <w:sz w:val="20"/>
                <w:szCs w:val="20"/>
              </w:rPr>
            </w:pPr>
            <w:r w:rsidRPr="006D075E">
              <w:rPr>
                <w:rFonts w:ascii="Arial Narrow" w:hAnsi="Arial Narrow"/>
                <w:sz w:val="20"/>
                <w:szCs w:val="20"/>
              </w:rPr>
              <w:t>The condition must be symptomatic</w:t>
            </w:r>
          </w:p>
        </w:tc>
      </w:tr>
      <w:tr w:rsidR="00F22A43" w:rsidRPr="006D075E" w14:paraId="532A4372"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2750170F" w14:textId="77777777" w:rsidR="00F22A43" w:rsidRPr="006D075E" w:rsidRDefault="00F22A43" w:rsidP="00B15785">
            <w:pPr>
              <w:keepNext/>
              <w:keepLines/>
              <w:jc w:val="center"/>
              <w:rPr>
                <w:rFonts w:ascii="Arial Narrow" w:hAnsi="Arial Narrow"/>
                <w:b/>
                <w:bCs/>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46916707" w14:textId="77777777" w:rsidR="00F22A43" w:rsidRPr="006D075E" w:rsidRDefault="00F22A43" w:rsidP="00B15785">
            <w:pPr>
              <w:keepNext/>
              <w:keepLines/>
              <w:rPr>
                <w:rFonts w:ascii="Arial Narrow" w:hAnsi="Arial Narrow"/>
                <w:b/>
                <w:bCs/>
                <w:sz w:val="20"/>
                <w:szCs w:val="20"/>
              </w:rPr>
            </w:pPr>
            <w:r w:rsidRPr="006D075E">
              <w:rPr>
                <w:rFonts w:ascii="Arial Narrow" w:hAnsi="Arial Narrow"/>
                <w:b/>
                <w:bCs/>
                <w:sz w:val="20"/>
                <w:szCs w:val="20"/>
              </w:rPr>
              <w:t>AND</w:t>
            </w:r>
          </w:p>
        </w:tc>
      </w:tr>
      <w:tr w:rsidR="00F22A43" w:rsidRPr="006D075E" w14:paraId="4BE91CCD"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176A4655" w14:textId="5C268604" w:rsidR="00F22A43" w:rsidRPr="006D075E" w:rsidRDefault="00F22A43" w:rsidP="00B15785">
            <w:pPr>
              <w:keepNext/>
              <w:keepLines/>
              <w:jc w:val="center"/>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6318DD27" w14:textId="77777777" w:rsidR="00F22A43" w:rsidRPr="006D075E" w:rsidRDefault="00F22A43" w:rsidP="00B15785">
            <w:pPr>
              <w:keepNext/>
              <w:keepLines/>
              <w:rPr>
                <w:rFonts w:ascii="Arial Narrow" w:hAnsi="Arial Narrow"/>
                <w:b/>
                <w:bCs/>
                <w:sz w:val="20"/>
                <w:szCs w:val="20"/>
              </w:rPr>
            </w:pPr>
            <w:r w:rsidRPr="006D075E">
              <w:rPr>
                <w:rFonts w:ascii="Arial Narrow" w:hAnsi="Arial Narrow"/>
                <w:b/>
                <w:bCs/>
                <w:sz w:val="20"/>
                <w:szCs w:val="20"/>
              </w:rPr>
              <w:t>Clinical criteria:</w:t>
            </w:r>
          </w:p>
        </w:tc>
      </w:tr>
      <w:tr w:rsidR="00F22A43" w:rsidRPr="006D075E" w14:paraId="1FEAFE17"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4902B312" w14:textId="4CF03705" w:rsidR="00F22A43" w:rsidRPr="006D075E" w:rsidRDefault="00F22A43" w:rsidP="00B15785">
            <w:pPr>
              <w:keepNext/>
              <w:keepLines/>
              <w:jc w:val="center"/>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079CA823" w14:textId="77777777" w:rsidR="00F22A43" w:rsidRPr="006D075E" w:rsidRDefault="00F22A43" w:rsidP="00B15785">
            <w:pPr>
              <w:keepNext/>
              <w:keepLines/>
              <w:rPr>
                <w:rFonts w:ascii="Arial Narrow" w:hAnsi="Arial Narrow"/>
                <w:sz w:val="20"/>
                <w:szCs w:val="20"/>
              </w:rPr>
            </w:pPr>
            <w:r w:rsidRPr="006D075E">
              <w:rPr>
                <w:rFonts w:ascii="Arial Narrow" w:hAnsi="Arial Narrow"/>
                <w:sz w:val="20"/>
                <w:szCs w:val="20"/>
              </w:rPr>
              <w:t>The treatment must be for induction treatment purposes only</w:t>
            </w:r>
          </w:p>
        </w:tc>
      </w:tr>
      <w:tr w:rsidR="00F22A43" w:rsidRPr="006D075E" w14:paraId="371DB11A"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152274C0" w14:textId="77777777" w:rsidR="00F22A43" w:rsidRPr="006D075E" w:rsidRDefault="00F22A43" w:rsidP="00B15785">
            <w:pPr>
              <w:keepNext/>
              <w:keepLines/>
              <w:jc w:val="center"/>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65E5ACA9" w14:textId="77777777" w:rsidR="00F22A43" w:rsidRPr="006D075E" w:rsidRDefault="00F22A43" w:rsidP="00B15785">
            <w:pPr>
              <w:keepNext/>
              <w:keepLines/>
              <w:rPr>
                <w:rFonts w:ascii="Arial Narrow" w:hAnsi="Arial Narrow"/>
                <w:b/>
                <w:bCs/>
                <w:sz w:val="20"/>
                <w:szCs w:val="20"/>
              </w:rPr>
            </w:pPr>
            <w:r w:rsidRPr="006D075E">
              <w:rPr>
                <w:rFonts w:ascii="Arial Narrow" w:hAnsi="Arial Narrow"/>
                <w:b/>
                <w:bCs/>
                <w:sz w:val="20"/>
                <w:szCs w:val="20"/>
              </w:rPr>
              <w:t>AND</w:t>
            </w:r>
          </w:p>
        </w:tc>
      </w:tr>
      <w:tr w:rsidR="00F22A43" w:rsidRPr="006D075E" w14:paraId="3CB94F10"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092006E5" w14:textId="367BA66A" w:rsidR="00F22A43" w:rsidRPr="006D075E" w:rsidRDefault="00F22A43" w:rsidP="00B15785">
            <w:pPr>
              <w:keepNext/>
              <w:keepLines/>
              <w:jc w:val="center"/>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2CB52781" w14:textId="77777777" w:rsidR="00F22A43" w:rsidRPr="006D075E" w:rsidRDefault="00F22A43" w:rsidP="00B15785">
            <w:pPr>
              <w:keepNext/>
              <w:keepLines/>
              <w:rPr>
                <w:rFonts w:ascii="Arial Narrow" w:hAnsi="Arial Narrow"/>
                <w:b/>
                <w:bCs/>
                <w:sz w:val="20"/>
                <w:szCs w:val="20"/>
              </w:rPr>
            </w:pPr>
            <w:r w:rsidRPr="006D075E">
              <w:rPr>
                <w:rFonts w:ascii="Arial Narrow" w:hAnsi="Arial Narrow"/>
                <w:b/>
                <w:bCs/>
                <w:sz w:val="20"/>
                <w:szCs w:val="20"/>
              </w:rPr>
              <w:t>Clinical criteria:</w:t>
            </w:r>
          </w:p>
        </w:tc>
      </w:tr>
      <w:tr w:rsidR="00F22A43" w:rsidRPr="006D075E" w14:paraId="5EE81F52"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2C1AF26E" w14:textId="40AC040E" w:rsidR="00F22A43" w:rsidRPr="006D075E" w:rsidRDefault="00F22A43" w:rsidP="00B15785">
            <w:pPr>
              <w:keepNext/>
              <w:keepLines/>
              <w:jc w:val="center"/>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20D322BB" w14:textId="77777777" w:rsidR="00F22A43" w:rsidRPr="006D075E" w:rsidRDefault="00F22A43" w:rsidP="00B15785">
            <w:pPr>
              <w:keepNext/>
              <w:keepLines/>
              <w:rPr>
                <w:rFonts w:ascii="Arial Narrow" w:hAnsi="Arial Narrow"/>
                <w:sz w:val="20"/>
                <w:szCs w:val="20"/>
              </w:rPr>
            </w:pPr>
            <w:r w:rsidRPr="006D075E">
              <w:rPr>
                <w:rFonts w:ascii="Arial Narrow" w:hAnsi="Arial Narrow"/>
                <w:sz w:val="20"/>
                <w:szCs w:val="20"/>
              </w:rPr>
              <w:t>Patient must not receive more than 6 cycles (12 doses) of treatment under this restriction</w:t>
            </w:r>
          </w:p>
        </w:tc>
      </w:tr>
      <w:tr w:rsidR="00F22A43" w:rsidRPr="006D075E" w14:paraId="77D074E3"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0A068042" w14:textId="77777777" w:rsidR="00F22A43" w:rsidRPr="006D075E" w:rsidRDefault="00F22A43" w:rsidP="00B15785">
            <w:pPr>
              <w:keepNext/>
              <w:keepLines/>
              <w:jc w:val="center"/>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367313EE" w14:textId="77777777" w:rsidR="00F22A43" w:rsidRPr="006D075E" w:rsidRDefault="00F22A43" w:rsidP="00B15785">
            <w:pPr>
              <w:keepNext/>
              <w:keepLines/>
              <w:rPr>
                <w:rFonts w:ascii="Arial Narrow" w:hAnsi="Arial Narrow"/>
                <w:b/>
                <w:bCs/>
                <w:sz w:val="20"/>
                <w:szCs w:val="20"/>
              </w:rPr>
            </w:pPr>
            <w:r w:rsidRPr="006D075E">
              <w:rPr>
                <w:rFonts w:ascii="Arial Narrow" w:hAnsi="Arial Narrow"/>
                <w:b/>
                <w:bCs/>
                <w:sz w:val="20"/>
                <w:szCs w:val="20"/>
              </w:rPr>
              <w:t>AND</w:t>
            </w:r>
          </w:p>
        </w:tc>
      </w:tr>
      <w:tr w:rsidR="00F22A43" w:rsidRPr="006D075E" w14:paraId="33B855CD"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13212A18" w14:textId="222454DF" w:rsidR="00F22A43" w:rsidRPr="006D075E" w:rsidRDefault="00F22A43" w:rsidP="00B15785">
            <w:pPr>
              <w:keepNext/>
              <w:keepLines/>
              <w:jc w:val="center"/>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7A58977B" w14:textId="77777777" w:rsidR="00F22A43" w:rsidRPr="006D075E" w:rsidRDefault="00F22A43" w:rsidP="00B15785">
            <w:pPr>
              <w:keepNext/>
              <w:keepLines/>
              <w:rPr>
                <w:rFonts w:ascii="Arial Narrow" w:hAnsi="Arial Narrow"/>
                <w:b/>
                <w:bCs/>
                <w:sz w:val="20"/>
                <w:szCs w:val="20"/>
              </w:rPr>
            </w:pPr>
            <w:r w:rsidRPr="006D075E">
              <w:rPr>
                <w:rFonts w:ascii="Arial Narrow" w:hAnsi="Arial Narrow"/>
                <w:b/>
                <w:bCs/>
                <w:sz w:val="20"/>
                <w:szCs w:val="20"/>
              </w:rPr>
              <w:t>Clinical criteria:</w:t>
            </w:r>
          </w:p>
        </w:tc>
      </w:tr>
      <w:tr w:rsidR="00F22A43" w:rsidRPr="006D075E" w14:paraId="458BA90E" w14:textId="77777777" w:rsidTr="00B15785">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41C066B9" w14:textId="66D8A2EF" w:rsidR="00F22A43" w:rsidRPr="006D075E" w:rsidRDefault="00F22A43" w:rsidP="00B15785">
            <w:pPr>
              <w:keepNext/>
              <w:keepLines/>
              <w:jc w:val="center"/>
              <w:rPr>
                <w:rFonts w:ascii="Arial Narrow" w:hAnsi="Arial Narrow"/>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0D31AB77" w14:textId="77777777" w:rsidR="00F22A43" w:rsidRPr="006D075E" w:rsidRDefault="00F22A43" w:rsidP="00B15785">
            <w:pPr>
              <w:keepNext/>
              <w:keepLines/>
              <w:rPr>
                <w:rFonts w:ascii="Arial Narrow" w:hAnsi="Arial Narrow"/>
                <w:sz w:val="20"/>
                <w:szCs w:val="20"/>
              </w:rPr>
            </w:pPr>
            <w:r w:rsidRPr="006D075E">
              <w:rPr>
                <w:rFonts w:ascii="Arial Narrow" w:hAnsi="Arial Narrow"/>
                <w:sz w:val="20"/>
                <w:szCs w:val="20"/>
              </w:rPr>
              <w:t>Patient must not be eligible for stem cell transplantation</w:t>
            </w:r>
          </w:p>
        </w:tc>
      </w:tr>
    </w:tbl>
    <w:p w14:paraId="19E15A1A" w14:textId="77777777" w:rsidR="00F22A43" w:rsidRPr="006D075E" w:rsidRDefault="00F22A43" w:rsidP="00F22A43">
      <w:pPr>
        <w:pStyle w:val="paragraph"/>
        <w:spacing w:before="0" w:beforeAutospacing="0" w:after="0" w:afterAutospacing="0"/>
        <w:textAlignment w:val="baseline"/>
        <w:rPr>
          <w:rFonts w:ascii="Segoe UI" w:hAnsi="Segoe UI" w:cs="Segoe UI"/>
          <w:b/>
          <w:bCs/>
          <w:color w:val="000000"/>
          <w:sz w:val="18"/>
          <w:szCs w:val="18"/>
          <w:lang w:val="en-AU"/>
        </w:rPr>
      </w:pPr>
    </w:p>
    <w:p w14:paraId="754A4D04" w14:textId="77777777" w:rsidR="00F22A43" w:rsidRPr="006D075E" w:rsidRDefault="00F22A43" w:rsidP="00F22A43">
      <w:pPr>
        <w:spacing w:before="120"/>
        <w:rPr>
          <w:rFonts w:asciiTheme="minorHAnsi" w:hAnsiTheme="minorHAnsi"/>
          <w:b/>
          <w:i/>
          <w:iCs/>
          <w:snapToGrid w:val="0"/>
        </w:rPr>
      </w:pPr>
      <w:r w:rsidRPr="006D075E">
        <w:rPr>
          <w:rFonts w:asciiTheme="minorHAnsi" w:hAnsiTheme="minorHAnsi"/>
          <w:b/>
          <w:i/>
          <w:iCs/>
          <w:snapToGrid w:val="0"/>
        </w:rPr>
        <w:lastRenderedPageBreak/>
        <w:t>These restrictions may be subject to further review. Should there be any changes made to the restriction the sponsor will be informed.</w:t>
      </w:r>
    </w:p>
    <w:p w14:paraId="2B0E10F8" w14:textId="77777777" w:rsidR="00CE670A" w:rsidRPr="00CE670A" w:rsidRDefault="00CE670A" w:rsidP="00CE670A">
      <w:pPr>
        <w:keepNext/>
        <w:spacing w:before="240" w:after="120"/>
        <w:ind w:left="720" w:hanging="720"/>
        <w:jc w:val="left"/>
        <w:outlineLvl w:val="0"/>
        <w:rPr>
          <w:rFonts w:asciiTheme="minorHAnsi" w:hAnsiTheme="minorHAnsi"/>
          <w:b/>
          <w:bCs/>
          <w:snapToGrid w:val="0"/>
          <w:sz w:val="32"/>
          <w:szCs w:val="32"/>
          <w:lang w:val="en-GB"/>
        </w:rPr>
      </w:pPr>
      <w:r w:rsidRPr="00CE670A">
        <w:rPr>
          <w:rFonts w:asciiTheme="minorHAnsi" w:hAnsiTheme="minorHAnsi"/>
          <w:b/>
          <w:snapToGrid w:val="0"/>
          <w:sz w:val="32"/>
          <w:szCs w:val="32"/>
        </w:rPr>
        <w:t>9</w:t>
      </w:r>
      <w:r w:rsidRPr="00CE670A">
        <w:rPr>
          <w:rFonts w:asciiTheme="minorHAnsi" w:hAnsiTheme="minorHAnsi"/>
          <w:b/>
          <w:snapToGrid w:val="0"/>
          <w:sz w:val="32"/>
          <w:szCs w:val="32"/>
        </w:rPr>
        <w:tab/>
        <w:t>Context for Decision</w:t>
      </w:r>
    </w:p>
    <w:p w14:paraId="55ADC792" w14:textId="77777777" w:rsidR="00CE670A" w:rsidRPr="00CE670A" w:rsidRDefault="00CE670A" w:rsidP="00CE670A">
      <w:pPr>
        <w:spacing w:after="120"/>
        <w:ind w:left="720"/>
        <w:rPr>
          <w:rFonts w:asciiTheme="minorHAnsi" w:hAnsiTheme="minorHAnsi"/>
          <w:bCs/>
          <w:lang w:val="en-GB"/>
        </w:rPr>
      </w:pPr>
      <w:r w:rsidRPr="00CE670A">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6CDFED7" w14:textId="77777777" w:rsidR="00CE670A" w:rsidRPr="00CE670A" w:rsidRDefault="00CE670A" w:rsidP="00CE670A">
      <w:pPr>
        <w:keepNext/>
        <w:spacing w:before="240" w:after="120"/>
        <w:ind w:left="720" w:hanging="720"/>
        <w:jc w:val="left"/>
        <w:outlineLvl w:val="0"/>
        <w:rPr>
          <w:rFonts w:asciiTheme="minorHAnsi" w:hAnsiTheme="minorHAnsi"/>
          <w:b/>
          <w:snapToGrid w:val="0"/>
          <w:sz w:val="32"/>
          <w:szCs w:val="32"/>
        </w:rPr>
      </w:pPr>
      <w:r w:rsidRPr="00CE670A">
        <w:rPr>
          <w:rFonts w:asciiTheme="minorHAnsi" w:hAnsiTheme="minorHAnsi"/>
          <w:b/>
          <w:snapToGrid w:val="0"/>
          <w:sz w:val="32"/>
          <w:szCs w:val="32"/>
        </w:rPr>
        <w:t>10</w:t>
      </w:r>
      <w:r w:rsidRPr="00CE670A">
        <w:rPr>
          <w:rFonts w:asciiTheme="minorHAnsi" w:hAnsiTheme="minorHAnsi"/>
          <w:b/>
          <w:snapToGrid w:val="0"/>
          <w:sz w:val="32"/>
          <w:szCs w:val="32"/>
        </w:rPr>
        <w:tab/>
        <w:t>Sponsor’s Comment</w:t>
      </w:r>
    </w:p>
    <w:p w14:paraId="11F265D1" w14:textId="77777777" w:rsidR="00CE670A" w:rsidRPr="00CE670A" w:rsidRDefault="00CE670A" w:rsidP="00CE670A">
      <w:pPr>
        <w:spacing w:after="120" w:line="276" w:lineRule="auto"/>
        <w:ind w:left="720"/>
        <w:rPr>
          <w:rFonts w:asciiTheme="minorHAnsi" w:eastAsiaTheme="minorHAnsi" w:hAnsiTheme="minorHAnsi"/>
          <w:bCs/>
          <w:szCs w:val="22"/>
          <w:lang w:eastAsia="en-US"/>
        </w:rPr>
      </w:pPr>
      <w:r w:rsidRPr="00CE670A">
        <w:rPr>
          <w:rFonts w:asciiTheme="minorHAnsi" w:eastAsiaTheme="minorHAnsi" w:hAnsiTheme="minorHAnsi"/>
          <w:bCs/>
          <w:szCs w:val="22"/>
          <w:lang w:eastAsia="en-US"/>
        </w:rPr>
        <w:t>The sponsor had no comment.</w:t>
      </w:r>
    </w:p>
    <w:p w14:paraId="3B49E1DF" w14:textId="77777777" w:rsidR="00CE670A" w:rsidRPr="00207063" w:rsidRDefault="00CE670A" w:rsidP="00207063">
      <w:pPr>
        <w:spacing w:before="240" w:after="120"/>
        <w:rPr>
          <w:rFonts w:asciiTheme="minorHAnsi" w:hAnsiTheme="minorHAnsi" w:cstheme="minorHAnsi"/>
          <w:b/>
          <w:bCs/>
        </w:rPr>
      </w:pPr>
    </w:p>
    <w:p w14:paraId="3584A1E4" w14:textId="77777777" w:rsidR="00655CC5" w:rsidRPr="006D075E" w:rsidRDefault="00655CC5" w:rsidP="00655CC5">
      <w:pPr>
        <w:pStyle w:val="ListParagraph"/>
        <w:spacing w:before="240" w:after="120"/>
        <w:ind w:left="0"/>
        <w:rPr>
          <w:rFonts w:asciiTheme="minorHAnsi" w:hAnsiTheme="minorHAnsi" w:cstheme="minorHAnsi"/>
        </w:rPr>
      </w:pPr>
    </w:p>
    <w:p w14:paraId="204C4E90" w14:textId="77777777" w:rsidR="00655CC5" w:rsidRPr="006D075E" w:rsidRDefault="00655CC5" w:rsidP="00655CC5">
      <w:pPr>
        <w:pStyle w:val="paragraph"/>
        <w:spacing w:before="0" w:beforeAutospacing="0" w:after="0" w:afterAutospacing="0"/>
        <w:textAlignment w:val="baseline"/>
        <w:rPr>
          <w:rFonts w:ascii="Arial" w:hAnsi="Arial" w:cs="Arial"/>
          <w:b/>
          <w:bCs/>
          <w:color w:val="000000"/>
          <w:sz w:val="22"/>
          <w:szCs w:val="22"/>
          <w:lang w:val="en-AU"/>
        </w:rPr>
      </w:pPr>
    </w:p>
    <w:p w14:paraId="778E7A33" w14:textId="77777777" w:rsidR="0072109D" w:rsidRPr="006D075E" w:rsidRDefault="0072109D" w:rsidP="00DE6AF4">
      <w:pPr>
        <w:spacing w:before="120"/>
        <w:rPr>
          <w:rFonts w:asciiTheme="minorHAnsi" w:hAnsiTheme="minorHAnsi"/>
          <w:b/>
          <w:i/>
          <w:iCs/>
          <w:snapToGrid w:val="0"/>
        </w:rPr>
      </w:pPr>
    </w:p>
    <w:sectPr w:rsidR="0072109D" w:rsidRPr="006D075E" w:rsidSect="00251006">
      <w:headerReference w:type="even" r:id="rId20"/>
      <w:headerReference w:type="default" r:id="rId21"/>
      <w:footerReference w:type="even" r:id="rId22"/>
      <w:footerReference w:type="default" r:id="rId23"/>
      <w:headerReference w:type="first" r:id="rId24"/>
      <w:footerReference w:type="first" r:id="rId2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F1106" w14:textId="77777777" w:rsidR="00295830" w:rsidRPr="006D075E" w:rsidRDefault="00295830" w:rsidP="00124A51">
      <w:r w:rsidRPr="006D075E">
        <w:separator/>
      </w:r>
    </w:p>
    <w:p w14:paraId="26FD1615" w14:textId="77777777" w:rsidR="00295830" w:rsidRPr="006D075E" w:rsidRDefault="00295830"/>
    <w:p w14:paraId="5644E3B1" w14:textId="77777777" w:rsidR="00295830" w:rsidRPr="006D075E" w:rsidRDefault="00295830"/>
    <w:p w14:paraId="2BDFE2C1" w14:textId="77777777" w:rsidR="00295830" w:rsidRPr="006D075E" w:rsidRDefault="00295830"/>
  </w:endnote>
  <w:endnote w:type="continuationSeparator" w:id="0">
    <w:p w14:paraId="06E82932" w14:textId="77777777" w:rsidR="00295830" w:rsidRPr="006D075E" w:rsidRDefault="00295830" w:rsidP="00124A51">
      <w:r w:rsidRPr="006D075E">
        <w:continuationSeparator/>
      </w:r>
    </w:p>
    <w:p w14:paraId="13811EBC" w14:textId="77777777" w:rsidR="00295830" w:rsidRPr="006D075E" w:rsidRDefault="00295830"/>
    <w:p w14:paraId="5B84D548" w14:textId="77777777" w:rsidR="00295830" w:rsidRPr="006D075E" w:rsidRDefault="00295830"/>
    <w:p w14:paraId="11F713D6" w14:textId="77777777" w:rsidR="00295830" w:rsidRPr="006D075E" w:rsidRDefault="00295830"/>
  </w:endnote>
  <w:endnote w:type="continuationNotice" w:id="1">
    <w:p w14:paraId="4F2EA270" w14:textId="77777777" w:rsidR="00295830" w:rsidRPr="006D075E" w:rsidRDefault="00295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E398" w14:textId="6B73E74A" w:rsidR="00874754" w:rsidRDefault="00874754">
    <w:pPr>
      <w:pStyle w:val="Footer"/>
    </w:pPr>
    <w:r>
      <w:rPr>
        <w:noProof/>
      </w:rPr>
      <mc:AlternateContent>
        <mc:Choice Requires="wps">
          <w:drawing>
            <wp:anchor distT="0" distB="0" distL="0" distR="0" simplePos="0" relativeHeight="251658244" behindDoc="0" locked="0" layoutInCell="1" allowOverlap="1" wp14:anchorId="587CF45F" wp14:editId="45B1E008">
              <wp:simplePos x="635" y="635"/>
              <wp:positionH relativeFrom="page">
                <wp:align>center</wp:align>
              </wp:positionH>
              <wp:positionV relativeFrom="page">
                <wp:align>bottom</wp:align>
              </wp:positionV>
              <wp:extent cx="551815" cy="376555"/>
              <wp:effectExtent l="0" t="0" r="635" b="0"/>
              <wp:wrapNone/>
              <wp:docPr id="7461753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ED420ED" w14:textId="4AFFE822" w:rsidR="00874754" w:rsidRPr="00874754" w:rsidRDefault="00874754" w:rsidP="00874754">
                          <w:pPr>
                            <w:rPr>
                              <w:rFonts w:eastAsia="Calibri" w:cs="Calibri"/>
                              <w:noProof/>
                              <w:color w:val="FF0000"/>
                            </w:rPr>
                          </w:pPr>
                          <w:r w:rsidRPr="00874754">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7CF45F"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1ED420ED" w14:textId="4AFFE822" w:rsidR="00874754" w:rsidRPr="00874754" w:rsidRDefault="00874754" w:rsidP="00874754">
                    <w:pPr>
                      <w:rPr>
                        <w:rFonts w:eastAsia="Calibri" w:cs="Calibri"/>
                        <w:noProof/>
                        <w:color w:val="FF0000"/>
                      </w:rPr>
                    </w:pPr>
                    <w:r w:rsidRPr="00874754">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26963276" w:rsidR="00D843F2" w:rsidRPr="006D075E" w:rsidRDefault="00D843F2" w:rsidP="00753B29">
    <w:pPr>
      <w:jc w:val="center"/>
    </w:pPr>
  </w:p>
  <w:p w14:paraId="37484CD3" w14:textId="01F63520" w:rsidR="00D843F2" w:rsidRPr="006D075E" w:rsidRDefault="00000000" w:rsidP="00AB5410">
    <w:pPr>
      <w:pStyle w:val="PageFooter"/>
    </w:pPr>
    <w:sdt>
      <w:sdtPr>
        <w:id w:val="1036156457"/>
        <w:docPartObj>
          <w:docPartGallery w:val="Page Numbers (Bottom of Page)"/>
          <w:docPartUnique/>
        </w:docPartObj>
      </w:sdtPr>
      <w:sdtContent>
        <w:r w:rsidR="00D843F2" w:rsidRPr="006D075E">
          <w:fldChar w:fldCharType="begin"/>
        </w:r>
        <w:r w:rsidR="00D843F2" w:rsidRPr="006D075E">
          <w:instrText xml:space="preserve"> PAGE   \* MERGEFORMAT </w:instrText>
        </w:r>
        <w:r w:rsidR="00D843F2" w:rsidRPr="006D075E">
          <w:fldChar w:fldCharType="separate"/>
        </w:r>
        <w:r w:rsidR="00D843F2" w:rsidRPr="006D075E">
          <w:t>2</w:t>
        </w:r>
        <w:r w:rsidR="00D843F2" w:rsidRPr="006D075E">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351A" w14:textId="4DD49365" w:rsidR="00874754" w:rsidRDefault="00874754">
    <w:pPr>
      <w:pStyle w:val="Footer"/>
    </w:pPr>
    <w:r>
      <w:rPr>
        <w:noProof/>
      </w:rPr>
      <mc:AlternateContent>
        <mc:Choice Requires="wps">
          <w:drawing>
            <wp:anchor distT="0" distB="0" distL="0" distR="0" simplePos="0" relativeHeight="251658243" behindDoc="0" locked="0" layoutInCell="1" allowOverlap="1" wp14:anchorId="6F277609" wp14:editId="50A6E7A4">
              <wp:simplePos x="635" y="635"/>
              <wp:positionH relativeFrom="page">
                <wp:align>center</wp:align>
              </wp:positionH>
              <wp:positionV relativeFrom="page">
                <wp:align>bottom</wp:align>
              </wp:positionV>
              <wp:extent cx="551815" cy="376555"/>
              <wp:effectExtent l="0" t="0" r="635" b="0"/>
              <wp:wrapNone/>
              <wp:docPr id="18381871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70AF35" w14:textId="00FE7EC4" w:rsidR="00874754" w:rsidRPr="00874754" w:rsidRDefault="00874754" w:rsidP="00874754">
                          <w:pPr>
                            <w:rPr>
                              <w:rFonts w:eastAsia="Calibri" w:cs="Calibri"/>
                              <w:noProof/>
                              <w:color w:val="FF0000"/>
                            </w:rPr>
                          </w:pPr>
                          <w:r w:rsidRPr="00874754">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277609"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5F70AF35" w14:textId="00FE7EC4" w:rsidR="00874754" w:rsidRPr="00874754" w:rsidRDefault="00874754" w:rsidP="00874754">
                    <w:pPr>
                      <w:rPr>
                        <w:rFonts w:eastAsia="Calibri" w:cs="Calibri"/>
                        <w:noProof/>
                        <w:color w:val="FF0000"/>
                      </w:rPr>
                    </w:pPr>
                    <w:r w:rsidRPr="00874754">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8CF26" w14:textId="77777777" w:rsidR="00295830" w:rsidRPr="006D075E" w:rsidRDefault="00295830" w:rsidP="00124A51">
      <w:r w:rsidRPr="006D075E">
        <w:separator/>
      </w:r>
    </w:p>
    <w:p w14:paraId="69DFD173" w14:textId="77777777" w:rsidR="00295830" w:rsidRPr="006D075E" w:rsidRDefault="00295830"/>
    <w:p w14:paraId="4A731127" w14:textId="77777777" w:rsidR="00295830" w:rsidRPr="006D075E" w:rsidRDefault="00295830"/>
    <w:p w14:paraId="3B65DFFB" w14:textId="77777777" w:rsidR="00295830" w:rsidRPr="006D075E" w:rsidRDefault="00295830"/>
  </w:footnote>
  <w:footnote w:type="continuationSeparator" w:id="0">
    <w:p w14:paraId="34868006" w14:textId="77777777" w:rsidR="00295830" w:rsidRPr="006D075E" w:rsidRDefault="00295830" w:rsidP="00124A51">
      <w:r w:rsidRPr="006D075E">
        <w:continuationSeparator/>
      </w:r>
    </w:p>
    <w:p w14:paraId="26EA3947" w14:textId="77777777" w:rsidR="00295830" w:rsidRPr="006D075E" w:rsidRDefault="00295830"/>
    <w:p w14:paraId="02A41D22" w14:textId="77777777" w:rsidR="00295830" w:rsidRPr="006D075E" w:rsidRDefault="00295830"/>
    <w:p w14:paraId="6CFE47A3" w14:textId="77777777" w:rsidR="00295830" w:rsidRPr="006D075E" w:rsidRDefault="00295830"/>
  </w:footnote>
  <w:footnote w:type="continuationNotice" w:id="1">
    <w:p w14:paraId="4BE8F5A6" w14:textId="77777777" w:rsidR="00295830" w:rsidRPr="006D075E" w:rsidRDefault="002958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3A9E" w14:textId="1282ED3C" w:rsidR="00874754" w:rsidRDefault="00874754">
    <w:pPr>
      <w:pStyle w:val="Header"/>
    </w:pPr>
    <w:r>
      <w:rPr>
        <w:noProof/>
      </w:rPr>
      <mc:AlternateContent>
        <mc:Choice Requires="wps">
          <w:drawing>
            <wp:anchor distT="0" distB="0" distL="0" distR="0" simplePos="0" relativeHeight="251658241" behindDoc="0" locked="0" layoutInCell="1" allowOverlap="1" wp14:anchorId="43D3D5D0" wp14:editId="56048698">
              <wp:simplePos x="635" y="635"/>
              <wp:positionH relativeFrom="page">
                <wp:align>center</wp:align>
              </wp:positionH>
              <wp:positionV relativeFrom="page">
                <wp:align>top</wp:align>
              </wp:positionV>
              <wp:extent cx="551815" cy="376555"/>
              <wp:effectExtent l="0" t="0" r="635" b="4445"/>
              <wp:wrapNone/>
              <wp:docPr id="6468033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F11E32" w14:textId="2F202AAC" w:rsidR="00874754" w:rsidRPr="00874754" w:rsidRDefault="00874754" w:rsidP="00874754">
                          <w:pPr>
                            <w:rPr>
                              <w:rFonts w:eastAsia="Calibri" w:cs="Calibri"/>
                              <w:noProof/>
                              <w:color w:val="FF0000"/>
                            </w:rPr>
                          </w:pPr>
                          <w:r w:rsidRPr="00874754">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D3D5D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AF11E32" w14:textId="2F202AAC" w:rsidR="00874754" w:rsidRPr="00874754" w:rsidRDefault="00874754" w:rsidP="00874754">
                    <w:pPr>
                      <w:rPr>
                        <w:rFonts w:eastAsia="Calibri" w:cs="Calibri"/>
                        <w:noProof/>
                        <w:color w:val="FF0000"/>
                      </w:rPr>
                    </w:pPr>
                    <w:r w:rsidRPr="00874754">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70C6ED8F" w:rsidR="00D843F2" w:rsidRPr="006D075E" w:rsidRDefault="00874754" w:rsidP="00A51C91">
    <w:pPr>
      <w:pStyle w:val="Header"/>
      <w:rPr>
        <w:rFonts w:asciiTheme="minorHAnsi" w:hAnsiTheme="minorHAnsi"/>
        <w:color w:val="808080"/>
      </w:rPr>
    </w:pPr>
    <w:r>
      <w:rPr>
        <w:rFonts w:asciiTheme="minorHAnsi" w:hAnsiTheme="minorHAnsi"/>
        <w:color w:val="808080"/>
      </w:rPr>
      <w:t>Public Summary Document</w:t>
    </w:r>
    <w:r w:rsidR="00CB068B" w:rsidRPr="006D075E">
      <w:rPr>
        <w:rFonts w:asciiTheme="minorHAnsi" w:hAnsiTheme="minorHAnsi"/>
        <w:color w:val="808080"/>
      </w:rPr>
      <w:t xml:space="preserve"> - </w:t>
    </w:r>
    <w:r w:rsidR="008A7C8D" w:rsidRPr="006D075E">
      <w:rPr>
        <w:rFonts w:asciiTheme="minorHAnsi" w:hAnsiTheme="minorHAnsi"/>
        <w:color w:val="808080"/>
      </w:rPr>
      <w:t>July</w:t>
    </w:r>
    <w:r w:rsidR="00D843F2" w:rsidRPr="006D075E">
      <w:rPr>
        <w:rFonts w:asciiTheme="minorHAnsi" w:hAnsiTheme="minorHAnsi"/>
        <w:color w:val="808080"/>
      </w:rPr>
      <w:t xml:space="preserve"> 202</w:t>
    </w:r>
    <w:r w:rsidR="008A7C8D" w:rsidRPr="006D075E">
      <w:rPr>
        <w:rFonts w:asciiTheme="minorHAnsi" w:hAnsiTheme="minorHAnsi"/>
        <w:color w:val="808080"/>
      </w:rPr>
      <w:t>5</w:t>
    </w:r>
    <w:r w:rsidR="00D843F2" w:rsidRPr="006D075E">
      <w:rPr>
        <w:rFonts w:asciiTheme="minorHAnsi" w:hAnsiTheme="minorHAnsi"/>
        <w:color w:val="808080"/>
      </w:rPr>
      <w:t xml:space="preserve"> PBAC Meeting</w:t>
    </w:r>
  </w:p>
  <w:p w14:paraId="03AF943B" w14:textId="77777777" w:rsidR="00D843F2" w:rsidRPr="006D075E" w:rsidRDefault="00D843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3EF5" w14:textId="55374FA6" w:rsidR="00874754" w:rsidRDefault="00874754">
    <w:pPr>
      <w:pStyle w:val="Header"/>
    </w:pPr>
    <w:r>
      <w:rPr>
        <w:noProof/>
      </w:rPr>
      <mc:AlternateContent>
        <mc:Choice Requires="wps">
          <w:drawing>
            <wp:anchor distT="0" distB="0" distL="0" distR="0" simplePos="0" relativeHeight="251658240" behindDoc="0" locked="0" layoutInCell="1" allowOverlap="1" wp14:anchorId="45F7820C" wp14:editId="65A72EB9">
              <wp:simplePos x="635" y="635"/>
              <wp:positionH relativeFrom="page">
                <wp:align>center</wp:align>
              </wp:positionH>
              <wp:positionV relativeFrom="page">
                <wp:align>top</wp:align>
              </wp:positionV>
              <wp:extent cx="551815" cy="376555"/>
              <wp:effectExtent l="0" t="0" r="635" b="4445"/>
              <wp:wrapNone/>
              <wp:docPr id="17373256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F1ADE5" w14:textId="34A904DB" w:rsidR="00874754" w:rsidRPr="00874754" w:rsidRDefault="00874754" w:rsidP="00874754">
                          <w:pPr>
                            <w:rPr>
                              <w:rFonts w:eastAsia="Calibri" w:cs="Calibri"/>
                              <w:noProof/>
                              <w:color w:val="FF0000"/>
                            </w:rPr>
                          </w:pPr>
                          <w:r w:rsidRPr="00874754">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F7820C"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AF1ADE5" w14:textId="34A904DB" w:rsidR="00874754" w:rsidRPr="00874754" w:rsidRDefault="00874754" w:rsidP="00874754">
                    <w:pPr>
                      <w:rPr>
                        <w:rFonts w:eastAsia="Calibri" w:cs="Calibri"/>
                        <w:noProof/>
                        <w:color w:val="FF0000"/>
                      </w:rPr>
                    </w:pPr>
                    <w:r w:rsidRPr="00874754">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02A4B2"/>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A202260"/>
    <w:multiLevelType w:val="hybridMultilevel"/>
    <w:tmpl w:val="8B7A4D48"/>
    <w:lvl w:ilvl="0" w:tplc="99DABFF2">
      <w:start w:val="1"/>
      <w:numFmt w:val="decimal"/>
      <w:lvlText w:val="%1."/>
      <w:lvlJc w:val="left"/>
      <w:pPr>
        <w:ind w:left="720" w:hanging="360"/>
      </w:pPr>
      <w:rPr>
        <w:rFonts w:asciiTheme="minorHAnsi" w:hAnsiTheme="minorHAnsi" w:cstheme="minorHAnsi" w:hint="default"/>
        <w:i/>
        <w:iCs/>
        <w:strike w:val="0"/>
      </w:rPr>
    </w:lvl>
    <w:lvl w:ilvl="1" w:tplc="4E52EED4">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D3272"/>
    <w:multiLevelType w:val="hybridMultilevel"/>
    <w:tmpl w:val="E6C0FA10"/>
    <w:lvl w:ilvl="0" w:tplc="E4288D88">
      <w:start w:val="1"/>
      <w:numFmt w:val="bullet"/>
      <w:lvlText w:val=""/>
      <w:lvlJc w:val="left"/>
      <w:pPr>
        <w:ind w:left="1080" w:hanging="360"/>
      </w:pPr>
      <w:rPr>
        <w:rFonts w:ascii="Symbol" w:hAnsi="Symbol"/>
      </w:rPr>
    </w:lvl>
    <w:lvl w:ilvl="1" w:tplc="3E8CDBE4">
      <w:start w:val="1"/>
      <w:numFmt w:val="bullet"/>
      <w:lvlText w:val=""/>
      <w:lvlJc w:val="left"/>
      <w:pPr>
        <w:ind w:left="1080" w:hanging="360"/>
      </w:pPr>
      <w:rPr>
        <w:rFonts w:ascii="Symbol" w:hAnsi="Symbol"/>
      </w:rPr>
    </w:lvl>
    <w:lvl w:ilvl="2" w:tplc="340E6700">
      <w:start w:val="1"/>
      <w:numFmt w:val="bullet"/>
      <w:lvlText w:val=""/>
      <w:lvlJc w:val="left"/>
      <w:pPr>
        <w:ind w:left="1080" w:hanging="360"/>
      </w:pPr>
      <w:rPr>
        <w:rFonts w:ascii="Symbol" w:hAnsi="Symbol"/>
      </w:rPr>
    </w:lvl>
    <w:lvl w:ilvl="3" w:tplc="0268B5AC">
      <w:start w:val="1"/>
      <w:numFmt w:val="bullet"/>
      <w:lvlText w:val=""/>
      <w:lvlJc w:val="left"/>
      <w:pPr>
        <w:ind w:left="1080" w:hanging="360"/>
      </w:pPr>
      <w:rPr>
        <w:rFonts w:ascii="Symbol" w:hAnsi="Symbol"/>
      </w:rPr>
    </w:lvl>
    <w:lvl w:ilvl="4" w:tplc="01F21CF4">
      <w:start w:val="1"/>
      <w:numFmt w:val="bullet"/>
      <w:lvlText w:val=""/>
      <w:lvlJc w:val="left"/>
      <w:pPr>
        <w:ind w:left="1080" w:hanging="360"/>
      </w:pPr>
      <w:rPr>
        <w:rFonts w:ascii="Symbol" w:hAnsi="Symbol"/>
      </w:rPr>
    </w:lvl>
    <w:lvl w:ilvl="5" w:tplc="3F7AB9C2">
      <w:start w:val="1"/>
      <w:numFmt w:val="bullet"/>
      <w:lvlText w:val=""/>
      <w:lvlJc w:val="left"/>
      <w:pPr>
        <w:ind w:left="1080" w:hanging="360"/>
      </w:pPr>
      <w:rPr>
        <w:rFonts w:ascii="Symbol" w:hAnsi="Symbol"/>
      </w:rPr>
    </w:lvl>
    <w:lvl w:ilvl="6" w:tplc="EC647306">
      <w:start w:val="1"/>
      <w:numFmt w:val="bullet"/>
      <w:lvlText w:val=""/>
      <w:lvlJc w:val="left"/>
      <w:pPr>
        <w:ind w:left="1080" w:hanging="360"/>
      </w:pPr>
      <w:rPr>
        <w:rFonts w:ascii="Symbol" w:hAnsi="Symbol"/>
      </w:rPr>
    </w:lvl>
    <w:lvl w:ilvl="7" w:tplc="509CDB6E">
      <w:start w:val="1"/>
      <w:numFmt w:val="bullet"/>
      <w:lvlText w:val=""/>
      <w:lvlJc w:val="left"/>
      <w:pPr>
        <w:ind w:left="1080" w:hanging="360"/>
      </w:pPr>
      <w:rPr>
        <w:rFonts w:ascii="Symbol" w:hAnsi="Symbol"/>
      </w:rPr>
    </w:lvl>
    <w:lvl w:ilvl="8" w:tplc="CEF8766A">
      <w:start w:val="1"/>
      <w:numFmt w:val="bullet"/>
      <w:lvlText w:val=""/>
      <w:lvlJc w:val="left"/>
      <w:pPr>
        <w:ind w:left="1080" w:hanging="360"/>
      </w:pPr>
      <w:rPr>
        <w:rFonts w:ascii="Symbol" w:hAnsi="Symbol"/>
      </w:rPr>
    </w:lvl>
  </w:abstractNum>
  <w:abstractNum w:abstractNumId="3" w15:restartNumberingAfterBreak="0">
    <w:nsid w:val="144961E0"/>
    <w:multiLevelType w:val="hybridMultilevel"/>
    <w:tmpl w:val="27D0AE3A"/>
    <w:lvl w:ilvl="0" w:tplc="6C7ADD2A">
      <w:start w:val="1"/>
      <w:numFmt w:val="bullet"/>
      <w:lvlText w:val=""/>
      <w:lvlJc w:val="left"/>
      <w:pPr>
        <w:ind w:left="1800" w:hanging="360"/>
      </w:pPr>
      <w:rPr>
        <w:rFonts w:ascii="Symbol" w:hAnsi="Symbol"/>
      </w:rPr>
    </w:lvl>
    <w:lvl w:ilvl="1" w:tplc="340E7EAC">
      <w:start w:val="1"/>
      <w:numFmt w:val="bullet"/>
      <w:lvlText w:val=""/>
      <w:lvlJc w:val="left"/>
      <w:pPr>
        <w:ind w:left="1800" w:hanging="360"/>
      </w:pPr>
      <w:rPr>
        <w:rFonts w:ascii="Symbol" w:hAnsi="Symbol"/>
      </w:rPr>
    </w:lvl>
    <w:lvl w:ilvl="2" w:tplc="FFE23718">
      <w:start w:val="1"/>
      <w:numFmt w:val="bullet"/>
      <w:lvlText w:val=""/>
      <w:lvlJc w:val="left"/>
      <w:pPr>
        <w:ind w:left="1800" w:hanging="360"/>
      </w:pPr>
      <w:rPr>
        <w:rFonts w:ascii="Symbol" w:hAnsi="Symbol"/>
      </w:rPr>
    </w:lvl>
    <w:lvl w:ilvl="3" w:tplc="26003D58">
      <w:start w:val="1"/>
      <w:numFmt w:val="bullet"/>
      <w:lvlText w:val=""/>
      <w:lvlJc w:val="left"/>
      <w:pPr>
        <w:ind w:left="1800" w:hanging="360"/>
      </w:pPr>
      <w:rPr>
        <w:rFonts w:ascii="Symbol" w:hAnsi="Symbol"/>
      </w:rPr>
    </w:lvl>
    <w:lvl w:ilvl="4" w:tplc="B9C089D6">
      <w:start w:val="1"/>
      <w:numFmt w:val="bullet"/>
      <w:lvlText w:val=""/>
      <w:lvlJc w:val="left"/>
      <w:pPr>
        <w:ind w:left="1800" w:hanging="360"/>
      </w:pPr>
      <w:rPr>
        <w:rFonts w:ascii="Symbol" w:hAnsi="Symbol"/>
      </w:rPr>
    </w:lvl>
    <w:lvl w:ilvl="5" w:tplc="7FD0AFFE">
      <w:start w:val="1"/>
      <w:numFmt w:val="bullet"/>
      <w:lvlText w:val=""/>
      <w:lvlJc w:val="left"/>
      <w:pPr>
        <w:ind w:left="1800" w:hanging="360"/>
      </w:pPr>
      <w:rPr>
        <w:rFonts w:ascii="Symbol" w:hAnsi="Symbol"/>
      </w:rPr>
    </w:lvl>
    <w:lvl w:ilvl="6" w:tplc="57443E16">
      <w:start w:val="1"/>
      <w:numFmt w:val="bullet"/>
      <w:lvlText w:val=""/>
      <w:lvlJc w:val="left"/>
      <w:pPr>
        <w:ind w:left="1800" w:hanging="360"/>
      </w:pPr>
      <w:rPr>
        <w:rFonts w:ascii="Symbol" w:hAnsi="Symbol"/>
      </w:rPr>
    </w:lvl>
    <w:lvl w:ilvl="7" w:tplc="5A0ABD3C">
      <w:start w:val="1"/>
      <w:numFmt w:val="bullet"/>
      <w:lvlText w:val=""/>
      <w:lvlJc w:val="left"/>
      <w:pPr>
        <w:ind w:left="1800" w:hanging="360"/>
      </w:pPr>
      <w:rPr>
        <w:rFonts w:ascii="Symbol" w:hAnsi="Symbol"/>
      </w:rPr>
    </w:lvl>
    <w:lvl w:ilvl="8" w:tplc="27AA023A">
      <w:start w:val="1"/>
      <w:numFmt w:val="bullet"/>
      <w:lvlText w:val=""/>
      <w:lvlJc w:val="left"/>
      <w:pPr>
        <w:ind w:left="1800" w:hanging="360"/>
      </w:pPr>
      <w:rPr>
        <w:rFonts w:ascii="Symbol" w:hAnsi="Symbol"/>
      </w:rPr>
    </w:lvl>
  </w:abstractNum>
  <w:abstractNum w:abstractNumId="4" w15:restartNumberingAfterBreak="0">
    <w:nsid w:val="1BCB64CD"/>
    <w:multiLevelType w:val="hybridMultilevel"/>
    <w:tmpl w:val="C0D2CEB2"/>
    <w:lvl w:ilvl="0" w:tplc="111CD134">
      <w:start w:val="1"/>
      <w:numFmt w:val="bullet"/>
      <w:lvlText w:val=""/>
      <w:lvlJc w:val="left"/>
      <w:pPr>
        <w:ind w:left="1800" w:hanging="360"/>
      </w:pPr>
      <w:rPr>
        <w:rFonts w:ascii="Symbol" w:hAnsi="Symbol"/>
      </w:rPr>
    </w:lvl>
    <w:lvl w:ilvl="1" w:tplc="2E06EA3C">
      <w:start w:val="1"/>
      <w:numFmt w:val="bullet"/>
      <w:lvlText w:val=""/>
      <w:lvlJc w:val="left"/>
      <w:pPr>
        <w:ind w:left="1800" w:hanging="360"/>
      </w:pPr>
      <w:rPr>
        <w:rFonts w:ascii="Symbol" w:hAnsi="Symbol"/>
      </w:rPr>
    </w:lvl>
    <w:lvl w:ilvl="2" w:tplc="B7A6CE30">
      <w:start w:val="1"/>
      <w:numFmt w:val="bullet"/>
      <w:lvlText w:val=""/>
      <w:lvlJc w:val="left"/>
      <w:pPr>
        <w:ind w:left="1800" w:hanging="360"/>
      </w:pPr>
      <w:rPr>
        <w:rFonts w:ascii="Symbol" w:hAnsi="Symbol"/>
      </w:rPr>
    </w:lvl>
    <w:lvl w:ilvl="3" w:tplc="B3BE12F8">
      <w:start w:val="1"/>
      <w:numFmt w:val="bullet"/>
      <w:lvlText w:val=""/>
      <w:lvlJc w:val="left"/>
      <w:pPr>
        <w:ind w:left="1800" w:hanging="360"/>
      </w:pPr>
      <w:rPr>
        <w:rFonts w:ascii="Symbol" w:hAnsi="Symbol"/>
      </w:rPr>
    </w:lvl>
    <w:lvl w:ilvl="4" w:tplc="044AEAFA">
      <w:start w:val="1"/>
      <w:numFmt w:val="bullet"/>
      <w:lvlText w:val=""/>
      <w:lvlJc w:val="left"/>
      <w:pPr>
        <w:ind w:left="1800" w:hanging="360"/>
      </w:pPr>
      <w:rPr>
        <w:rFonts w:ascii="Symbol" w:hAnsi="Symbol"/>
      </w:rPr>
    </w:lvl>
    <w:lvl w:ilvl="5" w:tplc="32C8791C">
      <w:start w:val="1"/>
      <w:numFmt w:val="bullet"/>
      <w:lvlText w:val=""/>
      <w:lvlJc w:val="left"/>
      <w:pPr>
        <w:ind w:left="1800" w:hanging="360"/>
      </w:pPr>
      <w:rPr>
        <w:rFonts w:ascii="Symbol" w:hAnsi="Symbol"/>
      </w:rPr>
    </w:lvl>
    <w:lvl w:ilvl="6" w:tplc="BD422B2E">
      <w:start w:val="1"/>
      <w:numFmt w:val="bullet"/>
      <w:lvlText w:val=""/>
      <w:lvlJc w:val="left"/>
      <w:pPr>
        <w:ind w:left="1800" w:hanging="360"/>
      </w:pPr>
      <w:rPr>
        <w:rFonts w:ascii="Symbol" w:hAnsi="Symbol"/>
      </w:rPr>
    </w:lvl>
    <w:lvl w:ilvl="7" w:tplc="E5581D02">
      <w:start w:val="1"/>
      <w:numFmt w:val="bullet"/>
      <w:lvlText w:val=""/>
      <w:lvlJc w:val="left"/>
      <w:pPr>
        <w:ind w:left="1800" w:hanging="360"/>
      </w:pPr>
      <w:rPr>
        <w:rFonts w:ascii="Symbol" w:hAnsi="Symbol"/>
      </w:rPr>
    </w:lvl>
    <w:lvl w:ilvl="8" w:tplc="56EC2EAC">
      <w:start w:val="1"/>
      <w:numFmt w:val="bullet"/>
      <w:lvlText w:val=""/>
      <w:lvlJc w:val="left"/>
      <w:pPr>
        <w:ind w:left="1800" w:hanging="360"/>
      </w:pPr>
      <w:rPr>
        <w:rFonts w:ascii="Symbol" w:hAnsi="Symbol"/>
      </w:rPr>
    </w:lvl>
  </w:abstractNum>
  <w:abstractNum w:abstractNumId="5" w15:restartNumberingAfterBreak="0">
    <w:nsid w:val="1EC105BD"/>
    <w:multiLevelType w:val="hybridMultilevel"/>
    <w:tmpl w:val="93BC0C7A"/>
    <w:lvl w:ilvl="0" w:tplc="F06039FE">
      <w:start w:val="1"/>
      <w:numFmt w:val="bullet"/>
      <w:lvlText w:val=""/>
      <w:lvlJc w:val="left"/>
      <w:pPr>
        <w:ind w:left="1080" w:hanging="360"/>
      </w:pPr>
      <w:rPr>
        <w:rFonts w:ascii="Symbol" w:hAnsi="Symbol"/>
      </w:rPr>
    </w:lvl>
    <w:lvl w:ilvl="1" w:tplc="19F63608">
      <w:start w:val="1"/>
      <w:numFmt w:val="bullet"/>
      <w:lvlText w:val=""/>
      <w:lvlJc w:val="left"/>
      <w:pPr>
        <w:ind w:left="1080" w:hanging="360"/>
      </w:pPr>
      <w:rPr>
        <w:rFonts w:ascii="Symbol" w:hAnsi="Symbol"/>
      </w:rPr>
    </w:lvl>
    <w:lvl w:ilvl="2" w:tplc="567C5F3A">
      <w:start w:val="1"/>
      <w:numFmt w:val="bullet"/>
      <w:lvlText w:val=""/>
      <w:lvlJc w:val="left"/>
      <w:pPr>
        <w:ind w:left="1080" w:hanging="360"/>
      </w:pPr>
      <w:rPr>
        <w:rFonts w:ascii="Symbol" w:hAnsi="Symbol"/>
      </w:rPr>
    </w:lvl>
    <w:lvl w:ilvl="3" w:tplc="AD60E1F2">
      <w:start w:val="1"/>
      <w:numFmt w:val="bullet"/>
      <w:lvlText w:val=""/>
      <w:lvlJc w:val="left"/>
      <w:pPr>
        <w:ind w:left="1080" w:hanging="360"/>
      </w:pPr>
      <w:rPr>
        <w:rFonts w:ascii="Symbol" w:hAnsi="Symbol"/>
      </w:rPr>
    </w:lvl>
    <w:lvl w:ilvl="4" w:tplc="B066BF1E">
      <w:start w:val="1"/>
      <w:numFmt w:val="bullet"/>
      <w:lvlText w:val=""/>
      <w:lvlJc w:val="left"/>
      <w:pPr>
        <w:ind w:left="1080" w:hanging="360"/>
      </w:pPr>
      <w:rPr>
        <w:rFonts w:ascii="Symbol" w:hAnsi="Symbol"/>
      </w:rPr>
    </w:lvl>
    <w:lvl w:ilvl="5" w:tplc="79D2D16E">
      <w:start w:val="1"/>
      <w:numFmt w:val="bullet"/>
      <w:lvlText w:val=""/>
      <w:lvlJc w:val="left"/>
      <w:pPr>
        <w:ind w:left="1080" w:hanging="360"/>
      </w:pPr>
      <w:rPr>
        <w:rFonts w:ascii="Symbol" w:hAnsi="Symbol"/>
      </w:rPr>
    </w:lvl>
    <w:lvl w:ilvl="6" w:tplc="2672551E">
      <w:start w:val="1"/>
      <w:numFmt w:val="bullet"/>
      <w:lvlText w:val=""/>
      <w:lvlJc w:val="left"/>
      <w:pPr>
        <w:ind w:left="1080" w:hanging="360"/>
      </w:pPr>
      <w:rPr>
        <w:rFonts w:ascii="Symbol" w:hAnsi="Symbol"/>
      </w:rPr>
    </w:lvl>
    <w:lvl w:ilvl="7" w:tplc="C5E2FEC0">
      <w:start w:val="1"/>
      <w:numFmt w:val="bullet"/>
      <w:lvlText w:val=""/>
      <w:lvlJc w:val="left"/>
      <w:pPr>
        <w:ind w:left="1080" w:hanging="360"/>
      </w:pPr>
      <w:rPr>
        <w:rFonts w:ascii="Symbol" w:hAnsi="Symbol"/>
      </w:rPr>
    </w:lvl>
    <w:lvl w:ilvl="8" w:tplc="CFA0B4F2">
      <w:start w:val="1"/>
      <w:numFmt w:val="bullet"/>
      <w:lvlText w:val=""/>
      <w:lvlJc w:val="left"/>
      <w:pPr>
        <w:ind w:left="1080" w:hanging="360"/>
      </w:pPr>
      <w:rPr>
        <w:rFonts w:ascii="Symbol" w:hAnsi="Symbol"/>
      </w:rPr>
    </w:lvl>
  </w:abstractNum>
  <w:abstractNum w:abstractNumId="6" w15:restartNumberingAfterBreak="0">
    <w:nsid w:val="1F9553D8"/>
    <w:multiLevelType w:val="hybridMultilevel"/>
    <w:tmpl w:val="B608BEE2"/>
    <w:lvl w:ilvl="0" w:tplc="6CC062FE">
      <w:start w:val="1"/>
      <w:numFmt w:val="bullet"/>
      <w:lvlText w:val=""/>
      <w:lvlJc w:val="left"/>
      <w:pPr>
        <w:ind w:left="1800" w:hanging="360"/>
      </w:pPr>
      <w:rPr>
        <w:rFonts w:ascii="Symbol" w:hAnsi="Symbol"/>
      </w:rPr>
    </w:lvl>
    <w:lvl w:ilvl="1" w:tplc="2F1236D2">
      <w:start w:val="1"/>
      <w:numFmt w:val="bullet"/>
      <w:lvlText w:val=""/>
      <w:lvlJc w:val="left"/>
      <w:pPr>
        <w:ind w:left="1800" w:hanging="360"/>
      </w:pPr>
      <w:rPr>
        <w:rFonts w:ascii="Symbol" w:hAnsi="Symbol"/>
      </w:rPr>
    </w:lvl>
    <w:lvl w:ilvl="2" w:tplc="65C259AC">
      <w:start w:val="1"/>
      <w:numFmt w:val="bullet"/>
      <w:lvlText w:val=""/>
      <w:lvlJc w:val="left"/>
      <w:pPr>
        <w:ind w:left="1800" w:hanging="360"/>
      </w:pPr>
      <w:rPr>
        <w:rFonts w:ascii="Symbol" w:hAnsi="Symbol"/>
      </w:rPr>
    </w:lvl>
    <w:lvl w:ilvl="3" w:tplc="9632681E">
      <w:start w:val="1"/>
      <w:numFmt w:val="bullet"/>
      <w:lvlText w:val=""/>
      <w:lvlJc w:val="left"/>
      <w:pPr>
        <w:ind w:left="1800" w:hanging="360"/>
      </w:pPr>
      <w:rPr>
        <w:rFonts w:ascii="Symbol" w:hAnsi="Symbol"/>
      </w:rPr>
    </w:lvl>
    <w:lvl w:ilvl="4" w:tplc="D9DC6B98">
      <w:start w:val="1"/>
      <w:numFmt w:val="bullet"/>
      <w:lvlText w:val=""/>
      <w:lvlJc w:val="left"/>
      <w:pPr>
        <w:ind w:left="1800" w:hanging="360"/>
      </w:pPr>
      <w:rPr>
        <w:rFonts w:ascii="Symbol" w:hAnsi="Symbol"/>
      </w:rPr>
    </w:lvl>
    <w:lvl w:ilvl="5" w:tplc="425C32AE">
      <w:start w:val="1"/>
      <w:numFmt w:val="bullet"/>
      <w:lvlText w:val=""/>
      <w:lvlJc w:val="left"/>
      <w:pPr>
        <w:ind w:left="1800" w:hanging="360"/>
      </w:pPr>
      <w:rPr>
        <w:rFonts w:ascii="Symbol" w:hAnsi="Symbol"/>
      </w:rPr>
    </w:lvl>
    <w:lvl w:ilvl="6" w:tplc="C7DE0EF0">
      <w:start w:val="1"/>
      <w:numFmt w:val="bullet"/>
      <w:lvlText w:val=""/>
      <w:lvlJc w:val="left"/>
      <w:pPr>
        <w:ind w:left="1800" w:hanging="360"/>
      </w:pPr>
      <w:rPr>
        <w:rFonts w:ascii="Symbol" w:hAnsi="Symbol"/>
      </w:rPr>
    </w:lvl>
    <w:lvl w:ilvl="7" w:tplc="57F0E6E8">
      <w:start w:val="1"/>
      <w:numFmt w:val="bullet"/>
      <w:lvlText w:val=""/>
      <w:lvlJc w:val="left"/>
      <w:pPr>
        <w:ind w:left="1800" w:hanging="360"/>
      </w:pPr>
      <w:rPr>
        <w:rFonts w:ascii="Symbol" w:hAnsi="Symbol"/>
      </w:rPr>
    </w:lvl>
    <w:lvl w:ilvl="8" w:tplc="048A933E">
      <w:start w:val="1"/>
      <w:numFmt w:val="bullet"/>
      <w:lvlText w:val=""/>
      <w:lvlJc w:val="left"/>
      <w:pPr>
        <w:ind w:left="1800" w:hanging="360"/>
      </w:pPr>
      <w:rPr>
        <w:rFonts w:ascii="Symbol" w:hAnsi="Symbol"/>
      </w:rPr>
    </w:lvl>
  </w:abstractNum>
  <w:abstractNum w:abstractNumId="7"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312663"/>
    <w:multiLevelType w:val="hybridMultilevel"/>
    <w:tmpl w:val="A714526E"/>
    <w:lvl w:ilvl="0" w:tplc="B8DC4FF0">
      <w:start w:val="1"/>
      <w:numFmt w:val="bullet"/>
      <w:lvlText w:val=""/>
      <w:lvlJc w:val="left"/>
      <w:pPr>
        <w:ind w:left="1800" w:hanging="360"/>
      </w:pPr>
      <w:rPr>
        <w:rFonts w:ascii="Symbol" w:hAnsi="Symbol"/>
      </w:rPr>
    </w:lvl>
    <w:lvl w:ilvl="1" w:tplc="36F019B0">
      <w:start w:val="1"/>
      <w:numFmt w:val="bullet"/>
      <w:lvlText w:val=""/>
      <w:lvlJc w:val="left"/>
      <w:pPr>
        <w:ind w:left="1800" w:hanging="360"/>
      </w:pPr>
      <w:rPr>
        <w:rFonts w:ascii="Symbol" w:hAnsi="Symbol"/>
      </w:rPr>
    </w:lvl>
    <w:lvl w:ilvl="2" w:tplc="CE564BD8">
      <w:start w:val="1"/>
      <w:numFmt w:val="bullet"/>
      <w:lvlText w:val=""/>
      <w:lvlJc w:val="left"/>
      <w:pPr>
        <w:ind w:left="1800" w:hanging="360"/>
      </w:pPr>
      <w:rPr>
        <w:rFonts w:ascii="Symbol" w:hAnsi="Symbol"/>
      </w:rPr>
    </w:lvl>
    <w:lvl w:ilvl="3" w:tplc="158E5F6E">
      <w:start w:val="1"/>
      <w:numFmt w:val="bullet"/>
      <w:lvlText w:val=""/>
      <w:lvlJc w:val="left"/>
      <w:pPr>
        <w:ind w:left="1800" w:hanging="360"/>
      </w:pPr>
      <w:rPr>
        <w:rFonts w:ascii="Symbol" w:hAnsi="Symbol"/>
      </w:rPr>
    </w:lvl>
    <w:lvl w:ilvl="4" w:tplc="5D5612F4">
      <w:start w:val="1"/>
      <w:numFmt w:val="bullet"/>
      <w:lvlText w:val=""/>
      <w:lvlJc w:val="left"/>
      <w:pPr>
        <w:ind w:left="1800" w:hanging="360"/>
      </w:pPr>
      <w:rPr>
        <w:rFonts w:ascii="Symbol" w:hAnsi="Symbol"/>
      </w:rPr>
    </w:lvl>
    <w:lvl w:ilvl="5" w:tplc="94E6B984">
      <w:start w:val="1"/>
      <w:numFmt w:val="bullet"/>
      <w:lvlText w:val=""/>
      <w:lvlJc w:val="left"/>
      <w:pPr>
        <w:ind w:left="1800" w:hanging="360"/>
      </w:pPr>
      <w:rPr>
        <w:rFonts w:ascii="Symbol" w:hAnsi="Symbol"/>
      </w:rPr>
    </w:lvl>
    <w:lvl w:ilvl="6" w:tplc="82B25F3A">
      <w:start w:val="1"/>
      <w:numFmt w:val="bullet"/>
      <w:lvlText w:val=""/>
      <w:lvlJc w:val="left"/>
      <w:pPr>
        <w:ind w:left="1800" w:hanging="360"/>
      </w:pPr>
      <w:rPr>
        <w:rFonts w:ascii="Symbol" w:hAnsi="Symbol"/>
      </w:rPr>
    </w:lvl>
    <w:lvl w:ilvl="7" w:tplc="9F9A4FB0">
      <w:start w:val="1"/>
      <w:numFmt w:val="bullet"/>
      <w:lvlText w:val=""/>
      <w:lvlJc w:val="left"/>
      <w:pPr>
        <w:ind w:left="1800" w:hanging="360"/>
      </w:pPr>
      <w:rPr>
        <w:rFonts w:ascii="Symbol" w:hAnsi="Symbol"/>
      </w:rPr>
    </w:lvl>
    <w:lvl w:ilvl="8" w:tplc="A1C6B574">
      <w:start w:val="1"/>
      <w:numFmt w:val="bullet"/>
      <w:lvlText w:val=""/>
      <w:lvlJc w:val="left"/>
      <w:pPr>
        <w:ind w:left="1800" w:hanging="360"/>
      </w:pPr>
      <w:rPr>
        <w:rFonts w:ascii="Symbol" w:hAnsi="Symbol"/>
      </w:rPr>
    </w:lvl>
  </w:abstractNum>
  <w:abstractNum w:abstractNumId="9" w15:restartNumberingAfterBreak="0">
    <w:nsid w:val="211B4DB1"/>
    <w:multiLevelType w:val="hybridMultilevel"/>
    <w:tmpl w:val="A9268B00"/>
    <w:lvl w:ilvl="0" w:tplc="1F08C0A6">
      <w:start w:val="1"/>
      <w:numFmt w:val="bullet"/>
      <w:lvlText w:val=""/>
      <w:lvlJc w:val="left"/>
      <w:pPr>
        <w:ind w:left="1080" w:hanging="360"/>
      </w:pPr>
      <w:rPr>
        <w:rFonts w:ascii="Symbol" w:hAnsi="Symbol"/>
      </w:rPr>
    </w:lvl>
    <w:lvl w:ilvl="1" w:tplc="368851F4">
      <w:start w:val="1"/>
      <w:numFmt w:val="bullet"/>
      <w:lvlText w:val=""/>
      <w:lvlJc w:val="left"/>
      <w:pPr>
        <w:ind w:left="1080" w:hanging="360"/>
      </w:pPr>
      <w:rPr>
        <w:rFonts w:ascii="Symbol" w:hAnsi="Symbol"/>
      </w:rPr>
    </w:lvl>
    <w:lvl w:ilvl="2" w:tplc="7CBCD7A2">
      <w:start w:val="1"/>
      <w:numFmt w:val="bullet"/>
      <w:lvlText w:val=""/>
      <w:lvlJc w:val="left"/>
      <w:pPr>
        <w:ind w:left="1080" w:hanging="360"/>
      </w:pPr>
      <w:rPr>
        <w:rFonts w:ascii="Symbol" w:hAnsi="Symbol"/>
      </w:rPr>
    </w:lvl>
    <w:lvl w:ilvl="3" w:tplc="1640D428">
      <w:start w:val="1"/>
      <w:numFmt w:val="bullet"/>
      <w:lvlText w:val=""/>
      <w:lvlJc w:val="left"/>
      <w:pPr>
        <w:ind w:left="1080" w:hanging="360"/>
      </w:pPr>
      <w:rPr>
        <w:rFonts w:ascii="Symbol" w:hAnsi="Symbol"/>
      </w:rPr>
    </w:lvl>
    <w:lvl w:ilvl="4" w:tplc="8D047CFE">
      <w:start w:val="1"/>
      <w:numFmt w:val="bullet"/>
      <w:lvlText w:val=""/>
      <w:lvlJc w:val="left"/>
      <w:pPr>
        <w:ind w:left="1080" w:hanging="360"/>
      </w:pPr>
      <w:rPr>
        <w:rFonts w:ascii="Symbol" w:hAnsi="Symbol"/>
      </w:rPr>
    </w:lvl>
    <w:lvl w:ilvl="5" w:tplc="AA10B698">
      <w:start w:val="1"/>
      <w:numFmt w:val="bullet"/>
      <w:lvlText w:val=""/>
      <w:lvlJc w:val="left"/>
      <w:pPr>
        <w:ind w:left="1080" w:hanging="360"/>
      </w:pPr>
      <w:rPr>
        <w:rFonts w:ascii="Symbol" w:hAnsi="Symbol"/>
      </w:rPr>
    </w:lvl>
    <w:lvl w:ilvl="6" w:tplc="885EF848">
      <w:start w:val="1"/>
      <w:numFmt w:val="bullet"/>
      <w:lvlText w:val=""/>
      <w:lvlJc w:val="left"/>
      <w:pPr>
        <w:ind w:left="1080" w:hanging="360"/>
      </w:pPr>
      <w:rPr>
        <w:rFonts w:ascii="Symbol" w:hAnsi="Symbol"/>
      </w:rPr>
    </w:lvl>
    <w:lvl w:ilvl="7" w:tplc="9FA4CDE4">
      <w:start w:val="1"/>
      <w:numFmt w:val="bullet"/>
      <w:lvlText w:val=""/>
      <w:lvlJc w:val="left"/>
      <w:pPr>
        <w:ind w:left="1080" w:hanging="360"/>
      </w:pPr>
      <w:rPr>
        <w:rFonts w:ascii="Symbol" w:hAnsi="Symbol"/>
      </w:rPr>
    </w:lvl>
    <w:lvl w:ilvl="8" w:tplc="39ACDDC8">
      <w:start w:val="1"/>
      <w:numFmt w:val="bullet"/>
      <w:lvlText w:val=""/>
      <w:lvlJc w:val="left"/>
      <w:pPr>
        <w:ind w:left="1080" w:hanging="360"/>
      </w:pPr>
      <w:rPr>
        <w:rFonts w:ascii="Symbol" w:hAnsi="Symbol"/>
      </w:rPr>
    </w:lvl>
  </w:abstractNum>
  <w:abstractNum w:abstractNumId="10" w15:restartNumberingAfterBreak="0">
    <w:nsid w:val="21CB2D72"/>
    <w:multiLevelType w:val="hybridMultilevel"/>
    <w:tmpl w:val="6E7AA3B4"/>
    <w:lvl w:ilvl="0" w:tplc="B9CEB490">
      <w:start w:val="1"/>
      <w:numFmt w:val="bullet"/>
      <w:lvlText w:val=""/>
      <w:lvlJc w:val="left"/>
      <w:pPr>
        <w:ind w:left="1800" w:hanging="360"/>
      </w:pPr>
      <w:rPr>
        <w:rFonts w:ascii="Symbol" w:hAnsi="Symbol"/>
      </w:rPr>
    </w:lvl>
    <w:lvl w:ilvl="1" w:tplc="B0D6A4C4">
      <w:start w:val="1"/>
      <w:numFmt w:val="bullet"/>
      <w:lvlText w:val=""/>
      <w:lvlJc w:val="left"/>
      <w:pPr>
        <w:ind w:left="1800" w:hanging="360"/>
      </w:pPr>
      <w:rPr>
        <w:rFonts w:ascii="Symbol" w:hAnsi="Symbol"/>
      </w:rPr>
    </w:lvl>
    <w:lvl w:ilvl="2" w:tplc="5AEC6FA4">
      <w:start w:val="1"/>
      <w:numFmt w:val="bullet"/>
      <w:lvlText w:val=""/>
      <w:lvlJc w:val="left"/>
      <w:pPr>
        <w:ind w:left="1800" w:hanging="360"/>
      </w:pPr>
      <w:rPr>
        <w:rFonts w:ascii="Symbol" w:hAnsi="Symbol"/>
      </w:rPr>
    </w:lvl>
    <w:lvl w:ilvl="3" w:tplc="5FE42AE2">
      <w:start w:val="1"/>
      <w:numFmt w:val="bullet"/>
      <w:lvlText w:val=""/>
      <w:lvlJc w:val="left"/>
      <w:pPr>
        <w:ind w:left="1800" w:hanging="360"/>
      </w:pPr>
      <w:rPr>
        <w:rFonts w:ascii="Symbol" w:hAnsi="Symbol"/>
      </w:rPr>
    </w:lvl>
    <w:lvl w:ilvl="4" w:tplc="A524C39C">
      <w:start w:val="1"/>
      <w:numFmt w:val="bullet"/>
      <w:lvlText w:val=""/>
      <w:lvlJc w:val="left"/>
      <w:pPr>
        <w:ind w:left="1800" w:hanging="360"/>
      </w:pPr>
      <w:rPr>
        <w:rFonts w:ascii="Symbol" w:hAnsi="Symbol"/>
      </w:rPr>
    </w:lvl>
    <w:lvl w:ilvl="5" w:tplc="D9E00584">
      <w:start w:val="1"/>
      <w:numFmt w:val="bullet"/>
      <w:lvlText w:val=""/>
      <w:lvlJc w:val="left"/>
      <w:pPr>
        <w:ind w:left="1800" w:hanging="360"/>
      </w:pPr>
      <w:rPr>
        <w:rFonts w:ascii="Symbol" w:hAnsi="Symbol"/>
      </w:rPr>
    </w:lvl>
    <w:lvl w:ilvl="6" w:tplc="144E713E">
      <w:start w:val="1"/>
      <w:numFmt w:val="bullet"/>
      <w:lvlText w:val=""/>
      <w:lvlJc w:val="left"/>
      <w:pPr>
        <w:ind w:left="1800" w:hanging="360"/>
      </w:pPr>
      <w:rPr>
        <w:rFonts w:ascii="Symbol" w:hAnsi="Symbol"/>
      </w:rPr>
    </w:lvl>
    <w:lvl w:ilvl="7" w:tplc="CACED746">
      <w:start w:val="1"/>
      <w:numFmt w:val="bullet"/>
      <w:lvlText w:val=""/>
      <w:lvlJc w:val="left"/>
      <w:pPr>
        <w:ind w:left="1800" w:hanging="360"/>
      </w:pPr>
      <w:rPr>
        <w:rFonts w:ascii="Symbol" w:hAnsi="Symbol"/>
      </w:rPr>
    </w:lvl>
    <w:lvl w:ilvl="8" w:tplc="29F85CCC">
      <w:start w:val="1"/>
      <w:numFmt w:val="bullet"/>
      <w:lvlText w:val=""/>
      <w:lvlJc w:val="left"/>
      <w:pPr>
        <w:ind w:left="1800" w:hanging="360"/>
      </w:pPr>
      <w:rPr>
        <w:rFonts w:ascii="Symbol" w:hAnsi="Symbol"/>
      </w:rPr>
    </w:lvl>
  </w:abstractNum>
  <w:abstractNum w:abstractNumId="11" w15:restartNumberingAfterBreak="0">
    <w:nsid w:val="25B67B26"/>
    <w:multiLevelType w:val="hybridMultilevel"/>
    <w:tmpl w:val="4998B0A6"/>
    <w:lvl w:ilvl="0" w:tplc="6944EAAC">
      <w:start w:val="1"/>
      <w:numFmt w:val="bullet"/>
      <w:lvlText w:val=""/>
      <w:lvlJc w:val="left"/>
      <w:pPr>
        <w:ind w:left="1800" w:hanging="360"/>
      </w:pPr>
      <w:rPr>
        <w:rFonts w:ascii="Symbol" w:hAnsi="Symbol"/>
      </w:rPr>
    </w:lvl>
    <w:lvl w:ilvl="1" w:tplc="66D6B63C">
      <w:start w:val="1"/>
      <w:numFmt w:val="bullet"/>
      <w:lvlText w:val=""/>
      <w:lvlJc w:val="left"/>
      <w:pPr>
        <w:ind w:left="1800" w:hanging="360"/>
      </w:pPr>
      <w:rPr>
        <w:rFonts w:ascii="Symbol" w:hAnsi="Symbol"/>
      </w:rPr>
    </w:lvl>
    <w:lvl w:ilvl="2" w:tplc="A9325814">
      <w:start w:val="1"/>
      <w:numFmt w:val="bullet"/>
      <w:lvlText w:val=""/>
      <w:lvlJc w:val="left"/>
      <w:pPr>
        <w:ind w:left="1800" w:hanging="360"/>
      </w:pPr>
      <w:rPr>
        <w:rFonts w:ascii="Symbol" w:hAnsi="Symbol"/>
      </w:rPr>
    </w:lvl>
    <w:lvl w:ilvl="3" w:tplc="7E284AA6">
      <w:start w:val="1"/>
      <w:numFmt w:val="bullet"/>
      <w:lvlText w:val=""/>
      <w:lvlJc w:val="left"/>
      <w:pPr>
        <w:ind w:left="1800" w:hanging="360"/>
      </w:pPr>
      <w:rPr>
        <w:rFonts w:ascii="Symbol" w:hAnsi="Symbol"/>
      </w:rPr>
    </w:lvl>
    <w:lvl w:ilvl="4" w:tplc="522E2DA4">
      <w:start w:val="1"/>
      <w:numFmt w:val="bullet"/>
      <w:lvlText w:val=""/>
      <w:lvlJc w:val="left"/>
      <w:pPr>
        <w:ind w:left="1800" w:hanging="360"/>
      </w:pPr>
      <w:rPr>
        <w:rFonts w:ascii="Symbol" w:hAnsi="Symbol"/>
      </w:rPr>
    </w:lvl>
    <w:lvl w:ilvl="5" w:tplc="310E340E">
      <w:start w:val="1"/>
      <w:numFmt w:val="bullet"/>
      <w:lvlText w:val=""/>
      <w:lvlJc w:val="left"/>
      <w:pPr>
        <w:ind w:left="1800" w:hanging="360"/>
      </w:pPr>
      <w:rPr>
        <w:rFonts w:ascii="Symbol" w:hAnsi="Symbol"/>
      </w:rPr>
    </w:lvl>
    <w:lvl w:ilvl="6" w:tplc="62B66CC2">
      <w:start w:val="1"/>
      <w:numFmt w:val="bullet"/>
      <w:lvlText w:val=""/>
      <w:lvlJc w:val="left"/>
      <w:pPr>
        <w:ind w:left="1800" w:hanging="360"/>
      </w:pPr>
      <w:rPr>
        <w:rFonts w:ascii="Symbol" w:hAnsi="Symbol"/>
      </w:rPr>
    </w:lvl>
    <w:lvl w:ilvl="7" w:tplc="AFA84632">
      <w:start w:val="1"/>
      <w:numFmt w:val="bullet"/>
      <w:lvlText w:val=""/>
      <w:lvlJc w:val="left"/>
      <w:pPr>
        <w:ind w:left="1800" w:hanging="360"/>
      </w:pPr>
      <w:rPr>
        <w:rFonts w:ascii="Symbol" w:hAnsi="Symbol"/>
      </w:rPr>
    </w:lvl>
    <w:lvl w:ilvl="8" w:tplc="4C5A81E4">
      <w:start w:val="1"/>
      <w:numFmt w:val="bullet"/>
      <w:lvlText w:val=""/>
      <w:lvlJc w:val="left"/>
      <w:pPr>
        <w:ind w:left="1800" w:hanging="360"/>
      </w:pPr>
      <w:rPr>
        <w:rFonts w:ascii="Symbol" w:hAnsi="Symbol"/>
      </w:rPr>
    </w:lvl>
  </w:abstractNum>
  <w:abstractNum w:abstractNumId="12" w15:restartNumberingAfterBreak="0">
    <w:nsid w:val="28C140C0"/>
    <w:multiLevelType w:val="hybridMultilevel"/>
    <w:tmpl w:val="A2285428"/>
    <w:lvl w:ilvl="0" w:tplc="D34EF756">
      <w:start w:val="1"/>
      <w:numFmt w:val="bullet"/>
      <w:lvlText w:val=""/>
      <w:lvlJc w:val="left"/>
      <w:pPr>
        <w:ind w:left="1800" w:hanging="360"/>
      </w:pPr>
      <w:rPr>
        <w:rFonts w:ascii="Symbol" w:hAnsi="Symbol"/>
      </w:rPr>
    </w:lvl>
    <w:lvl w:ilvl="1" w:tplc="38A8CD84">
      <w:start w:val="1"/>
      <w:numFmt w:val="bullet"/>
      <w:lvlText w:val=""/>
      <w:lvlJc w:val="left"/>
      <w:pPr>
        <w:ind w:left="1800" w:hanging="360"/>
      </w:pPr>
      <w:rPr>
        <w:rFonts w:ascii="Symbol" w:hAnsi="Symbol"/>
      </w:rPr>
    </w:lvl>
    <w:lvl w:ilvl="2" w:tplc="00B6B5B0">
      <w:start w:val="1"/>
      <w:numFmt w:val="bullet"/>
      <w:lvlText w:val=""/>
      <w:lvlJc w:val="left"/>
      <w:pPr>
        <w:ind w:left="1800" w:hanging="360"/>
      </w:pPr>
      <w:rPr>
        <w:rFonts w:ascii="Symbol" w:hAnsi="Symbol"/>
      </w:rPr>
    </w:lvl>
    <w:lvl w:ilvl="3" w:tplc="C304F434">
      <w:start w:val="1"/>
      <w:numFmt w:val="bullet"/>
      <w:lvlText w:val=""/>
      <w:lvlJc w:val="left"/>
      <w:pPr>
        <w:ind w:left="1800" w:hanging="360"/>
      </w:pPr>
      <w:rPr>
        <w:rFonts w:ascii="Symbol" w:hAnsi="Symbol"/>
      </w:rPr>
    </w:lvl>
    <w:lvl w:ilvl="4" w:tplc="304E94B0">
      <w:start w:val="1"/>
      <w:numFmt w:val="bullet"/>
      <w:lvlText w:val=""/>
      <w:lvlJc w:val="left"/>
      <w:pPr>
        <w:ind w:left="1800" w:hanging="360"/>
      </w:pPr>
      <w:rPr>
        <w:rFonts w:ascii="Symbol" w:hAnsi="Symbol"/>
      </w:rPr>
    </w:lvl>
    <w:lvl w:ilvl="5" w:tplc="9E48A73C">
      <w:start w:val="1"/>
      <w:numFmt w:val="bullet"/>
      <w:lvlText w:val=""/>
      <w:lvlJc w:val="left"/>
      <w:pPr>
        <w:ind w:left="1800" w:hanging="360"/>
      </w:pPr>
      <w:rPr>
        <w:rFonts w:ascii="Symbol" w:hAnsi="Symbol"/>
      </w:rPr>
    </w:lvl>
    <w:lvl w:ilvl="6" w:tplc="15246592">
      <w:start w:val="1"/>
      <w:numFmt w:val="bullet"/>
      <w:lvlText w:val=""/>
      <w:lvlJc w:val="left"/>
      <w:pPr>
        <w:ind w:left="1800" w:hanging="360"/>
      </w:pPr>
      <w:rPr>
        <w:rFonts w:ascii="Symbol" w:hAnsi="Symbol"/>
      </w:rPr>
    </w:lvl>
    <w:lvl w:ilvl="7" w:tplc="12A6CF78">
      <w:start w:val="1"/>
      <w:numFmt w:val="bullet"/>
      <w:lvlText w:val=""/>
      <w:lvlJc w:val="left"/>
      <w:pPr>
        <w:ind w:left="1800" w:hanging="360"/>
      </w:pPr>
      <w:rPr>
        <w:rFonts w:ascii="Symbol" w:hAnsi="Symbol"/>
      </w:rPr>
    </w:lvl>
    <w:lvl w:ilvl="8" w:tplc="CD2829B0">
      <w:start w:val="1"/>
      <w:numFmt w:val="bullet"/>
      <w:lvlText w:val=""/>
      <w:lvlJc w:val="left"/>
      <w:pPr>
        <w:ind w:left="1800" w:hanging="360"/>
      </w:pPr>
      <w:rPr>
        <w:rFonts w:ascii="Symbol" w:hAnsi="Symbol"/>
      </w:rPr>
    </w:lvl>
  </w:abstractNum>
  <w:abstractNum w:abstractNumId="13" w15:restartNumberingAfterBreak="0">
    <w:nsid w:val="28CF455B"/>
    <w:multiLevelType w:val="hybridMultilevel"/>
    <w:tmpl w:val="EE14FBEE"/>
    <w:lvl w:ilvl="0" w:tplc="7CFC572A">
      <w:start w:val="1"/>
      <w:numFmt w:val="bullet"/>
      <w:lvlText w:val=""/>
      <w:lvlJc w:val="left"/>
      <w:pPr>
        <w:ind w:left="1800" w:hanging="360"/>
      </w:pPr>
      <w:rPr>
        <w:rFonts w:ascii="Symbol" w:hAnsi="Symbol"/>
      </w:rPr>
    </w:lvl>
    <w:lvl w:ilvl="1" w:tplc="683AF1FC">
      <w:start w:val="1"/>
      <w:numFmt w:val="bullet"/>
      <w:lvlText w:val=""/>
      <w:lvlJc w:val="left"/>
      <w:pPr>
        <w:ind w:left="1800" w:hanging="360"/>
      </w:pPr>
      <w:rPr>
        <w:rFonts w:ascii="Symbol" w:hAnsi="Symbol"/>
      </w:rPr>
    </w:lvl>
    <w:lvl w:ilvl="2" w:tplc="00F40BC0">
      <w:start w:val="1"/>
      <w:numFmt w:val="bullet"/>
      <w:lvlText w:val=""/>
      <w:lvlJc w:val="left"/>
      <w:pPr>
        <w:ind w:left="1800" w:hanging="360"/>
      </w:pPr>
      <w:rPr>
        <w:rFonts w:ascii="Symbol" w:hAnsi="Symbol"/>
      </w:rPr>
    </w:lvl>
    <w:lvl w:ilvl="3" w:tplc="45F07488">
      <w:start w:val="1"/>
      <w:numFmt w:val="bullet"/>
      <w:lvlText w:val=""/>
      <w:lvlJc w:val="left"/>
      <w:pPr>
        <w:ind w:left="1800" w:hanging="360"/>
      </w:pPr>
      <w:rPr>
        <w:rFonts w:ascii="Symbol" w:hAnsi="Symbol"/>
      </w:rPr>
    </w:lvl>
    <w:lvl w:ilvl="4" w:tplc="09E03E20">
      <w:start w:val="1"/>
      <w:numFmt w:val="bullet"/>
      <w:lvlText w:val=""/>
      <w:lvlJc w:val="left"/>
      <w:pPr>
        <w:ind w:left="1800" w:hanging="360"/>
      </w:pPr>
      <w:rPr>
        <w:rFonts w:ascii="Symbol" w:hAnsi="Symbol"/>
      </w:rPr>
    </w:lvl>
    <w:lvl w:ilvl="5" w:tplc="BF4AEC68">
      <w:start w:val="1"/>
      <w:numFmt w:val="bullet"/>
      <w:lvlText w:val=""/>
      <w:lvlJc w:val="left"/>
      <w:pPr>
        <w:ind w:left="1800" w:hanging="360"/>
      </w:pPr>
      <w:rPr>
        <w:rFonts w:ascii="Symbol" w:hAnsi="Symbol"/>
      </w:rPr>
    </w:lvl>
    <w:lvl w:ilvl="6" w:tplc="E5D83AAA">
      <w:start w:val="1"/>
      <w:numFmt w:val="bullet"/>
      <w:lvlText w:val=""/>
      <w:lvlJc w:val="left"/>
      <w:pPr>
        <w:ind w:left="1800" w:hanging="360"/>
      </w:pPr>
      <w:rPr>
        <w:rFonts w:ascii="Symbol" w:hAnsi="Symbol"/>
      </w:rPr>
    </w:lvl>
    <w:lvl w:ilvl="7" w:tplc="E31AEA92">
      <w:start w:val="1"/>
      <w:numFmt w:val="bullet"/>
      <w:lvlText w:val=""/>
      <w:lvlJc w:val="left"/>
      <w:pPr>
        <w:ind w:left="1800" w:hanging="360"/>
      </w:pPr>
      <w:rPr>
        <w:rFonts w:ascii="Symbol" w:hAnsi="Symbol"/>
      </w:rPr>
    </w:lvl>
    <w:lvl w:ilvl="8" w:tplc="8DF2F20A">
      <w:start w:val="1"/>
      <w:numFmt w:val="bullet"/>
      <w:lvlText w:val=""/>
      <w:lvlJc w:val="left"/>
      <w:pPr>
        <w:ind w:left="1800" w:hanging="360"/>
      </w:pPr>
      <w:rPr>
        <w:rFonts w:ascii="Symbol" w:hAnsi="Symbol"/>
      </w:rPr>
    </w:lvl>
  </w:abstractNum>
  <w:abstractNum w:abstractNumId="14" w15:restartNumberingAfterBreak="0">
    <w:nsid w:val="2A052CA2"/>
    <w:multiLevelType w:val="hybridMultilevel"/>
    <w:tmpl w:val="EEACED6E"/>
    <w:lvl w:ilvl="0" w:tplc="52C26014">
      <w:start w:val="1"/>
      <w:numFmt w:val="bullet"/>
      <w:lvlText w:val=""/>
      <w:lvlJc w:val="left"/>
      <w:pPr>
        <w:ind w:left="1080" w:hanging="360"/>
      </w:pPr>
      <w:rPr>
        <w:rFonts w:ascii="Symbol" w:hAnsi="Symbol"/>
      </w:rPr>
    </w:lvl>
    <w:lvl w:ilvl="1" w:tplc="401A973A">
      <w:start w:val="1"/>
      <w:numFmt w:val="bullet"/>
      <w:lvlText w:val=""/>
      <w:lvlJc w:val="left"/>
      <w:pPr>
        <w:ind w:left="1080" w:hanging="360"/>
      </w:pPr>
      <w:rPr>
        <w:rFonts w:ascii="Symbol" w:hAnsi="Symbol"/>
      </w:rPr>
    </w:lvl>
    <w:lvl w:ilvl="2" w:tplc="F7F04A1C">
      <w:start w:val="1"/>
      <w:numFmt w:val="bullet"/>
      <w:lvlText w:val=""/>
      <w:lvlJc w:val="left"/>
      <w:pPr>
        <w:ind w:left="1080" w:hanging="360"/>
      </w:pPr>
      <w:rPr>
        <w:rFonts w:ascii="Symbol" w:hAnsi="Symbol"/>
      </w:rPr>
    </w:lvl>
    <w:lvl w:ilvl="3" w:tplc="6FACA2C6">
      <w:start w:val="1"/>
      <w:numFmt w:val="bullet"/>
      <w:lvlText w:val=""/>
      <w:lvlJc w:val="left"/>
      <w:pPr>
        <w:ind w:left="1080" w:hanging="360"/>
      </w:pPr>
      <w:rPr>
        <w:rFonts w:ascii="Symbol" w:hAnsi="Symbol"/>
      </w:rPr>
    </w:lvl>
    <w:lvl w:ilvl="4" w:tplc="2794AF1C">
      <w:start w:val="1"/>
      <w:numFmt w:val="bullet"/>
      <w:lvlText w:val=""/>
      <w:lvlJc w:val="left"/>
      <w:pPr>
        <w:ind w:left="1080" w:hanging="360"/>
      </w:pPr>
      <w:rPr>
        <w:rFonts w:ascii="Symbol" w:hAnsi="Symbol"/>
      </w:rPr>
    </w:lvl>
    <w:lvl w:ilvl="5" w:tplc="74F0A33C">
      <w:start w:val="1"/>
      <w:numFmt w:val="bullet"/>
      <w:lvlText w:val=""/>
      <w:lvlJc w:val="left"/>
      <w:pPr>
        <w:ind w:left="1080" w:hanging="360"/>
      </w:pPr>
      <w:rPr>
        <w:rFonts w:ascii="Symbol" w:hAnsi="Symbol"/>
      </w:rPr>
    </w:lvl>
    <w:lvl w:ilvl="6" w:tplc="D206D5C0">
      <w:start w:val="1"/>
      <w:numFmt w:val="bullet"/>
      <w:lvlText w:val=""/>
      <w:lvlJc w:val="left"/>
      <w:pPr>
        <w:ind w:left="1080" w:hanging="360"/>
      </w:pPr>
      <w:rPr>
        <w:rFonts w:ascii="Symbol" w:hAnsi="Symbol"/>
      </w:rPr>
    </w:lvl>
    <w:lvl w:ilvl="7" w:tplc="BA387070">
      <w:start w:val="1"/>
      <w:numFmt w:val="bullet"/>
      <w:lvlText w:val=""/>
      <w:lvlJc w:val="left"/>
      <w:pPr>
        <w:ind w:left="1080" w:hanging="360"/>
      </w:pPr>
      <w:rPr>
        <w:rFonts w:ascii="Symbol" w:hAnsi="Symbol"/>
      </w:rPr>
    </w:lvl>
    <w:lvl w:ilvl="8" w:tplc="E586F23E">
      <w:start w:val="1"/>
      <w:numFmt w:val="bullet"/>
      <w:lvlText w:val=""/>
      <w:lvlJc w:val="left"/>
      <w:pPr>
        <w:ind w:left="1080" w:hanging="360"/>
      </w:pPr>
      <w:rPr>
        <w:rFonts w:ascii="Symbol" w:hAnsi="Symbol"/>
      </w:rPr>
    </w:lvl>
  </w:abstractNum>
  <w:abstractNum w:abstractNumId="15" w15:restartNumberingAfterBreak="0">
    <w:nsid w:val="30D2268B"/>
    <w:multiLevelType w:val="hybridMultilevel"/>
    <w:tmpl w:val="BE4E50A2"/>
    <w:lvl w:ilvl="0" w:tplc="BC9AF7EE">
      <w:start w:val="1"/>
      <w:numFmt w:val="bullet"/>
      <w:lvlText w:val=""/>
      <w:lvlJc w:val="left"/>
      <w:pPr>
        <w:ind w:left="720" w:hanging="360"/>
      </w:pPr>
      <w:rPr>
        <w:rFonts w:ascii="Symbol" w:hAnsi="Symbol"/>
      </w:rPr>
    </w:lvl>
    <w:lvl w:ilvl="1" w:tplc="007AB5D6">
      <w:start w:val="1"/>
      <w:numFmt w:val="bullet"/>
      <w:lvlText w:val=""/>
      <w:lvlJc w:val="left"/>
      <w:pPr>
        <w:ind w:left="720" w:hanging="360"/>
      </w:pPr>
      <w:rPr>
        <w:rFonts w:ascii="Symbol" w:hAnsi="Symbol"/>
      </w:rPr>
    </w:lvl>
    <w:lvl w:ilvl="2" w:tplc="63C045F0">
      <w:start w:val="1"/>
      <w:numFmt w:val="bullet"/>
      <w:lvlText w:val=""/>
      <w:lvlJc w:val="left"/>
      <w:pPr>
        <w:ind w:left="720" w:hanging="360"/>
      </w:pPr>
      <w:rPr>
        <w:rFonts w:ascii="Symbol" w:hAnsi="Symbol"/>
      </w:rPr>
    </w:lvl>
    <w:lvl w:ilvl="3" w:tplc="775210CA">
      <w:start w:val="1"/>
      <w:numFmt w:val="bullet"/>
      <w:lvlText w:val=""/>
      <w:lvlJc w:val="left"/>
      <w:pPr>
        <w:ind w:left="720" w:hanging="360"/>
      </w:pPr>
      <w:rPr>
        <w:rFonts w:ascii="Symbol" w:hAnsi="Symbol"/>
      </w:rPr>
    </w:lvl>
    <w:lvl w:ilvl="4" w:tplc="61B4CFCA">
      <w:start w:val="1"/>
      <w:numFmt w:val="bullet"/>
      <w:lvlText w:val=""/>
      <w:lvlJc w:val="left"/>
      <w:pPr>
        <w:ind w:left="720" w:hanging="360"/>
      </w:pPr>
      <w:rPr>
        <w:rFonts w:ascii="Symbol" w:hAnsi="Symbol"/>
      </w:rPr>
    </w:lvl>
    <w:lvl w:ilvl="5" w:tplc="36885456">
      <w:start w:val="1"/>
      <w:numFmt w:val="bullet"/>
      <w:lvlText w:val=""/>
      <w:lvlJc w:val="left"/>
      <w:pPr>
        <w:ind w:left="720" w:hanging="360"/>
      </w:pPr>
      <w:rPr>
        <w:rFonts w:ascii="Symbol" w:hAnsi="Symbol"/>
      </w:rPr>
    </w:lvl>
    <w:lvl w:ilvl="6" w:tplc="01FC827A">
      <w:start w:val="1"/>
      <w:numFmt w:val="bullet"/>
      <w:lvlText w:val=""/>
      <w:lvlJc w:val="left"/>
      <w:pPr>
        <w:ind w:left="720" w:hanging="360"/>
      </w:pPr>
      <w:rPr>
        <w:rFonts w:ascii="Symbol" w:hAnsi="Symbol"/>
      </w:rPr>
    </w:lvl>
    <w:lvl w:ilvl="7" w:tplc="039E3AC0">
      <w:start w:val="1"/>
      <w:numFmt w:val="bullet"/>
      <w:lvlText w:val=""/>
      <w:lvlJc w:val="left"/>
      <w:pPr>
        <w:ind w:left="720" w:hanging="360"/>
      </w:pPr>
      <w:rPr>
        <w:rFonts w:ascii="Symbol" w:hAnsi="Symbol"/>
      </w:rPr>
    </w:lvl>
    <w:lvl w:ilvl="8" w:tplc="518A94B8">
      <w:start w:val="1"/>
      <w:numFmt w:val="bullet"/>
      <w:lvlText w:val=""/>
      <w:lvlJc w:val="left"/>
      <w:pPr>
        <w:ind w:left="720" w:hanging="360"/>
      </w:pPr>
      <w:rPr>
        <w:rFonts w:ascii="Symbol" w:hAnsi="Symbol"/>
      </w:rPr>
    </w:lvl>
  </w:abstractNum>
  <w:abstractNum w:abstractNumId="16" w15:restartNumberingAfterBreak="0">
    <w:nsid w:val="31596BC9"/>
    <w:multiLevelType w:val="hybridMultilevel"/>
    <w:tmpl w:val="9F505900"/>
    <w:lvl w:ilvl="0" w:tplc="CADC0BAC">
      <w:start w:val="1"/>
      <w:numFmt w:val="bullet"/>
      <w:lvlText w:val=""/>
      <w:lvlJc w:val="left"/>
      <w:pPr>
        <w:ind w:left="1800" w:hanging="360"/>
      </w:pPr>
      <w:rPr>
        <w:rFonts w:ascii="Symbol" w:hAnsi="Symbol"/>
      </w:rPr>
    </w:lvl>
    <w:lvl w:ilvl="1" w:tplc="2A44F45A">
      <w:start w:val="1"/>
      <w:numFmt w:val="bullet"/>
      <w:lvlText w:val=""/>
      <w:lvlJc w:val="left"/>
      <w:pPr>
        <w:ind w:left="1800" w:hanging="360"/>
      </w:pPr>
      <w:rPr>
        <w:rFonts w:ascii="Symbol" w:hAnsi="Symbol"/>
      </w:rPr>
    </w:lvl>
    <w:lvl w:ilvl="2" w:tplc="C748A7E8">
      <w:start w:val="1"/>
      <w:numFmt w:val="bullet"/>
      <w:lvlText w:val=""/>
      <w:lvlJc w:val="left"/>
      <w:pPr>
        <w:ind w:left="1800" w:hanging="360"/>
      </w:pPr>
      <w:rPr>
        <w:rFonts w:ascii="Symbol" w:hAnsi="Symbol"/>
      </w:rPr>
    </w:lvl>
    <w:lvl w:ilvl="3" w:tplc="E0BAF808">
      <w:start w:val="1"/>
      <w:numFmt w:val="bullet"/>
      <w:lvlText w:val=""/>
      <w:lvlJc w:val="left"/>
      <w:pPr>
        <w:ind w:left="1800" w:hanging="360"/>
      </w:pPr>
      <w:rPr>
        <w:rFonts w:ascii="Symbol" w:hAnsi="Symbol"/>
      </w:rPr>
    </w:lvl>
    <w:lvl w:ilvl="4" w:tplc="FF3082BC">
      <w:start w:val="1"/>
      <w:numFmt w:val="bullet"/>
      <w:lvlText w:val=""/>
      <w:lvlJc w:val="left"/>
      <w:pPr>
        <w:ind w:left="1800" w:hanging="360"/>
      </w:pPr>
      <w:rPr>
        <w:rFonts w:ascii="Symbol" w:hAnsi="Symbol"/>
      </w:rPr>
    </w:lvl>
    <w:lvl w:ilvl="5" w:tplc="CB1C6A5A">
      <w:start w:val="1"/>
      <w:numFmt w:val="bullet"/>
      <w:lvlText w:val=""/>
      <w:lvlJc w:val="left"/>
      <w:pPr>
        <w:ind w:left="1800" w:hanging="360"/>
      </w:pPr>
      <w:rPr>
        <w:rFonts w:ascii="Symbol" w:hAnsi="Symbol"/>
      </w:rPr>
    </w:lvl>
    <w:lvl w:ilvl="6" w:tplc="64F6B4D6">
      <w:start w:val="1"/>
      <w:numFmt w:val="bullet"/>
      <w:lvlText w:val=""/>
      <w:lvlJc w:val="left"/>
      <w:pPr>
        <w:ind w:left="1800" w:hanging="360"/>
      </w:pPr>
      <w:rPr>
        <w:rFonts w:ascii="Symbol" w:hAnsi="Symbol"/>
      </w:rPr>
    </w:lvl>
    <w:lvl w:ilvl="7" w:tplc="0118684E">
      <w:start w:val="1"/>
      <w:numFmt w:val="bullet"/>
      <w:lvlText w:val=""/>
      <w:lvlJc w:val="left"/>
      <w:pPr>
        <w:ind w:left="1800" w:hanging="360"/>
      </w:pPr>
      <w:rPr>
        <w:rFonts w:ascii="Symbol" w:hAnsi="Symbol"/>
      </w:rPr>
    </w:lvl>
    <w:lvl w:ilvl="8" w:tplc="F6A4AAB0">
      <w:start w:val="1"/>
      <w:numFmt w:val="bullet"/>
      <w:lvlText w:val=""/>
      <w:lvlJc w:val="left"/>
      <w:pPr>
        <w:ind w:left="1800" w:hanging="360"/>
      </w:pPr>
      <w:rPr>
        <w:rFonts w:ascii="Symbol" w:hAnsi="Symbol"/>
      </w:rPr>
    </w:lvl>
  </w:abstractNum>
  <w:abstractNum w:abstractNumId="17" w15:restartNumberingAfterBreak="0">
    <w:nsid w:val="3410121B"/>
    <w:multiLevelType w:val="hybridMultilevel"/>
    <w:tmpl w:val="91944EE2"/>
    <w:lvl w:ilvl="0" w:tplc="C212BD92">
      <w:start w:val="1"/>
      <w:numFmt w:val="bullet"/>
      <w:lvlText w:val=""/>
      <w:lvlJc w:val="left"/>
      <w:pPr>
        <w:ind w:left="1080" w:hanging="360"/>
      </w:pPr>
      <w:rPr>
        <w:rFonts w:ascii="Symbol" w:hAnsi="Symbol"/>
      </w:rPr>
    </w:lvl>
    <w:lvl w:ilvl="1" w:tplc="2D4E6972">
      <w:start w:val="1"/>
      <w:numFmt w:val="bullet"/>
      <w:lvlText w:val=""/>
      <w:lvlJc w:val="left"/>
      <w:pPr>
        <w:ind w:left="1080" w:hanging="360"/>
      </w:pPr>
      <w:rPr>
        <w:rFonts w:ascii="Symbol" w:hAnsi="Symbol"/>
      </w:rPr>
    </w:lvl>
    <w:lvl w:ilvl="2" w:tplc="CD5CB988">
      <w:start w:val="1"/>
      <w:numFmt w:val="bullet"/>
      <w:lvlText w:val=""/>
      <w:lvlJc w:val="left"/>
      <w:pPr>
        <w:ind w:left="1080" w:hanging="360"/>
      </w:pPr>
      <w:rPr>
        <w:rFonts w:ascii="Symbol" w:hAnsi="Symbol"/>
      </w:rPr>
    </w:lvl>
    <w:lvl w:ilvl="3" w:tplc="1CD69DF0">
      <w:start w:val="1"/>
      <w:numFmt w:val="bullet"/>
      <w:lvlText w:val=""/>
      <w:lvlJc w:val="left"/>
      <w:pPr>
        <w:ind w:left="1080" w:hanging="360"/>
      </w:pPr>
      <w:rPr>
        <w:rFonts w:ascii="Symbol" w:hAnsi="Symbol"/>
      </w:rPr>
    </w:lvl>
    <w:lvl w:ilvl="4" w:tplc="9E64ED72">
      <w:start w:val="1"/>
      <w:numFmt w:val="bullet"/>
      <w:lvlText w:val=""/>
      <w:lvlJc w:val="left"/>
      <w:pPr>
        <w:ind w:left="1080" w:hanging="360"/>
      </w:pPr>
      <w:rPr>
        <w:rFonts w:ascii="Symbol" w:hAnsi="Symbol"/>
      </w:rPr>
    </w:lvl>
    <w:lvl w:ilvl="5" w:tplc="AC745E28">
      <w:start w:val="1"/>
      <w:numFmt w:val="bullet"/>
      <w:lvlText w:val=""/>
      <w:lvlJc w:val="left"/>
      <w:pPr>
        <w:ind w:left="1080" w:hanging="360"/>
      </w:pPr>
      <w:rPr>
        <w:rFonts w:ascii="Symbol" w:hAnsi="Symbol"/>
      </w:rPr>
    </w:lvl>
    <w:lvl w:ilvl="6" w:tplc="9C9E018E">
      <w:start w:val="1"/>
      <w:numFmt w:val="bullet"/>
      <w:lvlText w:val=""/>
      <w:lvlJc w:val="left"/>
      <w:pPr>
        <w:ind w:left="1080" w:hanging="360"/>
      </w:pPr>
      <w:rPr>
        <w:rFonts w:ascii="Symbol" w:hAnsi="Symbol"/>
      </w:rPr>
    </w:lvl>
    <w:lvl w:ilvl="7" w:tplc="20EECB84">
      <w:start w:val="1"/>
      <w:numFmt w:val="bullet"/>
      <w:lvlText w:val=""/>
      <w:lvlJc w:val="left"/>
      <w:pPr>
        <w:ind w:left="1080" w:hanging="360"/>
      </w:pPr>
      <w:rPr>
        <w:rFonts w:ascii="Symbol" w:hAnsi="Symbol"/>
      </w:rPr>
    </w:lvl>
    <w:lvl w:ilvl="8" w:tplc="0066A132">
      <w:start w:val="1"/>
      <w:numFmt w:val="bullet"/>
      <w:lvlText w:val=""/>
      <w:lvlJc w:val="left"/>
      <w:pPr>
        <w:ind w:left="1080" w:hanging="360"/>
      </w:pPr>
      <w:rPr>
        <w:rFonts w:ascii="Symbol" w:hAnsi="Symbol"/>
      </w:rPr>
    </w:lvl>
  </w:abstractNum>
  <w:abstractNum w:abstractNumId="18" w15:restartNumberingAfterBreak="0">
    <w:nsid w:val="37C52D25"/>
    <w:multiLevelType w:val="hybridMultilevel"/>
    <w:tmpl w:val="4F421B06"/>
    <w:lvl w:ilvl="0" w:tplc="1BCE1EB4">
      <w:start w:val="1"/>
      <w:numFmt w:val="bullet"/>
      <w:lvlText w:val=""/>
      <w:lvlJc w:val="left"/>
      <w:pPr>
        <w:ind w:left="1080" w:hanging="360"/>
      </w:pPr>
      <w:rPr>
        <w:rFonts w:ascii="Symbol" w:hAnsi="Symbol"/>
      </w:rPr>
    </w:lvl>
    <w:lvl w:ilvl="1" w:tplc="295C0948">
      <w:start w:val="1"/>
      <w:numFmt w:val="bullet"/>
      <w:lvlText w:val=""/>
      <w:lvlJc w:val="left"/>
      <w:pPr>
        <w:ind w:left="1080" w:hanging="360"/>
      </w:pPr>
      <w:rPr>
        <w:rFonts w:ascii="Symbol" w:hAnsi="Symbol"/>
      </w:rPr>
    </w:lvl>
    <w:lvl w:ilvl="2" w:tplc="6826FE26">
      <w:start w:val="1"/>
      <w:numFmt w:val="bullet"/>
      <w:lvlText w:val=""/>
      <w:lvlJc w:val="left"/>
      <w:pPr>
        <w:ind w:left="1080" w:hanging="360"/>
      </w:pPr>
      <w:rPr>
        <w:rFonts w:ascii="Symbol" w:hAnsi="Symbol"/>
      </w:rPr>
    </w:lvl>
    <w:lvl w:ilvl="3" w:tplc="88A009B0">
      <w:start w:val="1"/>
      <w:numFmt w:val="bullet"/>
      <w:lvlText w:val=""/>
      <w:lvlJc w:val="left"/>
      <w:pPr>
        <w:ind w:left="1080" w:hanging="360"/>
      </w:pPr>
      <w:rPr>
        <w:rFonts w:ascii="Symbol" w:hAnsi="Symbol"/>
      </w:rPr>
    </w:lvl>
    <w:lvl w:ilvl="4" w:tplc="E8AEEB86">
      <w:start w:val="1"/>
      <w:numFmt w:val="bullet"/>
      <w:lvlText w:val=""/>
      <w:lvlJc w:val="left"/>
      <w:pPr>
        <w:ind w:left="1080" w:hanging="360"/>
      </w:pPr>
      <w:rPr>
        <w:rFonts w:ascii="Symbol" w:hAnsi="Symbol"/>
      </w:rPr>
    </w:lvl>
    <w:lvl w:ilvl="5" w:tplc="FFBEE0EC">
      <w:start w:val="1"/>
      <w:numFmt w:val="bullet"/>
      <w:lvlText w:val=""/>
      <w:lvlJc w:val="left"/>
      <w:pPr>
        <w:ind w:left="1080" w:hanging="360"/>
      </w:pPr>
      <w:rPr>
        <w:rFonts w:ascii="Symbol" w:hAnsi="Symbol"/>
      </w:rPr>
    </w:lvl>
    <w:lvl w:ilvl="6" w:tplc="426C7A68">
      <w:start w:val="1"/>
      <w:numFmt w:val="bullet"/>
      <w:lvlText w:val=""/>
      <w:lvlJc w:val="left"/>
      <w:pPr>
        <w:ind w:left="1080" w:hanging="360"/>
      </w:pPr>
      <w:rPr>
        <w:rFonts w:ascii="Symbol" w:hAnsi="Symbol"/>
      </w:rPr>
    </w:lvl>
    <w:lvl w:ilvl="7" w:tplc="681679A4">
      <w:start w:val="1"/>
      <w:numFmt w:val="bullet"/>
      <w:lvlText w:val=""/>
      <w:lvlJc w:val="left"/>
      <w:pPr>
        <w:ind w:left="1080" w:hanging="360"/>
      </w:pPr>
      <w:rPr>
        <w:rFonts w:ascii="Symbol" w:hAnsi="Symbol"/>
      </w:rPr>
    </w:lvl>
    <w:lvl w:ilvl="8" w:tplc="04DA8560">
      <w:start w:val="1"/>
      <w:numFmt w:val="bullet"/>
      <w:lvlText w:val=""/>
      <w:lvlJc w:val="left"/>
      <w:pPr>
        <w:ind w:left="1080" w:hanging="360"/>
      </w:pPr>
      <w:rPr>
        <w:rFonts w:ascii="Symbol" w:hAnsi="Symbol"/>
      </w:rPr>
    </w:lvl>
  </w:abstractNum>
  <w:abstractNum w:abstractNumId="19" w15:restartNumberingAfterBreak="0">
    <w:nsid w:val="3BD04D0C"/>
    <w:multiLevelType w:val="hybridMultilevel"/>
    <w:tmpl w:val="343416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EED3D10"/>
    <w:multiLevelType w:val="hybridMultilevel"/>
    <w:tmpl w:val="8B327BE4"/>
    <w:lvl w:ilvl="0" w:tplc="42BECEE4">
      <w:start w:val="1"/>
      <w:numFmt w:val="bullet"/>
      <w:lvlText w:val=""/>
      <w:lvlJc w:val="left"/>
      <w:pPr>
        <w:ind w:left="1080" w:hanging="360"/>
      </w:pPr>
      <w:rPr>
        <w:rFonts w:ascii="Symbol" w:hAnsi="Symbol"/>
      </w:rPr>
    </w:lvl>
    <w:lvl w:ilvl="1" w:tplc="7B2E2906">
      <w:start w:val="1"/>
      <w:numFmt w:val="bullet"/>
      <w:lvlText w:val=""/>
      <w:lvlJc w:val="left"/>
      <w:pPr>
        <w:ind w:left="1080" w:hanging="360"/>
      </w:pPr>
      <w:rPr>
        <w:rFonts w:ascii="Symbol" w:hAnsi="Symbol"/>
      </w:rPr>
    </w:lvl>
    <w:lvl w:ilvl="2" w:tplc="48508FB6">
      <w:start w:val="1"/>
      <w:numFmt w:val="bullet"/>
      <w:lvlText w:val=""/>
      <w:lvlJc w:val="left"/>
      <w:pPr>
        <w:ind w:left="1080" w:hanging="360"/>
      </w:pPr>
      <w:rPr>
        <w:rFonts w:ascii="Symbol" w:hAnsi="Symbol"/>
      </w:rPr>
    </w:lvl>
    <w:lvl w:ilvl="3" w:tplc="C9D6CBCA">
      <w:start w:val="1"/>
      <w:numFmt w:val="bullet"/>
      <w:lvlText w:val=""/>
      <w:lvlJc w:val="left"/>
      <w:pPr>
        <w:ind w:left="1080" w:hanging="360"/>
      </w:pPr>
      <w:rPr>
        <w:rFonts w:ascii="Symbol" w:hAnsi="Symbol"/>
      </w:rPr>
    </w:lvl>
    <w:lvl w:ilvl="4" w:tplc="9594BDB0">
      <w:start w:val="1"/>
      <w:numFmt w:val="bullet"/>
      <w:lvlText w:val=""/>
      <w:lvlJc w:val="left"/>
      <w:pPr>
        <w:ind w:left="1080" w:hanging="360"/>
      </w:pPr>
      <w:rPr>
        <w:rFonts w:ascii="Symbol" w:hAnsi="Symbol"/>
      </w:rPr>
    </w:lvl>
    <w:lvl w:ilvl="5" w:tplc="9D566B6C">
      <w:start w:val="1"/>
      <w:numFmt w:val="bullet"/>
      <w:lvlText w:val=""/>
      <w:lvlJc w:val="left"/>
      <w:pPr>
        <w:ind w:left="1080" w:hanging="360"/>
      </w:pPr>
      <w:rPr>
        <w:rFonts w:ascii="Symbol" w:hAnsi="Symbol"/>
      </w:rPr>
    </w:lvl>
    <w:lvl w:ilvl="6" w:tplc="8DA0D302">
      <w:start w:val="1"/>
      <w:numFmt w:val="bullet"/>
      <w:lvlText w:val=""/>
      <w:lvlJc w:val="left"/>
      <w:pPr>
        <w:ind w:left="1080" w:hanging="360"/>
      </w:pPr>
      <w:rPr>
        <w:rFonts w:ascii="Symbol" w:hAnsi="Symbol"/>
      </w:rPr>
    </w:lvl>
    <w:lvl w:ilvl="7" w:tplc="83ACCC5C">
      <w:start w:val="1"/>
      <w:numFmt w:val="bullet"/>
      <w:lvlText w:val=""/>
      <w:lvlJc w:val="left"/>
      <w:pPr>
        <w:ind w:left="1080" w:hanging="360"/>
      </w:pPr>
      <w:rPr>
        <w:rFonts w:ascii="Symbol" w:hAnsi="Symbol"/>
      </w:rPr>
    </w:lvl>
    <w:lvl w:ilvl="8" w:tplc="994C6FF4">
      <w:start w:val="1"/>
      <w:numFmt w:val="bullet"/>
      <w:lvlText w:val=""/>
      <w:lvlJc w:val="left"/>
      <w:pPr>
        <w:ind w:left="1080" w:hanging="360"/>
      </w:pPr>
      <w:rPr>
        <w:rFonts w:ascii="Symbol" w:hAnsi="Symbol"/>
      </w:rPr>
    </w:lvl>
  </w:abstractNum>
  <w:abstractNum w:abstractNumId="21" w15:restartNumberingAfterBreak="0">
    <w:nsid w:val="3F9041C7"/>
    <w:multiLevelType w:val="hybridMultilevel"/>
    <w:tmpl w:val="EBEEB042"/>
    <w:lvl w:ilvl="0" w:tplc="8610A134">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5D78C5"/>
    <w:multiLevelType w:val="hybridMultilevel"/>
    <w:tmpl w:val="FAAEA780"/>
    <w:lvl w:ilvl="0" w:tplc="4AF8A370">
      <w:start w:val="1"/>
      <w:numFmt w:val="bullet"/>
      <w:lvlText w:val=""/>
      <w:lvlJc w:val="left"/>
      <w:pPr>
        <w:ind w:left="1080" w:hanging="360"/>
      </w:pPr>
      <w:rPr>
        <w:rFonts w:ascii="Symbol" w:hAnsi="Symbol"/>
      </w:rPr>
    </w:lvl>
    <w:lvl w:ilvl="1" w:tplc="9C586F70">
      <w:start w:val="1"/>
      <w:numFmt w:val="bullet"/>
      <w:lvlText w:val=""/>
      <w:lvlJc w:val="left"/>
      <w:pPr>
        <w:ind w:left="1080" w:hanging="360"/>
      </w:pPr>
      <w:rPr>
        <w:rFonts w:ascii="Symbol" w:hAnsi="Symbol"/>
      </w:rPr>
    </w:lvl>
    <w:lvl w:ilvl="2" w:tplc="94AE4F86">
      <w:start w:val="1"/>
      <w:numFmt w:val="bullet"/>
      <w:lvlText w:val=""/>
      <w:lvlJc w:val="left"/>
      <w:pPr>
        <w:ind w:left="1080" w:hanging="360"/>
      </w:pPr>
      <w:rPr>
        <w:rFonts w:ascii="Symbol" w:hAnsi="Symbol"/>
      </w:rPr>
    </w:lvl>
    <w:lvl w:ilvl="3" w:tplc="1C94DB68">
      <w:start w:val="1"/>
      <w:numFmt w:val="bullet"/>
      <w:lvlText w:val=""/>
      <w:lvlJc w:val="left"/>
      <w:pPr>
        <w:ind w:left="1080" w:hanging="360"/>
      </w:pPr>
      <w:rPr>
        <w:rFonts w:ascii="Symbol" w:hAnsi="Symbol"/>
      </w:rPr>
    </w:lvl>
    <w:lvl w:ilvl="4" w:tplc="AAAAAECC">
      <w:start w:val="1"/>
      <w:numFmt w:val="bullet"/>
      <w:lvlText w:val=""/>
      <w:lvlJc w:val="left"/>
      <w:pPr>
        <w:ind w:left="1080" w:hanging="360"/>
      </w:pPr>
      <w:rPr>
        <w:rFonts w:ascii="Symbol" w:hAnsi="Symbol"/>
      </w:rPr>
    </w:lvl>
    <w:lvl w:ilvl="5" w:tplc="54C0D844">
      <w:start w:val="1"/>
      <w:numFmt w:val="bullet"/>
      <w:lvlText w:val=""/>
      <w:lvlJc w:val="left"/>
      <w:pPr>
        <w:ind w:left="1080" w:hanging="360"/>
      </w:pPr>
      <w:rPr>
        <w:rFonts w:ascii="Symbol" w:hAnsi="Symbol"/>
      </w:rPr>
    </w:lvl>
    <w:lvl w:ilvl="6" w:tplc="5D4A4A08">
      <w:start w:val="1"/>
      <w:numFmt w:val="bullet"/>
      <w:lvlText w:val=""/>
      <w:lvlJc w:val="left"/>
      <w:pPr>
        <w:ind w:left="1080" w:hanging="360"/>
      </w:pPr>
      <w:rPr>
        <w:rFonts w:ascii="Symbol" w:hAnsi="Symbol"/>
      </w:rPr>
    </w:lvl>
    <w:lvl w:ilvl="7" w:tplc="A7529A8A">
      <w:start w:val="1"/>
      <w:numFmt w:val="bullet"/>
      <w:lvlText w:val=""/>
      <w:lvlJc w:val="left"/>
      <w:pPr>
        <w:ind w:left="1080" w:hanging="360"/>
      </w:pPr>
      <w:rPr>
        <w:rFonts w:ascii="Symbol" w:hAnsi="Symbol"/>
      </w:rPr>
    </w:lvl>
    <w:lvl w:ilvl="8" w:tplc="18A48EB6">
      <w:start w:val="1"/>
      <w:numFmt w:val="bullet"/>
      <w:lvlText w:val=""/>
      <w:lvlJc w:val="left"/>
      <w:pPr>
        <w:ind w:left="1080" w:hanging="360"/>
      </w:pPr>
      <w:rPr>
        <w:rFonts w:ascii="Symbol" w:hAnsi="Symbol"/>
      </w:rPr>
    </w:lvl>
  </w:abstractNum>
  <w:abstractNum w:abstractNumId="23" w15:restartNumberingAfterBreak="0">
    <w:nsid w:val="43D32710"/>
    <w:multiLevelType w:val="hybridMultilevel"/>
    <w:tmpl w:val="8196CCCC"/>
    <w:lvl w:ilvl="0" w:tplc="6554C320">
      <w:start w:val="1"/>
      <w:numFmt w:val="bullet"/>
      <w:lvlText w:val=""/>
      <w:lvlJc w:val="left"/>
      <w:pPr>
        <w:ind w:left="1080" w:hanging="360"/>
      </w:pPr>
      <w:rPr>
        <w:rFonts w:ascii="Symbol" w:hAnsi="Symbol"/>
      </w:rPr>
    </w:lvl>
    <w:lvl w:ilvl="1" w:tplc="57468EA4">
      <w:start w:val="1"/>
      <w:numFmt w:val="bullet"/>
      <w:lvlText w:val=""/>
      <w:lvlJc w:val="left"/>
      <w:pPr>
        <w:ind w:left="1080" w:hanging="360"/>
      </w:pPr>
      <w:rPr>
        <w:rFonts w:ascii="Symbol" w:hAnsi="Symbol"/>
      </w:rPr>
    </w:lvl>
    <w:lvl w:ilvl="2" w:tplc="C90A3F14">
      <w:start w:val="1"/>
      <w:numFmt w:val="bullet"/>
      <w:lvlText w:val=""/>
      <w:lvlJc w:val="left"/>
      <w:pPr>
        <w:ind w:left="1080" w:hanging="360"/>
      </w:pPr>
      <w:rPr>
        <w:rFonts w:ascii="Symbol" w:hAnsi="Symbol"/>
      </w:rPr>
    </w:lvl>
    <w:lvl w:ilvl="3" w:tplc="3DCAFD7E">
      <w:start w:val="1"/>
      <w:numFmt w:val="bullet"/>
      <w:lvlText w:val=""/>
      <w:lvlJc w:val="left"/>
      <w:pPr>
        <w:ind w:left="1080" w:hanging="360"/>
      </w:pPr>
      <w:rPr>
        <w:rFonts w:ascii="Symbol" w:hAnsi="Symbol"/>
      </w:rPr>
    </w:lvl>
    <w:lvl w:ilvl="4" w:tplc="717C3D06">
      <w:start w:val="1"/>
      <w:numFmt w:val="bullet"/>
      <w:lvlText w:val=""/>
      <w:lvlJc w:val="left"/>
      <w:pPr>
        <w:ind w:left="1080" w:hanging="360"/>
      </w:pPr>
      <w:rPr>
        <w:rFonts w:ascii="Symbol" w:hAnsi="Symbol"/>
      </w:rPr>
    </w:lvl>
    <w:lvl w:ilvl="5" w:tplc="8FE6E45E">
      <w:start w:val="1"/>
      <w:numFmt w:val="bullet"/>
      <w:lvlText w:val=""/>
      <w:lvlJc w:val="left"/>
      <w:pPr>
        <w:ind w:left="1080" w:hanging="360"/>
      </w:pPr>
      <w:rPr>
        <w:rFonts w:ascii="Symbol" w:hAnsi="Symbol"/>
      </w:rPr>
    </w:lvl>
    <w:lvl w:ilvl="6" w:tplc="A538E536">
      <w:start w:val="1"/>
      <w:numFmt w:val="bullet"/>
      <w:lvlText w:val=""/>
      <w:lvlJc w:val="left"/>
      <w:pPr>
        <w:ind w:left="1080" w:hanging="360"/>
      </w:pPr>
      <w:rPr>
        <w:rFonts w:ascii="Symbol" w:hAnsi="Symbol"/>
      </w:rPr>
    </w:lvl>
    <w:lvl w:ilvl="7" w:tplc="F3F24A4C">
      <w:start w:val="1"/>
      <w:numFmt w:val="bullet"/>
      <w:lvlText w:val=""/>
      <w:lvlJc w:val="left"/>
      <w:pPr>
        <w:ind w:left="1080" w:hanging="360"/>
      </w:pPr>
      <w:rPr>
        <w:rFonts w:ascii="Symbol" w:hAnsi="Symbol"/>
      </w:rPr>
    </w:lvl>
    <w:lvl w:ilvl="8" w:tplc="CF5CA8CA">
      <w:start w:val="1"/>
      <w:numFmt w:val="bullet"/>
      <w:lvlText w:val=""/>
      <w:lvlJc w:val="left"/>
      <w:pPr>
        <w:ind w:left="1080" w:hanging="360"/>
      </w:pPr>
      <w:rPr>
        <w:rFonts w:ascii="Symbol" w:hAnsi="Symbol"/>
      </w:rPr>
    </w:lvl>
  </w:abstractNum>
  <w:abstractNum w:abstractNumId="24" w15:restartNumberingAfterBreak="0">
    <w:nsid w:val="43F12746"/>
    <w:multiLevelType w:val="hybridMultilevel"/>
    <w:tmpl w:val="CB8C52CA"/>
    <w:lvl w:ilvl="0" w:tplc="A582F7A0">
      <w:start w:val="1"/>
      <w:numFmt w:val="bullet"/>
      <w:lvlText w:val=""/>
      <w:lvlJc w:val="left"/>
      <w:pPr>
        <w:ind w:left="1080" w:hanging="360"/>
      </w:pPr>
      <w:rPr>
        <w:rFonts w:ascii="Symbol" w:hAnsi="Symbol"/>
      </w:rPr>
    </w:lvl>
    <w:lvl w:ilvl="1" w:tplc="66C86FE4">
      <w:start w:val="1"/>
      <w:numFmt w:val="bullet"/>
      <w:lvlText w:val=""/>
      <w:lvlJc w:val="left"/>
      <w:pPr>
        <w:ind w:left="1080" w:hanging="360"/>
      </w:pPr>
      <w:rPr>
        <w:rFonts w:ascii="Symbol" w:hAnsi="Symbol"/>
      </w:rPr>
    </w:lvl>
    <w:lvl w:ilvl="2" w:tplc="EB48E3D6">
      <w:start w:val="1"/>
      <w:numFmt w:val="bullet"/>
      <w:lvlText w:val=""/>
      <w:lvlJc w:val="left"/>
      <w:pPr>
        <w:ind w:left="1080" w:hanging="360"/>
      </w:pPr>
      <w:rPr>
        <w:rFonts w:ascii="Symbol" w:hAnsi="Symbol"/>
      </w:rPr>
    </w:lvl>
    <w:lvl w:ilvl="3" w:tplc="37F29B3E">
      <w:start w:val="1"/>
      <w:numFmt w:val="bullet"/>
      <w:lvlText w:val=""/>
      <w:lvlJc w:val="left"/>
      <w:pPr>
        <w:ind w:left="1080" w:hanging="360"/>
      </w:pPr>
      <w:rPr>
        <w:rFonts w:ascii="Symbol" w:hAnsi="Symbol"/>
      </w:rPr>
    </w:lvl>
    <w:lvl w:ilvl="4" w:tplc="372C01BC">
      <w:start w:val="1"/>
      <w:numFmt w:val="bullet"/>
      <w:lvlText w:val=""/>
      <w:lvlJc w:val="left"/>
      <w:pPr>
        <w:ind w:left="1080" w:hanging="360"/>
      </w:pPr>
      <w:rPr>
        <w:rFonts w:ascii="Symbol" w:hAnsi="Symbol"/>
      </w:rPr>
    </w:lvl>
    <w:lvl w:ilvl="5" w:tplc="DBE69ED2">
      <w:start w:val="1"/>
      <w:numFmt w:val="bullet"/>
      <w:lvlText w:val=""/>
      <w:lvlJc w:val="left"/>
      <w:pPr>
        <w:ind w:left="1080" w:hanging="360"/>
      </w:pPr>
      <w:rPr>
        <w:rFonts w:ascii="Symbol" w:hAnsi="Symbol"/>
      </w:rPr>
    </w:lvl>
    <w:lvl w:ilvl="6" w:tplc="68AC082E">
      <w:start w:val="1"/>
      <w:numFmt w:val="bullet"/>
      <w:lvlText w:val=""/>
      <w:lvlJc w:val="left"/>
      <w:pPr>
        <w:ind w:left="1080" w:hanging="360"/>
      </w:pPr>
      <w:rPr>
        <w:rFonts w:ascii="Symbol" w:hAnsi="Symbol"/>
      </w:rPr>
    </w:lvl>
    <w:lvl w:ilvl="7" w:tplc="2D6015F2">
      <w:start w:val="1"/>
      <w:numFmt w:val="bullet"/>
      <w:lvlText w:val=""/>
      <w:lvlJc w:val="left"/>
      <w:pPr>
        <w:ind w:left="1080" w:hanging="360"/>
      </w:pPr>
      <w:rPr>
        <w:rFonts w:ascii="Symbol" w:hAnsi="Symbol"/>
      </w:rPr>
    </w:lvl>
    <w:lvl w:ilvl="8" w:tplc="5AC80C90">
      <w:start w:val="1"/>
      <w:numFmt w:val="bullet"/>
      <w:lvlText w:val=""/>
      <w:lvlJc w:val="left"/>
      <w:pPr>
        <w:ind w:left="1080" w:hanging="360"/>
      </w:pPr>
      <w:rPr>
        <w:rFonts w:ascii="Symbol" w:hAnsi="Symbol"/>
      </w:rPr>
    </w:lvl>
  </w:abstractNum>
  <w:abstractNum w:abstractNumId="2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D67A6"/>
    <w:multiLevelType w:val="hybridMultilevel"/>
    <w:tmpl w:val="814001C0"/>
    <w:lvl w:ilvl="0" w:tplc="8708BECA">
      <w:start w:val="1"/>
      <w:numFmt w:val="bullet"/>
      <w:pStyle w:val="COMexecsummbulletlis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3B078E"/>
    <w:multiLevelType w:val="hybridMultilevel"/>
    <w:tmpl w:val="0FF461D6"/>
    <w:lvl w:ilvl="0" w:tplc="A7528D06">
      <w:start w:val="1"/>
      <w:numFmt w:val="bullet"/>
      <w:lvlText w:val=""/>
      <w:lvlJc w:val="left"/>
      <w:pPr>
        <w:ind w:left="1800" w:hanging="360"/>
      </w:pPr>
      <w:rPr>
        <w:rFonts w:ascii="Symbol" w:hAnsi="Symbol"/>
      </w:rPr>
    </w:lvl>
    <w:lvl w:ilvl="1" w:tplc="C5828462">
      <w:start w:val="1"/>
      <w:numFmt w:val="bullet"/>
      <w:lvlText w:val=""/>
      <w:lvlJc w:val="left"/>
      <w:pPr>
        <w:ind w:left="1800" w:hanging="360"/>
      </w:pPr>
      <w:rPr>
        <w:rFonts w:ascii="Symbol" w:hAnsi="Symbol"/>
      </w:rPr>
    </w:lvl>
    <w:lvl w:ilvl="2" w:tplc="19507960">
      <w:start w:val="1"/>
      <w:numFmt w:val="bullet"/>
      <w:lvlText w:val=""/>
      <w:lvlJc w:val="left"/>
      <w:pPr>
        <w:ind w:left="1800" w:hanging="360"/>
      </w:pPr>
      <w:rPr>
        <w:rFonts w:ascii="Symbol" w:hAnsi="Symbol"/>
      </w:rPr>
    </w:lvl>
    <w:lvl w:ilvl="3" w:tplc="CD68C2CC">
      <w:start w:val="1"/>
      <w:numFmt w:val="bullet"/>
      <w:lvlText w:val=""/>
      <w:lvlJc w:val="left"/>
      <w:pPr>
        <w:ind w:left="1800" w:hanging="360"/>
      </w:pPr>
      <w:rPr>
        <w:rFonts w:ascii="Symbol" w:hAnsi="Symbol"/>
      </w:rPr>
    </w:lvl>
    <w:lvl w:ilvl="4" w:tplc="B9103662">
      <w:start w:val="1"/>
      <w:numFmt w:val="bullet"/>
      <w:lvlText w:val=""/>
      <w:lvlJc w:val="left"/>
      <w:pPr>
        <w:ind w:left="1800" w:hanging="360"/>
      </w:pPr>
      <w:rPr>
        <w:rFonts w:ascii="Symbol" w:hAnsi="Symbol"/>
      </w:rPr>
    </w:lvl>
    <w:lvl w:ilvl="5" w:tplc="B4AE0FCE">
      <w:start w:val="1"/>
      <w:numFmt w:val="bullet"/>
      <w:lvlText w:val=""/>
      <w:lvlJc w:val="left"/>
      <w:pPr>
        <w:ind w:left="1800" w:hanging="360"/>
      </w:pPr>
      <w:rPr>
        <w:rFonts w:ascii="Symbol" w:hAnsi="Symbol"/>
      </w:rPr>
    </w:lvl>
    <w:lvl w:ilvl="6" w:tplc="C20CEA5C">
      <w:start w:val="1"/>
      <w:numFmt w:val="bullet"/>
      <w:lvlText w:val=""/>
      <w:lvlJc w:val="left"/>
      <w:pPr>
        <w:ind w:left="1800" w:hanging="360"/>
      </w:pPr>
      <w:rPr>
        <w:rFonts w:ascii="Symbol" w:hAnsi="Symbol"/>
      </w:rPr>
    </w:lvl>
    <w:lvl w:ilvl="7" w:tplc="79621B2C">
      <w:start w:val="1"/>
      <w:numFmt w:val="bullet"/>
      <w:lvlText w:val=""/>
      <w:lvlJc w:val="left"/>
      <w:pPr>
        <w:ind w:left="1800" w:hanging="360"/>
      </w:pPr>
      <w:rPr>
        <w:rFonts w:ascii="Symbol" w:hAnsi="Symbol"/>
      </w:rPr>
    </w:lvl>
    <w:lvl w:ilvl="8" w:tplc="EF02E440">
      <w:start w:val="1"/>
      <w:numFmt w:val="bullet"/>
      <w:lvlText w:val=""/>
      <w:lvlJc w:val="left"/>
      <w:pPr>
        <w:ind w:left="1800" w:hanging="360"/>
      </w:pPr>
      <w:rPr>
        <w:rFonts w:ascii="Symbol" w:hAnsi="Symbol"/>
      </w:rPr>
    </w:lvl>
  </w:abstractNum>
  <w:abstractNum w:abstractNumId="28" w15:restartNumberingAfterBreak="0">
    <w:nsid w:val="48164960"/>
    <w:multiLevelType w:val="hybridMultilevel"/>
    <w:tmpl w:val="5FC8D27E"/>
    <w:lvl w:ilvl="0" w:tplc="BD7E3472">
      <w:start w:val="1"/>
      <w:numFmt w:val="bullet"/>
      <w:lvlText w:val=""/>
      <w:lvlJc w:val="left"/>
      <w:pPr>
        <w:ind w:left="1800" w:hanging="360"/>
      </w:pPr>
      <w:rPr>
        <w:rFonts w:ascii="Symbol" w:hAnsi="Symbol"/>
      </w:rPr>
    </w:lvl>
    <w:lvl w:ilvl="1" w:tplc="43EAF4CE">
      <w:start w:val="1"/>
      <w:numFmt w:val="bullet"/>
      <w:lvlText w:val=""/>
      <w:lvlJc w:val="left"/>
      <w:pPr>
        <w:ind w:left="1800" w:hanging="360"/>
      </w:pPr>
      <w:rPr>
        <w:rFonts w:ascii="Symbol" w:hAnsi="Symbol"/>
      </w:rPr>
    </w:lvl>
    <w:lvl w:ilvl="2" w:tplc="4600C634">
      <w:start w:val="1"/>
      <w:numFmt w:val="bullet"/>
      <w:lvlText w:val=""/>
      <w:lvlJc w:val="left"/>
      <w:pPr>
        <w:ind w:left="1800" w:hanging="360"/>
      </w:pPr>
      <w:rPr>
        <w:rFonts w:ascii="Symbol" w:hAnsi="Symbol"/>
      </w:rPr>
    </w:lvl>
    <w:lvl w:ilvl="3" w:tplc="2A6A7220">
      <w:start w:val="1"/>
      <w:numFmt w:val="bullet"/>
      <w:lvlText w:val=""/>
      <w:lvlJc w:val="left"/>
      <w:pPr>
        <w:ind w:left="1800" w:hanging="360"/>
      </w:pPr>
      <w:rPr>
        <w:rFonts w:ascii="Symbol" w:hAnsi="Symbol"/>
      </w:rPr>
    </w:lvl>
    <w:lvl w:ilvl="4" w:tplc="A8368FBC">
      <w:start w:val="1"/>
      <w:numFmt w:val="bullet"/>
      <w:lvlText w:val=""/>
      <w:lvlJc w:val="left"/>
      <w:pPr>
        <w:ind w:left="1800" w:hanging="360"/>
      </w:pPr>
      <w:rPr>
        <w:rFonts w:ascii="Symbol" w:hAnsi="Symbol"/>
      </w:rPr>
    </w:lvl>
    <w:lvl w:ilvl="5" w:tplc="A42E0326">
      <w:start w:val="1"/>
      <w:numFmt w:val="bullet"/>
      <w:lvlText w:val=""/>
      <w:lvlJc w:val="left"/>
      <w:pPr>
        <w:ind w:left="1800" w:hanging="360"/>
      </w:pPr>
      <w:rPr>
        <w:rFonts w:ascii="Symbol" w:hAnsi="Symbol"/>
      </w:rPr>
    </w:lvl>
    <w:lvl w:ilvl="6" w:tplc="443E8F6C">
      <w:start w:val="1"/>
      <w:numFmt w:val="bullet"/>
      <w:lvlText w:val=""/>
      <w:lvlJc w:val="left"/>
      <w:pPr>
        <w:ind w:left="1800" w:hanging="360"/>
      </w:pPr>
      <w:rPr>
        <w:rFonts w:ascii="Symbol" w:hAnsi="Symbol"/>
      </w:rPr>
    </w:lvl>
    <w:lvl w:ilvl="7" w:tplc="B738629A">
      <w:start w:val="1"/>
      <w:numFmt w:val="bullet"/>
      <w:lvlText w:val=""/>
      <w:lvlJc w:val="left"/>
      <w:pPr>
        <w:ind w:left="1800" w:hanging="360"/>
      </w:pPr>
      <w:rPr>
        <w:rFonts w:ascii="Symbol" w:hAnsi="Symbol"/>
      </w:rPr>
    </w:lvl>
    <w:lvl w:ilvl="8" w:tplc="122EF314">
      <w:start w:val="1"/>
      <w:numFmt w:val="bullet"/>
      <w:lvlText w:val=""/>
      <w:lvlJc w:val="left"/>
      <w:pPr>
        <w:ind w:left="1800" w:hanging="360"/>
      </w:pPr>
      <w:rPr>
        <w:rFonts w:ascii="Symbol" w:hAnsi="Symbol"/>
      </w:rPr>
    </w:lvl>
  </w:abstractNum>
  <w:abstractNum w:abstractNumId="29" w15:restartNumberingAfterBreak="0">
    <w:nsid w:val="4B641299"/>
    <w:multiLevelType w:val="hybridMultilevel"/>
    <w:tmpl w:val="5C242884"/>
    <w:lvl w:ilvl="0" w:tplc="DA3017FA">
      <w:start w:val="1"/>
      <w:numFmt w:val="bullet"/>
      <w:lvlText w:val=""/>
      <w:lvlJc w:val="left"/>
      <w:pPr>
        <w:ind w:left="720" w:hanging="360"/>
      </w:pPr>
      <w:rPr>
        <w:rFonts w:ascii="Symbol" w:hAnsi="Symbol"/>
      </w:rPr>
    </w:lvl>
    <w:lvl w:ilvl="1" w:tplc="4CF6002A">
      <w:start w:val="1"/>
      <w:numFmt w:val="bullet"/>
      <w:lvlText w:val=""/>
      <w:lvlJc w:val="left"/>
      <w:pPr>
        <w:ind w:left="720" w:hanging="360"/>
      </w:pPr>
      <w:rPr>
        <w:rFonts w:ascii="Symbol" w:hAnsi="Symbol"/>
      </w:rPr>
    </w:lvl>
    <w:lvl w:ilvl="2" w:tplc="8EEECD02">
      <w:start w:val="1"/>
      <w:numFmt w:val="bullet"/>
      <w:lvlText w:val=""/>
      <w:lvlJc w:val="left"/>
      <w:pPr>
        <w:ind w:left="720" w:hanging="360"/>
      </w:pPr>
      <w:rPr>
        <w:rFonts w:ascii="Symbol" w:hAnsi="Symbol"/>
      </w:rPr>
    </w:lvl>
    <w:lvl w:ilvl="3" w:tplc="647E95F2">
      <w:start w:val="1"/>
      <w:numFmt w:val="bullet"/>
      <w:lvlText w:val=""/>
      <w:lvlJc w:val="left"/>
      <w:pPr>
        <w:ind w:left="720" w:hanging="360"/>
      </w:pPr>
      <w:rPr>
        <w:rFonts w:ascii="Symbol" w:hAnsi="Symbol"/>
      </w:rPr>
    </w:lvl>
    <w:lvl w:ilvl="4" w:tplc="FB742D8C">
      <w:start w:val="1"/>
      <w:numFmt w:val="bullet"/>
      <w:lvlText w:val=""/>
      <w:lvlJc w:val="left"/>
      <w:pPr>
        <w:ind w:left="720" w:hanging="360"/>
      </w:pPr>
      <w:rPr>
        <w:rFonts w:ascii="Symbol" w:hAnsi="Symbol"/>
      </w:rPr>
    </w:lvl>
    <w:lvl w:ilvl="5" w:tplc="E048A45E">
      <w:start w:val="1"/>
      <w:numFmt w:val="bullet"/>
      <w:lvlText w:val=""/>
      <w:lvlJc w:val="left"/>
      <w:pPr>
        <w:ind w:left="720" w:hanging="360"/>
      </w:pPr>
      <w:rPr>
        <w:rFonts w:ascii="Symbol" w:hAnsi="Symbol"/>
      </w:rPr>
    </w:lvl>
    <w:lvl w:ilvl="6" w:tplc="57CCC89E">
      <w:start w:val="1"/>
      <w:numFmt w:val="bullet"/>
      <w:lvlText w:val=""/>
      <w:lvlJc w:val="left"/>
      <w:pPr>
        <w:ind w:left="720" w:hanging="360"/>
      </w:pPr>
      <w:rPr>
        <w:rFonts w:ascii="Symbol" w:hAnsi="Symbol"/>
      </w:rPr>
    </w:lvl>
    <w:lvl w:ilvl="7" w:tplc="0A2EE0C8">
      <w:start w:val="1"/>
      <w:numFmt w:val="bullet"/>
      <w:lvlText w:val=""/>
      <w:lvlJc w:val="left"/>
      <w:pPr>
        <w:ind w:left="720" w:hanging="360"/>
      </w:pPr>
      <w:rPr>
        <w:rFonts w:ascii="Symbol" w:hAnsi="Symbol"/>
      </w:rPr>
    </w:lvl>
    <w:lvl w:ilvl="8" w:tplc="DE82B440">
      <w:start w:val="1"/>
      <w:numFmt w:val="bullet"/>
      <w:lvlText w:val=""/>
      <w:lvlJc w:val="left"/>
      <w:pPr>
        <w:ind w:left="720" w:hanging="360"/>
      </w:pPr>
      <w:rPr>
        <w:rFonts w:ascii="Symbol" w:hAnsi="Symbol"/>
      </w:rPr>
    </w:lvl>
  </w:abstractNum>
  <w:abstractNum w:abstractNumId="30" w15:restartNumberingAfterBreak="0">
    <w:nsid w:val="4C2036B7"/>
    <w:multiLevelType w:val="hybridMultilevel"/>
    <w:tmpl w:val="9620C9BA"/>
    <w:lvl w:ilvl="0" w:tplc="64546028">
      <w:start w:val="1"/>
      <w:numFmt w:val="bullet"/>
      <w:lvlText w:val=""/>
      <w:lvlJc w:val="left"/>
      <w:pPr>
        <w:ind w:left="1800" w:hanging="360"/>
      </w:pPr>
      <w:rPr>
        <w:rFonts w:ascii="Symbol" w:hAnsi="Symbol"/>
      </w:rPr>
    </w:lvl>
    <w:lvl w:ilvl="1" w:tplc="448C4602">
      <w:start w:val="1"/>
      <w:numFmt w:val="bullet"/>
      <w:lvlText w:val=""/>
      <w:lvlJc w:val="left"/>
      <w:pPr>
        <w:ind w:left="1800" w:hanging="360"/>
      </w:pPr>
      <w:rPr>
        <w:rFonts w:ascii="Symbol" w:hAnsi="Symbol"/>
      </w:rPr>
    </w:lvl>
    <w:lvl w:ilvl="2" w:tplc="2C5078E0">
      <w:start w:val="1"/>
      <w:numFmt w:val="bullet"/>
      <w:lvlText w:val=""/>
      <w:lvlJc w:val="left"/>
      <w:pPr>
        <w:ind w:left="1800" w:hanging="360"/>
      </w:pPr>
      <w:rPr>
        <w:rFonts w:ascii="Symbol" w:hAnsi="Symbol"/>
      </w:rPr>
    </w:lvl>
    <w:lvl w:ilvl="3" w:tplc="A0C8A548">
      <w:start w:val="1"/>
      <w:numFmt w:val="bullet"/>
      <w:lvlText w:val=""/>
      <w:lvlJc w:val="left"/>
      <w:pPr>
        <w:ind w:left="1800" w:hanging="360"/>
      </w:pPr>
      <w:rPr>
        <w:rFonts w:ascii="Symbol" w:hAnsi="Symbol"/>
      </w:rPr>
    </w:lvl>
    <w:lvl w:ilvl="4" w:tplc="603A24A4">
      <w:start w:val="1"/>
      <w:numFmt w:val="bullet"/>
      <w:lvlText w:val=""/>
      <w:lvlJc w:val="left"/>
      <w:pPr>
        <w:ind w:left="1800" w:hanging="360"/>
      </w:pPr>
      <w:rPr>
        <w:rFonts w:ascii="Symbol" w:hAnsi="Symbol"/>
      </w:rPr>
    </w:lvl>
    <w:lvl w:ilvl="5" w:tplc="0B88E502">
      <w:start w:val="1"/>
      <w:numFmt w:val="bullet"/>
      <w:lvlText w:val=""/>
      <w:lvlJc w:val="left"/>
      <w:pPr>
        <w:ind w:left="1800" w:hanging="360"/>
      </w:pPr>
      <w:rPr>
        <w:rFonts w:ascii="Symbol" w:hAnsi="Symbol"/>
      </w:rPr>
    </w:lvl>
    <w:lvl w:ilvl="6" w:tplc="422AAA26">
      <w:start w:val="1"/>
      <w:numFmt w:val="bullet"/>
      <w:lvlText w:val=""/>
      <w:lvlJc w:val="left"/>
      <w:pPr>
        <w:ind w:left="1800" w:hanging="360"/>
      </w:pPr>
      <w:rPr>
        <w:rFonts w:ascii="Symbol" w:hAnsi="Symbol"/>
      </w:rPr>
    </w:lvl>
    <w:lvl w:ilvl="7" w:tplc="0BE25A00">
      <w:start w:val="1"/>
      <w:numFmt w:val="bullet"/>
      <w:lvlText w:val=""/>
      <w:lvlJc w:val="left"/>
      <w:pPr>
        <w:ind w:left="1800" w:hanging="360"/>
      </w:pPr>
      <w:rPr>
        <w:rFonts w:ascii="Symbol" w:hAnsi="Symbol"/>
      </w:rPr>
    </w:lvl>
    <w:lvl w:ilvl="8" w:tplc="09B47F08">
      <w:start w:val="1"/>
      <w:numFmt w:val="bullet"/>
      <w:lvlText w:val=""/>
      <w:lvlJc w:val="left"/>
      <w:pPr>
        <w:ind w:left="1800" w:hanging="360"/>
      </w:pPr>
      <w:rPr>
        <w:rFonts w:ascii="Symbol" w:hAnsi="Symbol"/>
      </w:rPr>
    </w:lvl>
  </w:abstractNum>
  <w:abstractNum w:abstractNumId="31" w15:restartNumberingAfterBreak="0">
    <w:nsid w:val="4D10186F"/>
    <w:multiLevelType w:val="hybridMultilevel"/>
    <w:tmpl w:val="408A4DF0"/>
    <w:lvl w:ilvl="0" w:tplc="57C8E766">
      <w:start w:val="1"/>
      <w:numFmt w:val="bullet"/>
      <w:lvlText w:val=""/>
      <w:lvlJc w:val="left"/>
      <w:pPr>
        <w:ind w:left="1080" w:hanging="360"/>
      </w:pPr>
      <w:rPr>
        <w:rFonts w:ascii="Symbol" w:hAnsi="Symbol"/>
      </w:rPr>
    </w:lvl>
    <w:lvl w:ilvl="1" w:tplc="E8047F86">
      <w:start w:val="1"/>
      <w:numFmt w:val="bullet"/>
      <w:lvlText w:val=""/>
      <w:lvlJc w:val="left"/>
      <w:pPr>
        <w:ind w:left="1080" w:hanging="360"/>
      </w:pPr>
      <w:rPr>
        <w:rFonts w:ascii="Symbol" w:hAnsi="Symbol"/>
      </w:rPr>
    </w:lvl>
    <w:lvl w:ilvl="2" w:tplc="C350883C">
      <w:start w:val="1"/>
      <w:numFmt w:val="bullet"/>
      <w:lvlText w:val=""/>
      <w:lvlJc w:val="left"/>
      <w:pPr>
        <w:ind w:left="1080" w:hanging="360"/>
      </w:pPr>
      <w:rPr>
        <w:rFonts w:ascii="Symbol" w:hAnsi="Symbol"/>
      </w:rPr>
    </w:lvl>
    <w:lvl w:ilvl="3" w:tplc="C8666864">
      <w:start w:val="1"/>
      <w:numFmt w:val="bullet"/>
      <w:lvlText w:val=""/>
      <w:lvlJc w:val="left"/>
      <w:pPr>
        <w:ind w:left="1080" w:hanging="360"/>
      </w:pPr>
      <w:rPr>
        <w:rFonts w:ascii="Symbol" w:hAnsi="Symbol"/>
      </w:rPr>
    </w:lvl>
    <w:lvl w:ilvl="4" w:tplc="2A741B30">
      <w:start w:val="1"/>
      <w:numFmt w:val="bullet"/>
      <w:lvlText w:val=""/>
      <w:lvlJc w:val="left"/>
      <w:pPr>
        <w:ind w:left="1080" w:hanging="360"/>
      </w:pPr>
      <w:rPr>
        <w:rFonts w:ascii="Symbol" w:hAnsi="Symbol"/>
      </w:rPr>
    </w:lvl>
    <w:lvl w:ilvl="5" w:tplc="8014F936">
      <w:start w:val="1"/>
      <w:numFmt w:val="bullet"/>
      <w:lvlText w:val=""/>
      <w:lvlJc w:val="left"/>
      <w:pPr>
        <w:ind w:left="1080" w:hanging="360"/>
      </w:pPr>
      <w:rPr>
        <w:rFonts w:ascii="Symbol" w:hAnsi="Symbol"/>
      </w:rPr>
    </w:lvl>
    <w:lvl w:ilvl="6" w:tplc="3912B348">
      <w:start w:val="1"/>
      <w:numFmt w:val="bullet"/>
      <w:lvlText w:val=""/>
      <w:lvlJc w:val="left"/>
      <w:pPr>
        <w:ind w:left="1080" w:hanging="360"/>
      </w:pPr>
      <w:rPr>
        <w:rFonts w:ascii="Symbol" w:hAnsi="Symbol"/>
      </w:rPr>
    </w:lvl>
    <w:lvl w:ilvl="7" w:tplc="55C243A8">
      <w:start w:val="1"/>
      <w:numFmt w:val="bullet"/>
      <w:lvlText w:val=""/>
      <w:lvlJc w:val="left"/>
      <w:pPr>
        <w:ind w:left="1080" w:hanging="360"/>
      </w:pPr>
      <w:rPr>
        <w:rFonts w:ascii="Symbol" w:hAnsi="Symbol"/>
      </w:rPr>
    </w:lvl>
    <w:lvl w:ilvl="8" w:tplc="D500DB12">
      <w:start w:val="1"/>
      <w:numFmt w:val="bullet"/>
      <w:lvlText w:val=""/>
      <w:lvlJc w:val="left"/>
      <w:pPr>
        <w:ind w:left="1080" w:hanging="360"/>
      </w:pPr>
      <w:rPr>
        <w:rFonts w:ascii="Symbol" w:hAnsi="Symbol"/>
      </w:rPr>
    </w:lvl>
  </w:abstractNum>
  <w:abstractNum w:abstractNumId="32" w15:restartNumberingAfterBreak="0">
    <w:nsid w:val="4ECB14EF"/>
    <w:multiLevelType w:val="hybridMultilevel"/>
    <w:tmpl w:val="9E6635B2"/>
    <w:lvl w:ilvl="0" w:tplc="3A5E9376">
      <w:start w:val="1"/>
      <w:numFmt w:val="bullet"/>
      <w:lvlText w:val=""/>
      <w:lvlJc w:val="left"/>
      <w:pPr>
        <w:ind w:left="1800" w:hanging="360"/>
      </w:pPr>
      <w:rPr>
        <w:rFonts w:ascii="Symbol" w:hAnsi="Symbol"/>
      </w:rPr>
    </w:lvl>
    <w:lvl w:ilvl="1" w:tplc="A1388F94">
      <w:start w:val="1"/>
      <w:numFmt w:val="bullet"/>
      <w:lvlText w:val=""/>
      <w:lvlJc w:val="left"/>
      <w:pPr>
        <w:ind w:left="1800" w:hanging="360"/>
      </w:pPr>
      <w:rPr>
        <w:rFonts w:ascii="Symbol" w:hAnsi="Symbol"/>
      </w:rPr>
    </w:lvl>
    <w:lvl w:ilvl="2" w:tplc="84DA3AD2">
      <w:start w:val="1"/>
      <w:numFmt w:val="bullet"/>
      <w:lvlText w:val=""/>
      <w:lvlJc w:val="left"/>
      <w:pPr>
        <w:ind w:left="1800" w:hanging="360"/>
      </w:pPr>
      <w:rPr>
        <w:rFonts w:ascii="Symbol" w:hAnsi="Symbol"/>
      </w:rPr>
    </w:lvl>
    <w:lvl w:ilvl="3" w:tplc="EFFE818A">
      <w:start w:val="1"/>
      <w:numFmt w:val="bullet"/>
      <w:lvlText w:val=""/>
      <w:lvlJc w:val="left"/>
      <w:pPr>
        <w:ind w:left="1800" w:hanging="360"/>
      </w:pPr>
      <w:rPr>
        <w:rFonts w:ascii="Symbol" w:hAnsi="Symbol"/>
      </w:rPr>
    </w:lvl>
    <w:lvl w:ilvl="4" w:tplc="104237EA">
      <w:start w:val="1"/>
      <w:numFmt w:val="bullet"/>
      <w:lvlText w:val=""/>
      <w:lvlJc w:val="left"/>
      <w:pPr>
        <w:ind w:left="1800" w:hanging="360"/>
      </w:pPr>
      <w:rPr>
        <w:rFonts w:ascii="Symbol" w:hAnsi="Symbol"/>
      </w:rPr>
    </w:lvl>
    <w:lvl w:ilvl="5" w:tplc="62466DFA">
      <w:start w:val="1"/>
      <w:numFmt w:val="bullet"/>
      <w:lvlText w:val=""/>
      <w:lvlJc w:val="left"/>
      <w:pPr>
        <w:ind w:left="1800" w:hanging="360"/>
      </w:pPr>
      <w:rPr>
        <w:rFonts w:ascii="Symbol" w:hAnsi="Symbol"/>
      </w:rPr>
    </w:lvl>
    <w:lvl w:ilvl="6" w:tplc="7C680DDC">
      <w:start w:val="1"/>
      <w:numFmt w:val="bullet"/>
      <w:lvlText w:val=""/>
      <w:lvlJc w:val="left"/>
      <w:pPr>
        <w:ind w:left="1800" w:hanging="360"/>
      </w:pPr>
      <w:rPr>
        <w:rFonts w:ascii="Symbol" w:hAnsi="Symbol"/>
      </w:rPr>
    </w:lvl>
    <w:lvl w:ilvl="7" w:tplc="24F4FCBA">
      <w:start w:val="1"/>
      <w:numFmt w:val="bullet"/>
      <w:lvlText w:val=""/>
      <w:lvlJc w:val="left"/>
      <w:pPr>
        <w:ind w:left="1800" w:hanging="360"/>
      </w:pPr>
      <w:rPr>
        <w:rFonts w:ascii="Symbol" w:hAnsi="Symbol"/>
      </w:rPr>
    </w:lvl>
    <w:lvl w:ilvl="8" w:tplc="F89E6AEA">
      <w:start w:val="1"/>
      <w:numFmt w:val="bullet"/>
      <w:lvlText w:val=""/>
      <w:lvlJc w:val="left"/>
      <w:pPr>
        <w:ind w:left="1800" w:hanging="360"/>
      </w:pPr>
      <w:rPr>
        <w:rFonts w:ascii="Symbol" w:hAnsi="Symbol"/>
      </w:rPr>
    </w:lvl>
  </w:abstractNum>
  <w:abstractNum w:abstractNumId="33" w15:restartNumberingAfterBreak="0">
    <w:nsid w:val="52AF5939"/>
    <w:multiLevelType w:val="hybridMultilevel"/>
    <w:tmpl w:val="7C788E98"/>
    <w:lvl w:ilvl="0" w:tplc="016AADDC">
      <w:start w:val="2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FD2568"/>
    <w:multiLevelType w:val="hybridMultilevel"/>
    <w:tmpl w:val="8BC23AA8"/>
    <w:lvl w:ilvl="0" w:tplc="B1AEF380">
      <w:start w:val="1"/>
      <w:numFmt w:val="bullet"/>
      <w:lvlText w:val=""/>
      <w:lvlJc w:val="left"/>
      <w:pPr>
        <w:ind w:left="1160" w:hanging="360"/>
      </w:pPr>
      <w:rPr>
        <w:rFonts w:ascii="Symbol" w:hAnsi="Symbol"/>
      </w:rPr>
    </w:lvl>
    <w:lvl w:ilvl="1" w:tplc="FC5C11B2">
      <w:start w:val="1"/>
      <w:numFmt w:val="bullet"/>
      <w:lvlText w:val=""/>
      <w:lvlJc w:val="left"/>
      <w:pPr>
        <w:ind w:left="1160" w:hanging="360"/>
      </w:pPr>
      <w:rPr>
        <w:rFonts w:ascii="Symbol" w:hAnsi="Symbol"/>
      </w:rPr>
    </w:lvl>
    <w:lvl w:ilvl="2" w:tplc="47DE612C">
      <w:start w:val="1"/>
      <w:numFmt w:val="bullet"/>
      <w:lvlText w:val=""/>
      <w:lvlJc w:val="left"/>
      <w:pPr>
        <w:ind w:left="1160" w:hanging="360"/>
      </w:pPr>
      <w:rPr>
        <w:rFonts w:ascii="Symbol" w:hAnsi="Symbol"/>
      </w:rPr>
    </w:lvl>
    <w:lvl w:ilvl="3" w:tplc="747425A6">
      <w:start w:val="1"/>
      <w:numFmt w:val="bullet"/>
      <w:lvlText w:val=""/>
      <w:lvlJc w:val="left"/>
      <w:pPr>
        <w:ind w:left="1160" w:hanging="360"/>
      </w:pPr>
      <w:rPr>
        <w:rFonts w:ascii="Symbol" w:hAnsi="Symbol"/>
      </w:rPr>
    </w:lvl>
    <w:lvl w:ilvl="4" w:tplc="9A08B64C">
      <w:start w:val="1"/>
      <w:numFmt w:val="bullet"/>
      <w:lvlText w:val=""/>
      <w:lvlJc w:val="left"/>
      <w:pPr>
        <w:ind w:left="1160" w:hanging="360"/>
      </w:pPr>
      <w:rPr>
        <w:rFonts w:ascii="Symbol" w:hAnsi="Symbol"/>
      </w:rPr>
    </w:lvl>
    <w:lvl w:ilvl="5" w:tplc="07384782">
      <w:start w:val="1"/>
      <w:numFmt w:val="bullet"/>
      <w:lvlText w:val=""/>
      <w:lvlJc w:val="left"/>
      <w:pPr>
        <w:ind w:left="1160" w:hanging="360"/>
      </w:pPr>
      <w:rPr>
        <w:rFonts w:ascii="Symbol" w:hAnsi="Symbol"/>
      </w:rPr>
    </w:lvl>
    <w:lvl w:ilvl="6" w:tplc="9A6A6850">
      <w:start w:val="1"/>
      <w:numFmt w:val="bullet"/>
      <w:lvlText w:val=""/>
      <w:lvlJc w:val="left"/>
      <w:pPr>
        <w:ind w:left="1160" w:hanging="360"/>
      </w:pPr>
      <w:rPr>
        <w:rFonts w:ascii="Symbol" w:hAnsi="Symbol"/>
      </w:rPr>
    </w:lvl>
    <w:lvl w:ilvl="7" w:tplc="1D745178">
      <w:start w:val="1"/>
      <w:numFmt w:val="bullet"/>
      <w:lvlText w:val=""/>
      <w:lvlJc w:val="left"/>
      <w:pPr>
        <w:ind w:left="1160" w:hanging="360"/>
      </w:pPr>
      <w:rPr>
        <w:rFonts w:ascii="Symbol" w:hAnsi="Symbol"/>
      </w:rPr>
    </w:lvl>
    <w:lvl w:ilvl="8" w:tplc="CF5ED1A0">
      <w:start w:val="1"/>
      <w:numFmt w:val="bullet"/>
      <w:lvlText w:val=""/>
      <w:lvlJc w:val="left"/>
      <w:pPr>
        <w:ind w:left="1160" w:hanging="360"/>
      </w:pPr>
      <w:rPr>
        <w:rFonts w:ascii="Symbol" w:hAnsi="Symbol"/>
      </w:rPr>
    </w:lvl>
  </w:abstractNum>
  <w:abstractNum w:abstractNumId="3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1693E55"/>
    <w:multiLevelType w:val="hybridMultilevel"/>
    <w:tmpl w:val="F7B6B06C"/>
    <w:lvl w:ilvl="0" w:tplc="91A4ECCE">
      <w:start w:val="1"/>
      <w:numFmt w:val="bullet"/>
      <w:lvlText w:val=""/>
      <w:lvlJc w:val="left"/>
      <w:pPr>
        <w:ind w:left="1080" w:hanging="360"/>
      </w:pPr>
      <w:rPr>
        <w:rFonts w:ascii="Symbol" w:hAnsi="Symbol"/>
      </w:rPr>
    </w:lvl>
    <w:lvl w:ilvl="1" w:tplc="43D4A6D0">
      <w:start w:val="1"/>
      <w:numFmt w:val="bullet"/>
      <w:lvlText w:val=""/>
      <w:lvlJc w:val="left"/>
      <w:pPr>
        <w:ind w:left="1080" w:hanging="360"/>
      </w:pPr>
      <w:rPr>
        <w:rFonts w:ascii="Symbol" w:hAnsi="Symbol"/>
      </w:rPr>
    </w:lvl>
    <w:lvl w:ilvl="2" w:tplc="207ECF9C">
      <w:start w:val="1"/>
      <w:numFmt w:val="bullet"/>
      <w:lvlText w:val=""/>
      <w:lvlJc w:val="left"/>
      <w:pPr>
        <w:ind w:left="1080" w:hanging="360"/>
      </w:pPr>
      <w:rPr>
        <w:rFonts w:ascii="Symbol" w:hAnsi="Symbol"/>
      </w:rPr>
    </w:lvl>
    <w:lvl w:ilvl="3" w:tplc="46C8D486">
      <w:start w:val="1"/>
      <w:numFmt w:val="bullet"/>
      <w:lvlText w:val=""/>
      <w:lvlJc w:val="left"/>
      <w:pPr>
        <w:ind w:left="1080" w:hanging="360"/>
      </w:pPr>
      <w:rPr>
        <w:rFonts w:ascii="Symbol" w:hAnsi="Symbol"/>
      </w:rPr>
    </w:lvl>
    <w:lvl w:ilvl="4" w:tplc="8EA027D0">
      <w:start w:val="1"/>
      <w:numFmt w:val="bullet"/>
      <w:lvlText w:val=""/>
      <w:lvlJc w:val="left"/>
      <w:pPr>
        <w:ind w:left="1080" w:hanging="360"/>
      </w:pPr>
      <w:rPr>
        <w:rFonts w:ascii="Symbol" w:hAnsi="Symbol"/>
      </w:rPr>
    </w:lvl>
    <w:lvl w:ilvl="5" w:tplc="AFDC2D78">
      <w:start w:val="1"/>
      <w:numFmt w:val="bullet"/>
      <w:lvlText w:val=""/>
      <w:lvlJc w:val="left"/>
      <w:pPr>
        <w:ind w:left="1080" w:hanging="360"/>
      </w:pPr>
      <w:rPr>
        <w:rFonts w:ascii="Symbol" w:hAnsi="Symbol"/>
      </w:rPr>
    </w:lvl>
    <w:lvl w:ilvl="6" w:tplc="9938A224">
      <w:start w:val="1"/>
      <w:numFmt w:val="bullet"/>
      <w:lvlText w:val=""/>
      <w:lvlJc w:val="left"/>
      <w:pPr>
        <w:ind w:left="1080" w:hanging="360"/>
      </w:pPr>
      <w:rPr>
        <w:rFonts w:ascii="Symbol" w:hAnsi="Symbol"/>
      </w:rPr>
    </w:lvl>
    <w:lvl w:ilvl="7" w:tplc="B1326E9E">
      <w:start w:val="1"/>
      <w:numFmt w:val="bullet"/>
      <w:lvlText w:val=""/>
      <w:lvlJc w:val="left"/>
      <w:pPr>
        <w:ind w:left="1080" w:hanging="360"/>
      </w:pPr>
      <w:rPr>
        <w:rFonts w:ascii="Symbol" w:hAnsi="Symbol"/>
      </w:rPr>
    </w:lvl>
    <w:lvl w:ilvl="8" w:tplc="342AB732">
      <w:start w:val="1"/>
      <w:numFmt w:val="bullet"/>
      <w:lvlText w:val=""/>
      <w:lvlJc w:val="left"/>
      <w:pPr>
        <w:ind w:left="1080" w:hanging="360"/>
      </w:pPr>
      <w:rPr>
        <w:rFonts w:ascii="Symbol" w:hAnsi="Symbol"/>
      </w:rPr>
    </w:lvl>
  </w:abstractNum>
  <w:abstractNum w:abstractNumId="38" w15:restartNumberingAfterBreak="0">
    <w:nsid w:val="64805097"/>
    <w:multiLevelType w:val="hybridMultilevel"/>
    <w:tmpl w:val="0CEAAC9A"/>
    <w:lvl w:ilvl="0" w:tplc="18F0050A">
      <w:start w:val="1"/>
      <w:numFmt w:val="bullet"/>
      <w:lvlText w:val=""/>
      <w:lvlJc w:val="left"/>
      <w:pPr>
        <w:ind w:left="1080" w:hanging="360"/>
      </w:pPr>
      <w:rPr>
        <w:rFonts w:ascii="Symbol" w:hAnsi="Symbol"/>
      </w:rPr>
    </w:lvl>
    <w:lvl w:ilvl="1" w:tplc="AA46B824">
      <w:start w:val="1"/>
      <w:numFmt w:val="bullet"/>
      <w:lvlText w:val=""/>
      <w:lvlJc w:val="left"/>
      <w:pPr>
        <w:ind w:left="1080" w:hanging="360"/>
      </w:pPr>
      <w:rPr>
        <w:rFonts w:ascii="Symbol" w:hAnsi="Symbol"/>
      </w:rPr>
    </w:lvl>
    <w:lvl w:ilvl="2" w:tplc="F49217A8">
      <w:start w:val="1"/>
      <w:numFmt w:val="bullet"/>
      <w:lvlText w:val=""/>
      <w:lvlJc w:val="left"/>
      <w:pPr>
        <w:ind w:left="1080" w:hanging="360"/>
      </w:pPr>
      <w:rPr>
        <w:rFonts w:ascii="Symbol" w:hAnsi="Symbol"/>
      </w:rPr>
    </w:lvl>
    <w:lvl w:ilvl="3" w:tplc="C596A7F2">
      <w:start w:val="1"/>
      <w:numFmt w:val="bullet"/>
      <w:lvlText w:val=""/>
      <w:lvlJc w:val="left"/>
      <w:pPr>
        <w:ind w:left="1080" w:hanging="360"/>
      </w:pPr>
      <w:rPr>
        <w:rFonts w:ascii="Symbol" w:hAnsi="Symbol"/>
      </w:rPr>
    </w:lvl>
    <w:lvl w:ilvl="4" w:tplc="5B8C793A">
      <w:start w:val="1"/>
      <w:numFmt w:val="bullet"/>
      <w:lvlText w:val=""/>
      <w:lvlJc w:val="left"/>
      <w:pPr>
        <w:ind w:left="1080" w:hanging="360"/>
      </w:pPr>
      <w:rPr>
        <w:rFonts w:ascii="Symbol" w:hAnsi="Symbol"/>
      </w:rPr>
    </w:lvl>
    <w:lvl w:ilvl="5" w:tplc="0C4C114C">
      <w:start w:val="1"/>
      <w:numFmt w:val="bullet"/>
      <w:lvlText w:val=""/>
      <w:lvlJc w:val="left"/>
      <w:pPr>
        <w:ind w:left="1080" w:hanging="360"/>
      </w:pPr>
      <w:rPr>
        <w:rFonts w:ascii="Symbol" w:hAnsi="Symbol"/>
      </w:rPr>
    </w:lvl>
    <w:lvl w:ilvl="6" w:tplc="E2686292">
      <w:start w:val="1"/>
      <w:numFmt w:val="bullet"/>
      <w:lvlText w:val=""/>
      <w:lvlJc w:val="left"/>
      <w:pPr>
        <w:ind w:left="1080" w:hanging="360"/>
      </w:pPr>
      <w:rPr>
        <w:rFonts w:ascii="Symbol" w:hAnsi="Symbol"/>
      </w:rPr>
    </w:lvl>
    <w:lvl w:ilvl="7" w:tplc="D02CA378">
      <w:start w:val="1"/>
      <w:numFmt w:val="bullet"/>
      <w:lvlText w:val=""/>
      <w:lvlJc w:val="left"/>
      <w:pPr>
        <w:ind w:left="1080" w:hanging="360"/>
      </w:pPr>
      <w:rPr>
        <w:rFonts w:ascii="Symbol" w:hAnsi="Symbol"/>
      </w:rPr>
    </w:lvl>
    <w:lvl w:ilvl="8" w:tplc="D3FC014E">
      <w:start w:val="1"/>
      <w:numFmt w:val="bullet"/>
      <w:lvlText w:val=""/>
      <w:lvlJc w:val="left"/>
      <w:pPr>
        <w:ind w:left="1080" w:hanging="360"/>
      </w:pPr>
      <w:rPr>
        <w:rFonts w:ascii="Symbol" w:hAnsi="Symbol"/>
      </w:rPr>
    </w:lvl>
  </w:abstractNum>
  <w:abstractNum w:abstractNumId="39" w15:restartNumberingAfterBreak="0">
    <w:nsid w:val="6B2716B8"/>
    <w:multiLevelType w:val="hybridMultilevel"/>
    <w:tmpl w:val="7396A27E"/>
    <w:lvl w:ilvl="0" w:tplc="42ECB238">
      <w:start w:val="1"/>
      <w:numFmt w:val="bullet"/>
      <w:lvlText w:val=""/>
      <w:lvlJc w:val="left"/>
      <w:pPr>
        <w:ind w:left="1800" w:hanging="360"/>
      </w:pPr>
      <w:rPr>
        <w:rFonts w:ascii="Symbol" w:hAnsi="Symbol"/>
      </w:rPr>
    </w:lvl>
    <w:lvl w:ilvl="1" w:tplc="BCCE9FD8">
      <w:start w:val="1"/>
      <w:numFmt w:val="bullet"/>
      <w:lvlText w:val=""/>
      <w:lvlJc w:val="left"/>
      <w:pPr>
        <w:ind w:left="1800" w:hanging="360"/>
      </w:pPr>
      <w:rPr>
        <w:rFonts w:ascii="Symbol" w:hAnsi="Symbol"/>
      </w:rPr>
    </w:lvl>
    <w:lvl w:ilvl="2" w:tplc="CBB43462">
      <w:start w:val="1"/>
      <w:numFmt w:val="bullet"/>
      <w:lvlText w:val=""/>
      <w:lvlJc w:val="left"/>
      <w:pPr>
        <w:ind w:left="1800" w:hanging="360"/>
      </w:pPr>
      <w:rPr>
        <w:rFonts w:ascii="Symbol" w:hAnsi="Symbol"/>
      </w:rPr>
    </w:lvl>
    <w:lvl w:ilvl="3" w:tplc="0C76791E">
      <w:start w:val="1"/>
      <w:numFmt w:val="bullet"/>
      <w:lvlText w:val=""/>
      <w:lvlJc w:val="left"/>
      <w:pPr>
        <w:ind w:left="1800" w:hanging="360"/>
      </w:pPr>
      <w:rPr>
        <w:rFonts w:ascii="Symbol" w:hAnsi="Symbol"/>
      </w:rPr>
    </w:lvl>
    <w:lvl w:ilvl="4" w:tplc="0792E788">
      <w:start w:val="1"/>
      <w:numFmt w:val="bullet"/>
      <w:lvlText w:val=""/>
      <w:lvlJc w:val="left"/>
      <w:pPr>
        <w:ind w:left="1800" w:hanging="360"/>
      </w:pPr>
      <w:rPr>
        <w:rFonts w:ascii="Symbol" w:hAnsi="Symbol"/>
      </w:rPr>
    </w:lvl>
    <w:lvl w:ilvl="5" w:tplc="D382C1D4">
      <w:start w:val="1"/>
      <w:numFmt w:val="bullet"/>
      <w:lvlText w:val=""/>
      <w:lvlJc w:val="left"/>
      <w:pPr>
        <w:ind w:left="1800" w:hanging="360"/>
      </w:pPr>
      <w:rPr>
        <w:rFonts w:ascii="Symbol" w:hAnsi="Symbol"/>
      </w:rPr>
    </w:lvl>
    <w:lvl w:ilvl="6" w:tplc="6E10F89A">
      <w:start w:val="1"/>
      <w:numFmt w:val="bullet"/>
      <w:lvlText w:val=""/>
      <w:lvlJc w:val="left"/>
      <w:pPr>
        <w:ind w:left="1800" w:hanging="360"/>
      </w:pPr>
      <w:rPr>
        <w:rFonts w:ascii="Symbol" w:hAnsi="Symbol"/>
      </w:rPr>
    </w:lvl>
    <w:lvl w:ilvl="7" w:tplc="E88CE0E2">
      <w:start w:val="1"/>
      <w:numFmt w:val="bullet"/>
      <w:lvlText w:val=""/>
      <w:lvlJc w:val="left"/>
      <w:pPr>
        <w:ind w:left="1800" w:hanging="360"/>
      </w:pPr>
      <w:rPr>
        <w:rFonts w:ascii="Symbol" w:hAnsi="Symbol"/>
      </w:rPr>
    </w:lvl>
    <w:lvl w:ilvl="8" w:tplc="E0BAC102">
      <w:start w:val="1"/>
      <w:numFmt w:val="bullet"/>
      <w:lvlText w:val=""/>
      <w:lvlJc w:val="left"/>
      <w:pPr>
        <w:ind w:left="1800" w:hanging="360"/>
      </w:pPr>
      <w:rPr>
        <w:rFonts w:ascii="Symbol" w:hAnsi="Symbol"/>
      </w:rPr>
    </w:lvl>
  </w:abstractNum>
  <w:abstractNum w:abstractNumId="40" w15:restartNumberingAfterBreak="0">
    <w:nsid w:val="6BAF675E"/>
    <w:multiLevelType w:val="hybridMultilevel"/>
    <w:tmpl w:val="4DE49906"/>
    <w:lvl w:ilvl="0" w:tplc="16DE91D0">
      <w:start w:val="6"/>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6F97E3E"/>
    <w:multiLevelType w:val="hybridMultilevel"/>
    <w:tmpl w:val="A56209D4"/>
    <w:lvl w:ilvl="0" w:tplc="6DD40124">
      <w:start w:val="1"/>
      <w:numFmt w:val="bullet"/>
      <w:lvlText w:val=""/>
      <w:lvlJc w:val="left"/>
      <w:pPr>
        <w:ind w:left="1080" w:hanging="360"/>
      </w:pPr>
      <w:rPr>
        <w:rFonts w:ascii="Symbol" w:hAnsi="Symbol"/>
      </w:rPr>
    </w:lvl>
    <w:lvl w:ilvl="1" w:tplc="30B27F04">
      <w:start w:val="1"/>
      <w:numFmt w:val="bullet"/>
      <w:lvlText w:val=""/>
      <w:lvlJc w:val="left"/>
      <w:pPr>
        <w:ind w:left="1080" w:hanging="360"/>
      </w:pPr>
      <w:rPr>
        <w:rFonts w:ascii="Symbol" w:hAnsi="Symbol"/>
      </w:rPr>
    </w:lvl>
    <w:lvl w:ilvl="2" w:tplc="3702972C">
      <w:start w:val="1"/>
      <w:numFmt w:val="bullet"/>
      <w:lvlText w:val=""/>
      <w:lvlJc w:val="left"/>
      <w:pPr>
        <w:ind w:left="1080" w:hanging="360"/>
      </w:pPr>
      <w:rPr>
        <w:rFonts w:ascii="Symbol" w:hAnsi="Symbol"/>
      </w:rPr>
    </w:lvl>
    <w:lvl w:ilvl="3" w:tplc="FA5400EC">
      <w:start w:val="1"/>
      <w:numFmt w:val="bullet"/>
      <w:lvlText w:val=""/>
      <w:lvlJc w:val="left"/>
      <w:pPr>
        <w:ind w:left="1080" w:hanging="360"/>
      </w:pPr>
      <w:rPr>
        <w:rFonts w:ascii="Symbol" w:hAnsi="Symbol"/>
      </w:rPr>
    </w:lvl>
    <w:lvl w:ilvl="4" w:tplc="BC3243D6">
      <w:start w:val="1"/>
      <w:numFmt w:val="bullet"/>
      <w:lvlText w:val=""/>
      <w:lvlJc w:val="left"/>
      <w:pPr>
        <w:ind w:left="1080" w:hanging="360"/>
      </w:pPr>
      <w:rPr>
        <w:rFonts w:ascii="Symbol" w:hAnsi="Symbol"/>
      </w:rPr>
    </w:lvl>
    <w:lvl w:ilvl="5" w:tplc="F34C66E8">
      <w:start w:val="1"/>
      <w:numFmt w:val="bullet"/>
      <w:lvlText w:val=""/>
      <w:lvlJc w:val="left"/>
      <w:pPr>
        <w:ind w:left="1080" w:hanging="360"/>
      </w:pPr>
      <w:rPr>
        <w:rFonts w:ascii="Symbol" w:hAnsi="Symbol"/>
      </w:rPr>
    </w:lvl>
    <w:lvl w:ilvl="6" w:tplc="3ED291BE">
      <w:start w:val="1"/>
      <w:numFmt w:val="bullet"/>
      <w:lvlText w:val=""/>
      <w:lvlJc w:val="left"/>
      <w:pPr>
        <w:ind w:left="1080" w:hanging="360"/>
      </w:pPr>
      <w:rPr>
        <w:rFonts w:ascii="Symbol" w:hAnsi="Symbol"/>
      </w:rPr>
    </w:lvl>
    <w:lvl w:ilvl="7" w:tplc="D14CF4B6">
      <w:start w:val="1"/>
      <w:numFmt w:val="bullet"/>
      <w:lvlText w:val=""/>
      <w:lvlJc w:val="left"/>
      <w:pPr>
        <w:ind w:left="1080" w:hanging="360"/>
      </w:pPr>
      <w:rPr>
        <w:rFonts w:ascii="Symbol" w:hAnsi="Symbol"/>
      </w:rPr>
    </w:lvl>
    <w:lvl w:ilvl="8" w:tplc="7940F9A8">
      <w:start w:val="1"/>
      <w:numFmt w:val="bullet"/>
      <w:lvlText w:val=""/>
      <w:lvlJc w:val="left"/>
      <w:pPr>
        <w:ind w:left="1080" w:hanging="360"/>
      </w:pPr>
      <w:rPr>
        <w:rFonts w:ascii="Symbol" w:hAnsi="Symbol"/>
      </w:rPr>
    </w:lvl>
  </w:abstractNum>
  <w:abstractNum w:abstractNumId="42" w15:restartNumberingAfterBreak="0">
    <w:nsid w:val="784D033C"/>
    <w:multiLevelType w:val="multilevel"/>
    <w:tmpl w:val="320409CE"/>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0C2466"/>
    <w:multiLevelType w:val="hybridMultilevel"/>
    <w:tmpl w:val="3948C6AA"/>
    <w:lvl w:ilvl="0" w:tplc="337688B0">
      <w:numFmt w:val="bullet"/>
      <w:lvlText w:val="-"/>
      <w:lvlJc w:val="left"/>
      <w:pPr>
        <w:ind w:left="720" w:hanging="360"/>
      </w:pPr>
      <w:rPr>
        <w:rFonts w:ascii="Arial Narrow" w:eastAsiaTheme="majorEastAsia" w:hAnsi="Arial Narrow" w:cstheme="maj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160F67"/>
    <w:multiLevelType w:val="hybridMultilevel"/>
    <w:tmpl w:val="4E7A1F0C"/>
    <w:lvl w:ilvl="0" w:tplc="618ED942">
      <w:start w:val="1"/>
      <w:numFmt w:val="bullet"/>
      <w:lvlText w:val=""/>
      <w:lvlJc w:val="left"/>
      <w:pPr>
        <w:ind w:left="1800" w:hanging="360"/>
      </w:pPr>
      <w:rPr>
        <w:rFonts w:ascii="Symbol" w:hAnsi="Symbol"/>
      </w:rPr>
    </w:lvl>
    <w:lvl w:ilvl="1" w:tplc="61D6D832">
      <w:start w:val="1"/>
      <w:numFmt w:val="bullet"/>
      <w:lvlText w:val=""/>
      <w:lvlJc w:val="left"/>
      <w:pPr>
        <w:ind w:left="1800" w:hanging="360"/>
      </w:pPr>
      <w:rPr>
        <w:rFonts w:ascii="Symbol" w:hAnsi="Symbol"/>
      </w:rPr>
    </w:lvl>
    <w:lvl w:ilvl="2" w:tplc="A6766A32">
      <w:start w:val="1"/>
      <w:numFmt w:val="bullet"/>
      <w:lvlText w:val=""/>
      <w:lvlJc w:val="left"/>
      <w:pPr>
        <w:ind w:left="1800" w:hanging="360"/>
      </w:pPr>
      <w:rPr>
        <w:rFonts w:ascii="Symbol" w:hAnsi="Symbol"/>
      </w:rPr>
    </w:lvl>
    <w:lvl w:ilvl="3" w:tplc="92929254">
      <w:start w:val="1"/>
      <w:numFmt w:val="bullet"/>
      <w:lvlText w:val=""/>
      <w:lvlJc w:val="left"/>
      <w:pPr>
        <w:ind w:left="1800" w:hanging="360"/>
      </w:pPr>
      <w:rPr>
        <w:rFonts w:ascii="Symbol" w:hAnsi="Symbol"/>
      </w:rPr>
    </w:lvl>
    <w:lvl w:ilvl="4" w:tplc="27B472EE">
      <w:start w:val="1"/>
      <w:numFmt w:val="bullet"/>
      <w:lvlText w:val=""/>
      <w:lvlJc w:val="left"/>
      <w:pPr>
        <w:ind w:left="1800" w:hanging="360"/>
      </w:pPr>
      <w:rPr>
        <w:rFonts w:ascii="Symbol" w:hAnsi="Symbol"/>
      </w:rPr>
    </w:lvl>
    <w:lvl w:ilvl="5" w:tplc="B0CCFD38">
      <w:start w:val="1"/>
      <w:numFmt w:val="bullet"/>
      <w:lvlText w:val=""/>
      <w:lvlJc w:val="left"/>
      <w:pPr>
        <w:ind w:left="1800" w:hanging="360"/>
      </w:pPr>
      <w:rPr>
        <w:rFonts w:ascii="Symbol" w:hAnsi="Symbol"/>
      </w:rPr>
    </w:lvl>
    <w:lvl w:ilvl="6" w:tplc="0E5A1728">
      <w:start w:val="1"/>
      <w:numFmt w:val="bullet"/>
      <w:lvlText w:val=""/>
      <w:lvlJc w:val="left"/>
      <w:pPr>
        <w:ind w:left="1800" w:hanging="360"/>
      </w:pPr>
      <w:rPr>
        <w:rFonts w:ascii="Symbol" w:hAnsi="Symbol"/>
      </w:rPr>
    </w:lvl>
    <w:lvl w:ilvl="7" w:tplc="B82AA39E">
      <w:start w:val="1"/>
      <w:numFmt w:val="bullet"/>
      <w:lvlText w:val=""/>
      <w:lvlJc w:val="left"/>
      <w:pPr>
        <w:ind w:left="1800" w:hanging="360"/>
      </w:pPr>
      <w:rPr>
        <w:rFonts w:ascii="Symbol" w:hAnsi="Symbol"/>
      </w:rPr>
    </w:lvl>
    <w:lvl w:ilvl="8" w:tplc="6F2A1750">
      <w:start w:val="1"/>
      <w:numFmt w:val="bullet"/>
      <w:lvlText w:val=""/>
      <w:lvlJc w:val="left"/>
      <w:pPr>
        <w:ind w:left="1800" w:hanging="360"/>
      </w:pPr>
      <w:rPr>
        <w:rFonts w:ascii="Symbol" w:hAnsi="Symbol"/>
      </w:rPr>
    </w:lvl>
  </w:abstractNum>
  <w:abstractNum w:abstractNumId="45" w15:restartNumberingAfterBreak="0">
    <w:nsid w:val="79EF0B79"/>
    <w:multiLevelType w:val="hybridMultilevel"/>
    <w:tmpl w:val="C456965C"/>
    <w:lvl w:ilvl="0" w:tplc="D9FAE96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35342665">
    <w:abstractNumId w:val="25"/>
  </w:num>
  <w:num w:numId="2" w16cid:durableId="1105657950">
    <w:abstractNumId w:val="42"/>
  </w:num>
  <w:num w:numId="3" w16cid:durableId="1297833555">
    <w:abstractNumId w:val="0"/>
  </w:num>
  <w:num w:numId="4" w16cid:durableId="1415661404">
    <w:abstractNumId w:val="26"/>
  </w:num>
  <w:num w:numId="5" w16cid:durableId="936794622">
    <w:abstractNumId w:val="7"/>
  </w:num>
  <w:num w:numId="6" w16cid:durableId="1364551237">
    <w:abstractNumId w:val="43"/>
  </w:num>
  <w:num w:numId="7" w16cid:durableId="1403411331">
    <w:abstractNumId w:val="45"/>
  </w:num>
  <w:num w:numId="8" w16cid:durableId="1587031470">
    <w:abstractNumId w:val="19"/>
  </w:num>
  <w:num w:numId="9" w16cid:durableId="1573658764">
    <w:abstractNumId w:val="1"/>
  </w:num>
  <w:num w:numId="10" w16cid:durableId="408699874">
    <w:abstractNumId w:val="34"/>
  </w:num>
  <w:num w:numId="11" w16cid:durableId="129744317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5984698">
    <w:abstractNumId w:val="33"/>
  </w:num>
  <w:num w:numId="13" w16cid:durableId="1648902201">
    <w:abstractNumId w:val="40"/>
  </w:num>
  <w:num w:numId="14" w16cid:durableId="1758135292">
    <w:abstractNumId w:val="9"/>
  </w:num>
  <w:num w:numId="15" w16cid:durableId="1743674425">
    <w:abstractNumId w:val="16"/>
  </w:num>
  <w:num w:numId="16" w16cid:durableId="422578254">
    <w:abstractNumId w:val="41"/>
  </w:num>
  <w:num w:numId="17" w16cid:durableId="1653825859">
    <w:abstractNumId w:val="30"/>
  </w:num>
  <w:num w:numId="18" w16cid:durableId="2020427039">
    <w:abstractNumId w:val="14"/>
  </w:num>
  <w:num w:numId="19" w16cid:durableId="2011910998">
    <w:abstractNumId w:val="32"/>
  </w:num>
  <w:num w:numId="20" w16cid:durableId="926616284">
    <w:abstractNumId w:val="35"/>
  </w:num>
  <w:num w:numId="21" w16cid:durableId="8603846">
    <w:abstractNumId w:val="27"/>
  </w:num>
  <w:num w:numId="22" w16cid:durableId="1752727171">
    <w:abstractNumId w:val="44"/>
  </w:num>
  <w:num w:numId="23" w16cid:durableId="205995209">
    <w:abstractNumId w:val="5"/>
  </w:num>
  <w:num w:numId="24" w16cid:durableId="1964651401">
    <w:abstractNumId w:val="3"/>
  </w:num>
  <w:num w:numId="25" w16cid:durableId="356810630">
    <w:abstractNumId w:val="24"/>
  </w:num>
  <w:num w:numId="26" w16cid:durableId="1343242673">
    <w:abstractNumId w:val="37"/>
  </w:num>
  <w:num w:numId="27" w16cid:durableId="234097902">
    <w:abstractNumId w:val="39"/>
  </w:num>
  <w:num w:numId="28" w16cid:durableId="525869951">
    <w:abstractNumId w:val="2"/>
  </w:num>
  <w:num w:numId="29" w16cid:durableId="861626798">
    <w:abstractNumId w:val="10"/>
  </w:num>
  <w:num w:numId="30" w16cid:durableId="1188566875">
    <w:abstractNumId w:val="17"/>
  </w:num>
  <w:num w:numId="31" w16cid:durableId="1815024418">
    <w:abstractNumId w:val="31"/>
  </w:num>
  <w:num w:numId="32" w16cid:durableId="1260604714">
    <w:abstractNumId w:val="11"/>
  </w:num>
  <w:num w:numId="33" w16cid:durableId="630206411">
    <w:abstractNumId w:val="18"/>
  </w:num>
  <w:num w:numId="34" w16cid:durableId="1835417543">
    <w:abstractNumId w:val="8"/>
  </w:num>
  <w:num w:numId="35" w16cid:durableId="947271155">
    <w:abstractNumId w:val="22"/>
  </w:num>
  <w:num w:numId="36" w16cid:durableId="1620143510">
    <w:abstractNumId w:val="12"/>
  </w:num>
  <w:num w:numId="37" w16cid:durableId="626740783">
    <w:abstractNumId w:val="38"/>
  </w:num>
  <w:num w:numId="38" w16cid:durableId="1911886917">
    <w:abstractNumId w:val="28"/>
  </w:num>
  <w:num w:numId="39" w16cid:durableId="1888373947">
    <w:abstractNumId w:val="23"/>
  </w:num>
  <w:num w:numId="40" w16cid:durableId="450713588">
    <w:abstractNumId w:val="6"/>
  </w:num>
  <w:num w:numId="41" w16cid:durableId="1082487962">
    <w:abstractNumId w:val="20"/>
  </w:num>
  <w:num w:numId="42" w16cid:durableId="1824588010">
    <w:abstractNumId w:val="4"/>
  </w:num>
  <w:num w:numId="43" w16cid:durableId="54400849">
    <w:abstractNumId w:val="13"/>
  </w:num>
  <w:num w:numId="44" w16cid:durableId="1607807651">
    <w:abstractNumId w:val="15"/>
  </w:num>
  <w:num w:numId="45" w16cid:durableId="1419523714">
    <w:abstractNumId w:val="29"/>
  </w:num>
  <w:num w:numId="46" w16cid:durableId="848258606">
    <w:abstractNumId w:val="36"/>
  </w:num>
  <w:num w:numId="47" w16cid:durableId="979770991">
    <w:abstractNumId w:val="21"/>
  </w:num>
  <w:num w:numId="48" w16cid:durableId="83886546">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790"/>
    <w:rsid w:val="0000093B"/>
    <w:rsid w:val="00000999"/>
    <w:rsid w:val="00000B6D"/>
    <w:rsid w:val="00000DDD"/>
    <w:rsid w:val="00000F84"/>
    <w:rsid w:val="0000110B"/>
    <w:rsid w:val="000017D7"/>
    <w:rsid w:val="00001B36"/>
    <w:rsid w:val="00001F69"/>
    <w:rsid w:val="000020D9"/>
    <w:rsid w:val="00003499"/>
    <w:rsid w:val="000037CB"/>
    <w:rsid w:val="000039B7"/>
    <w:rsid w:val="00003F3B"/>
    <w:rsid w:val="00004696"/>
    <w:rsid w:val="00004719"/>
    <w:rsid w:val="00004984"/>
    <w:rsid w:val="0000552D"/>
    <w:rsid w:val="000056B9"/>
    <w:rsid w:val="00005E6C"/>
    <w:rsid w:val="00005F71"/>
    <w:rsid w:val="000061C7"/>
    <w:rsid w:val="0000639A"/>
    <w:rsid w:val="000063B9"/>
    <w:rsid w:val="000065CC"/>
    <w:rsid w:val="0000669D"/>
    <w:rsid w:val="000074D4"/>
    <w:rsid w:val="00007534"/>
    <w:rsid w:val="00007838"/>
    <w:rsid w:val="00007B86"/>
    <w:rsid w:val="000105A0"/>
    <w:rsid w:val="0001061C"/>
    <w:rsid w:val="00010A7D"/>
    <w:rsid w:val="00010AC6"/>
    <w:rsid w:val="00010DE2"/>
    <w:rsid w:val="00010F61"/>
    <w:rsid w:val="00010FEA"/>
    <w:rsid w:val="00011636"/>
    <w:rsid w:val="000117CC"/>
    <w:rsid w:val="00011B99"/>
    <w:rsid w:val="00011C24"/>
    <w:rsid w:val="00012153"/>
    <w:rsid w:val="0001220F"/>
    <w:rsid w:val="0001317A"/>
    <w:rsid w:val="00013247"/>
    <w:rsid w:val="0001340E"/>
    <w:rsid w:val="0001346B"/>
    <w:rsid w:val="000139C5"/>
    <w:rsid w:val="00013D6B"/>
    <w:rsid w:val="00013E19"/>
    <w:rsid w:val="00013F15"/>
    <w:rsid w:val="000140B2"/>
    <w:rsid w:val="00014536"/>
    <w:rsid w:val="000145B1"/>
    <w:rsid w:val="00014714"/>
    <w:rsid w:val="0001482E"/>
    <w:rsid w:val="00014B19"/>
    <w:rsid w:val="00014F49"/>
    <w:rsid w:val="00015054"/>
    <w:rsid w:val="000157AF"/>
    <w:rsid w:val="00015886"/>
    <w:rsid w:val="00015891"/>
    <w:rsid w:val="00015EC8"/>
    <w:rsid w:val="000162EF"/>
    <w:rsid w:val="0001671C"/>
    <w:rsid w:val="000169B0"/>
    <w:rsid w:val="00016B57"/>
    <w:rsid w:val="00016B8A"/>
    <w:rsid w:val="00016FE3"/>
    <w:rsid w:val="000170CF"/>
    <w:rsid w:val="000175A5"/>
    <w:rsid w:val="000176D8"/>
    <w:rsid w:val="000178BC"/>
    <w:rsid w:val="000207C9"/>
    <w:rsid w:val="000208A2"/>
    <w:rsid w:val="00020C6A"/>
    <w:rsid w:val="00020C76"/>
    <w:rsid w:val="000216E8"/>
    <w:rsid w:val="0002188F"/>
    <w:rsid w:val="000219C6"/>
    <w:rsid w:val="00021B09"/>
    <w:rsid w:val="00021B84"/>
    <w:rsid w:val="00021D64"/>
    <w:rsid w:val="0002225F"/>
    <w:rsid w:val="00022587"/>
    <w:rsid w:val="00022884"/>
    <w:rsid w:val="00022AE0"/>
    <w:rsid w:val="00022C65"/>
    <w:rsid w:val="00022D18"/>
    <w:rsid w:val="00023763"/>
    <w:rsid w:val="00023AE2"/>
    <w:rsid w:val="00023D1B"/>
    <w:rsid w:val="00023FFE"/>
    <w:rsid w:val="00024453"/>
    <w:rsid w:val="000247DC"/>
    <w:rsid w:val="00024EB5"/>
    <w:rsid w:val="0002500F"/>
    <w:rsid w:val="0002526E"/>
    <w:rsid w:val="000253FF"/>
    <w:rsid w:val="0002603B"/>
    <w:rsid w:val="000265A1"/>
    <w:rsid w:val="000268A3"/>
    <w:rsid w:val="00026CF5"/>
    <w:rsid w:val="00027091"/>
    <w:rsid w:val="000274B8"/>
    <w:rsid w:val="000278FB"/>
    <w:rsid w:val="00027EA6"/>
    <w:rsid w:val="00027FF0"/>
    <w:rsid w:val="00030230"/>
    <w:rsid w:val="000305DD"/>
    <w:rsid w:val="00030C1F"/>
    <w:rsid w:val="00030E3E"/>
    <w:rsid w:val="00030F41"/>
    <w:rsid w:val="000315B7"/>
    <w:rsid w:val="00031966"/>
    <w:rsid w:val="000324DE"/>
    <w:rsid w:val="000329E0"/>
    <w:rsid w:val="00032A5C"/>
    <w:rsid w:val="0003308B"/>
    <w:rsid w:val="000330A7"/>
    <w:rsid w:val="00033225"/>
    <w:rsid w:val="00033296"/>
    <w:rsid w:val="000332BA"/>
    <w:rsid w:val="000334DE"/>
    <w:rsid w:val="00033863"/>
    <w:rsid w:val="000339F6"/>
    <w:rsid w:val="00033ABE"/>
    <w:rsid w:val="0003406B"/>
    <w:rsid w:val="0003455A"/>
    <w:rsid w:val="00034810"/>
    <w:rsid w:val="00034961"/>
    <w:rsid w:val="00034A62"/>
    <w:rsid w:val="000350F8"/>
    <w:rsid w:val="000351CE"/>
    <w:rsid w:val="00035279"/>
    <w:rsid w:val="0003576F"/>
    <w:rsid w:val="00035DC0"/>
    <w:rsid w:val="0003613F"/>
    <w:rsid w:val="000363D0"/>
    <w:rsid w:val="00036403"/>
    <w:rsid w:val="00036829"/>
    <w:rsid w:val="00036F99"/>
    <w:rsid w:val="000375A1"/>
    <w:rsid w:val="00037790"/>
    <w:rsid w:val="0003779C"/>
    <w:rsid w:val="0004080A"/>
    <w:rsid w:val="00040895"/>
    <w:rsid w:val="00040BA4"/>
    <w:rsid w:val="000410A0"/>
    <w:rsid w:val="0004159C"/>
    <w:rsid w:val="00041D85"/>
    <w:rsid w:val="00042757"/>
    <w:rsid w:val="00042933"/>
    <w:rsid w:val="00042F58"/>
    <w:rsid w:val="00042F5B"/>
    <w:rsid w:val="0004359A"/>
    <w:rsid w:val="000435EE"/>
    <w:rsid w:val="00043C37"/>
    <w:rsid w:val="00044DC6"/>
    <w:rsid w:val="00045017"/>
    <w:rsid w:val="00045A2B"/>
    <w:rsid w:val="00046591"/>
    <w:rsid w:val="0004698F"/>
    <w:rsid w:val="00046BB2"/>
    <w:rsid w:val="00046D64"/>
    <w:rsid w:val="00047239"/>
    <w:rsid w:val="0004743D"/>
    <w:rsid w:val="000474AE"/>
    <w:rsid w:val="00047DBD"/>
    <w:rsid w:val="00047F78"/>
    <w:rsid w:val="00047FB0"/>
    <w:rsid w:val="00050398"/>
    <w:rsid w:val="00050498"/>
    <w:rsid w:val="00050536"/>
    <w:rsid w:val="000508C2"/>
    <w:rsid w:val="00050D7A"/>
    <w:rsid w:val="000515B9"/>
    <w:rsid w:val="000517EC"/>
    <w:rsid w:val="000518AB"/>
    <w:rsid w:val="000519EC"/>
    <w:rsid w:val="00051E6A"/>
    <w:rsid w:val="0005208B"/>
    <w:rsid w:val="00052331"/>
    <w:rsid w:val="000528CC"/>
    <w:rsid w:val="00052AA6"/>
    <w:rsid w:val="00052B28"/>
    <w:rsid w:val="00052BA0"/>
    <w:rsid w:val="00052EDC"/>
    <w:rsid w:val="000534C3"/>
    <w:rsid w:val="000539D0"/>
    <w:rsid w:val="00054299"/>
    <w:rsid w:val="00054621"/>
    <w:rsid w:val="000546D7"/>
    <w:rsid w:val="00054A8D"/>
    <w:rsid w:val="00054C64"/>
    <w:rsid w:val="0005507C"/>
    <w:rsid w:val="000554A1"/>
    <w:rsid w:val="00055C31"/>
    <w:rsid w:val="00056009"/>
    <w:rsid w:val="00056017"/>
    <w:rsid w:val="00056ECF"/>
    <w:rsid w:val="000570EF"/>
    <w:rsid w:val="00057197"/>
    <w:rsid w:val="00057217"/>
    <w:rsid w:val="00057655"/>
    <w:rsid w:val="00057970"/>
    <w:rsid w:val="00057BD6"/>
    <w:rsid w:val="0006000D"/>
    <w:rsid w:val="000604DF"/>
    <w:rsid w:val="0006052C"/>
    <w:rsid w:val="0006060F"/>
    <w:rsid w:val="00061957"/>
    <w:rsid w:val="000619AE"/>
    <w:rsid w:val="000619F3"/>
    <w:rsid w:val="000619FD"/>
    <w:rsid w:val="00062321"/>
    <w:rsid w:val="00062324"/>
    <w:rsid w:val="00063A67"/>
    <w:rsid w:val="00064575"/>
    <w:rsid w:val="00064F88"/>
    <w:rsid w:val="000653B5"/>
    <w:rsid w:val="0006553C"/>
    <w:rsid w:val="00066075"/>
    <w:rsid w:val="00066360"/>
    <w:rsid w:val="00066AF8"/>
    <w:rsid w:val="00066B14"/>
    <w:rsid w:val="00067932"/>
    <w:rsid w:val="000679DD"/>
    <w:rsid w:val="00067B7E"/>
    <w:rsid w:val="00070209"/>
    <w:rsid w:val="0007064A"/>
    <w:rsid w:val="00070CF9"/>
    <w:rsid w:val="00070EBE"/>
    <w:rsid w:val="00071248"/>
    <w:rsid w:val="0007172D"/>
    <w:rsid w:val="000720B9"/>
    <w:rsid w:val="0007232E"/>
    <w:rsid w:val="00072B3C"/>
    <w:rsid w:val="00073153"/>
    <w:rsid w:val="00073277"/>
    <w:rsid w:val="000735C3"/>
    <w:rsid w:val="000737F7"/>
    <w:rsid w:val="00073948"/>
    <w:rsid w:val="00073C6A"/>
    <w:rsid w:val="0007491D"/>
    <w:rsid w:val="00074E07"/>
    <w:rsid w:val="00074EDE"/>
    <w:rsid w:val="0007519D"/>
    <w:rsid w:val="00075745"/>
    <w:rsid w:val="00075A4B"/>
    <w:rsid w:val="0007672F"/>
    <w:rsid w:val="0007680F"/>
    <w:rsid w:val="00076B54"/>
    <w:rsid w:val="00076D0A"/>
    <w:rsid w:val="000774AC"/>
    <w:rsid w:val="000774F0"/>
    <w:rsid w:val="00077963"/>
    <w:rsid w:val="000779D5"/>
    <w:rsid w:val="0008061C"/>
    <w:rsid w:val="00080696"/>
    <w:rsid w:val="00080909"/>
    <w:rsid w:val="000812CA"/>
    <w:rsid w:val="0008166B"/>
    <w:rsid w:val="00081895"/>
    <w:rsid w:val="0008191E"/>
    <w:rsid w:val="00081997"/>
    <w:rsid w:val="00081E63"/>
    <w:rsid w:val="000824E5"/>
    <w:rsid w:val="0008258D"/>
    <w:rsid w:val="00082C1D"/>
    <w:rsid w:val="00082F40"/>
    <w:rsid w:val="00083406"/>
    <w:rsid w:val="000839DD"/>
    <w:rsid w:val="00083E99"/>
    <w:rsid w:val="0008402B"/>
    <w:rsid w:val="000840BF"/>
    <w:rsid w:val="00084401"/>
    <w:rsid w:val="00084B96"/>
    <w:rsid w:val="00084C59"/>
    <w:rsid w:val="00084FA8"/>
    <w:rsid w:val="000853E8"/>
    <w:rsid w:val="000855A4"/>
    <w:rsid w:val="000856C5"/>
    <w:rsid w:val="00085A24"/>
    <w:rsid w:val="00085A48"/>
    <w:rsid w:val="00085C31"/>
    <w:rsid w:val="000868AD"/>
    <w:rsid w:val="00086F87"/>
    <w:rsid w:val="000900C1"/>
    <w:rsid w:val="00090173"/>
    <w:rsid w:val="000902D9"/>
    <w:rsid w:val="00090320"/>
    <w:rsid w:val="0009069A"/>
    <w:rsid w:val="00090C7E"/>
    <w:rsid w:val="00090CF6"/>
    <w:rsid w:val="000911AC"/>
    <w:rsid w:val="000916B5"/>
    <w:rsid w:val="000919ED"/>
    <w:rsid w:val="00091E3C"/>
    <w:rsid w:val="0009223B"/>
    <w:rsid w:val="00092297"/>
    <w:rsid w:val="00092412"/>
    <w:rsid w:val="00092600"/>
    <w:rsid w:val="0009262B"/>
    <w:rsid w:val="000926B9"/>
    <w:rsid w:val="00092B37"/>
    <w:rsid w:val="00092BC3"/>
    <w:rsid w:val="00092CE0"/>
    <w:rsid w:val="0009313F"/>
    <w:rsid w:val="00093310"/>
    <w:rsid w:val="000933C0"/>
    <w:rsid w:val="000935CF"/>
    <w:rsid w:val="0009445C"/>
    <w:rsid w:val="00095200"/>
    <w:rsid w:val="000953E3"/>
    <w:rsid w:val="0009547E"/>
    <w:rsid w:val="000958F0"/>
    <w:rsid w:val="00095BC3"/>
    <w:rsid w:val="00095DB8"/>
    <w:rsid w:val="00095FE5"/>
    <w:rsid w:val="00096284"/>
    <w:rsid w:val="00096593"/>
    <w:rsid w:val="00096884"/>
    <w:rsid w:val="00096D5C"/>
    <w:rsid w:val="00096F73"/>
    <w:rsid w:val="0009755E"/>
    <w:rsid w:val="00097992"/>
    <w:rsid w:val="000A00B5"/>
    <w:rsid w:val="000A00BA"/>
    <w:rsid w:val="000A05F2"/>
    <w:rsid w:val="000A0810"/>
    <w:rsid w:val="000A0ED2"/>
    <w:rsid w:val="000A0FB8"/>
    <w:rsid w:val="000A102F"/>
    <w:rsid w:val="000A1472"/>
    <w:rsid w:val="000A1AF8"/>
    <w:rsid w:val="000A1B13"/>
    <w:rsid w:val="000A1BC0"/>
    <w:rsid w:val="000A212A"/>
    <w:rsid w:val="000A2543"/>
    <w:rsid w:val="000A2A71"/>
    <w:rsid w:val="000A2F9E"/>
    <w:rsid w:val="000A31C5"/>
    <w:rsid w:val="000A33A8"/>
    <w:rsid w:val="000A3410"/>
    <w:rsid w:val="000A37F0"/>
    <w:rsid w:val="000A398E"/>
    <w:rsid w:val="000A3B4D"/>
    <w:rsid w:val="000A3E47"/>
    <w:rsid w:val="000A4729"/>
    <w:rsid w:val="000A4831"/>
    <w:rsid w:val="000A487F"/>
    <w:rsid w:val="000A4FD3"/>
    <w:rsid w:val="000A522B"/>
    <w:rsid w:val="000A5FAA"/>
    <w:rsid w:val="000A6039"/>
    <w:rsid w:val="000A63F7"/>
    <w:rsid w:val="000A6B31"/>
    <w:rsid w:val="000A6B71"/>
    <w:rsid w:val="000A6E13"/>
    <w:rsid w:val="000A6EE7"/>
    <w:rsid w:val="000A710A"/>
    <w:rsid w:val="000A72DC"/>
    <w:rsid w:val="000A7453"/>
    <w:rsid w:val="000A773F"/>
    <w:rsid w:val="000A7D08"/>
    <w:rsid w:val="000B0075"/>
    <w:rsid w:val="000B0121"/>
    <w:rsid w:val="000B013F"/>
    <w:rsid w:val="000B0670"/>
    <w:rsid w:val="000B0899"/>
    <w:rsid w:val="000B0E75"/>
    <w:rsid w:val="000B1410"/>
    <w:rsid w:val="000B1949"/>
    <w:rsid w:val="000B2130"/>
    <w:rsid w:val="000B218C"/>
    <w:rsid w:val="000B2CD7"/>
    <w:rsid w:val="000B2DCB"/>
    <w:rsid w:val="000B313D"/>
    <w:rsid w:val="000B33FC"/>
    <w:rsid w:val="000B359C"/>
    <w:rsid w:val="000B3983"/>
    <w:rsid w:val="000B3F91"/>
    <w:rsid w:val="000B409A"/>
    <w:rsid w:val="000B4288"/>
    <w:rsid w:val="000B42D4"/>
    <w:rsid w:val="000B44AF"/>
    <w:rsid w:val="000B4BF1"/>
    <w:rsid w:val="000B4FA7"/>
    <w:rsid w:val="000B4FEF"/>
    <w:rsid w:val="000B5CE0"/>
    <w:rsid w:val="000B6772"/>
    <w:rsid w:val="000B6CAC"/>
    <w:rsid w:val="000B7612"/>
    <w:rsid w:val="000B78AE"/>
    <w:rsid w:val="000B7FAE"/>
    <w:rsid w:val="000B7FE2"/>
    <w:rsid w:val="000C03B0"/>
    <w:rsid w:val="000C08DD"/>
    <w:rsid w:val="000C0D10"/>
    <w:rsid w:val="000C19D5"/>
    <w:rsid w:val="000C2092"/>
    <w:rsid w:val="000C24AE"/>
    <w:rsid w:val="000C2A57"/>
    <w:rsid w:val="000C3276"/>
    <w:rsid w:val="000C3802"/>
    <w:rsid w:val="000C3C24"/>
    <w:rsid w:val="000C3DF9"/>
    <w:rsid w:val="000C4147"/>
    <w:rsid w:val="000C42D4"/>
    <w:rsid w:val="000C47F3"/>
    <w:rsid w:val="000C4CF2"/>
    <w:rsid w:val="000C5545"/>
    <w:rsid w:val="000C57F3"/>
    <w:rsid w:val="000C5B71"/>
    <w:rsid w:val="000C5E7A"/>
    <w:rsid w:val="000C60FE"/>
    <w:rsid w:val="000C66A6"/>
    <w:rsid w:val="000C6713"/>
    <w:rsid w:val="000C6939"/>
    <w:rsid w:val="000C6FE6"/>
    <w:rsid w:val="000C7A65"/>
    <w:rsid w:val="000D00C8"/>
    <w:rsid w:val="000D0151"/>
    <w:rsid w:val="000D05A4"/>
    <w:rsid w:val="000D0C5E"/>
    <w:rsid w:val="000D134A"/>
    <w:rsid w:val="000D1411"/>
    <w:rsid w:val="000D1BFC"/>
    <w:rsid w:val="000D1D5D"/>
    <w:rsid w:val="000D1EDA"/>
    <w:rsid w:val="000D1FB3"/>
    <w:rsid w:val="000D25F2"/>
    <w:rsid w:val="000D27D6"/>
    <w:rsid w:val="000D281A"/>
    <w:rsid w:val="000D2848"/>
    <w:rsid w:val="000D2D68"/>
    <w:rsid w:val="000D31CB"/>
    <w:rsid w:val="000D326A"/>
    <w:rsid w:val="000D3455"/>
    <w:rsid w:val="000D3B14"/>
    <w:rsid w:val="000D3EBE"/>
    <w:rsid w:val="000D4215"/>
    <w:rsid w:val="000D4542"/>
    <w:rsid w:val="000D4A22"/>
    <w:rsid w:val="000D4A30"/>
    <w:rsid w:val="000D4B28"/>
    <w:rsid w:val="000D51FB"/>
    <w:rsid w:val="000D58B6"/>
    <w:rsid w:val="000D6396"/>
    <w:rsid w:val="000D6445"/>
    <w:rsid w:val="000D6B94"/>
    <w:rsid w:val="000D7A1A"/>
    <w:rsid w:val="000E0640"/>
    <w:rsid w:val="000E10DF"/>
    <w:rsid w:val="000E1189"/>
    <w:rsid w:val="000E11E9"/>
    <w:rsid w:val="000E135D"/>
    <w:rsid w:val="000E1419"/>
    <w:rsid w:val="000E1638"/>
    <w:rsid w:val="000E18F2"/>
    <w:rsid w:val="000E21AA"/>
    <w:rsid w:val="000E25C7"/>
    <w:rsid w:val="000E260C"/>
    <w:rsid w:val="000E26F8"/>
    <w:rsid w:val="000E307A"/>
    <w:rsid w:val="000E3247"/>
    <w:rsid w:val="000E3250"/>
    <w:rsid w:val="000E338C"/>
    <w:rsid w:val="000E3C8A"/>
    <w:rsid w:val="000E4347"/>
    <w:rsid w:val="000E47F7"/>
    <w:rsid w:val="000E4B9F"/>
    <w:rsid w:val="000E55D2"/>
    <w:rsid w:val="000E5612"/>
    <w:rsid w:val="000E5845"/>
    <w:rsid w:val="000E5E81"/>
    <w:rsid w:val="000E6058"/>
    <w:rsid w:val="000E60A8"/>
    <w:rsid w:val="000E61EE"/>
    <w:rsid w:val="000E666D"/>
    <w:rsid w:val="000E6704"/>
    <w:rsid w:val="000E6DF2"/>
    <w:rsid w:val="000E76E7"/>
    <w:rsid w:val="000E7C35"/>
    <w:rsid w:val="000F00BA"/>
    <w:rsid w:val="000F024D"/>
    <w:rsid w:val="000F09D9"/>
    <w:rsid w:val="000F0C70"/>
    <w:rsid w:val="000F146A"/>
    <w:rsid w:val="000F16E8"/>
    <w:rsid w:val="000F172B"/>
    <w:rsid w:val="000F184B"/>
    <w:rsid w:val="000F1A6B"/>
    <w:rsid w:val="000F1E55"/>
    <w:rsid w:val="000F20FC"/>
    <w:rsid w:val="000F227F"/>
    <w:rsid w:val="000F2585"/>
    <w:rsid w:val="000F26D0"/>
    <w:rsid w:val="000F316A"/>
    <w:rsid w:val="000F370D"/>
    <w:rsid w:val="000F3834"/>
    <w:rsid w:val="000F3A7D"/>
    <w:rsid w:val="000F3B15"/>
    <w:rsid w:val="000F3BF8"/>
    <w:rsid w:val="000F3C74"/>
    <w:rsid w:val="000F4BB8"/>
    <w:rsid w:val="000F4E91"/>
    <w:rsid w:val="000F4FA9"/>
    <w:rsid w:val="000F529B"/>
    <w:rsid w:val="000F53FB"/>
    <w:rsid w:val="000F54C5"/>
    <w:rsid w:val="000F592E"/>
    <w:rsid w:val="000F606A"/>
    <w:rsid w:val="000F6182"/>
    <w:rsid w:val="000F689E"/>
    <w:rsid w:val="000F7127"/>
    <w:rsid w:val="000F7996"/>
    <w:rsid w:val="000F7B54"/>
    <w:rsid w:val="001000B3"/>
    <w:rsid w:val="00100675"/>
    <w:rsid w:val="00100770"/>
    <w:rsid w:val="00100F8A"/>
    <w:rsid w:val="00100FDD"/>
    <w:rsid w:val="00101E9C"/>
    <w:rsid w:val="001023F5"/>
    <w:rsid w:val="00102AD9"/>
    <w:rsid w:val="00102BAC"/>
    <w:rsid w:val="00102D91"/>
    <w:rsid w:val="00102FD6"/>
    <w:rsid w:val="00103115"/>
    <w:rsid w:val="00103467"/>
    <w:rsid w:val="001036B8"/>
    <w:rsid w:val="00103875"/>
    <w:rsid w:val="00103A13"/>
    <w:rsid w:val="00103DE4"/>
    <w:rsid w:val="00103E0F"/>
    <w:rsid w:val="00103EAE"/>
    <w:rsid w:val="0010452E"/>
    <w:rsid w:val="00104B75"/>
    <w:rsid w:val="00104E5F"/>
    <w:rsid w:val="001051A1"/>
    <w:rsid w:val="001051C5"/>
    <w:rsid w:val="00105406"/>
    <w:rsid w:val="001059CE"/>
    <w:rsid w:val="00105AE2"/>
    <w:rsid w:val="00105D6B"/>
    <w:rsid w:val="00105F09"/>
    <w:rsid w:val="001060C6"/>
    <w:rsid w:val="00106292"/>
    <w:rsid w:val="001066F9"/>
    <w:rsid w:val="001069AF"/>
    <w:rsid w:val="00106B80"/>
    <w:rsid w:val="00106DB9"/>
    <w:rsid w:val="00106E46"/>
    <w:rsid w:val="00106EB6"/>
    <w:rsid w:val="00106EC2"/>
    <w:rsid w:val="00107287"/>
    <w:rsid w:val="001102D9"/>
    <w:rsid w:val="0011032E"/>
    <w:rsid w:val="00110703"/>
    <w:rsid w:val="00111105"/>
    <w:rsid w:val="00111571"/>
    <w:rsid w:val="00111949"/>
    <w:rsid w:val="00111B7E"/>
    <w:rsid w:val="0011211A"/>
    <w:rsid w:val="00112985"/>
    <w:rsid w:val="00112DEA"/>
    <w:rsid w:val="00112E65"/>
    <w:rsid w:val="0011348B"/>
    <w:rsid w:val="001135C2"/>
    <w:rsid w:val="00113D30"/>
    <w:rsid w:val="001140D6"/>
    <w:rsid w:val="0011450E"/>
    <w:rsid w:val="00114803"/>
    <w:rsid w:val="00114831"/>
    <w:rsid w:val="00114913"/>
    <w:rsid w:val="00114A96"/>
    <w:rsid w:val="00114B9C"/>
    <w:rsid w:val="00114C96"/>
    <w:rsid w:val="00114EF7"/>
    <w:rsid w:val="00115765"/>
    <w:rsid w:val="00115982"/>
    <w:rsid w:val="00115C87"/>
    <w:rsid w:val="001162FB"/>
    <w:rsid w:val="00116609"/>
    <w:rsid w:val="00116C53"/>
    <w:rsid w:val="00117191"/>
    <w:rsid w:val="001178A9"/>
    <w:rsid w:val="00117ED7"/>
    <w:rsid w:val="00120289"/>
    <w:rsid w:val="00120D46"/>
    <w:rsid w:val="00121299"/>
    <w:rsid w:val="00121600"/>
    <w:rsid w:val="00121799"/>
    <w:rsid w:val="00121912"/>
    <w:rsid w:val="00121DFA"/>
    <w:rsid w:val="00121EA1"/>
    <w:rsid w:val="001222FC"/>
    <w:rsid w:val="0012289C"/>
    <w:rsid w:val="0012300F"/>
    <w:rsid w:val="00123902"/>
    <w:rsid w:val="00123C49"/>
    <w:rsid w:val="00124249"/>
    <w:rsid w:val="00124281"/>
    <w:rsid w:val="001244D2"/>
    <w:rsid w:val="00124653"/>
    <w:rsid w:val="00124748"/>
    <w:rsid w:val="00124A51"/>
    <w:rsid w:val="00124BB7"/>
    <w:rsid w:val="00124CDA"/>
    <w:rsid w:val="00124D5E"/>
    <w:rsid w:val="00124F56"/>
    <w:rsid w:val="00125E28"/>
    <w:rsid w:val="00125EA0"/>
    <w:rsid w:val="00126621"/>
    <w:rsid w:val="0012673E"/>
    <w:rsid w:val="001269CB"/>
    <w:rsid w:val="00126B1D"/>
    <w:rsid w:val="001274CB"/>
    <w:rsid w:val="0012793E"/>
    <w:rsid w:val="00127AD1"/>
    <w:rsid w:val="00127CB0"/>
    <w:rsid w:val="001301E9"/>
    <w:rsid w:val="00130561"/>
    <w:rsid w:val="001309AC"/>
    <w:rsid w:val="00130D91"/>
    <w:rsid w:val="00131249"/>
    <w:rsid w:val="001312EF"/>
    <w:rsid w:val="00131B63"/>
    <w:rsid w:val="00131B7A"/>
    <w:rsid w:val="00131BC8"/>
    <w:rsid w:val="00131D82"/>
    <w:rsid w:val="0013238B"/>
    <w:rsid w:val="0013287E"/>
    <w:rsid w:val="00132B22"/>
    <w:rsid w:val="001333AB"/>
    <w:rsid w:val="00133CB6"/>
    <w:rsid w:val="00133D36"/>
    <w:rsid w:val="001341A3"/>
    <w:rsid w:val="0013490D"/>
    <w:rsid w:val="00134AFC"/>
    <w:rsid w:val="00134C53"/>
    <w:rsid w:val="00134DC0"/>
    <w:rsid w:val="00134E2D"/>
    <w:rsid w:val="00134E77"/>
    <w:rsid w:val="00134FDF"/>
    <w:rsid w:val="001350FB"/>
    <w:rsid w:val="001352CF"/>
    <w:rsid w:val="00135446"/>
    <w:rsid w:val="0013548C"/>
    <w:rsid w:val="00135B49"/>
    <w:rsid w:val="00135DB2"/>
    <w:rsid w:val="0013606B"/>
    <w:rsid w:val="001360F1"/>
    <w:rsid w:val="0013672C"/>
    <w:rsid w:val="001367D6"/>
    <w:rsid w:val="0013682F"/>
    <w:rsid w:val="001370C6"/>
    <w:rsid w:val="00137645"/>
    <w:rsid w:val="00137F41"/>
    <w:rsid w:val="0014015A"/>
    <w:rsid w:val="00140234"/>
    <w:rsid w:val="00140377"/>
    <w:rsid w:val="00140390"/>
    <w:rsid w:val="00140456"/>
    <w:rsid w:val="00140776"/>
    <w:rsid w:val="00140B6E"/>
    <w:rsid w:val="00140E99"/>
    <w:rsid w:val="001410BD"/>
    <w:rsid w:val="00141493"/>
    <w:rsid w:val="00142478"/>
    <w:rsid w:val="00142672"/>
    <w:rsid w:val="00143514"/>
    <w:rsid w:val="001437CE"/>
    <w:rsid w:val="00143C7A"/>
    <w:rsid w:val="00143F67"/>
    <w:rsid w:val="00144C26"/>
    <w:rsid w:val="00145234"/>
    <w:rsid w:val="00145472"/>
    <w:rsid w:val="00145540"/>
    <w:rsid w:val="001456B0"/>
    <w:rsid w:val="001460DA"/>
    <w:rsid w:val="00146224"/>
    <w:rsid w:val="0014627B"/>
    <w:rsid w:val="00146C53"/>
    <w:rsid w:val="0014758B"/>
    <w:rsid w:val="00147DD3"/>
    <w:rsid w:val="0015055C"/>
    <w:rsid w:val="00150AC3"/>
    <w:rsid w:val="00150CAE"/>
    <w:rsid w:val="0015134A"/>
    <w:rsid w:val="00151DD2"/>
    <w:rsid w:val="00151F4E"/>
    <w:rsid w:val="001526C0"/>
    <w:rsid w:val="00152E25"/>
    <w:rsid w:val="001535AB"/>
    <w:rsid w:val="001536C6"/>
    <w:rsid w:val="001538B9"/>
    <w:rsid w:val="00153BEF"/>
    <w:rsid w:val="0015465B"/>
    <w:rsid w:val="001547AB"/>
    <w:rsid w:val="001548C7"/>
    <w:rsid w:val="00155C00"/>
    <w:rsid w:val="00156209"/>
    <w:rsid w:val="00156D9A"/>
    <w:rsid w:val="00156F8F"/>
    <w:rsid w:val="00156FC1"/>
    <w:rsid w:val="001570C5"/>
    <w:rsid w:val="00157130"/>
    <w:rsid w:val="001576B1"/>
    <w:rsid w:val="00157B9F"/>
    <w:rsid w:val="00157CFD"/>
    <w:rsid w:val="001600EF"/>
    <w:rsid w:val="0016047B"/>
    <w:rsid w:val="001605A3"/>
    <w:rsid w:val="00160775"/>
    <w:rsid w:val="0016093C"/>
    <w:rsid w:val="00160A4C"/>
    <w:rsid w:val="00160B62"/>
    <w:rsid w:val="0016177F"/>
    <w:rsid w:val="00161BB8"/>
    <w:rsid w:val="00161D69"/>
    <w:rsid w:val="0016210D"/>
    <w:rsid w:val="00162375"/>
    <w:rsid w:val="00162913"/>
    <w:rsid w:val="00162C17"/>
    <w:rsid w:val="00162CBF"/>
    <w:rsid w:val="0016337D"/>
    <w:rsid w:val="00163399"/>
    <w:rsid w:val="0016343C"/>
    <w:rsid w:val="001638A4"/>
    <w:rsid w:val="00163916"/>
    <w:rsid w:val="00163E17"/>
    <w:rsid w:val="00163E83"/>
    <w:rsid w:val="00163EFF"/>
    <w:rsid w:val="00163F66"/>
    <w:rsid w:val="00164143"/>
    <w:rsid w:val="0016478E"/>
    <w:rsid w:val="001649A7"/>
    <w:rsid w:val="00164A36"/>
    <w:rsid w:val="00164AA8"/>
    <w:rsid w:val="00165050"/>
    <w:rsid w:val="0016512E"/>
    <w:rsid w:val="00165355"/>
    <w:rsid w:val="00165513"/>
    <w:rsid w:val="001656F7"/>
    <w:rsid w:val="0016573B"/>
    <w:rsid w:val="00165C72"/>
    <w:rsid w:val="00165CA7"/>
    <w:rsid w:val="00165DD5"/>
    <w:rsid w:val="00165EC4"/>
    <w:rsid w:val="001661FB"/>
    <w:rsid w:val="0016655B"/>
    <w:rsid w:val="001665E7"/>
    <w:rsid w:val="00166D1E"/>
    <w:rsid w:val="00166F3C"/>
    <w:rsid w:val="001671A0"/>
    <w:rsid w:val="0016767F"/>
    <w:rsid w:val="00170099"/>
    <w:rsid w:val="0017064B"/>
    <w:rsid w:val="00170C93"/>
    <w:rsid w:val="001719FA"/>
    <w:rsid w:val="00171FB9"/>
    <w:rsid w:val="001721DF"/>
    <w:rsid w:val="00172227"/>
    <w:rsid w:val="00172C7D"/>
    <w:rsid w:val="00173565"/>
    <w:rsid w:val="00173918"/>
    <w:rsid w:val="00173B07"/>
    <w:rsid w:val="0017411E"/>
    <w:rsid w:val="00174330"/>
    <w:rsid w:val="001749AB"/>
    <w:rsid w:val="00174A17"/>
    <w:rsid w:val="00174C2A"/>
    <w:rsid w:val="00175093"/>
    <w:rsid w:val="001751FA"/>
    <w:rsid w:val="00175228"/>
    <w:rsid w:val="00175728"/>
    <w:rsid w:val="0017590A"/>
    <w:rsid w:val="00175A42"/>
    <w:rsid w:val="00175B74"/>
    <w:rsid w:val="00175C08"/>
    <w:rsid w:val="001766EA"/>
    <w:rsid w:val="001766EC"/>
    <w:rsid w:val="0017670F"/>
    <w:rsid w:val="001769E4"/>
    <w:rsid w:val="00177250"/>
    <w:rsid w:val="0017747B"/>
    <w:rsid w:val="001775FC"/>
    <w:rsid w:val="001804F1"/>
    <w:rsid w:val="001807CE"/>
    <w:rsid w:val="0018090A"/>
    <w:rsid w:val="00180ADE"/>
    <w:rsid w:val="00181304"/>
    <w:rsid w:val="00181399"/>
    <w:rsid w:val="0018190D"/>
    <w:rsid w:val="00181B48"/>
    <w:rsid w:val="00181C10"/>
    <w:rsid w:val="00181CC6"/>
    <w:rsid w:val="00181D9C"/>
    <w:rsid w:val="001823A7"/>
    <w:rsid w:val="001824C5"/>
    <w:rsid w:val="00182F3F"/>
    <w:rsid w:val="00182FCF"/>
    <w:rsid w:val="001834E5"/>
    <w:rsid w:val="0018373B"/>
    <w:rsid w:val="001837FF"/>
    <w:rsid w:val="0018381C"/>
    <w:rsid w:val="00183AFC"/>
    <w:rsid w:val="00183B5D"/>
    <w:rsid w:val="00183C7B"/>
    <w:rsid w:val="00183EDC"/>
    <w:rsid w:val="001843F5"/>
    <w:rsid w:val="00184B0E"/>
    <w:rsid w:val="00184FF1"/>
    <w:rsid w:val="00185440"/>
    <w:rsid w:val="00185D63"/>
    <w:rsid w:val="0018639D"/>
    <w:rsid w:val="00186560"/>
    <w:rsid w:val="001870DA"/>
    <w:rsid w:val="001871A1"/>
    <w:rsid w:val="0018752F"/>
    <w:rsid w:val="001875D1"/>
    <w:rsid w:val="00187B3F"/>
    <w:rsid w:val="001909D7"/>
    <w:rsid w:val="00190B36"/>
    <w:rsid w:val="00191545"/>
    <w:rsid w:val="00191615"/>
    <w:rsid w:val="0019174A"/>
    <w:rsid w:val="00191F88"/>
    <w:rsid w:val="00192117"/>
    <w:rsid w:val="00192594"/>
    <w:rsid w:val="001926EF"/>
    <w:rsid w:val="001927E9"/>
    <w:rsid w:val="00192A50"/>
    <w:rsid w:val="001936CE"/>
    <w:rsid w:val="00193838"/>
    <w:rsid w:val="00193EF7"/>
    <w:rsid w:val="001945DD"/>
    <w:rsid w:val="0019492C"/>
    <w:rsid w:val="00194AD8"/>
    <w:rsid w:val="00194B40"/>
    <w:rsid w:val="00194EF8"/>
    <w:rsid w:val="00194FBC"/>
    <w:rsid w:val="00195067"/>
    <w:rsid w:val="00195222"/>
    <w:rsid w:val="0019541A"/>
    <w:rsid w:val="00195452"/>
    <w:rsid w:val="00195470"/>
    <w:rsid w:val="00195994"/>
    <w:rsid w:val="00195F2A"/>
    <w:rsid w:val="001961F8"/>
    <w:rsid w:val="00196464"/>
    <w:rsid w:val="00196650"/>
    <w:rsid w:val="00196D0E"/>
    <w:rsid w:val="00196D92"/>
    <w:rsid w:val="00197396"/>
    <w:rsid w:val="001975D8"/>
    <w:rsid w:val="00197D81"/>
    <w:rsid w:val="00197D86"/>
    <w:rsid w:val="001A0044"/>
    <w:rsid w:val="001A0197"/>
    <w:rsid w:val="001A01D7"/>
    <w:rsid w:val="001A04EA"/>
    <w:rsid w:val="001A0B09"/>
    <w:rsid w:val="001A178E"/>
    <w:rsid w:val="001A186A"/>
    <w:rsid w:val="001A1CE1"/>
    <w:rsid w:val="001A1E4F"/>
    <w:rsid w:val="001A2245"/>
    <w:rsid w:val="001A24BE"/>
    <w:rsid w:val="001A2729"/>
    <w:rsid w:val="001A38F7"/>
    <w:rsid w:val="001A3A0A"/>
    <w:rsid w:val="001A4046"/>
    <w:rsid w:val="001A43FA"/>
    <w:rsid w:val="001A4644"/>
    <w:rsid w:val="001A46BB"/>
    <w:rsid w:val="001A47C4"/>
    <w:rsid w:val="001A47C5"/>
    <w:rsid w:val="001A4E88"/>
    <w:rsid w:val="001A4F48"/>
    <w:rsid w:val="001A4FE2"/>
    <w:rsid w:val="001A569D"/>
    <w:rsid w:val="001A56A7"/>
    <w:rsid w:val="001A59FB"/>
    <w:rsid w:val="001A5AF7"/>
    <w:rsid w:val="001A5B51"/>
    <w:rsid w:val="001A5C50"/>
    <w:rsid w:val="001A5E9E"/>
    <w:rsid w:val="001A5FCA"/>
    <w:rsid w:val="001A6100"/>
    <w:rsid w:val="001A6291"/>
    <w:rsid w:val="001A632D"/>
    <w:rsid w:val="001A6354"/>
    <w:rsid w:val="001A6366"/>
    <w:rsid w:val="001A6781"/>
    <w:rsid w:val="001A68F1"/>
    <w:rsid w:val="001A737E"/>
    <w:rsid w:val="001A73FA"/>
    <w:rsid w:val="001A77C9"/>
    <w:rsid w:val="001A7AE8"/>
    <w:rsid w:val="001B0A09"/>
    <w:rsid w:val="001B0A7A"/>
    <w:rsid w:val="001B0CDF"/>
    <w:rsid w:val="001B105C"/>
    <w:rsid w:val="001B16E1"/>
    <w:rsid w:val="001B1E9B"/>
    <w:rsid w:val="001B2019"/>
    <w:rsid w:val="001B204E"/>
    <w:rsid w:val="001B2103"/>
    <w:rsid w:val="001B2372"/>
    <w:rsid w:val="001B258D"/>
    <w:rsid w:val="001B29C3"/>
    <w:rsid w:val="001B2A7E"/>
    <w:rsid w:val="001B2CE8"/>
    <w:rsid w:val="001B2F6E"/>
    <w:rsid w:val="001B3443"/>
    <w:rsid w:val="001B3843"/>
    <w:rsid w:val="001B4063"/>
    <w:rsid w:val="001B4376"/>
    <w:rsid w:val="001B4403"/>
    <w:rsid w:val="001B4B3F"/>
    <w:rsid w:val="001B4B74"/>
    <w:rsid w:val="001B4C53"/>
    <w:rsid w:val="001B4D20"/>
    <w:rsid w:val="001B51FE"/>
    <w:rsid w:val="001B5215"/>
    <w:rsid w:val="001B581D"/>
    <w:rsid w:val="001B5A3A"/>
    <w:rsid w:val="001B5A49"/>
    <w:rsid w:val="001B5CB8"/>
    <w:rsid w:val="001B6388"/>
    <w:rsid w:val="001B6864"/>
    <w:rsid w:val="001B6D59"/>
    <w:rsid w:val="001B721B"/>
    <w:rsid w:val="001B76D8"/>
    <w:rsid w:val="001B773F"/>
    <w:rsid w:val="001B7B7E"/>
    <w:rsid w:val="001B7DD6"/>
    <w:rsid w:val="001B7EB4"/>
    <w:rsid w:val="001B7F84"/>
    <w:rsid w:val="001C002E"/>
    <w:rsid w:val="001C009C"/>
    <w:rsid w:val="001C078F"/>
    <w:rsid w:val="001C144F"/>
    <w:rsid w:val="001C1AB2"/>
    <w:rsid w:val="001C1AB9"/>
    <w:rsid w:val="001C1CE4"/>
    <w:rsid w:val="001C2063"/>
    <w:rsid w:val="001C2A9B"/>
    <w:rsid w:val="001C2B14"/>
    <w:rsid w:val="001C3DCA"/>
    <w:rsid w:val="001C3DD6"/>
    <w:rsid w:val="001C417D"/>
    <w:rsid w:val="001C4299"/>
    <w:rsid w:val="001C42A4"/>
    <w:rsid w:val="001C449A"/>
    <w:rsid w:val="001C4674"/>
    <w:rsid w:val="001C4874"/>
    <w:rsid w:val="001C4BEA"/>
    <w:rsid w:val="001C4FA8"/>
    <w:rsid w:val="001C595F"/>
    <w:rsid w:val="001C5F94"/>
    <w:rsid w:val="001C6097"/>
    <w:rsid w:val="001C62C2"/>
    <w:rsid w:val="001C697F"/>
    <w:rsid w:val="001C6E66"/>
    <w:rsid w:val="001C7163"/>
    <w:rsid w:val="001C7514"/>
    <w:rsid w:val="001C78AE"/>
    <w:rsid w:val="001C7B1C"/>
    <w:rsid w:val="001D00C4"/>
    <w:rsid w:val="001D040D"/>
    <w:rsid w:val="001D043C"/>
    <w:rsid w:val="001D0896"/>
    <w:rsid w:val="001D1100"/>
    <w:rsid w:val="001D1243"/>
    <w:rsid w:val="001D1391"/>
    <w:rsid w:val="001D22EC"/>
    <w:rsid w:val="001D25D7"/>
    <w:rsid w:val="001D2C69"/>
    <w:rsid w:val="001D2FBD"/>
    <w:rsid w:val="001D383C"/>
    <w:rsid w:val="001D39D6"/>
    <w:rsid w:val="001D4623"/>
    <w:rsid w:val="001D473C"/>
    <w:rsid w:val="001D4E72"/>
    <w:rsid w:val="001D50B2"/>
    <w:rsid w:val="001D52CA"/>
    <w:rsid w:val="001D5829"/>
    <w:rsid w:val="001D64EF"/>
    <w:rsid w:val="001D66B8"/>
    <w:rsid w:val="001D6DA3"/>
    <w:rsid w:val="001D71F4"/>
    <w:rsid w:val="001D7645"/>
    <w:rsid w:val="001D7A65"/>
    <w:rsid w:val="001E00E7"/>
    <w:rsid w:val="001E0423"/>
    <w:rsid w:val="001E05D7"/>
    <w:rsid w:val="001E0717"/>
    <w:rsid w:val="001E096F"/>
    <w:rsid w:val="001E0A76"/>
    <w:rsid w:val="001E0E17"/>
    <w:rsid w:val="001E1E86"/>
    <w:rsid w:val="001E2202"/>
    <w:rsid w:val="001E238E"/>
    <w:rsid w:val="001E2483"/>
    <w:rsid w:val="001E2599"/>
    <w:rsid w:val="001E28DD"/>
    <w:rsid w:val="001E2969"/>
    <w:rsid w:val="001E2B1E"/>
    <w:rsid w:val="001E2CFF"/>
    <w:rsid w:val="001E2EC7"/>
    <w:rsid w:val="001E2F24"/>
    <w:rsid w:val="001E3066"/>
    <w:rsid w:val="001E30D4"/>
    <w:rsid w:val="001E34DF"/>
    <w:rsid w:val="001E35BB"/>
    <w:rsid w:val="001E370F"/>
    <w:rsid w:val="001E3823"/>
    <w:rsid w:val="001E3BFE"/>
    <w:rsid w:val="001E439E"/>
    <w:rsid w:val="001E45AC"/>
    <w:rsid w:val="001E4D0E"/>
    <w:rsid w:val="001E4E3C"/>
    <w:rsid w:val="001E4F07"/>
    <w:rsid w:val="001E5042"/>
    <w:rsid w:val="001E52A3"/>
    <w:rsid w:val="001E52EB"/>
    <w:rsid w:val="001E5517"/>
    <w:rsid w:val="001E5811"/>
    <w:rsid w:val="001E6189"/>
    <w:rsid w:val="001E61D2"/>
    <w:rsid w:val="001E683A"/>
    <w:rsid w:val="001E740C"/>
    <w:rsid w:val="001E7B07"/>
    <w:rsid w:val="001E7D34"/>
    <w:rsid w:val="001F03A9"/>
    <w:rsid w:val="001F05A7"/>
    <w:rsid w:val="001F07CE"/>
    <w:rsid w:val="001F07F5"/>
    <w:rsid w:val="001F0C9B"/>
    <w:rsid w:val="001F0DCE"/>
    <w:rsid w:val="001F0F6E"/>
    <w:rsid w:val="001F10AA"/>
    <w:rsid w:val="001F1235"/>
    <w:rsid w:val="001F13A8"/>
    <w:rsid w:val="001F1CB3"/>
    <w:rsid w:val="001F1EB8"/>
    <w:rsid w:val="001F23D6"/>
    <w:rsid w:val="001F2B95"/>
    <w:rsid w:val="001F2D2A"/>
    <w:rsid w:val="001F2D7A"/>
    <w:rsid w:val="001F3094"/>
    <w:rsid w:val="001F3357"/>
    <w:rsid w:val="001F38B5"/>
    <w:rsid w:val="001F3C1E"/>
    <w:rsid w:val="001F3FE1"/>
    <w:rsid w:val="001F4081"/>
    <w:rsid w:val="001F49F6"/>
    <w:rsid w:val="001F508E"/>
    <w:rsid w:val="001F5388"/>
    <w:rsid w:val="001F5679"/>
    <w:rsid w:val="001F58C7"/>
    <w:rsid w:val="001F5B91"/>
    <w:rsid w:val="001F5D91"/>
    <w:rsid w:val="001F6479"/>
    <w:rsid w:val="001F655A"/>
    <w:rsid w:val="001F6586"/>
    <w:rsid w:val="001F683D"/>
    <w:rsid w:val="001F686C"/>
    <w:rsid w:val="001F6CBB"/>
    <w:rsid w:val="001F734E"/>
    <w:rsid w:val="001F7361"/>
    <w:rsid w:val="001F74C4"/>
    <w:rsid w:val="001F7504"/>
    <w:rsid w:val="001F7630"/>
    <w:rsid w:val="001F7774"/>
    <w:rsid w:val="001F7DB8"/>
    <w:rsid w:val="001F7E1B"/>
    <w:rsid w:val="0020000F"/>
    <w:rsid w:val="00200A2E"/>
    <w:rsid w:val="00200A6F"/>
    <w:rsid w:val="00200AFE"/>
    <w:rsid w:val="002011B0"/>
    <w:rsid w:val="002012FF"/>
    <w:rsid w:val="00202DF7"/>
    <w:rsid w:val="00203181"/>
    <w:rsid w:val="00203493"/>
    <w:rsid w:val="00203783"/>
    <w:rsid w:val="0020385F"/>
    <w:rsid w:val="002038B5"/>
    <w:rsid w:val="00203964"/>
    <w:rsid w:val="00203E34"/>
    <w:rsid w:val="00204155"/>
    <w:rsid w:val="00204514"/>
    <w:rsid w:val="00204795"/>
    <w:rsid w:val="00204B47"/>
    <w:rsid w:val="00205410"/>
    <w:rsid w:val="00205B29"/>
    <w:rsid w:val="0020634D"/>
    <w:rsid w:val="002068A0"/>
    <w:rsid w:val="00206986"/>
    <w:rsid w:val="0020698C"/>
    <w:rsid w:val="00207021"/>
    <w:rsid w:val="00207063"/>
    <w:rsid w:val="002070A2"/>
    <w:rsid w:val="0020732F"/>
    <w:rsid w:val="00207809"/>
    <w:rsid w:val="00207D00"/>
    <w:rsid w:val="00210010"/>
    <w:rsid w:val="00210088"/>
    <w:rsid w:val="002105C1"/>
    <w:rsid w:val="00211115"/>
    <w:rsid w:val="0021123A"/>
    <w:rsid w:val="002113D4"/>
    <w:rsid w:val="002114B2"/>
    <w:rsid w:val="002116FD"/>
    <w:rsid w:val="00211954"/>
    <w:rsid w:val="00211EC9"/>
    <w:rsid w:val="0021202C"/>
    <w:rsid w:val="002123D1"/>
    <w:rsid w:val="0021244A"/>
    <w:rsid w:val="00212852"/>
    <w:rsid w:val="00212BFD"/>
    <w:rsid w:val="00212E59"/>
    <w:rsid w:val="00213400"/>
    <w:rsid w:val="00213EF5"/>
    <w:rsid w:val="002146E9"/>
    <w:rsid w:val="002151D1"/>
    <w:rsid w:val="00215447"/>
    <w:rsid w:val="00215858"/>
    <w:rsid w:val="0021592E"/>
    <w:rsid w:val="0021617B"/>
    <w:rsid w:val="002166A2"/>
    <w:rsid w:val="00216BDD"/>
    <w:rsid w:val="00216BF5"/>
    <w:rsid w:val="00216EC9"/>
    <w:rsid w:val="00216FAA"/>
    <w:rsid w:val="0021721E"/>
    <w:rsid w:val="00220177"/>
    <w:rsid w:val="00220215"/>
    <w:rsid w:val="0022023A"/>
    <w:rsid w:val="00220726"/>
    <w:rsid w:val="00220A94"/>
    <w:rsid w:val="0022109C"/>
    <w:rsid w:val="002219DA"/>
    <w:rsid w:val="0022284C"/>
    <w:rsid w:val="00222DE8"/>
    <w:rsid w:val="0022306D"/>
    <w:rsid w:val="00223299"/>
    <w:rsid w:val="00223620"/>
    <w:rsid w:val="002238C5"/>
    <w:rsid w:val="00223901"/>
    <w:rsid w:val="00223B49"/>
    <w:rsid w:val="00223BB8"/>
    <w:rsid w:val="00223D5A"/>
    <w:rsid w:val="0022446B"/>
    <w:rsid w:val="002245D4"/>
    <w:rsid w:val="00224DD4"/>
    <w:rsid w:val="00225376"/>
    <w:rsid w:val="00225518"/>
    <w:rsid w:val="0022604A"/>
    <w:rsid w:val="00227508"/>
    <w:rsid w:val="002278A0"/>
    <w:rsid w:val="00227AE7"/>
    <w:rsid w:val="00227D5E"/>
    <w:rsid w:val="00227E1F"/>
    <w:rsid w:val="00227EAE"/>
    <w:rsid w:val="00230206"/>
    <w:rsid w:val="0023041C"/>
    <w:rsid w:val="00230789"/>
    <w:rsid w:val="002308C1"/>
    <w:rsid w:val="002309CC"/>
    <w:rsid w:val="00230B66"/>
    <w:rsid w:val="0023129C"/>
    <w:rsid w:val="00231BA9"/>
    <w:rsid w:val="00231FA0"/>
    <w:rsid w:val="00232007"/>
    <w:rsid w:val="0023209F"/>
    <w:rsid w:val="002329E6"/>
    <w:rsid w:val="00232A08"/>
    <w:rsid w:val="002336EE"/>
    <w:rsid w:val="0023386A"/>
    <w:rsid w:val="0023397C"/>
    <w:rsid w:val="00233C01"/>
    <w:rsid w:val="00233D2E"/>
    <w:rsid w:val="0023413C"/>
    <w:rsid w:val="0023450E"/>
    <w:rsid w:val="002346EB"/>
    <w:rsid w:val="002346F0"/>
    <w:rsid w:val="00235977"/>
    <w:rsid w:val="00235DBF"/>
    <w:rsid w:val="00235F70"/>
    <w:rsid w:val="00235F7C"/>
    <w:rsid w:val="0023629D"/>
    <w:rsid w:val="00236600"/>
    <w:rsid w:val="0023663B"/>
    <w:rsid w:val="0023688F"/>
    <w:rsid w:val="0023691A"/>
    <w:rsid w:val="00236B7A"/>
    <w:rsid w:val="00236C05"/>
    <w:rsid w:val="00237255"/>
    <w:rsid w:val="00237947"/>
    <w:rsid w:val="002379F5"/>
    <w:rsid w:val="00237BC3"/>
    <w:rsid w:val="00237DA1"/>
    <w:rsid w:val="00237E2B"/>
    <w:rsid w:val="002401B5"/>
    <w:rsid w:val="00240492"/>
    <w:rsid w:val="002407AD"/>
    <w:rsid w:val="00240A54"/>
    <w:rsid w:val="00241477"/>
    <w:rsid w:val="00241FA6"/>
    <w:rsid w:val="0024226C"/>
    <w:rsid w:val="002424AF"/>
    <w:rsid w:val="0024263F"/>
    <w:rsid w:val="00243108"/>
    <w:rsid w:val="002432EC"/>
    <w:rsid w:val="00243656"/>
    <w:rsid w:val="00243714"/>
    <w:rsid w:val="002439DC"/>
    <w:rsid w:val="002439F1"/>
    <w:rsid w:val="00243E9C"/>
    <w:rsid w:val="00244084"/>
    <w:rsid w:val="002441D2"/>
    <w:rsid w:val="0024436B"/>
    <w:rsid w:val="00244801"/>
    <w:rsid w:val="00244C20"/>
    <w:rsid w:val="00244DC8"/>
    <w:rsid w:val="00244F72"/>
    <w:rsid w:val="00244F7A"/>
    <w:rsid w:val="0024552C"/>
    <w:rsid w:val="002458BA"/>
    <w:rsid w:val="00245A10"/>
    <w:rsid w:val="00245CC9"/>
    <w:rsid w:val="00245CE9"/>
    <w:rsid w:val="00245F30"/>
    <w:rsid w:val="00246087"/>
    <w:rsid w:val="0024636C"/>
    <w:rsid w:val="00246853"/>
    <w:rsid w:val="00246A04"/>
    <w:rsid w:val="00246B20"/>
    <w:rsid w:val="00247925"/>
    <w:rsid w:val="002500F0"/>
    <w:rsid w:val="00250816"/>
    <w:rsid w:val="002509C2"/>
    <w:rsid w:val="00251006"/>
    <w:rsid w:val="0025161E"/>
    <w:rsid w:val="002516CB"/>
    <w:rsid w:val="00251F77"/>
    <w:rsid w:val="0025234F"/>
    <w:rsid w:val="00252392"/>
    <w:rsid w:val="002524D5"/>
    <w:rsid w:val="00252AB7"/>
    <w:rsid w:val="00252DB5"/>
    <w:rsid w:val="00253B1D"/>
    <w:rsid w:val="00253BFE"/>
    <w:rsid w:val="00253D89"/>
    <w:rsid w:val="00253EBB"/>
    <w:rsid w:val="00254851"/>
    <w:rsid w:val="00254BBA"/>
    <w:rsid w:val="00254C0A"/>
    <w:rsid w:val="00254DCF"/>
    <w:rsid w:val="00254F69"/>
    <w:rsid w:val="00255184"/>
    <w:rsid w:val="0025534B"/>
    <w:rsid w:val="002554A3"/>
    <w:rsid w:val="002559A8"/>
    <w:rsid w:val="00255BB7"/>
    <w:rsid w:val="0025676F"/>
    <w:rsid w:val="00257487"/>
    <w:rsid w:val="00257541"/>
    <w:rsid w:val="00257610"/>
    <w:rsid w:val="00257757"/>
    <w:rsid w:val="00257A39"/>
    <w:rsid w:val="00257AC4"/>
    <w:rsid w:val="00257BBE"/>
    <w:rsid w:val="00257E9D"/>
    <w:rsid w:val="00257F88"/>
    <w:rsid w:val="00260137"/>
    <w:rsid w:val="002605CC"/>
    <w:rsid w:val="00260BFC"/>
    <w:rsid w:val="00260FDB"/>
    <w:rsid w:val="00261A2C"/>
    <w:rsid w:val="00261EEF"/>
    <w:rsid w:val="00262383"/>
    <w:rsid w:val="002624A7"/>
    <w:rsid w:val="002626D7"/>
    <w:rsid w:val="00262A1A"/>
    <w:rsid w:val="00262A87"/>
    <w:rsid w:val="00262CDA"/>
    <w:rsid w:val="00263425"/>
    <w:rsid w:val="002638CD"/>
    <w:rsid w:val="00264D26"/>
    <w:rsid w:val="002657A0"/>
    <w:rsid w:val="002657FD"/>
    <w:rsid w:val="00265FB7"/>
    <w:rsid w:val="002660AD"/>
    <w:rsid w:val="002663EC"/>
    <w:rsid w:val="00266730"/>
    <w:rsid w:val="00266915"/>
    <w:rsid w:val="00266DBB"/>
    <w:rsid w:val="00266EEF"/>
    <w:rsid w:val="0026707D"/>
    <w:rsid w:val="0026744B"/>
    <w:rsid w:val="002674C0"/>
    <w:rsid w:val="00267642"/>
    <w:rsid w:val="00267AEA"/>
    <w:rsid w:val="00267F7E"/>
    <w:rsid w:val="002700E6"/>
    <w:rsid w:val="002706FF"/>
    <w:rsid w:val="00270AAB"/>
    <w:rsid w:val="00270EEB"/>
    <w:rsid w:val="00271D65"/>
    <w:rsid w:val="00272354"/>
    <w:rsid w:val="0027294B"/>
    <w:rsid w:val="00272B12"/>
    <w:rsid w:val="00273918"/>
    <w:rsid w:val="00273AD9"/>
    <w:rsid w:val="00273C81"/>
    <w:rsid w:val="00273EB4"/>
    <w:rsid w:val="00273EE2"/>
    <w:rsid w:val="00274283"/>
    <w:rsid w:val="002744DE"/>
    <w:rsid w:val="00274560"/>
    <w:rsid w:val="00274682"/>
    <w:rsid w:val="002746B9"/>
    <w:rsid w:val="00275158"/>
    <w:rsid w:val="00275793"/>
    <w:rsid w:val="00275C5A"/>
    <w:rsid w:val="00276161"/>
    <w:rsid w:val="00276360"/>
    <w:rsid w:val="00276670"/>
    <w:rsid w:val="002766D7"/>
    <w:rsid w:val="002766FB"/>
    <w:rsid w:val="00277D46"/>
    <w:rsid w:val="00280405"/>
    <w:rsid w:val="002804A2"/>
    <w:rsid w:val="00280876"/>
    <w:rsid w:val="00280A81"/>
    <w:rsid w:val="00281014"/>
    <w:rsid w:val="002812CE"/>
    <w:rsid w:val="00281552"/>
    <w:rsid w:val="00281A47"/>
    <w:rsid w:val="00282161"/>
    <w:rsid w:val="002829A7"/>
    <w:rsid w:val="00282ED4"/>
    <w:rsid w:val="00283051"/>
    <w:rsid w:val="0028376C"/>
    <w:rsid w:val="002841DA"/>
    <w:rsid w:val="0028459D"/>
    <w:rsid w:val="002846CC"/>
    <w:rsid w:val="002848FE"/>
    <w:rsid w:val="00284B17"/>
    <w:rsid w:val="00284EE3"/>
    <w:rsid w:val="0028506C"/>
    <w:rsid w:val="002850E9"/>
    <w:rsid w:val="002854E3"/>
    <w:rsid w:val="0028554C"/>
    <w:rsid w:val="00285573"/>
    <w:rsid w:val="002855FB"/>
    <w:rsid w:val="00285BCE"/>
    <w:rsid w:val="00286121"/>
    <w:rsid w:val="0028665D"/>
    <w:rsid w:val="00286668"/>
    <w:rsid w:val="0028673A"/>
    <w:rsid w:val="002867B9"/>
    <w:rsid w:val="00286905"/>
    <w:rsid w:val="0028778E"/>
    <w:rsid w:val="00287DBE"/>
    <w:rsid w:val="00287DD3"/>
    <w:rsid w:val="00290108"/>
    <w:rsid w:val="0029051E"/>
    <w:rsid w:val="002908D9"/>
    <w:rsid w:val="00290A7C"/>
    <w:rsid w:val="00290F6B"/>
    <w:rsid w:val="002919B4"/>
    <w:rsid w:val="00291FAD"/>
    <w:rsid w:val="00292028"/>
    <w:rsid w:val="00292CD8"/>
    <w:rsid w:val="00292F72"/>
    <w:rsid w:val="00293919"/>
    <w:rsid w:val="0029394A"/>
    <w:rsid w:val="00293BC6"/>
    <w:rsid w:val="0029464B"/>
    <w:rsid w:val="00294F91"/>
    <w:rsid w:val="0029530B"/>
    <w:rsid w:val="00295830"/>
    <w:rsid w:val="00295E9B"/>
    <w:rsid w:val="00296DCD"/>
    <w:rsid w:val="00296F32"/>
    <w:rsid w:val="002975F5"/>
    <w:rsid w:val="002A0A42"/>
    <w:rsid w:val="002A0F58"/>
    <w:rsid w:val="002A14AB"/>
    <w:rsid w:val="002A15EF"/>
    <w:rsid w:val="002A168E"/>
    <w:rsid w:val="002A1B6F"/>
    <w:rsid w:val="002A288A"/>
    <w:rsid w:val="002A2ADE"/>
    <w:rsid w:val="002A2F50"/>
    <w:rsid w:val="002A37B0"/>
    <w:rsid w:val="002A3AD0"/>
    <w:rsid w:val="002A45E2"/>
    <w:rsid w:val="002A48A7"/>
    <w:rsid w:val="002A48F8"/>
    <w:rsid w:val="002A49E9"/>
    <w:rsid w:val="002A4C78"/>
    <w:rsid w:val="002A51E3"/>
    <w:rsid w:val="002A5348"/>
    <w:rsid w:val="002A55FC"/>
    <w:rsid w:val="002A58DD"/>
    <w:rsid w:val="002A5928"/>
    <w:rsid w:val="002A5A8F"/>
    <w:rsid w:val="002A5B83"/>
    <w:rsid w:val="002A63D6"/>
    <w:rsid w:val="002A6B01"/>
    <w:rsid w:val="002A6E24"/>
    <w:rsid w:val="002A6F37"/>
    <w:rsid w:val="002A710E"/>
    <w:rsid w:val="002A7703"/>
    <w:rsid w:val="002A77C8"/>
    <w:rsid w:val="002A77FB"/>
    <w:rsid w:val="002A78A1"/>
    <w:rsid w:val="002A7943"/>
    <w:rsid w:val="002A7CA7"/>
    <w:rsid w:val="002A7F31"/>
    <w:rsid w:val="002B05A1"/>
    <w:rsid w:val="002B07EF"/>
    <w:rsid w:val="002B09A4"/>
    <w:rsid w:val="002B0CF7"/>
    <w:rsid w:val="002B0E2F"/>
    <w:rsid w:val="002B1628"/>
    <w:rsid w:val="002B166F"/>
    <w:rsid w:val="002B1C1F"/>
    <w:rsid w:val="002B1DE5"/>
    <w:rsid w:val="002B1F17"/>
    <w:rsid w:val="002B23D2"/>
    <w:rsid w:val="002B2643"/>
    <w:rsid w:val="002B26B7"/>
    <w:rsid w:val="002B27B9"/>
    <w:rsid w:val="002B2A6A"/>
    <w:rsid w:val="002B317B"/>
    <w:rsid w:val="002B37F5"/>
    <w:rsid w:val="002B432F"/>
    <w:rsid w:val="002B47CB"/>
    <w:rsid w:val="002B49C8"/>
    <w:rsid w:val="002B519E"/>
    <w:rsid w:val="002B5D80"/>
    <w:rsid w:val="002B609C"/>
    <w:rsid w:val="002B62B3"/>
    <w:rsid w:val="002B6754"/>
    <w:rsid w:val="002B680F"/>
    <w:rsid w:val="002B6CCE"/>
    <w:rsid w:val="002B75E2"/>
    <w:rsid w:val="002C01DD"/>
    <w:rsid w:val="002C0CCF"/>
    <w:rsid w:val="002C1390"/>
    <w:rsid w:val="002C1BAF"/>
    <w:rsid w:val="002C1C9F"/>
    <w:rsid w:val="002C1EF7"/>
    <w:rsid w:val="002C23A0"/>
    <w:rsid w:val="002C2510"/>
    <w:rsid w:val="002C2775"/>
    <w:rsid w:val="002C27C1"/>
    <w:rsid w:val="002C2B43"/>
    <w:rsid w:val="002C2CDF"/>
    <w:rsid w:val="002C31A2"/>
    <w:rsid w:val="002C36E3"/>
    <w:rsid w:val="002C391E"/>
    <w:rsid w:val="002C3C42"/>
    <w:rsid w:val="002C45EA"/>
    <w:rsid w:val="002C4651"/>
    <w:rsid w:val="002C4702"/>
    <w:rsid w:val="002C48FF"/>
    <w:rsid w:val="002C4A66"/>
    <w:rsid w:val="002C5099"/>
    <w:rsid w:val="002C5623"/>
    <w:rsid w:val="002C5889"/>
    <w:rsid w:val="002C58B7"/>
    <w:rsid w:val="002C64E9"/>
    <w:rsid w:val="002C66C3"/>
    <w:rsid w:val="002C67CC"/>
    <w:rsid w:val="002C6E16"/>
    <w:rsid w:val="002C71CE"/>
    <w:rsid w:val="002C74C6"/>
    <w:rsid w:val="002C7652"/>
    <w:rsid w:val="002C78F8"/>
    <w:rsid w:val="002D08D1"/>
    <w:rsid w:val="002D08F8"/>
    <w:rsid w:val="002D103A"/>
    <w:rsid w:val="002D12D5"/>
    <w:rsid w:val="002D12DC"/>
    <w:rsid w:val="002D1613"/>
    <w:rsid w:val="002D18E7"/>
    <w:rsid w:val="002D2B0D"/>
    <w:rsid w:val="002D333B"/>
    <w:rsid w:val="002D35E1"/>
    <w:rsid w:val="002D3E80"/>
    <w:rsid w:val="002D3F3A"/>
    <w:rsid w:val="002D41CA"/>
    <w:rsid w:val="002D528A"/>
    <w:rsid w:val="002D577C"/>
    <w:rsid w:val="002D5C04"/>
    <w:rsid w:val="002D61B7"/>
    <w:rsid w:val="002D6823"/>
    <w:rsid w:val="002D7143"/>
    <w:rsid w:val="002D7832"/>
    <w:rsid w:val="002D7C6E"/>
    <w:rsid w:val="002D7C6F"/>
    <w:rsid w:val="002E063C"/>
    <w:rsid w:val="002E0810"/>
    <w:rsid w:val="002E09D9"/>
    <w:rsid w:val="002E0D5C"/>
    <w:rsid w:val="002E1071"/>
    <w:rsid w:val="002E15B9"/>
    <w:rsid w:val="002E1795"/>
    <w:rsid w:val="002E1BAE"/>
    <w:rsid w:val="002E1CE3"/>
    <w:rsid w:val="002E2158"/>
    <w:rsid w:val="002E2174"/>
    <w:rsid w:val="002E2257"/>
    <w:rsid w:val="002E2B3B"/>
    <w:rsid w:val="002E2BA5"/>
    <w:rsid w:val="002E2CDC"/>
    <w:rsid w:val="002E3B57"/>
    <w:rsid w:val="002E3C9E"/>
    <w:rsid w:val="002E4702"/>
    <w:rsid w:val="002E4704"/>
    <w:rsid w:val="002E48B7"/>
    <w:rsid w:val="002E4BDE"/>
    <w:rsid w:val="002E4F02"/>
    <w:rsid w:val="002E5589"/>
    <w:rsid w:val="002E5B4E"/>
    <w:rsid w:val="002E5E4C"/>
    <w:rsid w:val="002E61A9"/>
    <w:rsid w:val="002E62A5"/>
    <w:rsid w:val="002E651D"/>
    <w:rsid w:val="002E6994"/>
    <w:rsid w:val="002E69B5"/>
    <w:rsid w:val="002E716C"/>
    <w:rsid w:val="002E7396"/>
    <w:rsid w:val="002E7722"/>
    <w:rsid w:val="002E799A"/>
    <w:rsid w:val="002E7A11"/>
    <w:rsid w:val="002E7D35"/>
    <w:rsid w:val="002F0257"/>
    <w:rsid w:val="002F07BA"/>
    <w:rsid w:val="002F0933"/>
    <w:rsid w:val="002F0AA3"/>
    <w:rsid w:val="002F0DA9"/>
    <w:rsid w:val="002F0E43"/>
    <w:rsid w:val="002F0EAE"/>
    <w:rsid w:val="002F1014"/>
    <w:rsid w:val="002F158D"/>
    <w:rsid w:val="002F1B40"/>
    <w:rsid w:val="002F1E3B"/>
    <w:rsid w:val="002F1FFE"/>
    <w:rsid w:val="002F20BC"/>
    <w:rsid w:val="002F287C"/>
    <w:rsid w:val="002F2961"/>
    <w:rsid w:val="002F3827"/>
    <w:rsid w:val="002F383A"/>
    <w:rsid w:val="002F3D9D"/>
    <w:rsid w:val="002F4374"/>
    <w:rsid w:val="002F43D5"/>
    <w:rsid w:val="002F4D11"/>
    <w:rsid w:val="002F5899"/>
    <w:rsid w:val="002F643C"/>
    <w:rsid w:val="002F6745"/>
    <w:rsid w:val="002F6776"/>
    <w:rsid w:val="002F701F"/>
    <w:rsid w:val="002F7123"/>
    <w:rsid w:val="002F7170"/>
    <w:rsid w:val="002F71C0"/>
    <w:rsid w:val="002F7328"/>
    <w:rsid w:val="002F7332"/>
    <w:rsid w:val="002F74F1"/>
    <w:rsid w:val="002F7A7C"/>
    <w:rsid w:val="003008E1"/>
    <w:rsid w:val="00301017"/>
    <w:rsid w:val="003011E9"/>
    <w:rsid w:val="0030155F"/>
    <w:rsid w:val="003015FA"/>
    <w:rsid w:val="00302108"/>
    <w:rsid w:val="003029D2"/>
    <w:rsid w:val="00302D2D"/>
    <w:rsid w:val="00303035"/>
    <w:rsid w:val="00303CAA"/>
    <w:rsid w:val="00304293"/>
    <w:rsid w:val="00304717"/>
    <w:rsid w:val="00304FC7"/>
    <w:rsid w:val="003055E3"/>
    <w:rsid w:val="003056CD"/>
    <w:rsid w:val="0030575F"/>
    <w:rsid w:val="0030587B"/>
    <w:rsid w:val="0030609A"/>
    <w:rsid w:val="003062F8"/>
    <w:rsid w:val="003066D6"/>
    <w:rsid w:val="003067E9"/>
    <w:rsid w:val="00306C47"/>
    <w:rsid w:val="00306D98"/>
    <w:rsid w:val="00307378"/>
    <w:rsid w:val="00307440"/>
    <w:rsid w:val="0030786C"/>
    <w:rsid w:val="00307897"/>
    <w:rsid w:val="003078ED"/>
    <w:rsid w:val="00307A88"/>
    <w:rsid w:val="00307D83"/>
    <w:rsid w:val="0031031A"/>
    <w:rsid w:val="003103C6"/>
    <w:rsid w:val="00310981"/>
    <w:rsid w:val="00310999"/>
    <w:rsid w:val="003109E4"/>
    <w:rsid w:val="00310BFD"/>
    <w:rsid w:val="00310CCA"/>
    <w:rsid w:val="00310D3E"/>
    <w:rsid w:val="00311447"/>
    <w:rsid w:val="00311762"/>
    <w:rsid w:val="00311834"/>
    <w:rsid w:val="0031197B"/>
    <w:rsid w:val="00311B3A"/>
    <w:rsid w:val="00311D9B"/>
    <w:rsid w:val="00311D9E"/>
    <w:rsid w:val="00312072"/>
    <w:rsid w:val="003121E1"/>
    <w:rsid w:val="00312392"/>
    <w:rsid w:val="003124D9"/>
    <w:rsid w:val="00312594"/>
    <w:rsid w:val="0031340F"/>
    <w:rsid w:val="003138B3"/>
    <w:rsid w:val="003144D8"/>
    <w:rsid w:val="00314AEB"/>
    <w:rsid w:val="00314C0E"/>
    <w:rsid w:val="00315413"/>
    <w:rsid w:val="00315498"/>
    <w:rsid w:val="00316474"/>
    <w:rsid w:val="00316733"/>
    <w:rsid w:val="00317C67"/>
    <w:rsid w:val="00317FDF"/>
    <w:rsid w:val="00320173"/>
    <w:rsid w:val="003207DD"/>
    <w:rsid w:val="00320BE1"/>
    <w:rsid w:val="00321017"/>
    <w:rsid w:val="0032165B"/>
    <w:rsid w:val="00321C53"/>
    <w:rsid w:val="00322107"/>
    <w:rsid w:val="00322355"/>
    <w:rsid w:val="00322846"/>
    <w:rsid w:val="00323163"/>
    <w:rsid w:val="00323257"/>
    <w:rsid w:val="00323EF4"/>
    <w:rsid w:val="003252D5"/>
    <w:rsid w:val="00325D3D"/>
    <w:rsid w:val="00325EC6"/>
    <w:rsid w:val="00325F96"/>
    <w:rsid w:val="00325FBD"/>
    <w:rsid w:val="0032615E"/>
    <w:rsid w:val="00326540"/>
    <w:rsid w:val="0032698B"/>
    <w:rsid w:val="003269DD"/>
    <w:rsid w:val="00326B11"/>
    <w:rsid w:val="00326C6A"/>
    <w:rsid w:val="00326DA7"/>
    <w:rsid w:val="00326E90"/>
    <w:rsid w:val="003270E4"/>
    <w:rsid w:val="00327AF6"/>
    <w:rsid w:val="00327B8A"/>
    <w:rsid w:val="00327FE9"/>
    <w:rsid w:val="00330734"/>
    <w:rsid w:val="00330DAA"/>
    <w:rsid w:val="00330F5C"/>
    <w:rsid w:val="003313BA"/>
    <w:rsid w:val="003316EA"/>
    <w:rsid w:val="00331924"/>
    <w:rsid w:val="00331AD3"/>
    <w:rsid w:val="0033259C"/>
    <w:rsid w:val="00332AEF"/>
    <w:rsid w:val="00332E29"/>
    <w:rsid w:val="0033341C"/>
    <w:rsid w:val="00333516"/>
    <w:rsid w:val="003335E8"/>
    <w:rsid w:val="0033364E"/>
    <w:rsid w:val="00333818"/>
    <w:rsid w:val="00333BD3"/>
    <w:rsid w:val="00333CD8"/>
    <w:rsid w:val="00333E86"/>
    <w:rsid w:val="00334641"/>
    <w:rsid w:val="00334A58"/>
    <w:rsid w:val="00334B1C"/>
    <w:rsid w:val="00334C49"/>
    <w:rsid w:val="00335124"/>
    <w:rsid w:val="00335341"/>
    <w:rsid w:val="0033560A"/>
    <w:rsid w:val="0033571D"/>
    <w:rsid w:val="0033589E"/>
    <w:rsid w:val="00335D4E"/>
    <w:rsid w:val="00335E25"/>
    <w:rsid w:val="00336104"/>
    <w:rsid w:val="003366C9"/>
    <w:rsid w:val="003367DA"/>
    <w:rsid w:val="003369B7"/>
    <w:rsid w:val="00336AC7"/>
    <w:rsid w:val="003371B0"/>
    <w:rsid w:val="00337279"/>
    <w:rsid w:val="003378BD"/>
    <w:rsid w:val="00337AF4"/>
    <w:rsid w:val="00337B18"/>
    <w:rsid w:val="00337BC4"/>
    <w:rsid w:val="00337BC9"/>
    <w:rsid w:val="00337F81"/>
    <w:rsid w:val="00337FA8"/>
    <w:rsid w:val="00340AB2"/>
    <w:rsid w:val="00340DF1"/>
    <w:rsid w:val="0034103B"/>
    <w:rsid w:val="00341264"/>
    <w:rsid w:val="003412CD"/>
    <w:rsid w:val="00341301"/>
    <w:rsid w:val="003413C3"/>
    <w:rsid w:val="0034140C"/>
    <w:rsid w:val="003418D3"/>
    <w:rsid w:val="00341AA2"/>
    <w:rsid w:val="00341BC8"/>
    <w:rsid w:val="00341E75"/>
    <w:rsid w:val="003421AE"/>
    <w:rsid w:val="0034226C"/>
    <w:rsid w:val="0034279B"/>
    <w:rsid w:val="00342CF9"/>
    <w:rsid w:val="003432F8"/>
    <w:rsid w:val="0034334D"/>
    <w:rsid w:val="0034397D"/>
    <w:rsid w:val="003441C2"/>
    <w:rsid w:val="0034433A"/>
    <w:rsid w:val="00345A4D"/>
    <w:rsid w:val="00345A4E"/>
    <w:rsid w:val="00345AD0"/>
    <w:rsid w:val="00345BD3"/>
    <w:rsid w:val="00345C8B"/>
    <w:rsid w:val="00346171"/>
    <w:rsid w:val="0034671F"/>
    <w:rsid w:val="00346BC9"/>
    <w:rsid w:val="00346C6C"/>
    <w:rsid w:val="00347049"/>
    <w:rsid w:val="00347958"/>
    <w:rsid w:val="00347CA6"/>
    <w:rsid w:val="00347E65"/>
    <w:rsid w:val="003502AD"/>
    <w:rsid w:val="003502E3"/>
    <w:rsid w:val="00350928"/>
    <w:rsid w:val="00350D94"/>
    <w:rsid w:val="0035113A"/>
    <w:rsid w:val="003517F9"/>
    <w:rsid w:val="00351BA9"/>
    <w:rsid w:val="00352419"/>
    <w:rsid w:val="00352FD2"/>
    <w:rsid w:val="00353607"/>
    <w:rsid w:val="00353A15"/>
    <w:rsid w:val="00353F39"/>
    <w:rsid w:val="00354CBC"/>
    <w:rsid w:val="00354CC3"/>
    <w:rsid w:val="00354F64"/>
    <w:rsid w:val="00355290"/>
    <w:rsid w:val="0035572F"/>
    <w:rsid w:val="00355B9F"/>
    <w:rsid w:val="00355C1E"/>
    <w:rsid w:val="00355E0A"/>
    <w:rsid w:val="00355E5D"/>
    <w:rsid w:val="003561A8"/>
    <w:rsid w:val="0035620E"/>
    <w:rsid w:val="0035627A"/>
    <w:rsid w:val="00356550"/>
    <w:rsid w:val="003568A4"/>
    <w:rsid w:val="00356A5B"/>
    <w:rsid w:val="00356C80"/>
    <w:rsid w:val="003575BE"/>
    <w:rsid w:val="003602D9"/>
    <w:rsid w:val="00360345"/>
    <w:rsid w:val="003604AF"/>
    <w:rsid w:val="003606C3"/>
    <w:rsid w:val="0036070A"/>
    <w:rsid w:val="0036072C"/>
    <w:rsid w:val="00360899"/>
    <w:rsid w:val="00361042"/>
    <w:rsid w:val="003611E7"/>
    <w:rsid w:val="00361218"/>
    <w:rsid w:val="00361A05"/>
    <w:rsid w:val="00361A25"/>
    <w:rsid w:val="00361D88"/>
    <w:rsid w:val="003620C0"/>
    <w:rsid w:val="0036231F"/>
    <w:rsid w:val="003624C4"/>
    <w:rsid w:val="00362547"/>
    <w:rsid w:val="00362A98"/>
    <w:rsid w:val="00362B98"/>
    <w:rsid w:val="00362F2F"/>
    <w:rsid w:val="00363B00"/>
    <w:rsid w:val="0036420C"/>
    <w:rsid w:val="0036475E"/>
    <w:rsid w:val="00364BAC"/>
    <w:rsid w:val="00364E82"/>
    <w:rsid w:val="00365099"/>
    <w:rsid w:val="00365419"/>
    <w:rsid w:val="003654AC"/>
    <w:rsid w:val="003656BA"/>
    <w:rsid w:val="003657A4"/>
    <w:rsid w:val="003658F1"/>
    <w:rsid w:val="00365E8B"/>
    <w:rsid w:val="00366439"/>
    <w:rsid w:val="0036687D"/>
    <w:rsid w:val="003669E6"/>
    <w:rsid w:val="003669FF"/>
    <w:rsid w:val="00366BD1"/>
    <w:rsid w:val="003671B6"/>
    <w:rsid w:val="00367206"/>
    <w:rsid w:val="0036743D"/>
    <w:rsid w:val="003676A7"/>
    <w:rsid w:val="00367C4D"/>
    <w:rsid w:val="00367CDF"/>
    <w:rsid w:val="0037021C"/>
    <w:rsid w:val="00370383"/>
    <w:rsid w:val="003703C5"/>
    <w:rsid w:val="003704AE"/>
    <w:rsid w:val="003706D3"/>
    <w:rsid w:val="003706EF"/>
    <w:rsid w:val="00370A50"/>
    <w:rsid w:val="00370BAD"/>
    <w:rsid w:val="00370FC7"/>
    <w:rsid w:val="003710CF"/>
    <w:rsid w:val="003711DF"/>
    <w:rsid w:val="00371231"/>
    <w:rsid w:val="003713A8"/>
    <w:rsid w:val="0037161F"/>
    <w:rsid w:val="00372AD3"/>
    <w:rsid w:val="00373088"/>
    <w:rsid w:val="0037358A"/>
    <w:rsid w:val="0037370C"/>
    <w:rsid w:val="00374A77"/>
    <w:rsid w:val="003750F6"/>
    <w:rsid w:val="003751B3"/>
    <w:rsid w:val="0037532B"/>
    <w:rsid w:val="003753F2"/>
    <w:rsid w:val="00375758"/>
    <w:rsid w:val="00375DD3"/>
    <w:rsid w:val="003760FC"/>
    <w:rsid w:val="0037633E"/>
    <w:rsid w:val="0037775C"/>
    <w:rsid w:val="003777D8"/>
    <w:rsid w:val="00377924"/>
    <w:rsid w:val="003800BC"/>
    <w:rsid w:val="00380454"/>
    <w:rsid w:val="0038047B"/>
    <w:rsid w:val="00380A00"/>
    <w:rsid w:val="00380E9F"/>
    <w:rsid w:val="0038128B"/>
    <w:rsid w:val="003812C3"/>
    <w:rsid w:val="00381406"/>
    <w:rsid w:val="00381649"/>
    <w:rsid w:val="00381921"/>
    <w:rsid w:val="00382122"/>
    <w:rsid w:val="00382800"/>
    <w:rsid w:val="00382BC0"/>
    <w:rsid w:val="00382BCC"/>
    <w:rsid w:val="00383136"/>
    <w:rsid w:val="0038365C"/>
    <w:rsid w:val="0038369B"/>
    <w:rsid w:val="00383945"/>
    <w:rsid w:val="00383B78"/>
    <w:rsid w:val="00384E9A"/>
    <w:rsid w:val="003856D5"/>
    <w:rsid w:val="003859CD"/>
    <w:rsid w:val="00385A9D"/>
    <w:rsid w:val="00385E98"/>
    <w:rsid w:val="00385F78"/>
    <w:rsid w:val="0038605C"/>
    <w:rsid w:val="003860E4"/>
    <w:rsid w:val="003861C8"/>
    <w:rsid w:val="0038637F"/>
    <w:rsid w:val="00386953"/>
    <w:rsid w:val="00386B19"/>
    <w:rsid w:val="00386B8F"/>
    <w:rsid w:val="00387121"/>
    <w:rsid w:val="00387247"/>
    <w:rsid w:val="00387386"/>
    <w:rsid w:val="00387589"/>
    <w:rsid w:val="00390234"/>
    <w:rsid w:val="003902B1"/>
    <w:rsid w:val="00391025"/>
    <w:rsid w:val="00391386"/>
    <w:rsid w:val="0039179C"/>
    <w:rsid w:val="00391BE0"/>
    <w:rsid w:val="00391DBB"/>
    <w:rsid w:val="00391E0B"/>
    <w:rsid w:val="00392704"/>
    <w:rsid w:val="003929CE"/>
    <w:rsid w:val="00392DB3"/>
    <w:rsid w:val="0039344C"/>
    <w:rsid w:val="003939EF"/>
    <w:rsid w:val="003940C7"/>
    <w:rsid w:val="00394103"/>
    <w:rsid w:val="003941AD"/>
    <w:rsid w:val="00394352"/>
    <w:rsid w:val="0039482F"/>
    <w:rsid w:val="0039564C"/>
    <w:rsid w:val="0039589C"/>
    <w:rsid w:val="00396591"/>
    <w:rsid w:val="00396896"/>
    <w:rsid w:val="00396A8E"/>
    <w:rsid w:val="00396C3F"/>
    <w:rsid w:val="00396FD0"/>
    <w:rsid w:val="00397427"/>
    <w:rsid w:val="00397946"/>
    <w:rsid w:val="003A09E5"/>
    <w:rsid w:val="003A11C1"/>
    <w:rsid w:val="003A161D"/>
    <w:rsid w:val="003A1A7A"/>
    <w:rsid w:val="003A1B1F"/>
    <w:rsid w:val="003A1B49"/>
    <w:rsid w:val="003A1E8C"/>
    <w:rsid w:val="003A2392"/>
    <w:rsid w:val="003A2831"/>
    <w:rsid w:val="003A3122"/>
    <w:rsid w:val="003A390F"/>
    <w:rsid w:val="003A39C8"/>
    <w:rsid w:val="003A3CB6"/>
    <w:rsid w:val="003A3D18"/>
    <w:rsid w:val="003A3DFB"/>
    <w:rsid w:val="003A3ED1"/>
    <w:rsid w:val="003A3F19"/>
    <w:rsid w:val="003A3FD6"/>
    <w:rsid w:val="003A41E2"/>
    <w:rsid w:val="003A43A6"/>
    <w:rsid w:val="003A44DB"/>
    <w:rsid w:val="003A4C14"/>
    <w:rsid w:val="003A5CA6"/>
    <w:rsid w:val="003A6311"/>
    <w:rsid w:val="003A6989"/>
    <w:rsid w:val="003A6D8C"/>
    <w:rsid w:val="003A6FDD"/>
    <w:rsid w:val="003A7782"/>
    <w:rsid w:val="003A7A60"/>
    <w:rsid w:val="003B0005"/>
    <w:rsid w:val="003B0068"/>
    <w:rsid w:val="003B02E0"/>
    <w:rsid w:val="003B0D57"/>
    <w:rsid w:val="003B16D5"/>
    <w:rsid w:val="003B20FF"/>
    <w:rsid w:val="003B2266"/>
    <w:rsid w:val="003B2495"/>
    <w:rsid w:val="003B24A6"/>
    <w:rsid w:val="003B2539"/>
    <w:rsid w:val="003B2A33"/>
    <w:rsid w:val="003B2D1D"/>
    <w:rsid w:val="003B30ED"/>
    <w:rsid w:val="003B351C"/>
    <w:rsid w:val="003B3971"/>
    <w:rsid w:val="003B5039"/>
    <w:rsid w:val="003B55D1"/>
    <w:rsid w:val="003B56FB"/>
    <w:rsid w:val="003B57F5"/>
    <w:rsid w:val="003B5A1E"/>
    <w:rsid w:val="003B5B61"/>
    <w:rsid w:val="003B5B7A"/>
    <w:rsid w:val="003B5EE6"/>
    <w:rsid w:val="003B6013"/>
    <w:rsid w:val="003B60D1"/>
    <w:rsid w:val="003B615E"/>
    <w:rsid w:val="003B69C1"/>
    <w:rsid w:val="003B6C02"/>
    <w:rsid w:val="003B7465"/>
    <w:rsid w:val="003B7588"/>
    <w:rsid w:val="003B7815"/>
    <w:rsid w:val="003B7940"/>
    <w:rsid w:val="003B7D09"/>
    <w:rsid w:val="003B7E15"/>
    <w:rsid w:val="003C075E"/>
    <w:rsid w:val="003C0A71"/>
    <w:rsid w:val="003C0F66"/>
    <w:rsid w:val="003C1250"/>
    <w:rsid w:val="003C1654"/>
    <w:rsid w:val="003C183B"/>
    <w:rsid w:val="003C1A0A"/>
    <w:rsid w:val="003C2241"/>
    <w:rsid w:val="003C22B7"/>
    <w:rsid w:val="003C28CA"/>
    <w:rsid w:val="003C3A7C"/>
    <w:rsid w:val="003C4475"/>
    <w:rsid w:val="003C49D1"/>
    <w:rsid w:val="003C4A9E"/>
    <w:rsid w:val="003C4ECC"/>
    <w:rsid w:val="003C511D"/>
    <w:rsid w:val="003C535F"/>
    <w:rsid w:val="003C5542"/>
    <w:rsid w:val="003C682B"/>
    <w:rsid w:val="003C6920"/>
    <w:rsid w:val="003C7C15"/>
    <w:rsid w:val="003C7D19"/>
    <w:rsid w:val="003C7D2F"/>
    <w:rsid w:val="003D03DD"/>
    <w:rsid w:val="003D0C5A"/>
    <w:rsid w:val="003D0D22"/>
    <w:rsid w:val="003D0EDF"/>
    <w:rsid w:val="003D0F47"/>
    <w:rsid w:val="003D1083"/>
    <w:rsid w:val="003D1828"/>
    <w:rsid w:val="003D1C84"/>
    <w:rsid w:val="003D1DE4"/>
    <w:rsid w:val="003D1E9A"/>
    <w:rsid w:val="003D2016"/>
    <w:rsid w:val="003D231B"/>
    <w:rsid w:val="003D2422"/>
    <w:rsid w:val="003D26A5"/>
    <w:rsid w:val="003D2A92"/>
    <w:rsid w:val="003D337D"/>
    <w:rsid w:val="003D363D"/>
    <w:rsid w:val="003D38F7"/>
    <w:rsid w:val="003D39A1"/>
    <w:rsid w:val="003D3B76"/>
    <w:rsid w:val="003D3FBF"/>
    <w:rsid w:val="003D4163"/>
    <w:rsid w:val="003D4A30"/>
    <w:rsid w:val="003D531D"/>
    <w:rsid w:val="003D5485"/>
    <w:rsid w:val="003D5700"/>
    <w:rsid w:val="003D5851"/>
    <w:rsid w:val="003D5AE3"/>
    <w:rsid w:val="003D5B49"/>
    <w:rsid w:val="003D5DE7"/>
    <w:rsid w:val="003D6321"/>
    <w:rsid w:val="003D6539"/>
    <w:rsid w:val="003D669E"/>
    <w:rsid w:val="003D6CED"/>
    <w:rsid w:val="003D6E0A"/>
    <w:rsid w:val="003D707D"/>
    <w:rsid w:val="003D7261"/>
    <w:rsid w:val="003D7452"/>
    <w:rsid w:val="003D79BB"/>
    <w:rsid w:val="003D7BC1"/>
    <w:rsid w:val="003D7C98"/>
    <w:rsid w:val="003D7D7F"/>
    <w:rsid w:val="003D7D9D"/>
    <w:rsid w:val="003D7E73"/>
    <w:rsid w:val="003E0543"/>
    <w:rsid w:val="003E077C"/>
    <w:rsid w:val="003E11A3"/>
    <w:rsid w:val="003E11A6"/>
    <w:rsid w:val="003E18BF"/>
    <w:rsid w:val="003E1B85"/>
    <w:rsid w:val="003E1C45"/>
    <w:rsid w:val="003E1FCB"/>
    <w:rsid w:val="003E23BC"/>
    <w:rsid w:val="003E23EA"/>
    <w:rsid w:val="003E2953"/>
    <w:rsid w:val="003E3354"/>
    <w:rsid w:val="003E3502"/>
    <w:rsid w:val="003E3749"/>
    <w:rsid w:val="003E3D1C"/>
    <w:rsid w:val="003E4010"/>
    <w:rsid w:val="003E4022"/>
    <w:rsid w:val="003E4ABD"/>
    <w:rsid w:val="003E54F3"/>
    <w:rsid w:val="003E5603"/>
    <w:rsid w:val="003E5A4E"/>
    <w:rsid w:val="003E5D94"/>
    <w:rsid w:val="003E5E32"/>
    <w:rsid w:val="003E6028"/>
    <w:rsid w:val="003E6352"/>
    <w:rsid w:val="003E702C"/>
    <w:rsid w:val="003E70F6"/>
    <w:rsid w:val="003E749E"/>
    <w:rsid w:val="003E75A7"/>
    <w:rsid w:val="003E7870"/>
    <w:rsid w:val="003E79DA"/>
    <w:rsid w:val="003E7B21"/>
    <w:rsid w:val="003E7E35"/>
    <w:rsid w:val="003F0423"/>
    <w:rsid w:val="003F0779"/>
    <w:rsid w:val="003F089D"/>
    <w:rsid w:val="003F0A39"/>
    <w:rsid w:val="003F0D25"/>
    <w:rsid w:val="003F10DA"/>
    <w:rsid w:val="003F1899"/>
    <w:rsid w:val="003F18AA"/>
    <w:rsid w:val="003F1976"/>
    <w:rsid w:val="003F1A8A"/>
    <w:rsid w:val="003F1CDA"/>
    <w:rsid w:val="003F1EE9"/>
    <w:rsid w:val="003F261D"/>
    <w:rsid w:val="003F2669"/>
    <w:rsid w:val="003F3A2A"/>
    <w:rsid w:val="003F3CE2"/>
    <w:rsid w:val="003F3D44"/>
    <w:rsid w:val="003F4156"/>
    <w:rsid w:val="003F4746"/>
    <w:rsid w:val="003F52EA"/>
    <w:rsid w:val="003F5687"/>
    <w:rsid w:val="003F5ADF"/>
    <w:rsid w:val="003F6579"/>
    <w:rsid w:val="003F69D7"/>
    <w:rsid w:val="003F6A4F"/>
    <w:rsid w:val="003F6FFE"/>
    <w:rsid w:val="003F7166"/>
    <w:rsid w:val="003F72CF"/>
    <w:rsid w:val="00400AF7"/>
    <w:rsid w:val="00400B29"/>
    <w:rsid w:val="00400D33"/>
    <w:rsid w:val="004010B9"/>
    <w:rsid w:val="004018F8"/>
    <w:rsid w:val="00401B17"/>
    <w:rsid w:val="00402074"/>
    <w:rsid w:val="00402812"/>
    <w:rsid w:val="00402ED7"/>
    <w:rsid w:val="00402FD9"/>
    <w:rsid w:val="00403823"/>
    <w:rsid w:val="00403D3C"/>
    <w:rsid w:val="004043AE"/>
    <w:rsid w:val="004044ED"/>
    <w:rsid w:val="004045C5"/>
    <w:rsid w:val="00404BC7"/>
    <w:rsid w:val="0040504B"/>
    <w:rsid w:val="004059F4"/>
    <w:rsid w:val="00405F34"/>
    <w:rsid w:val="00406732"/>
    <w:rsid w:val="00406C2A"/>
    <w:rsid w:val="00407742"/>
    <w:rsid w:val="00407D16"/>
    <w:rsid w:val="00407FE5"/>
    <w:rsid w:val="0041001B"/>
    <w:rsid w:val="0041005C"/>
    <w:rsid w:val="004101B0"/>
    <w:rsid w:val="00410326"/>
    <w:rsid w:val="004104E7"/>
    <w:rsid w:val="00410708"/>
    <w:rsid w:val="004107A8"/>
    <w:rsid w:val="004108B6"/>
    <w:rsid w:val="00410A81"/>
    <w:rsid w:val="00410EB4"/>
    <w:rsid w:val="00410EC7"/>
    <w:rsid w:val="004110F9"/>
    <w:rsid w:val="0041151D"/>
    <w:rsid w:val="00411652"/>
    <w:rsid w:val="00411B39"/>
    <w:rsid w:val="00411BD0"/>
    <w:rsid w:val="00411C46"/>
    <w:rsid w:val="00411CBF"/>
    <w:rsid w:val="00411DF7"/>
    <w:rsid w:val="00411E1C"/>
    <w:rsid w:val="00411E4F"/>
    <w:rsid w:val="00411F70"/>
    <w:rsid w:val="00412677"/>
    <w:rsid w:val="004127A7"/>
    <w:rsid w:val="00412A94"/>
    <w:rsid w:val="00412AF9"/>
    <w:rsid w:val="00412D70"/>
    <w:rsid w:val="004130D6"/>
    <w:rsid w:val="00413188"/>
    <w:rsid w:val="0041350B"/>
    <w:rsid w:val="0041359E"/>
    <w:rsid w:val="0041380C"/>
    <w:rsid w:val="00413A1E"/>
    <w:rsid w:val="004142A4"/>
    <w:rsid w:val="00414476"/>
    <w:rsid w:val="0041489E"/>
    <w:rsid w:val="00414C2E"/>
    <w:rsid w:val="004151CF"/>
    <w:rsid w:val="004155B1"/>
    <w:rsid w:val="004158E8"/>
    <w:rsid w:val="0041597B"/>
    <w:rsid w:val="00416218"/>
    <w:rsid w:val="00416324"/>
    <w:rsid w:val="00416364"/>
    <w:rsid w:val="0041697E"/>
    <w:rsid w:val="00416B73"/>
    <w:rsid w:val="00417331"/>
    <w:rsid w:val="0041787A"/>
    <w:rsid w:val="00417B77"/>
    <w:rsid w:val="00417BE8"/>
    <w:rsid w:val="004203F4"/>
    <w:rsid w:val="0042047F"/>
    <w:rsid w:val="004206C5"/>
    <w:rsid w:val="00420873"/>
    <w:rsid w:val="00420893"/>
    <w:rsid w:val="00420A05"/>
    <w:rsid w:val="00420AA6"/>
    <w:rsid w:val="00420B9F"/>
    <w:rsid w:val="00420D9B"/>
    <w:rsid w:val="00420FDB"/>
    <w:rsid w:val="0042115B"/>
    <w:rsid w:val="0042192C"/>
    <w:rsid w:val="00421F7A"/>
    <w:rsid w:val="00422260"/>
    <w:rsid w:val="00422681"/>
    <w:rsid w:val="00422A24"/>
    <w:rsid w:val="00422A30"/>
    <w:rsid w:val="00422C81"/>
    <w:rsid w:val="00422CB4"/>
    <w:rsid w:val="00423022"/>
    <w:rsid w:val="0042333F"/>
    <w:rsid w:val="0042373D"/>
    <w:rsid w:val="00423A0C"/>
    <w:rsid w:val="00423DBC"/>
    <w:rsid w:val="00423F2A"/>
    <w:rsid w:val="0042413F"/>
    <w:rsid w:val="00424926"/>
    <w:rsid w:val="004249B5"/>
    <w:rsid w:val="00424C63"/>
    <w:rsid w:val="00424C7B"/>
    <w:rsid w:val="00425145"/>
    <w:rsid w:val="004255FD"/>
    <w:rsid w:val="00425FC4"/>
    <w:rsid w:val="0042655E"/>
    <w:rsid w:val="004267C9"/>
    <w:rsid w:val="00426B96"/>
    <w:rsid w:val="00426CBA"/>
    <w:rsid w:val="00426D35"/>
    <w:rsid w:val="00427DD3"/>
    <w:rsid w:val="00430D64"/>
    <w:rsid w:val="004319F8"/>
    <w:rsid w:val="00431B5E"/>
    <w:rsid w:val="00431E55"/>
    <w:rsid w:val="004321F6"/>
    <w:rsid w:val="004325A3"/>
    <w:rsid w:val="00432736"/>
    <w:rsid w:val="00432DC0"/>
    <w:rsid w:val="00433044"/>
    <w:rsid w:val="00433585"/>
    <w:rsid w:val="004335E3"/>
    <w:rsid w:val="00433764"/>
    <w:rsid w:val="00433D68"/>
    <w:rsid w:val="00434088"/>
    <w:rsid w:val="004342E4"/>
    <w:rsid w:val="004346FD"/>
    <w:rsid w:val="00434960"/>
    <w:rsid w:val="00434DCB"/>
    <w:rsid w:val="00434E06"/>
    <w:rsid w:val="00434FDD"/>
    <w:rsid w:val="0043540A"/>
    <w:rsid w:val="00435521"/>
    <w:rsid w:val="004355DF"/>
    <w:rsid w:val="00435D6A"/>
    <w:rsid w:val="00435EDE"/>
    <w:rsid w:val="0043657D"/>
    <w:rsid w:val="00436986"/>
    <w:rsid w:val="00436994"/>
    <w:rsid w:val="004375B9"/>
    <w:rsid w:val="00437766"/>
    <w:rsid w:val="00437817"/>
    <w:rsid w:val="00437BA8"/>
    <w:rsid w:val="00437C91"/>
    <w:rsid w:val="00437CD2"/>
    <w:rsid w:val="00437DAD"/>
    <w:rsid w:val="00440ADC"/>
    <w:rsid w:val="00440AE1"/>
    <w:rsid w:val="00440B93"/>
    <w:rsid w:val="00441AD0"/>
    <w:rsid w:val="00441C1A"/>
    <w:rsid w:val="00441C5E"/>
    <w:rsid w:val="004428BA"/>
    <w:rsid w:val="004428D0"/>
    <w:rsid w:val="00442AF3"/>
    <w:rsid w:val="00442C90"/>
    <w:rsid w:val="004432EA"/>
    <w:rsid w:val="00443403"/>
    <w:rsid w:val="004434F2"/>
    <w:rsid w:val="00443609"/>
    <w:rsid w:val="00444185"/>
    <w:rsid w:val="004443A7"/>
    <w:rsid w:val="0044442C"/>
    <w:rsid w:val="004444C3"/>
    <w:rsid w:val="00444560"/>
    <w:rsid w:val="00444C12"/>
    <w:rsid w:val="00445455"/>
    <w:rsid w:val="004455B4"/>
    <w:rsid w:val="0044581D"/>
    <w:rsid w:val="00445941"/>
    <w:rsid w:val="00445B2F"/>
    <w:rsid w:val="00445C15"/>
    <w:rsid w:val="00445EAD"/>
    <w:rsid w:val="004464EB"/>
    <w:rsid w:val="00446783"/>
    <w:rsid w:val="00446A34"/>
    <w:rsid w:val="00446B31"/>
    <w:rsid w:val="00446F03"/>
    <w:rsid w:val="00447004"/>
    <w:rsid w:val="004475DF"/>
    <w:rsid w:val="00447788"/>
    <w:rsid w:val="00447D26"/>
    <w:rsid w:val="00447DFC"/>
    <w:rsid w:val="00450303"/>
    <w:rsid w:val="004505BC"/>
    <w:rsid w:val="004513CD"/>
    <w:rsid w:val="004516DC"/>
    <w:rsid w:val="0045171B"/>
    <w:rsid w:val="0045278E"/>
    <w:rsid w:val="00452AEE"/>
    <w:rsid w:val="004531A7"/>
    <w:rsid w:val="00453676"/>
    <w:rsid w:val="00453978"/>
    <w:rsid w:val="004540A4"/>
    <w:rsid w:val="004541F7"/>
    <w:rsid w:val="00454388"/>
    <w:rsid w:val="00454436"/>
    <w:rsid w:val="0045467D"/>
    <w:rsid w:val="00454A30"/>
    <w:rsid w:val="00454B10"/>
    <w:rsid w:val="0045514A"/>
    <w:rsid w:val="004552F9"/>
    <w:rsid w:val="00455383"/>
    <w:rsid w:val="00455B79"/>
    <w:rsid w:val="00455D45"/>
    <w:rsid w:val="00456781"/>
    <w:rsid w:val="004567E6"/>
    <w:rsid w:val="0045709F"/>
    <w:rsid w:val="00457163"/>
    <w:rsid w:val="00457CC1"/>
    <w:rsid w:val="004601BD"/>
    <w:rsid w:val="00460954"/>
    <w:rsid w:val="004609C6"/>
    <w:rsid w:val="00460CAE"/>
    <w:rsid w:val="00461159"/>
    <w:rsid w:val="0046116E"/>
    <w:rsid w:val="0046123E"/>
    <w:rsid w:val="004612F6"/>
    <w:rsid w:val="00461558"/>
    <w:rsid w:val="004617B8"/>
    <w:rsid w:val="00461BFB"/>
    <w:rsid w:val="00461EBB"/>
    <w:rsid w:val="00462246"/>
    <w:rsid w:val="00462C88"/>
    <w:rsid w:val="004637F0"/>
    <w:rsid w:val="00463A5E"/>
    <w:rsid w:val="00463AA1"/>
    <w:rsid w:val="00463E41"/>
    <w:rsid w:val="0046432C"/>
    <w:rsid w:val="0046432E"/>
    <w:rsid w:val="00464595"/>
    <w:rsid w:val="00464FBB"/>
    <w:rsid w:val="00465690"/>
    <w:rsid w:val="004658B5"/>
    <w:rsid w:val="00465A6F"/>
    <w:rsid w:val="00465F43"/>
    <w:rsid w:val="00466025"/>
    <w:rsid w:val="0046669B"/>
    <w:rsid w:val="00466962"/>
    <w:rsid w:val="004669FE"/>
    <w:rsid w:val="00466E38"/>
    <w:rsid w:val="004675B0"/>
    <w:rsid w:val="00467ED7"/>
    <w:rsid w:val="004704CB"/>
    <w:rsid w:val="00470D60"/>
    <w:rsid w:val="004710CB"/>
    <w:rsid w:val="004710CE"/>
    <w:rsid w:val="004711AF"/>
    <w:rsid w:val="004716B3"/>
    <w:rsid w:val="0047176B"/>
    <w:rsid w:val="004717BA"/>
    <w:rsid w:val="00471BC7"/>
    <w:rsid w:val="00471C4B"/>
    <w:rsid w:val="00471C76"/>
    <w:rsid w:val="00471EA5"/>
    <w:rsid w:val="00471F0E"/>
    <w:rsid w:val="004720AA"/>
    <w:rsid w:val="00472823"/>
    <w:rsid w:val="00472840"/>
    <w:rsid w:val="00472A79"/>
    <w:rsid w:val="004736A2"/>
    <w:rsid w:val="00473EB5"/>
    <w:rsid w:val="00473F19"/>
    <w:rsid w:val="00473FF5"/>
    <w:rsid w:val="00474999"/>
    <w:rsid w:val="00474C98"/>
    <w:rsid w:val="00474FB7"/>
    <w:rsid w:val="004756D5"/>
    <w:rsid w:val="00475A67"/>
    <w:rsid w:val="00475E22"/>
    <w:rsid w:val="00476589"/>
    <w:rsid w:val="0047660E"/>
    <w:rsid w:val="00476772"/>
    <w:rsid w:val="00476A5A"/>
    <w:rsid w:val="00476C3D"/>
    <w:rsid w:val="004770C7"/>
    <w:rsid w:val="004770F5"/>
    <w:rsid w:val="00477F8F"/>
    <w:rsid w:val="00480043"/>
    <w:rsid w:val="00480255"/>
    <w:rsid w:val="0048059D"/>
    <w:rsid w:val="0048088E"/>
    <w:rsid w:val="00480F2B"/>
    <w:rsid w:val="00481D9C"/>
    <w:rsid w:val="00481F05"/>
    <w:rsid w:val="00482720"/>
    <w:rsid w:val="004827F6"/>
    <w:rsid w:val="004835E7"/>
    <w:rsid w:val="00483D1B"/>
    <w:rsid w:val="0048418D"/>
    <w:rsid w:val="00484D3D"/>
    <w:rsid w:val="00484E3F"/>
    <w:rsid w:val="00484F24"/>
    <w:rsid w:val="0048507E"/>
    <w:rsid w:val="00485769"/>
    <w:rsid w:val="004859E1"/>
    <w:rsid w:val="00485B74"/>
    <w:rsid w:val="00485BD3"/>
    <w:rsid w:val="004862C4"/>
    <w:rsid w:val="004867E2"/>
    <w:rsid w:val="00486B7D"/>
    <w:rsid w:val="004870CD"/>
    <w:rsid w:val="004876CE"/>
    <w:rsid w:val="0048777B"/>
    <w:rsid w:val="004901AB"/>
    <w:rsid w:val="0049032D"/>
    <w:rsid w:val="00490518"/>
    <w:rsid w:val="00490959"/>
    <w:rsid w:val="00490B17"/>
    <w:rsid w:val="00491795"/>
    <w:rsid w:val="00491B3A"/>
    <w:rsid w:val="00491C3C"/>
    <w:rsid w:val="00491C3D"/>
    <w:rsid w:val="00491F0B"/>
    <w:rsid w:val="00492AD9"/>
    <w:rsid w:val="00492CFD"/>
    <w:rsid w:val="00492E70"/>
    <w:rsid w:val="00492FF2"/>
    <w:rsid w:val="00493DFB"/>
    <w:rsid w:val="00494207"/>
    <w:rsid w:val="00494244"/>
    <w:rsid w:val="00494355"/>
    <w:rsid w:val="0049440F"/>
    <w:rsid w:val="004944FA"/>
    <w:rsid w:val="0049465A"/>
    <w:rsid w:val="0049466E"/>
    <w:rsid w:val="00494DD5"/>
    <w:rsid w:val="00494F5F"/>
    <w:rsid w:val="00495115"/>
    <w:rsid w:val="0049584D"/>
    <w:rsid w:val="00495986"/>
    <w:rsid w:val="00496128"/>
    <w:rsid w:val="004962D2"/>
    <w:rsid w:val="00496717"/>
    <w:rsid w:val="00496A38"/>
    <w:rsid w:val="00496D61"/>
    <w:rsid w:val="00496E45"/>
    <w:rsid w:val="004A06BF"/>
    <w:rsid w:val="004A0DA1"/>
    <w:rsid w:val="004A138D"/>
    <w:rsid w:val="004A1396"/>
    <w:rsid w:val="004A13D6"/>
    <w:rsid w:val="004A220B"/>
    <w:rsid w:val="004A2326"/>
    <w:rsid w:val="004A270F"/>
    <w:rsid w:val="004A2721"/>
    <w:rsid w:val="004A28D2"/>
    <w:rsid w:val="004A2989"/>
    <w:rsid w:val="004A2A8F"/>
    <w:rsid w:val="004A324A"/>
    <w:rsid w:val="004A35FC"/>
    <w:rsid w:val="004A3CA2"/>
    <w:rsid w:val="004A3D4E"/>
    <w:rsid w:val="004A3E06"/>
    <w:rsid w:val="004A414C"/>
    <w:rsid w:val="004A41CF"/>
    <w:rsid w:val="004A43DE"/>
    <w:rsid w:val="004A49B1"/>
    <w:rsid w:val="004A4A38"/>
    <w:rsid w:val="004A4BCA"/>
    <w:rsid w:val="004A52E9"/>
    <w:rsid w:val="004A5574"/>
    <w:rsid w:val="004A58D2"/>
    <w:rsid w:val="004A59C6"/>
    <w:rsid w:val="004A6040"/>
    <w:rsid w:val="004A61B9"/>
    <w:rsid w:val="004A63C3"/>
    <w:rsid w:val="004A6597"/>
    <w:rsid w:val="004A7518"/>
    <w:rsid w:val="004A75D3"/>
    <w:rsid w:val="004A7848"/>
    <w:rsid w:val="004A793B"/>
    <w:rsid w:val="004A7B44"/>
    <w:rsid w:val="004A7BC4"/>
    <w:rsid w:val="004A7E9A"/>
    <w:rsid w:val="004B0929"/>
    <w:rsid w:val="004B098F"/>
    <w:rsid w:val="004B0ED9"/>
    <w:rsid w:val="004B125C"/>
    <w:rsid w:val="004B12D1"/>
    <w:rsid w:val="004B1751"/>
    <w:rsid w:val="004B1CB4"/>
    <w:rsid w:val="004B2682"/>
    <w:rsid w:val="004B28EC"/>
    <w:rsid w:val="004B2F18"/>
    <w:rsid w:val="004B3362"/>
    <w:rsid w:val="004B34DD"/>
    <w:rsid w:val="004B3D04"/>
    <w:rsid w:val="004B3DDB"/>
    <w:rsid w:val="004B44FD"/>
    <w:rsid w:val="004B4525"/>
    <w:rsid w:val="004B4739"/>
    <w:rsid w:val="004B50E7"/>
    <w:rsid w:val="004B52C4"/>
    <w:rsid w:val="004B5CFC"/>
    <w:rsid w:val="004B5D74"/>
    <w:rsid w:val="004B61C7"/>
    <w:rsid w:val="004B62CC"/>
    <w:rsid w:val="004B6641"/>
    <w:rsid w:val="004B6B37"/>
    <w:rsid w:val="004B6C4A"/>
    <w:rsid w:val="004B6F79"/>
    <w:rsid w:val="004B70C4"/>
    <w:rsid w:val="004B7518"/>
    <w:rsid w:val="004B76A6"/>
    <w:rsid w:val="004B7746"/>
    <w:rsid w:val="004B774D"/>
    <w:rsid w:val="004B7AF7"/>
    <w:rsid w:val="004C0261"/>
    <w:rsid w:val="004C0465"/>
    <w:rsid w:val="004C0AC7"/>
    <w:rsid w:val="004C0D41"/>
    <w:rsid w:val="004C11A4"/>
    <w:rsid w:val="004C1361"/>
    <w:rsid w:val="004C13B5"/>
    <w:rsid w:val="004C1F22"/>
    <w:rsid w:val="004C26AC"/>
    <w:rsid w:val="004C2AC2"/>
    <w:rsid w:val="004C2B79"/>
    <w:rsid w:val="004C2E42"/>
    <w:rsid w:val="004C2ED2"/>
    <w:rsid w:val="004C3822"/>
    <w:rsid w:val="004C3B02"/>
    <w:rsid w:val="004C4813"/>
    <w:rsid w:val="004C4AED"/>
    <w:rsid w:val="004C4DED"/>
    <w:rsid w:val="004C5040"/>
    <w:rsid w:val="004C52D7"/>
    <w:rsid w:val="004C5599"/>
    <w:rsid w:val="004C55CE"/>
    <w:rsid w:val="004C5725"/>
    <w:rsid w:val="004C57D5"/>
    <w:rsid w:val="004C5988"/>
    <w:rsid w:val="004C598D"/>
    <w:rsid w:val="004C5CCF"/>
    <w:rsid w:val="004C604B"/>
    <w:rsid w:val="004C61A9"/>
    <w:rsid w:val="004C66A1"/>
    <w:rsid w:val="004C7045"/>
    <w:rsid w:val="004C7111"/>
    <w:rsid w:val="004C71E5"/>
    <w:rsid w:val="004C720A"/>
    <w:rsid w:val="004C7665"/>
    <w:rsid w:val="004C7C77"/>
    <w:rsid w:val="004D018D"/>
    <w:rsid w:val="004D02E2"/>
    <w:rsid w:val="004D060F"/>
    <w:rsid w:val="004D0C31"/>
    <w:rsid w:val="004D138A"/>
    <w:rsid w:val="004D1974"/>
    <w:rsid w:val="004D1AD6"/>
    <w:rsid w:val="004D1B90"/>
    <w:rsid w:val="004D1C00"/>
    <w:rsid w:val="004D1C85"/>
    <w:rsid w:val="004D240D"/>
    <w:rsid w:val="004D25E6"/>
    <w:rsid w:val="004D2C2D"/>
    <w:rsid w:val="004D2F80"/>
    <w:rsid w:val="004D320B"/>
    <w:rsid w:val="004D458B"/>
    <w:rsid w:val="004D49B5"/>
    <w:rsid w:val="004D66D3"/>
    <w:rsid w:val="004D6972"/>
    <w:rsid w:val="004D69B5"/>
    <w:rsid w:val="004D6BF4"/>
    <w:rsid w:val="004D6FF5"/>
    <w:rsid w:val="004D7227"/>
    <w:rsid w:val="004D73D2"/>
    <w:rsid w:val="004D7B5E"/>
    <w:rsid w:val="004E0E7F"/>
    <w:rsid w:val="004E0E9B"/>
    <w:rsid w:val="004E0EB8"/>
    <w:rsid w:val="004E0F84"/>
    <w:rsid w:val="004E11FD"/>
    <w:rsid w:val="004E132C"/>
    <w:rsid w:val="004E132E"/>
    <w:rsid w:val="004E16FD"/>
    <w:rsid w:val="004E18E9"/>
    <w:rsid w:val="004E1DB8"/>
    <w:rsid w:val="004E20A2"/>
    <w:rsid w:val="004E263E"/>
    <w:rsid w:val="004E2ABD"/>
    <w:rsid w:val="004E2ADC"/>
    <w:rsid w:val="004E2B23"/>
    <w:rsid w:val="004E31A3"/>
    <w:rsid w:val="004E3264"/>
    <w:rsid w:val="004E385C"/>
    <w:rsid w:val="004E3C24"/>
    <w:rsid w:val="004E41CE"/>
    <w:rsid w:val="004E427D"/>
    <w:rsid w:val="004E43B2"/>
    <w:rsid w:val="004E4B22"/>
    <w:rsid w:val="004E58C1"/>
    <w:rsid w:val="004E63F7"/>
    <w:rsid w:val="004E668A"/>
    <w:rsid w:val="004E6A91"/>
    <w:rsid w:val="004E76CB"/>
    <w:rsid w:val="004F03C9"/>
    <w:rsid w:val="004F057B"/>
    <w:rsid w:val="004F0849"/>
    <w:rsid w:val="004F0C9E"/>
    <w:rsid w:val="004F1377"/>
    <w:rsid w:val="004F13EC"/>
    <w:rsid w:val="004F1612"/>
    <w:rsid w:val="004F176D"/>
    <w:rsid w:val="004F1B42"/>
    <w:rsid w:val="004F1D02"/>
    <w:rsid w:val="004F2217"/>
    <w:rsid w:val="004F2549"/>
    <w:rsid w:val="004F2679"/>
    <w:rsid w:val="004F274B"/>
    <w:rsid w:val="004F2939"/>
    <w:rsid w:val="004F2F21"/>
    <w:rsid w:val="004F2FB2"/>
    <w:rsid w:val="004F30FC"/>
    <w:rsid w:val="004F3DE5"/>
    <w:rsid w:val="004F4108"/>
    <w:rsid w:val="004F4719"/>
    <w:rsid w:val="004F4B9B"/>
    <w:rsid w:val="004F52E7"/>
    <w:rsid w:val="004F53A5"/>
    <w:rsid w:val="004F58D8"/>
    <w:rsid w:val="004F5A43"/>
    <w:rsid w:val="004F5D39"/>
    <w:rsid w:val="004F5D92"/>
    <w:rsid w:val="004F6207"/>
    <w:rsid w:val="004F65F6"/>
    <w:rsid w:val="004F6672"/>
    <w:rsid w:val="004F6819"/>
    <w:rsid w:val="004F6912"/>
    <w:rsid w:val="004F6913"/>
    <w:rsid w:val="004F6BC8"/>
    <w:rsid w:val="004F749F"/>
    <w:rsid w:val="004F759F"/>
    <w:rsid w:val="004F7865"/>
    <w:rsid w:val="004F7DB0"/>
    <w:rsid w:val="005000E1"/>
    <w:rsid w:val="00500215"/>
    <w:rsid w:val="005007BC"/>
    <w:rsid w:val="005012D0"/>
    <w:rsid w:val="00501700"/>
    <w:rsid w:val="0050174E"/>
    <w:rsid w:val="005017D3"/>
    <w:rsid w:val="00501854"/>
    <w:rsid w:val="00501C16"/>
    <w:rsid w:val="0050219B"/>
    <w:rsid w:val="005024C4"/>
    <w:rsid w:val="005025EF"/>
    <w:rsid w:val="00502838"/>
    <w:rsid w:val="00502B42"/>
    <w:rsid w:val="005033B2"/>
    <w:rsid w:val="0050362F"/>
    <w:rsid w:val="00503E32"/>
    <w:rsid w:val="00503E7B"/>
    <w:rsid w:val="00503F17"/>
    <w:rsid w:val="00503F3A"/>
    <w:rsid w:val="00504688"/>
    <w:rsid w:val="0050470A"/>
    <w:rsid w:val="00504824"/>
    <w:rsid w:val="00504B7E"/>
    <w:rsid w:val="00504D81"/>
    <w:rsid w:val="005051C8"/>
    <w:rsid w:val="00505335"/>
    <w:rsid w:val="00505500"/>
    <w:rsid w:val="005055FB"/>
    <w:rsid w:val="00505CA7"/>
    <w:rsid w:val="005063DA"/>
    <w:rsid w:val="00506402"/>
    <w:rsid w:val="00506928"/>
    <w:rsid w:val="00506E60"/>
    <w:rsid w:val="005070AB"/>
    <w:rsid w:val="005072B5"/>
    <w:rsid w:val="005077EF"/>
    <w:rsid w:val="00507CC5"/>
    <w:rsid w:val="005101CD"/>
    <w:rsid w:val="00510344"/>
    <w:rsid w:val="0051052F"/>
    <w:rsid w:val="00510562"/>
    <w:rsid w:val="00510593"/>
    <w:rsid w:val="00510625"/>
    <w:rsid w:val="00510F9F"/>
    <w:rsid w:val="00511AD5"/>
    <w:rsid w:val="00511DC7"/>
    <w:rsid w:val="00511E7B"/>
    <w:rsid w:val="005138EB"/>
    <w:rsid w:val="00513A65"/>
    <w:rsid w:val="00513AE4"/>
    <w:rsid w:val="00513B12"/>
    <w:rsid w:val="00513F2C"/>
    <w:rsid w:val="005142C5"/>
    <w:rsid w:val="005144D1"/>
    <w:rsid w:val="00514691"/>
    <w:rsid w:val="00514B59"/>
    <w:rsid w:val="0051501B"/>
    <w:rsid w:val="005152B5"/>
    <w:rsid w:val="00515704"/>
    <w:rsid w:val="00515886"/>
    <w:rsid w:val="00515CF0"/>
    <w:rsid w:val="00515E7B"/>
    <w:rsid w:val="00516442"/>
    <w:rsid w:val="0051736B"/>
    <w:rsid w:val="005177BB"/>
    <w:rsid w:val="00517943"/>
    <w:rsid w:val="00517F82"/>
    <w:rsid w:val="005202B4"/>
    <w:rsid w:val="005203B4"/>
    <w:rsid w:val="005204BF"/>
    <w:rsid w:val="00520C36"/>
    <w:rsid w:val="00520C71"/>
    <w:rsid w:val="00520DF2"/>
    <w:rsid w:val="00521009"/>
    <w:rsid w:val="0052123C"/>
    <w:rsid w:val="00521319"/>
    <w:rsid w:val="00521A8A"/>
    <w:rsid w:val="00522145"/>
    <w:rsid w:val="00522846"/>
    <w:rsid w:val="005228EF"/>
    <w:rsid w:val="00522B68"/>
    <w:rsid w:val="00522BC8"/>
    <w:rsid w:val="00522F34"/>
    <w:rsid w:val="00522FA2"/>
    <w:rsid w:val="00523376"/>
    <w:rsid w:val="00523A85"/>
    <w:rsid w:val="00523C28"/>
    <w:rsid w:val="0052410C"/>
    <w:rsid w:val="00524356"/>
    <w:rsid w:val="00524507"/>
    <w:rsid w:val="00524DF4"/>
    <w:rsid w:val="00524F22"/>
    <w:rsid w:val="005250DF"/>
    <w:rsid w:val="005257A5"/>
    <w:rsid w:val="005258E2"/>
    <w:rsid w:val="00525FB2"/>
    <w:rsid w:val="00526057"/>
    <w:rsid w:val="005270CA"/>
    <w:rsid w:val="005271B4"/>
    <w:rsid w:val="00527767"/>
    <w:rsid w:val="0052794E"/>
    <w:rsid w:val="00531155"/>
    <w:rsid w:val="005312ED"/>
    <w:rsid w:val="0053141E"/>
    <w:rsid w:val="0053176B"/>
    <w:rsid w:val="005323D4"/>
    <w:rsid w:val="00532905"/>
    <w:rsid w:val="00532A40"/>
    <w:rsid w:val="00532F08"/>
    <w:rsid w:val="0053385C"/>
    <w:rsid w:val="00533E0A"/>
    <w:rsid w:val="005341B3"/>
    <w:rsid w:val="00534917"/>
    <w:rsid w:val="00535E27"/>
    <w:rsid w:val="00536D39"/>
    <w:rsid w:val="00536F42"/>
    <w:rsid w:val="00537182"/>
    <w:rsid w:val="005371BC"/>
    <w:rsid w:val="00537AC8"/>
    <w:rsid w:val="00540040"/>
    <w:rsid w:val="00540618"/>
    <w:rsid w:val="005408FE"/>
    <w:rsid w:val="00540C97"/>
    <w:rsid w:val="00540E7F"/>
    <w:rsid w:val="005419C4"/>
    <w:rsid w:val="00541AB0"/>
    <w:rsid w:val="00541C44"/>
    <w:rsid w:val="00541DD5"/>
    <w:rsid w:val="00541EDD"/>
    <w:rsid w:val="0054213E"/>
    <w:rsid w:val="00542661"/>
    <w:rsid w:val="00542743"/>
    <w:rsid w:val="00542C2D"/>
    <w:rsid w:val="00542E26"/>
    <w:rsid w:val="00542F5B"/>
    <w:rsid w:val="00543339"/>
    <w:rsid w:val="0054352B"/>
    <w:rsid w:val="00543F3C"/>
    <w:rsid w:val="00543F4D"/>
    <w:rsid w:val="00545563"/>
    <w:rsid w:val="005459D3"/>
    <w:rsid w:val="005459F2"/>
    <w:rsid w:val="00545EFF"/>
    <w:rsid w:val="005460DC"/>
    <w:rsid w:val="005464A8"/>
    <w:rsid w:val="00546B87"/>
    <w:rsid w:val="00547065"/>
    <w:rsid w:val="005475AC"/>
    <w:rsid w:val="005478BD"/>
    <w:rsid w:val="00547987"/>
    <w:rsid w:val="00547992"/>
    <w:rsid w:val="005479E3"/>
    <w:rsid w:val="00547B21"/>
    <w:rsid w:val="005501DA"/>
    <w:rsid w:val="00550D56"/>
    <w:rsid w:val="00551217"/>
    <w:rsid w:val="00551985"/>
    <w:rsid w:val="0055213B"/>
    <w:rsid w:val="00552774"/>
    <w:rsid w:val="00552BD3"/>
    <w:rsid w:val="00552D03"/>
    <w:rsid w:val="00553236"/>
    <w:rsid w:val="005532A0"/>
    <w:rsid w:val="00553635"/>
    <w:rsid w:val="005540F2"/>
    <w:rsid w:val="0055415B"/>
    <w:rsid w:val="005541F2"/>
    <w:rsid w:val="00554460"/>
    <w:rsid w:val="005544DB"/>
    <w:rsid w:val="005544EE"/>
    <w:rsid w:val="005545E1"/>
    <w:rsid w:val="00554973"/>
    <w:rsid w:val="00555109"/>
    <w:rsid w:val="00555A7B"/>
    <w:rsid w:val="00556B35"/>
    <w:rsid w:val="00556CE4"/>
    <w:rsid w:val="00556FC7"/>
    <w:rsid w:val="0055741A"/>
    <w:rsid w:val="0055763C"/>
    <w:rsid w:val="00560289"/>
    <w:rsid w:val="00560417"/>
    <w:rsid w:val="00560481"/>
    <w:rsid w:val="00560584"/>
    <w:rsid w:val="005609A4"/>
    <w:rsid w:val="00560D84"/>
    <w:rsid w:val="00560DC4"/>
    <w:rsid w:val="00560E8B"/>
    <w:rsid w:val="00561126"/>
    <w:rsid w:val="005611B7"/>
    <w:rsid w:val="00561688"/>
    <w:rsid w:val="005618D4"/>
    <w:rsid w:val="00561A6C"/>
    <w:rsid w:val="005629D2"/>
    <w:rsid w:val="00562B70"/>
    <w:rsid w:val="005630EB"/>
    <w:rsid w:val="005635CD"/>
    <w:rsid w:val="00563831"/>
    <w:rsid w:val="00563BBD"/>
    <w:rsid w:val="00563CD8"/>
    <w:rsid w:val="00563D3C"/>
    <w:rsid w:val="00563D4B"/>
    <w:rsid w:val="00563EC7"/>
    <w:rsid w:val="00563F17"/>
    <w:rsid w:val="00564867"/>
    <w:rsid w:val="0056494B"/>
    <w:rsid w:val="005649C4"/>
    <w:rsid w:val="00564CF0"/>
    <w:rsid w:val="00564EF1"/>
    <w:rsid w:val="0056516E"/>
    <w:rsid w:val="00565336"/>
    <w:rsid w:val="0056560B"/>
    <w:rsid w:val="00565A0D"/>
    <w:rsid w:val="00565A1F"/>
    <w:rsid w:val="00565C79"/>
    <w:rsid w:val="00565DF0"/>
    <w:rsid w:val="00565FFA"/>
    <w:rsid w:val="0056634E"/>
    <w:rsid w:val="00566449"/>
    <w:rsid w:val="005666C3"/>
    <w:rsid w:val="005668C6"/>
    <w:rsid w:val="0056696F"/>
    <w:rsid w:val="00566B2F"/>
    <w:rsid w:val="00566BB3"/>
    <w:rsid w:val="00566E7E"/>
    <w:rsid w:val="005672E9"/>
    <w:rsid w:val="00567300"/>
    <w:rsid w:val="00567816"/>
    <w:rsid w:val="00567BAE"/>
    <w:rsid w:val="00567D01"/>
    <w:rsid w:val="00570221"/>
    <w:rsid w:val="00570B22"/>
    <w:rsid w:val="0057115F"/>
    <w:rsid w:val="00571171"/>
    <w:rsid w:val="0057121F"/>
    <w:rsid w:val="005717DF"/>
    <w:rsid w:val="00572269"/>
    <w:rsid w:val="005723D8"/>
    <w:rsid w:val="0057244A"/>
    <w:rsid w:val="0057277E"/>
    <w:rsid w:val="00572856"/>
    <w:rsid w:val="00572909"/>
    <w:rsid w:val="00572F26"/>
    <w:rsid w:val="0057350B"/>
    <w:rsid w:val="0057368B"/>
    <w:rsid w:val="00573D14"/>
    <w:rsid w:val="005750C5"/>
    <w:rsid w:val="005751F5"/>
    <w:rsid w:val="005752DE"/>
    <w:rsid w:val="0057539C"/>
    <w:rsid w:val="005754DF"/>
    <w:rsid w:val="00575C9C"/>
    <w:rsid w:val="00575D60"/>
    <w:rsid w:val="00575D8D"/>
    <w:rsid w:val="00576654"/>
    <w:rsid w:val="00576838"/>
    <w:rsid w:val="00576972"/>
    <w:rsid w:val="00577248"/>
    <w:rsid w:val="00577DAA"/>
    <w:rsid w:val="00577E1C"/>
    <w:rsid w:val="0058043C"/>
    <w:rsid w:val="00580877"/>
    <w:rsid w:val="00581505"/>
    <w:rsid w:val="00581A98"/>
    <w:rsid w:val="00581AB4"/>
    <w:rsid w:val="00582343"/>
    <w:rsid w:val="00583697"/>
    <w:rsid w:val="00583699"/>
    <w:rsid w:val="0058382A"/>
    <w:rsid w:val="00583901"/>
    <w:rsid w:val="00584490"/>
    <w:rsid w:val="00584FE0"/>
    <w:rsid w:val="00585CDD"/>
    <w:rsid w:val="00586755"/>
    <w:rsid w:val="00586C4F"/>
    <w:rsid w:val="00586DCE"/>
    <w:rsid w:val="00587058"/>
    <w:rsid w:val="00587565"/>
    <w:rsid w:val="00587610"/>
    <w:rsid w:val="00587695"/>
    <w:rsid w:val="0058785A"/>
    <w:rsid w:val="005879CF"/>
    <w:rsid w:val="00587D3C"/>
    <w:rsid w:val="00587E1A"/>
    <w:rsid w:val="005900A6"/>
    <w:rsid w:val="005900DC"/>
    <w:rsid w:val="005908F8"/>
    <w:rsid w:val="00590BA2"/>
    <w:rsid w:val="00590FCD"/>
    <w:rsid w:val="0059129C"/>
    <w:rsid w:val="00591957"/>
    <w:rsid w:val="00591C77"/>
    <w:rsid w:val="00591D62"/>
    <w:rsid w:val="00591F44"/>
    <w:rsid w:val="0059217F"/>
    <w:rsid w:val="00592516"/>
    <w:rsid w:val="0059305D"/>
    <w:rsid w:val="005942BC"/>
    <w:rsid w:val="00594776"/>
    <w:rsid w:val="00594CCC"/>
    <w:rsid w:val="00594E1B"/>
    <w:rsid w:val="00594F78"/>
    <w:rsid w:val="005953FE"/>
    <w:rsid w:val="00595CF1"/>
    <w:rsid w:val="005961AD"/>
    <w:rsid w:val="00596B73"/>
    <w:rsid w:val="0059702C"/>
    <w:rsid w:val="0059732C"/>
    <w:rsid w:val="00597610"/>
    <w:rsid w:val="00597A5F"/>
    <w:rsid w:val="00597AF3"/>
    <w:rsid w:val="00597BF9"/>
    <w:rsid w:val="005A0545"/>
    <w:rsid w:val="005A0725"/>
    <w:rsid w:val="005A0C11"/>
    <w:rsid w:val="005A1461"/>
    <w:rsid w:val="005A1A6C"/>
    <w:rsid w:val="005A1CFC"/>
    <w:rsid w:val="005A1DE0"/>
    <w:rsid w:val="005A1E54"/>
    <w:rsid w:val="005A1F60"/>
    <w:rsid w:val="005A27DD"/>
    <w:rsid w:val="005A2A2C"/>
    <w:rsid w:val="005A2B86"/>
    <w:rsid w:val="005A2F33"/>
    <w:rsid w:val="005A309A"/>
    <w:rsid w:val="005A3414"/>
    <w:rsid w:val="005A353D"/>
    <w:rsid w:val="005A373D"/>
    <w:rsid w:val="005A3C43"/>
    <w:rsid w:val="005A3FEE"/>
    <w:rsid w:val="005A3FFC"/>
    <w:rsid w:val="005A40AE"/>
    <w:rsid w:val="005A4216"/>
    <w:rsid w:val="005A44A0"/>
    <w:rsid w:val="005A44EC"/>
    <w:rsid w:val="005A491E"/>
    <w:rsid w:val="005A49BD"/>
    <w:rsid w:val="005A4B58"/>
    <w:rsid w:val="005A4FC6"/>
    <w:rsid w:val="005A5806"/>
    <w:rsid w:val="005A6C3B"/>
    <w:rsid w:val="005A6C7B"/>
    <w:rsid w:val="005A6CF0"/>
    <w:rsid w:val="005A72FD"/>
    <w:rsid w:val="005A7E7D"/>
    <w:rsid w:val="005B0B58"/>
    <w:rsid w:val="005B0BDE"/>
    <w:rsid w:val="005B0F82"/>
    <w:rsid w:val="005B10AF"/>
    <w:rsid w:val="005B1257"/>
    <w:rsid w:val="005B1747"/>
    <w:rsid w:val="005B18E9"/>
    <w:rsid w:val="005B1EF4"/>
    <w:rsid w:val="005B25EF"/>
    <w:rsid w:val="005B289C"/>
    <w:rsid w:val="005B3CB7"/>
    <w:rsid w:val="005B3D23"/>
    <w:rsid w:val="005B3DA9"/>
    <w:rsid w:val="005B3E43"/>
    <w:rsid w:val="005B47FA"/>
    <w:rsid w:val="005B4C66"/>
    <w:rsid w:val="005B4E53"/>
    <w:rsid w:val="005B534C"/>
    <w:rsid w:val="005B5857"/>
    <w:rsid w:val="005B5A60"/>
    <w:rsid w:val="005B5B03"/>
    <w:rsid w:val="005B5C13"/>
    <w:rsid w:val="005B677A"/>
    <w:rsid w:val="005B6D0D"/>
    <w:rsid w:val="005B6D84"/>
    <w:rsid w:val="005B7187"/>
    <w:rsid w:val="005B7236"/>
    <w:rsid w:val="005B749F"/>
    <w:rsid w:val="005B781F"/>
    <w:rsid w:val="005B7911"/>
    <w:rsid w:val="005B7C8E"/>
    <w:rsid w:val="005B7F97"/>
    <w:rsid w:val="005C00E6"/>
    <w:rsid w:val="005C015C"/>
    <w:rsid w:val="005C06EB"/>
    <w:rsid w:val="005C1346"/>
    <w:rsid w:val="005C1525"/>
    <w:rsid w:val="005C1558"/>
    <w:rsid w:val="005C180F"/>
    <w:rsid w:val="005C19C4"/>
    <w:rsid w:val="005C1B83"/>
    <w:rsid w:val="005C211C"/>
    <w:rsid w:val="005C25FF"/>
    <w:rsid w:val="005C27CC"/>
    <w:rsid w:val="005C2D55"/>
    <w:rsid w:val="005C306E"/>
    <w:rsid w:val="005C30F9"/>
    <w:rsid w:val="005C346B"/>
    <w:rsid w:val="005C3AF4"/>
    <w:rsid w:val="005C3B34"/>
    <w:rsid w:val="005C433C"/>
    <w:rsid w:val="005C4579"/>
    <w:rsid w:val="005C4B68"/>
    <w:rsid w:val="005C4BB0"/>
    <w:rsid w:val="005C58D7"/>
    <w:rsid w:val="005C5ABC"/>
    <w:rsid w:val="005C5D04"/>
    <w:rsid w:val="005C5F5A"/>
    <w:rsid w:val="005C6592"/>
    <w:rsid w:val="005C7798"/>
    <w:rsid w:val="005C7988"/>
    <w:rsid w:val="005C7B8B"/>
    <w:rsid w:val="005C7E50"/>
    <w:rsid w:val="005D044D"/>
    <w:rsid w:val="005D07F6"/>
    <w:rsid w:val="005D085E"/>
    <w:rsid w:val="005D0ABD"/>
    <w:rsid w:val="005D16FE"/>
    <w:rsid w:val="005D18AD"/>
    <w:rsid w:val="005D214A"/>
    <w:rsid w:val="005D2172"/>
    <w:rsid w:val="005D2568"/>
    <w:rsid w:val="005D26B4"/>
    <w:rsid w:val="005D350E"/>
    <w:rsid w:val="005D373A"/>
    <w:rsid w:val="005D38F7"/>
    <w:rsid w:val="005D4B8B"/>
    <w:rsid w:val="005D572B"/>
    <w:rsid w:val="005D5FC1"/>
    <w:rsid w:val="005D6247"/>
    <w:rsid w:val="005D6C8E"/>
    <w:rsid w:val="005D6DF0"/>
    <w:rsid w:val="005D7163"/>
    <w:rsid w:val="005D741A"/>
    <w:rsid w:val="005D75C3"/>
    <w:rsid w:val="005D7A52"/>
    <w:rsid w:val="005D7C59"/>
    <w:rsid w:val="005D7D77"/>
    <w:rsid w:val="005E057A"/>
    <w:rsid w:val="005E08E6"/>
    <w:rsid w:val="005E0CCF"/>
    <w:rsid w:val="005E1259"/>
    <w:rsid w:val="005E14BF"/>
    <w:rsid w:val="005E16F5"/>
    <w:rsid w:val="005E1727"/>
    <w:rsid w:val="005E1894"/>
    <w:rsid w:val="005E1995"/>
    <w:rsid w:val="005E211C"/>
    <w:rsid w:val="005E24E8"/>
    <w:rsid w:val="005E28BD"/>
    <w:rsid w:val="005E3ABD"/>
    <w:rsid w:val="005E3B34"/>
    <w:rsid w:val="005E4199"/>
    <w:rsid w:val="005E460F"/>
    <w:rsid w:val="005E4689"/>
    <w:rsid w:val="005E46D6"/>
    <w:rsid w:val="005E50F9"/>
    <w:rsid w:val="005E5279"/>
    <w:rsid w:val="005E590C"/>
    <w:rsid w:val="005E5B08"/>
    <w:rsid w:val="005E610D"/>
    <w:rsid w:val="005E6A9A"/>
    <w:rsid w:val="005E6CBC"/>
    <w:rsid w:val="005E6E4E"/>
    <w:rsid w:val="005E6F9C"/>
    <w:rsid w:val="005E72FF"/>
    <w:rsid w:val="005E73C0"/>
    <w:rsid w:val="005E73F9"/>
    <w:rsid w:val="005E74EE"/>
    <w:rsid w:val="005E7754"/>
    <w:rsid w:val="005E7A75"/>
    <w:rsid w:val="005E7CE1"/>
    <w:rsid w:val="005E7D82"/>
    <w:rsid w:val="005E7DB8"/>
    <w:rsid w:val="005E7E75"/>
    <w:rsid w:val="005F07ED"/>
    <w:rsid w:val="005F104C"/>
    <w:rsid w:val="005F107E"/>
    <w:rsid w:val="005F1189"/>
    <w:rsid w:val="005F11BA"/>
    <w:rsid w:val="005F1344"/>
    <w:rsid w:val="005F1419"/>
    <w:rsid w:val="005F218A"/>
    <w:rsid w:val="005F22EA"/>
    <w:rsid w:val="005F2706"/>
    <w:rsid w:val="005F281A"/>
    <w:rsid w:val="005F2EED"/>
    <w:rsid w:val="005F331E"/>
    <w:rsid w:val="005F3612"/>
    <w:rsid w:val="005F363C"/>
    <w:rsid w:val="005F36CC"/>
    <w:rsid w:val="005F3822"/>
    <w:rsid w:val="005F395F"/>
    <w:rsid w:val="005F40C8"/>
    <w:rsid w:val="005F478D"/>
    <w:rsid w:val="005F567E"/>
    <w:rsid w:val="005F63F7"/>
    <w:rsid w:val="005F6612"/>
    <w:rsid w:val="005F68A7"/>
    <w:rsid w:val="005F6A8F"/>
    <w:rsid w:val="005F6BB7"/>
    <w:rsid w:val="005F7588"/>
    <w:rsid w:val="005F7AA5"/>
    <w:rsid w:val="005F7C82"/>
    <w:rsid w:val="005F7F05"/>
    <w:rsid w:val="005F7F3F"/>
    <w:rsid w:val="00600099"/>
    <w:rsid w:val="00600370"/>
    <w:rsid w:val="00600833"/>
    <w:rsid w:val="00600838"/>
    <w:rsid w:val="00600A4F"/>
    <w:rsid w:val="00600BDA"/>
    <w:rsid w:val="00600C1A"/>
    <w:rsid w:val="00600F0D"/>
    <w:rsid w:val="006015DC"/>
    <w:rsid w:val="0060185B"/>
    <w:rsid w:val="00601CBE"/>
    <w:rsid w:val="006028D3"/>
    <w:rsid w:val="00603DB9"/>
    <w:rsid w:val="00603F71"/>
    <w:rsid w:val="006044D1"/>
    <w:rsid w:val="0060567C"/>
    <w:rsid w:val="0060605F"/>
    <w:rsid w:val="0060622F"/>
    <w:rsid w:val="006065B4"/>
    <w:rsid w:val="00606612"/>
    <w:rsid w:val="006069BD"/>
    <w:rsid w:val="00606CE5"/>
    <w:rsid w:val="00606D96"/>
    <w:rsid w:val="00606FBA"/>
    <w:rsid w:val="006071B2"/>
    <w:rsid w:val="0060725F"/>
    <w:rsid w:val="006073BE"/>
    <w:rsid w:val="00607669"/>
    <w:rsid w:val="006076F4"/>
    <w:rsid w:val="00607A00"/>
    <w:rsid w:val="00607AFD"/>
    <w:rsid w:val="00607B68"/>
    <w:rsid w:val="00607B7E"/>
    <w:rsid w:val="00607E22"/>
    <w:rsid w:val="006103B8"/>
    <w:rsid w:val="00610463"/>
    <w:rsid w:val="00610625"/>
    <w:rsid w:val="006106A8"/>
    <w:rsid w:val="00610BD9"/>
    <w:rsid w:val="00610E7F"/>
    <w:rsid w:val="006111BF"/>
    <w:rsid w:val="0061157F"/>
    <w:rsid w:val="006115F8"/>
    <w:rsid w:val="0061194C"/>
    <w:rsid w:val="00611A23"/>
    <w:rsid w:val="00611B12"/>
    <w:rsid w:val="00611C2D"/>
    <w:rsid w:val="00611E95"/>
    <w:rsid w:val="00611FB2"/>
    <w:rsid w:val="00612065"/>
    <w:rsid w:val="006120A7"/>
    <w:rsid w:val="006123A2"/>
    <w:rsid w:val="00612A4D"/>
    <w:rsid w:val="00612F97"/>
    <w:rsid w:val="006130C8"/>
    <w:rsid w:val="006130EF"/>
    <w:rsid w:val="0061345D"/>
    <w:rsid w:val="0061372D"/>
    <w:rsid w:val="0061388D"/>
    <w:rsid w:val="00613D06"/>
    <w:rsid w:val="00613DD2"/>
    <w:rsid w:val="00613F37"/>
    <w:rsid w:val="0061446C"/>
    <w:rsid w:val="0061450D"/>
    <w:rsid w:val="0061497B"/>
    <w:rsid w:val="00614DCA"/>
    <w:rsid w:val="00614F0E"/>
    <w:rsid w:val="00615329"/>
    <w:rsid w:val="0061549B"/>
    <w:rsid w:val="00615552"/>
    <w:rsid w:val="00615659"/>
    <w:rsid w:val="00615A67"/>
    <w:rsid w:val="00615C3B"/>
    <w:rsid w:val="0061603F"/>
    <w:rsid w:val="006165EC"/>
    <w:rsid w:val="006166AE"/>
    <w:rsid w:val="006166D1"/>
    <w:rsid w:val="00616783"/>
    <w:rsid w:val="00616802"/>
    <w:rsid w:val="00616BB7"/>
    <w:rsid w:val="006170CF"/>
    <w:rsid w:val="006171E4"/>
    <w:rsid w:val="006176FE"/>
    <w:rsid w:val="00617C59"/>
    <w:rsid w:val="00617CDE"/>
    <w:rsid w:val="00617DA7"/>
    <w:rsid w:val="00617E12"/>
    <w:rsid w:val="00620C25"/>
    <w:rsid w:val="00620D4B"/>
    <w:rsid w:val="00621098"/>
    <w:rsid w:val="006212A9"/>
    <w:rsid w:val="00621477"/>
    <w:rsid w:val="00621565"/>
    <w:rsid w:val="00621ADA"/>
    <w:rsid w:val="00622057"/>
    <w:rsid w:val="00622891"/>
    <w:rsid w:val="0062289A"/>
    <w:rsid w:val="00622D0F"/>
    <w:rsid w:val="006232A7"/>
    <w:rsid w:val="00623912"/>
    <w:rsid w:val="00623E23"/>
    <w:rsid w:val="00623F7B"/>
    <w:rsid w:val="00624B6D"/>
    <w:rsid w:val="00624BD4"/>
    <w:rsid w:val="00624C28"/>
    <w:rsid w:val="00624CAD"/>
    <w:rsid w:val="00626751"/>
    <w:rsid w:val="00626D2C"/>
    <w:rsid w:val="00627099"/>
    <w:rsid w:val="00627508"/>
    <w:rsid w:val="00627D39"/>
    <w:rsid w:val="00627E69"/>
    <w:rsid w:val="00627F98"/>
    <w:rsid w:val="006302CF"/>
    <w:rsid w:val="00631247"/>
    <w:rsid w:val="0063158F"/>
    <w:rsid w:val="00631D6B"/>
    <w:rsid w:val="00631DCA"/>
    <w:rsid w:val="00632183"/>
    <w:rsid w:val="006325FD"/>
    <w:rsid w:val="0063286B"/>
    <w:rsid w:val="00632996"/>
    <w:rsid w:val="00632AE9"/>
    <w:rsid w:val="006330A1"/>
    <w:rsid w:val="006334BB"/>
    <w:rsid w:val="006338BF"/>
    <w:rsid w:val="006340B0"/>
    <w:rsid w:val="006343D0"/>
    <w:rsid w:val="0063479F"/>
    <w:rsid w:val="00634828"/>
    <w:rsid w:val="00635399"/>
    <w:rsid w:val="006353F0"/>
    <w:rsid w:val="006357B5"/>
    <w:rsid w:val="00635CA2"/>
    <w:rsid w:val="00636246"/>
    <w:rsid w:val="006364A1"/>
    <w:rsid w:val="00636620"/>
    <w:rsid w:val="0063678E"/>
    <w:rsid w:val="00636C5E"/>
    <w:rsid w:val="006371DA"/>
    <w:rsid w:val="00637281"/>
    <w:rsid w:val="00637314"/>
    <w:rsid w:val="00637BFD"/>
    <w:rsid w:val="00637C5C"/>
    <w:rsid w:val="00637ED4"/>
    <w:rsid w:val="00637FA9"/>
    <w:rsid w:val="006400F2"/>
    <w:rsid w:val="006404FD"/>
    <w:rsid w:val="006411F5"/>
    <w:rsid w:val="006412CE"/>
    <w:rsid w:val="00641C4E"/>
    <w:rsid w:val="00641FB3"/>
    <w:rsid w:val="00642073"/>
    <w:rsid w:val="00642364"/>
    <w:rsid w:val="00642EA2"/>
    <w:rsid w:val="00643290"/>
    <w:rsid w:val="006442D1"/>
    <w:rsid w:val="0064434C"/>
    <w:rsid w:val="00644B9F"/>
    <w:rsid w:val="00644E32"/>
    <w:rsid w:val="00645059"/>
    <w:rsid w:val="0064568E"/>
    <w:rsid w:val="0064580F"/>
    <w:rsid w:val="0064589D"/>
    <w:rsid w:val="00645D63"/>
    <w:rsid w:val="00646582"/>
    <w:rsid w:val="00646E56"/>
    <w:rsid w:val="006471CC"/>
    <w:rsid w:val="006472FE"/>
    <w:rsid w:val="006477AA"/>
    <w:rsid w:val="00647A29"/>
    <w:rsid w:val="00647ADB"/>
    <w:rsid w:val="0065079F"/>
    <w:rsid w:val="00650B8C"/>
    <w:rsid w:val="00650C16"/>
    <w:rsid w:val="00650C91"/>
    <w:rsid w:val="00650E5E"/>
    <w:rsid w:val="00651180"/>
    <w:rsid w:val="00651C0B"/>
    <w:rsid w:val="0065223F"/>
    <w:rsid w:val="00652A28"/>
    <w:rsid w:val="00653714"/>
    <w:rsid w:val="00653751"/>
    <w:rsid w:val="0065379F"/>
    <w:rsid w:val="00653917"/>
    <w:rsid w:val="00653EC4"/>
    <w:rsid w:val="00654179"/>
    <w:rsid w:val="006543A2"/>
    <w:rsid w:val="00654632"/>
    <w:rsid w:val="00654AB5"/>
    <w:rsid w:val="00654D2F"/>
    <w:rsid w:val="00654D76"/>
    <w:rsid w:val="00655151"/>
    <w:rsid w:val="00655404"/>
    <w:rsid w:val="006556F3"/>
    <w:rsid w:val="006557B0"/>
    <w:rsid w:val="006558C2"/>
    <w:rsid w:val="006559AF"/>
    <w:rsid w:val="00655CC5"/>
    <w:rsid w:val="00655CD7"/>
    <w:rsid w:val="00655F4F"/>
    <w:rsid w:val="00655F6A"/>
    <w:rsid w:val="00656188"/>
    <w:rsid w:val="00656280"/>
    <w:rsid w:val="0065637C"/>
    <w:rsid w:val="00656643"/>
    <w:rsid w:val="00656E1A"/>
    <w:rsid w:val="0065705A"/>
    <w:rsid w:val="0065715A"/>
    <w:rsid w:val="006575D9"/>
    <w:rsid w:val="00660B9F"/>
    <w:rsid w:val="006610F1"/>
    <w:rsid w:val="006617D6"/>
    <w:rsid w:val="00661BA4"/>
    <w:rsid w:val="00661C6B"/>
    <w:rsid w:val="006621D3"/>
    <w:rsid w:val="00662355"/>
    <w:rsid w:val="00662D3E"/>
    <w:rsid w:val="00662DF9"/>
    <w:rsid w:val="00662EDD"/>
    <w:rsid w:val="006633CA"/>
    <w:rsid w:val="0066399B"/>
    <w:rsid w:val="00664047"/>
    <w:rsid w:val="00664788"/>
    <w:rsid w:val="006649B4"/>
    <w:rsid w:val="00664C29"/>
    <w:rsid w:val="00665210"/>
    <w:rsid w:val="006652D7"/>
    <w:rsid w:val="006653DE"/>
    <w:rsid w:val="00665770"/>
    <w:rsid w:val="00665B68"/>
    <w:rsid w:val="00665F8F"/>
    <w:rsid w:val="0066630B"/>
    <w:rsid w:val="006663C8"/>
    <w:rsid w:val="006665EA"/>
    <w:rsid w:val="0066690C"/>
    <w:rsid w:val="00666D59"/>
    <w:rsid w:val="00666E58"/>
    <w:rsid w:val="006671AC"/>
    <w:rsid w:val="00667427"/>
    <w:rsid w:val="00667BE3"/>
    <w:rsid w:val="00667CEA"/>
    <w:rsid w:val="0067010B"/>
    <w:rsid w:val="0067015E"/>
    <w:rsid w:val="006702A9"/>
    <w:rsid w:val="0067035D"/>
    <w:rsid w:val="00670648"/>
    <w:rsid w:val="00670905"/>
    <w:rsid w:val="00670D68"/>
    <w:rsid w:val="00670DDD"/>
    <w:rsid w:val="00670E3F"/>
    <w:rsid w:val="00671004"/>
    <w:rsid w:val="006710A4"/>
    <w:rsid w:val="006711D5"/>
    <w:rsid w:val="0067188F"/>
    <w:rsid w:val="006719F8"/>
    <w:rsid w:val="00671BE9"/>
    <w:rsid w:val="00671D1A"/>
    <w:rsid w:val="00671D2D"/>
    <w:rsid w:val="00671D50"/>
    <w:rsid w:val="00671D53"/>
    <w:rsid w:val="00672646"/>
    <w:rsid w:val="006726C7"/>
    <w:rsid w:val="0067290E"/>
    <w:rsid w:val="006729CD"/>
    <w:rsid w:val="00672FDB"/>
    <w:rsid w:val="006736C7"/>
    <w:rsid w:val="0067374E"/>
    <w:rsid w:val="00673B75"/>
    <w:rsid w:val="00673D72"/>
    <w:rsid w:val="00673F9F"/>
    <w:rsid w:val="0067406E"/>
    <w:rsid w:val="00674BCC"/>
    <w:rsid w:val="00674E42"/>
    <w:rsid w:val="00675A75"/>
    <w:rsid w:val="00675E77"/>
    <w:rsid w:val="00676563"/>
    <w:rsid w:val="006766AD"/>
    <w:rsid w:val="00676E98"/>
    <w:rsid w:val="00677065"/>
    <w:rsid w:val="006773F7"/>
    <w:rsid w:val="00677FB3"/>
    <w:rsid w:val="0068090E"/>
    <w:rsid w:val="006813F8"/>
    <w:rsid w:val="00681466"/>
    <w:rsid w:val="00681FB0"/>
    <w:rsid w:val="00682112"/>
    <w:rsid w:val="00682AA9"/>
    <w:rsid w:val="00682BA6"/>
    <w:rsid w:val="0068352E"/>
    <w:rsid w:val="00683F18"/>
    <w:rsid w:val="00683FC0"/>
    <w:rsid w:val="006840F8"/>
    <w:rsid w:val="006846C0"/>
    <w:rsid w:val="0068474A"/>
    <w:rsid w:val="0068479E"/>
    <w:rsid w:val="00684A11"/>
    <w:rsid w:val="00684BDA"/>
    <w:rsid w:val="0068502E"/>
    <w:rsid w:val="0068535F"/>
    <w:rsid w:val="006859CF"/>
    <w:rsid w:val="00685AF3"/>
    <w:rsid w:val="00685D03"/>
    <w:rsid w:val="00686166"/>
    <w:rsid w:val="0068648A"/>
    <w:rsid w:val="0068675A"/>
    <w:rsid w:val="00686957"/>
    <w:rsid w:val="00686A36"/>
    <w:rsid w:val="00686EC0"/>
    <w:rsid w:val="0068702D"/>
    <w:rsid w:val="006872BA"/>
    <w:rsid w:val="00687AAF"/>
    <w:rsid w:val="00687D4D"/>
    <w:rsid w:val="00690420"/>
    <w:rsid w:val="00690795"/>
    <w:rsid w:val="00690FAB"/>
    <w:rsid w:val="00691141"/>
    <w:rsid w:val="006913D6"/>
    <w:rsid w:val="00691619"/>
    <w:rsid w:val="00691627"/>
    <w:rsid w:val="00691648"/>
    <w:rsid w:val="006917D7"/>
    <w:rsid w:val="00691B83"/>
    <w:rsid w:val="00691C17"/>
    <w:rsid w:val="00691E77"/>
    <w:rsid w:val="00691F52"/>
    <w:rsid w:val="006926C5"/>
    <w:rsid w:val="00692D30"/>
    <w:rsid w:val="0069343F"/>
    <w:rsid w:val="00693444"/>
    <w:rsid w:val="00693A6C"/>
    <w:rsid w:val="0069434C"/>
    <w:rsid w:val="00694C21"/>
    <w:rsid w:val="00694C50"/>
    <w:rsid w:val="00694F44"/>
    <w:rsid w:val="006953BE"/>
    <w:rsid w:val="0069566E"/>
    <w:rsid w:val="00695BE9"/>
    <w:rsid w:val="00696017"/>
    <w:rsid w:val="0069657D"/>
    <w:rsid w:val="006965A8"/>
    <w:rsid w:val="00696EF9"/>
    <w:rsid w:val="00696F51"/>
    <w:rsid w:val="006979A5"/>
    <w:rsid w:val="006A016F"/>
    <w:rsid w:val="006A0372"/>
    <w:rsid w:val="006A049E"/>
    <w:rsid w:val="006A0DF7"/>
    <w:rsid w:val="006A1A5A"/>
    <w:rsid w:val="006A1A70"/>
    <w:rsid w:val="006A1C71"/>
    <w:rsid w:val="006A1CB5"/>
    <w:rsid w:val="006A24E1"/>
    <w:rsid w:val="006A2560"/>
    <w:rsid w:val="006A29FC"/>
    <w:rsid w:val="006A361D"/>
    <w:rsid w:val="006A3B6A"/>
    <w:rsid w:val="006A3C74"/>
    <w:rsid w:val="006A4321"/>
    <w:rsid w:val="006A43D9"/>
    <w:rsid w:val="006A4830"/>
    <w:rsid w:val="006A4B66"/>
    <w:rsid w:val="006A4DE2"/>
    <w:rsid w:val="006A4DEE"/>
    <w:rsid w:val="006A4EA6"/>
    <w:rsid w:val="006A4F23"/>
    <w:rsid w:val="006A5959"/>
    <w:rsid w:val="006A5B6E"/>
    <w:rsid w:val="006A64E4"/>
    <w:rsid w:val="006A6B99"/>
    <w:rsid w:val="006A6E56"/>
    <w:rsid w:val="006A7633"/>
    <w:rsid w:val="006A7868"/>
    <w:rsid w:val="006A7C53"/>
    <w:rsid w:val="006A7E5F"/>
    <w:rsid w:val="006A7E95"/>
    <w:rsid w:val="006B03B9"/>
    <w:rsid w:val="006B0D34"/>
    <w:rsid w:val="006B0D7B"/>
    <w:rsid w:val="006B0D9A"/>
    <w:rsid w:val="006B199B"/>
    <w:rsid w:val="006B1E63"/>
    <w:rsid w:val="006B230A"/>
    <w:rsid w:val="006B2378"/>
    <w:rsid w:val="006B261B"/>
    <w:rsid w:val="006B295B"/>
    <w:rsid w:val="006B2BBE"/>
    <w:rsid w:val="006B2C90"/>
    <w:rsid w:val="006B2EA1"/>
    <w:rsid w:val="006B35E6"/>
    <w:rsid w:val="006B393A"/>
    <w:rsid w:val="006B3C2B"/>
    <w:rsid w:val="006B3CBD"/>
    <w:rsid w:val="006B45F4"/>
    <w:rsid w:val="006B465A"/>
    <w:rsid w:val="006B479A"/>
    <w:rsid w:val="006B4922"/>
    <w:rsid w:val="006B4C95"/>
    <w:rsid w:val="006B5086"/>
    <w:rsid w:val="006B566C"/>
    <w:rsid w:val="006B58EE"/>
    <w:rsid w:val="006B612B"/>
    <w:rsid w:val="006B6148"/>
    <w:rsid w:val="006B63AC"/>
    <w:rsid w:val="006B655C"/>
    <w:rsid w:val="006B66AB"/>
    <w:rsid w:val="006B6D85"/>
    <w:rsid w:val="006B6DD0"/>
    <w:rsid w:val="006B706E"/>
    <w:rsid w:val="006B7948"/>
    <w:rsid w:val="006B7B71"/>
    <w:rsid w:val="006B7D0F"/>
    <w:rsid w:val="006C016F"/>
    <w:rsid w:val="006C0380"/>
    <w:rsid w:val="006C038E"/>
    <w:rsid w:val="006C0399"/>
    <w:rsid w:val="006C09B8"/>
    <w:rsid w:val="006C119F"/>
    <w:rsid w:val="006C1C55"/>
    <w:rsid w:val="006C1E5B"/>
    <w:rsid w:val="006C2687"/>
    <w:rsid w:val="006C28D1"/>
    <w:rsid w:val="006C2A8E"/>
    <w:rsid w:val="006C31F9"/>
    <w:rsid w:val="006C3255"/>
    <w:rsid w:val="006C32D7"/>
    <w:rsid w:val="006C3F26"/>
    <w:rsid w:val="006C418E"/>
    <w:rsid w:val="006C4267"/>
    <w:rsid w:val="006C4500"/>
    <w:rsid w:val="006C4FD6"/>
    <w:rsid w:val="006C5279"/>
    <w:rsid w:val="006C5A9E"/>
    <w:rsid w:val="006C5D6C"/>
    <w:rsid w:val="006C63A6"/>
    <w:rsid w:val="006C6528"/>
    <w:rsid w:val="006C6534"/>
    <w:rsid w:val="006C653D"/>
    <w:rsid w:val="006C6760"/>
    <w:rsid w:val="006C68C0"/>
    <w:rsid w:val="006C6C01"/>
    <w:rsid w:val="006C7A4D"/>
    <w:rsid w:val="006C7BF3"/>
    <w:rsid w:val="006C7CCF"/>
    <w:rsid w:val="006C7CD5"/>
    <w:rsid w:val="006C7D13"/>
    <w:rsid w:val="006C7DC5"/>
    <w:rsid w:val="006D03B0"/>
    <w:rsid w:val="006D0423"/>
    <w:rsid w:val="006D0436"/>
    <w:rsid w:val="006D075E"/>
    <w:rsid w:val="006D0BC3"/>
    <w:rsid w:val="006D0D17"/>
    <w:rsid w:val="006D10B0"/>
    <w:rsid w:val="006D14A2"/>
    <w:rsid w:val="006D2228"/>
    <w:rsid w:val="006D2359"/>
    <w:rsid w:val="006D3910"/>
    <w:rsid w:val="006D3C7D"/>
    <w:rsid w:val="006D42FB"/>
    <w:rsid w:val="006D4659"/>
    <w:rsid w:val="006D4691"/>
    <w:rsid w:val="006D4926"/>
    <w:rsid w:val="006D5331"/>
    <w:rsid w:val="006D58B5"/>
    <w:rsid w:val="006D5D01"/>
    <w:rsid w:val="006D5D5F"/>
    <w:rsid w:val="006D616A"/>
    <w:rsid w:val="006D6324"/>
    <w:rsid w:val="006D67D6"/>
    <w:rsid w:val="006D6840"/>
    <w:rsid w:val="006D68FB"/>
    <w:rsid w:val="006D6DDB"/>
    <w:rsid w:val="006D6DFC"/>
    <w:rsid w:val="006D747C"/>
    <w:rsid w:val="006D77F5"/>
    <w:rsid w:val="006E0A0C"/>
    <w:rsid w:val="006E0B6B"/>
    <w:rsid w:val="006E1666"/>
    <w:rsid w:val="006E1C9B"/>
    <w:rsid w:val="006E1D95"/>
    <w:rsid w:val="006E2868"/>
    <w:rsid w:val="006E2B25"/>
    <w:rsid w:val="006E2C9C"/>
    <w:rsid w:val="006E2CE3"/>
    <w:rsid w:val="006E2CEE"/>
    <w:rsid w:val="006E2ECB"/>
    <w:rsid w:val="006E2EFB"/>
    <w:rsid w:val="006E2F15"/>
    <w:rsid w:val="006E3812"/>
    <w:rsid w:val="006E3D8C"/>
    <w:rsid w:val="006E3F42"/>
    <w:rsid w:val="006E43D7"/>
    <w:rsid w:val="006E45F2"/>
    <w:rsid w:val="006E49F6"/>
    <w:rsid w:val="006E4DAE"/>
    <w:rsid w:val="006E5D0D"/>
    <w:rsid w:val="006E62D2"/>
    <w:rsid w:val="006E68E5"/>
    <w:rsid w:val="006E6924"/>
    <w:rsid w:val="006E6FCB"/>
    <w:rsid w:val="006E726D"/>
    <w:rsid w:val="006E7B2B"/>
    <w:rsid w:val="006E7F13"/>
    <w:rsid w:val="006F01FF"/>
    <w:rsid w:val="006F05C9"/>
    <w:rsid w:val="006F07C5"/>
    <w:rsid w:val="006F0E92"/>
    <w:rsid w:val="006F106D"/>
    <w:rsid w:val="006F14FE"/>
    <w:rsid w:val="006F1571"/>
    <w:rsid w:val="006F264F"/>
    <w:rsid w:val="006F2B0A"/>
    <w:rsid w:val="006F2ECE"/>
    <w:rsid w:val="006F306C"/>
    <w:rsid w:val="006F415B"/>
    <w:rsid w:val="006F4C04"/>
    <w:rsid w:val="006F580F"/>
    <w:rsid w:val="006F598D"/>
    <w:rsid w:val="006F6112"/>
    <w:rsid w:val="006F612A"/>
    <w:rsid w:val="006F63A5"/>
    <w:rsid w:val="006F7022"/>
    <w:rsid w:val="006F7298"/>
    <w:rsid w:val="006F7424"/>
    <w:rsid w:val="006F7CB7"/>
    <w:rsid w:val="006F7F83"/>
    <w:rsid w:val="0070008C"/>
    <w:rsid w:val="00700330"/>
    <w:rsid w:val="007005E8"/>
    <w:rsid w:val="00700964"/>
    <w:rsid w:val="00700D1D"/>
    <w:rsid w:val="007010CA"/>
    <w:rsid w:val="0070142B"/>
    <w:rsid w:val="0070149D"/>
    <w:rsid w:val="0070196C"/>
    <w:rsid w:val="00701A23"/>
    <w:rsid w:val="00701C3E"/>
    <w:rsid w:val="00701F1E"/>
    <w:rsid w:val="007021CF"/>
    <w:rsid w:val="00702627"/>
    <w:rsid w:val="0070276E"/>
    <w:rsid w:val="00702945"/>
    <w:rsid w:val="00702BE5"/>
    <w:rsid w:val="00702CBA"/>
    <w:rsid w:val="00702DC9"/>
    <w:rsid w:val="00702E2F"/>
    <w:rsid w:val="00702F8F"/>
    <w:rsid w:val="00704875"/>
    <w:rsid w:val="00704ABD"/>
    <w:rsid w:val="00704FC3"/>
    <w:rsid w:val="007050B2"/>
    <w:rsid w:val="0070573D"/>
    <w:rsid w:val="007058B6"/>
    <w:rsid w:val="0070599F"/>
    <w:rsid w:val="00705CF0"/>
    <w:rsid w:val="00705FBE"/>
    <w:rsid w:val="007061EB"/>
    <w:rsid w:val="007072F1"/>
    <w:rsid w:val="007079FC"/>
    <w:rsid w:val="00710360"/>
    <w:rsid w:val="00710612"/>
    <w:rsid w:val="00710863"/>
    <w:rsid w:val="00710ED9"/>
    <w:rsid w:val="0071105F"/>
    <w:rsid w:val="007113F9"/>
    <w:rsid w:val="007114C1"/>
    <w:rsid w:val="00711A36"/>
    <w:rsid w:val="00711BA3"/>
    <w:rsid w:val="00711C3A"/>
    <w:rsid w:val="00711D04"/>
    <w:rsid w:val="00712034"/>
    <w:rsid w:val="007125D3"/>
    <w:rsid w:val="007125E4"/>
    <w:rsid w:val="007129BA"/>
    <w:rsid w:val="00713356"/>
    <w:rsid w:val="007137A1"/>
    <w:rsid w:val="007138C4"/>
    <w:rsid w:val="0071390F"/>
    <w:rsid w:val="00713E4F"/>
    <w:rsid w:val="0071404B"/>
    <w:rsid w:val="00714679"/>
    <w:rsid w:val="00714C26"/>
    <w:rsid w:val="00714DD3"/>
    <w:rsid w:val="007150B9"/>
    <w:rsid w:val="00715190"/>
    <w:rsid w:val="007151DA"/>
    <w:rsid w:val="0071529C"/>
    <w:rsid w:val="00715CEE"/>
    <w:rsid w:val="00715D00"/>
    <w:rsid w:val="0071639D"/>
    <w:rsid w:val="00716832"/>
    <w:rsid w:val="00716A5E"/>
    <w:rsid w:val="00716AF7"/>
    <w:rsid w:val="0071706F"/>
    <w:rsid w:val="007170DA"/>
    <w:rsid w:val="00717270"/>
    <w:rsid w:val="007172AD"/>
    <w:rsid w:val="00717546"/>
    <w:rsid w:val="007175E4"/>
    <w:rsid w:val="00717897"/>
    <w:rsid w:val="007179B6"/>
    <w:rsid w:val="00717CAA"/>
    <w:rsid w:val="00717EE4"/>
    <w:rsid w:val="007206F9"/>
    <w:rsid w:val="00720801"/>
    <w:rsid w:val="00720845"/>
    <w:rsid w:val="00720992"/>
    <w:rsid w:val="0072109D"/>
    <w:rsid w:val="007220B8"/>
    <w:rsid w:val="00722370"/>
    <w:rsid w:val="00722933"/>
    <w:rsid w:val="00722B1B"/>
    <w:rsid w:val="00722B91"/>
    <w:rsid w:val="00723317"/>
    <w:rsid w:val="0072344E"/>
    <w:rsid w:val="00723577"/>
    <w:rsid w:val="00723611"/>
    <w:rsid w:val="00723DA1"/>
    <w:rsid w:val="0072416F"/>
    <w:rsid w:val="0072488A"/>
    <w:rsid w:val="007249F4"/>
    <w:rsid w:val="00724B0C"/>
    <w:rsid w:val="00724C9A"/>
    <w:rsid w:val="00725CFC"/>
    <w:rsid w:val="00726DE4"/>
    <w:rsid w:val="00726E96"/>
    <w:rsid w:val="0072752D"/>
    <w:rsid w:val="007279F1"/>
    <w:rsid w:val="00727A27"/>
    <w:rsid w:val="00727C94"/>
    <w:rsid w:val="00727FE9"/>
    <w:rsid w:val="00730A91"/>
    <w:rsid w:val="00730B2E"/>
    <w:rsid w:val="00730B5A"/>
    <w:rsid w:val="00730B6D"/>
    <w:rsid w:val="00731197"/>
    <w:rsid w:val="00731AA7"/>
    <w:rsid w:val="00731B0A"/>
    <w:rsid w:val="00731EAE"/>
    <w:rsid w:val="00732F71"/>
    <w:rsid w:val="00733073"/>
    <w:rsid w:val="007335EF"/>
    <w:rsid w:val="00733CA4"/>
    <w:rsid w:val="00733EF8"/>
    <w:rsid w:val="007340B4"/>
    <w:rsid w:val="00734145"/>
    <w:rsid w:val="00734412"/>
    <w:rsid w:val="00734597"/>
    <w:rsid w:val="00734620"/>
    <w:rsid w:val="00734855"/>
    <w:rsid w:val="00734886"/>
    <w:rsid w:val="00734B87"/>
    <w:rsid w:val="00734BC1"/>
    <w:rsid w:val="00734CCA"/>
    <w:rsid w:val="00734D75"/>
    <w:rsid w:val="00735033"/>
    <w:rsid w:val="00735112"/>
    <w:rsid w:val="00735328"/>
    <w:rsid w:val="00735514"/>
    <w:rsid w:val="00735C4C"/>
    <w:rsid w:val="0073685B"/>
    <w:rsid w:val="00736878"/>
    <w:rsid w:val="00736A92"/>
    <w:rsid w:val="00736B0D"/>
    <w:rsid w:val="00736B1C"/>
    <w:rsid w:val="00736C19"/>
    <w:rsid w:val="00736CB7"/>
    <w:rsid w:val="00736FE4"/>
    <w:rsid w:val="0073754D"/>
    <w:rsid w:val="00737A05"/>
    <w:rsid w:val="00737CD5"/>
    <w:rsid w:val="00737E60"/>
    <w:rsid w:val="007402C6"/>
    <w:rsid w:val="0074065D"/>
    <w:rsid w:val="00740FE4"/>
    <w:rsid w:val="00741009"/>
    <w:rsid w:val="00741B06"/>
    <w:rsid w:val="00741D3B"/>
    <w:rsid w:val="0074301B"/>
    <w:rsid w:val="0074346C"/>
    <w:rsid w:val="0074347B"/>
    <w:rsid w:val="007436A3"/>
    <w:rsid w:val="007436A5"/>
    <w:rsid w:val="0074396E"/>
    <w:rsid w:val="00744122"/>
    <w:rsid w:val="00744284"/>
    <w:rsid w:val="00744995"/>
    <w:rsid w:val="007449BF"/>
    <w:rsid w:val="007451D7"/>
    <w:rsid w:val="00746394"/>
    <w:rsid w:val="007463FE"/>
    <w:rsid w:val="007464B8"/>
    <w:rsid w:val="0074652F"/>
    <w:rsid w:val="00746776"/>
    <w:rsid w:val="00746BC0"/>
    <w:rsid w:val="00746E10"/>
    <w:rsid w:val="0074738B"/>
    <w:rsid w:val="0074749B"/>
    <w:rsid w:val="00747DB2"/>
    <w:rsid w:val="00747DC5"/>
    <w:rsid w:val="00747F17"/>
    <w:rsid w:val="0075032B"/>
    <w:rsid w:val="00750683"/>
    <w:rsid w:val="00750C0A"/>
    <w:rsid w:val="00750D16"/>
    <w:rsid w:val="00750FCF"/>
    <w:rsid w:val="0075104E"/>
    <w:rsid w:val="007510B4"/>
    <w:rsid w:val="007513DC"/>
    <w:rsid w:val="00751A49"/>
    <w:rsid w:val="00751F55"/>
    <w:rsid w:val="00752142"/>
    <w:rsid w:val="007523F9"/>
    <w:rsid w:val="00752CA1"/>
    <w:rsid w:val="007532EA"/>
    <w:rsid w:val="007534A4"/>
    <w:rsid w:val="0075357E"/>
    <w:rsid w:val="00753749"/>
    <w:rsid w:val="00753B29"/>
    <w:rsid w:val="007542BF"/>
    <w:rsid w:val="0075438F"/>
    <w:rsid w:val="00754852"/>
    <w:rsid w:val="00754CC9"/>
    <w:rsid w:val="00754FE4"/>
    <w:rsid w:val="00755028"/>
    <w:rsid w:val="007555C6"/>
    <w:rsid w:val="00755634"/>
    <w:rsid w:val="00755F56"/>
    <w:rsid w:val="007568C3"/>
    <w:rsid w:val="0075698D"/>
    <w:rsid w:val="00756AF0"/>
    <w:rsid w:val="00756F08"/>
    <w:rsid w:val="007571FA"/>
    <w:rsid w:val="007573E8"/>
    <w:rsid w:val="0075751C"/>
    <w:rsid w:val="00757F6E"/>
    <w:rsid w:val="007601C2"/>
    <w:rsid w:val="007602C1"/>
    <w:rsid w:val="00760824"/>
    <w:rsid w:val="007608E8"/>
    <w:rsid w:val="00760BE8"/>
    <w:rsid w:val="00760C4E"/>
    <w:rsid w:val="00760F9E"/>
    <w:rsid w:val="007616E6"/>
    <w:rsid w:val="00762336"/>
    <w:rsid w:val="007627BE"/>
    <w:rsid w:val="00762AA0"/>
    <w:rsid w:val="00762BB4"/>
    <w:rsid w:val="00762CBD"/>
    <w:rsid w:val="0076303A"/>
    <w:rsid w:val="00763097"/>
    <w:rsid w:val="007634A5"/>
    <w:rsid w:val="007638B6"/>
    <w:rsid w:val="00763916"/>
    <w:rsid w:val="00763B76"/>
    <w:rsid w:val="00763F86"/>
    <w:rsid w:val="00764A08"/>
    <w:rsid w:val="00764F03"/>
    <w:rsid w:val="00764FE5"/>
    <w:rsid w:val="00765283"/>
    <w:rsid w:val="00765B1A"/>
    <w:rsid w:val="00765BFA"/>
    <w:rsid w:val="00765DC1"/>
    <w:rsid w:val="00765F54"/>
    <w:rsid w:val="00766AEC"/>
    <w:rsid w:val="007674D0"/>
    <w:rsid w:val="00767F5B"/>
    <w:rsid w:val="007703B1"/>
    <w:rsid w:val="00770F2C"/>
    <w:rsid w:val="00770FAF"/>
    <w:rsid w:val="00771B9A"/>
    <w:rsid w:val="00771C7A"/>
    <w:rsid w:val="00771E42"/>
    <w:rsid w:val="0077267F"/>
    <w:rsid w:val="00772B46"/>
    <w:rsid w:val="00772DA6"/>
    <w:rsid w:val="00772E5F"/>
    <w:rsid w:val="0077335B"/>
    <w:rsid w:val="007735FA"/>
    <w:rsid w:val="00774608"/>
    <w:rsid w:val="0077468B"/>
    <w:rsid w:val="00774FA3"/>
    <w:rsid w:val="00775035"/>
    <w:rsid w:val="007751F2"/>
    <w:rsid w:val="0077572A"/>
    <w:rsid w:val="0077595B"/>
    <w:rsid w:val="00775B4C"/>
    <w:rsid w:val="00775D89"/>
    <w:rsid w:val="00776A29"/>
    <w:rsid w:val="00776E82"/>
    <w:rsid w:val="00776F69"/>
    <w:rsid w:val="00777335"/>
    <w:rsid w:val="007773A6"/>
    <w:rsid w:val="00777DBD"/>
    <w:rsid w:val="00780552"/>
    <w:rsid w:val="00780C75"/>
    <w:rsid w:val="00781030"/>
    <w:rsid w:val="00781F84"/>
    <w:rsid w:val="007821EB"/>
    <w:rsid w:val="00782467"/>
    <w:rsid w:val="0078246A"/>
    <w:rsid w:val="00782926"/>
    <w:rsid w:val="0078364D"/>
    <w:rsid w:val="00783655"/>
    <w:rsid w:val="007838A4"/>
    <w:rsid w:val="00783913"/>
    <w:rsid w:val="007843F2"/>
    <w:rsid w:val="007846FA"/>
    <w:rsid w:val="00784974"/>
    <w:rsid w:val="00784DB2"/>
    <w:rsid w:val="00784E69"/>
    <w:rsid w:val="00784EA8"/>
    <w:rsid w:val="00785160"/>
    <w:rsid w:val="007853E5"/>
    <w:rsid w:val="0078598E"/>
    <w:rsid w:val="00785A32"/>
    <w:rsid w:val="00785A9F"/>
    <w:rsid w:val="00785DD0"/>
    <w:rsid w:val="007861BA"/>
    <w:rsid w:val="007866A3"/>
    <w:rsid w:val="00786C5C"/>
    <w:rsid w:val="00786E0B"/>
    <w:rsid w:val="00787199"/>
    <w:rsid w:val="007876E5"/>
    <w:rsid w:val="00787C7F"/>
    <w:rsid w:val="00790388"/>
    <w:rsid w:val="007904B0"/>
    <w:rsid w:val="007906F2"/>
    <w:rsid w:val="00790796"/>
    <w:rsid w:val="00790D29"/>
    <w:rsid w:val="0079172B"/>
    <w:rsid w:val="00791A4B"/>
    <w:rsid w:val="00791C53"/>
    <w:rsid w:val="00791F5A"/>
    <w:rsid w:val="00792367"/>
    <w:rsid w:val="007925DF"/>
    <w:rsid w:val="00794DD4"/>
    <w:rsid w:val="0079544F"/>
    <w:rsid w:val="007959DB"/>
    <w:rsid w:val="00795E6A"/>
    <w:rsid w:val="0079680A"/>
    <w:rsid w:val="00797309"/>
    <w:rsid w:val="00797D98"/>
    <w:rsid w:val="00797DC9"/>
    <w:rsid w:val="007A001A"/>
    <w:rsid w:val="007A08AA"/>
    <w:rsid w:val="007A0A12"/>
    <w:rsid w:val="007A0A70"/>
    <w:rsid w:val="007A0AB8"/>
    <w:rsid w:val="007A0ADC"/>
    <w:rsid w:val="007A1128"/>
    <w:rsid w:val="007A132D"/>
    <w:rsid w:val="007A1345"/>
    <w:rsid w:val="007A16A9"/>
    <w:rsid w:val="007A1764"/>
    <w:rsid w:val="007A2DDB"/>
    <w:rsid w:val="007A2F8C"/>
    <w:rsid w:val="007A3083"/>
    <w:rsid w:val="007A354F"/>
    <w:rsid w:val="007A3CE2"/>
    <w:rsid w:val="007A476A"/>
    <w:rsid w:val="007A4886"/>
    <w:rsid w:val="007A49B3"/>
    <w:rsid w:val="007A5075"/>
    <w:rsid w:val="007A5163"/>
    <w:rsid w:val="007A53E9"/>
    <w:rsid w:val="007A57A9"/>
    <w:rsid w:val="007A58BB"/>
    <w:rsid w:val="007A5D8C"/>
    <w:rsid w:val="007A63DA"/>
    <w:rsid w:val="007A6E5F"/>
    <w:rsid w:val="007A6FA2"/>
    <w:rsid w:val="007A7015"/>
    <w:rsid w:val="007A70BA"/>
    <w:rsid w:val="007A7B24"/>
    <w:rsid w:val="007A7E3B"/>
    <w:rsid w:val="007B0D68"/>
    <w:rsid w:val="007B127B"/>
    <w:rsid w:val="007B1FD9"/>
    <w:rsid w:val="007B251D"/>
    <w:rsid w:val="007B26E7"/>
    <w:rsid w:val="007B30EA"/>
    <w:rsid w:val="007B31BE"/>
    <w:rsid w:val="007B3533"/>
    <w:rsid w:val="007B38EA"/>
    <w:rsid w:val="007B3977"/>
    <w:rsid w:val="007B3B62"/>
    <w:rsid w:val="007B3BDB"/>
    <w:rsid w:val="007B4740"/>
    <w:rsid w:val="007B4947"/>
    <w:rsid w:val="007B4F58"/>
    <w:rsid w:val="007B50A8"/>
    <w:rsid w:val="007B51F8"/>
    <w:rsid w:val="007B5213"/>
    <w:rsid w:val="007B528D"/>
    <w:rsid w:val="007B552E"/>
    <w:rsid w:val="007B59F9"/>
    <w:rsid w:val="007B5CD8"/>
    <w:rsid w:val="007B5D99"/>
    <w:rsid w:val="007B5F66"/>
    <w:rsid w:val="007B63CA"/>
    <w:rsid w:val="007B644D"/>
    <w:rsid w:val="007B6B4C"/>
    <w:rsid w:val="007B6D61"/>
    <w:rsid w:val="007B6F29"/>
    <w:rsid w:val="007B77D1"/>
    <w:rsid w:val="007C015F"/>
    <w:rsid w:val="007C0306"/>
    <w:rsid w:val="007C074F"/>
    <w:rsid w:val="007C07C7"/>
    <w:rsid w:val="007C0AC6"/>
    <w:rsid w:val="007C0B10"/>
    <w:rsid w:val="007C1B56"/>
    <w:rsid w:val="007C1BAC"/>
    <w:rsid w:val="007C1CD9"/>
    <w:rsid w:val="007C1E74"/>
    <w:rsid w:val="007C2185"/>
    <w:rsid w:val="007C279D"/>
    <w:rsid w:val="007C2A3F"/>
    <w:rsid w:val="007C32EF"/>
    <w:rsid w:val="007C361D"/>
    <w:rsid w:val="007C3864"/>
    <w:rsid w:val="007C42E1"/>
    <w:rsid w:val="007C4B84"/>
    <w:rsid w:val="007C4BE4"/>
    <w:rsid w:val="007C4C25"/>
    <w:rsid w:val="007C4CFC"/>
    <w:rsid w:val="007C50F9"/>
    <w:rsid w:val="007C558E"/>
    <w:rsid w:val="007C55B8"/>
    <w:rsid w:val="007C5728"/>
    <w:rsid w:val="007C5C34"/>
    <w:rsid w:val="007C5D23"/>
    <w:rsid w:val="007C5D41"/>
    <w:rsid w:val="007C69FD"/>
    <w:rsid w:val="007C6CA9"/>
    <w:rsid w:val="007C6CD0"/>
    <w:rsid w:val="007C70FF"/>
    <w:rsid w:val="007C7C25"/>
    <w:rsid w:val="007D004F"/>
    <w:rsid w:val="007D01BF"/>
    <w:rsid w:val="007D035F"/>
    <w:rsid w:val="007D0457"/>
    <w:rsid w:val="007D06B2"/>
    <w:rsid w:val="007D0B38"/>
    <w:rsid w:val="007D13D2"/>
    <w:rsid w:val="007D1682"/>
    <w:rsid w:val="007D18DE"/>
    <w:rsid w:val="007D1B10"/>
    <w:rsid w:val="007D1B4D"/>
    <w:rsid w:val="007D1F81"/>
    <w:rsid w:val="007D2119"/>
    <w:rsid w:val="007D2561"/>
    <w:rsid w:val="007D2A4F"/>
    <w:rsid w:val="007D2A8B"/>
    <w:rsid w:val="007D2A8E"/>
    <w:rsid w:val="007D2F16"/>
    <w:rsid w:val="007D2FDA"/>
    <w:rsid w:val="007D368D"/>
    <w:rsid w:val="007D4433"/>
    <w:rsid w:val="007D4519"/>
    <w:rsid w:val="007D4633"/>
    <w:rsid w:val="007D46A9"/>
    <w:rsid w:val="007D4A32"/>
    <w:rsid w:val="007D4AE9"/>
    <w:rsid w:val="007D52B2"/>
    <w:rsid w:val="007D5440"/>
    <w:rsid w:val="007D54BE"/>
    <w:rsid w:val="007D56F1"/>
    <w:rsid w:val="007D5E61"/>
    <w:rsid w:val="007D5FA2"/>
    <w:rsid w:val="007D649B"/>
    <w:rsid w:val="007D65AA"/>
    <w:rsid w:val="007D66CB"/>
    <w:rsid w:val="007D69EB"/>
    <w:rsid w:val="007D6B39"/>
    <w:rsid w:val="007D6FF7"/>
    <w:rsid w:val="007D7211"/>
    <w:rsid w:val="007D7356"/>
    <w:rsid w:val="007D76E6"/>
    <w:rsid w:val="007D7739"/>
    <w:rsid w:val="007D7B1E"/>
    <w:rsid w:val="007D7E19"/>
    <w:rsid w:val="007E0F55"/>
    <w:rsid w:val="007E1038"/>
    <w:rsid w:val="007E10E0"/>
    <w:rsid w:val="007E1149"/>
    <w:rsid w:val="007E128F"/>
    <w:rsid w:val="007E1AEA"/>
    <w:rsid w:val="007E1D08"/>
    <w:rsid w:val="007E2428"/>
    <w:rsid w:val="007E33F1"/>
    <w:rsid w:val="007E3461"/>
    <w:rsid w:val="007E3717"/>
    <w:rsid w:val="007E3778"/>
    <w:rsid w:val="007E3DFD"/>
    <w:rsid w:val="007E3E29"/>
    <w:rsid w:val="007E4AD4"/>
    <w:rsid w:val="007E4DDB"/>
    <w:rsid w:val="007E51D5"/>
    <w:rsid w:val="007E536A"/>
    <w:rsid w:val="007E59E6"/>
    <w:rsid w:val="007E5B27"/>
    <w:rsid w:val="007E5F95"/>
    <w:rsid w:val="007E633B"/>
    <w:rsid w:val="007E6385"/>
    <w:rsid w:val="007E68A0"/>
    <w:rsid w:val="007E6DD4"/>
    <w:rsid w:val="007E7020"/>
    <w:rsid w:val="007E7268"/>
    <w:rsid w:val="007E7676"/>
    <w:rsid w:val="007E7797"/>
    <w:rsid w:val="007E77A0"/>
    <w:rsid w:val="007E7B67"/>
    <w:rsid w:val="007E7F4C"/>
    <w:rsid w:val="007F02EA"/>
    <w:rsid w:val="007F0868"/>
    <w:rsid w:val="007F0C75"/>
    <w:rsid w:val="007F1017"/>
    <w:rsid w:val="007F1FA3"/>
    <w:rsid w:val="007F1FD2"/>
    <w:rsid w:val="007F2422"/>
    <w:rsid w:val="007F2546"/>
    <w:rsid w:val="007F33F5"/>
    <w:rsid w:val="007F3FEC"/>
    <w:rsid w:val="007F4329"/>
    <w:rsid w:val="007F48B1"/>
    <w:rsid w:val="007F496F"/>
    <w:rsid w:val="007F49B1"/>
    <w:rsid w:val="007F49CA"/>
    <w:rsid w:val="007F4A3F"/>
    <w:rsid w:val="007F4A61"/>
    <w:rsid w:val="007F4AE1"/>
    <w:rsid w:val="007F4E01"/>
    <w:rsid w:val="007F5255"/>
    <w:rsid w:val="007F552E"/>
    <w:rsid w:val="007F56CC"/>
    <w:rsid w:val="007F57D4"/>
    <w:rsid w:val="007F6110"/>
    <w:rsid w:val="007F61C2"/>
    <w:rsid w:val="007F6C81"/>
    <w:rsid w:val="007F6C85"/>
    <w:rsid w:val="007F706A"/>
    <w:rsid w:val="007F712F"/>
    <w:rsid w:val="007F7294"/>
    <w:rsid w:val="007F7DFA"/>
    <w:rsid w:val="008000AE"/>
    <w:rsid w:val="008000F3"/>
    <w:rsid w:val="00800963"/>
    <w:rsid w:val="00800F75"/>
    <w:rsid w:val="0080198C"/>
    <w:rsid w:val="00801CD8"/>
    <w:rsid w:val="00802621"/>
    <w:rsid w:val="008026EF"/>
    <w:rsid w:val="00802F11"/>
    <w:rsid w:val="008038EC"/>
    <w:rsid w:val="00803A36"/>
    <w:rsid w:val="00803A4B"/>
    <w:rsid w:val="00803A72"/>
    <w:rsid w:val="00803B01"/>
    <w:rsid w:val="00803F4C"/>
    <w:rsid w:val="00804DD8"/>
    <w:rsid w:val="00804DED"/>
    <w:rsid w:val="00804E4D"/>
    <w:rsid w:val="00805142"/>
    <w:rsid w:val="00805612"/>
    <w:rsid w:val="0080566B"/>
    <w:rsid w:val="00805811"/>
    <w:rsid w:val="0080594F"/>
    <w:rsid w:val="00805D0F"/>
    <w:rsid w:val="00805FCE"/>
    <w:rsid w:val="0080632D"/>
    <w:rsid w:val="0080686B"/>
    <w:rsid w:val="008068B8"/>
    <w:rsid w:val="00806C48"/>
    <w:rsid w:val="00806D03"/>
    <w:rsid w:val="00807775"/>
    <w:rsid w:val="00807A8B"/>
    <w:rsid w:val="00807B69"/>
    <w:rsid w:val="008101D0"/>
    <w:rsid w:val="00810462"/>
    <w:rsid w:val="008111A3"/>
    <w:rsid w:val="00811383"/>
    <w:rsid w:val="0081150B"/>
    <w:rsid w:val="00811B0C"/>
    <w:rsid w:val="00811C47"/>
    <w:rsid w:val="008120EA"/>
    <w:rsid w:val="00812149"/>
    <w:rsid w:val="00812413"/>
    <w:rsid w:val="0081283D"/>
    <w:rsid w:val="0081293B"/>
    <w:rsid w:val="00812CAC"/>
    <w:rsid w:val="00813B71"/>
    <w:rsid w:val="00813C4F"/>
    <w:rsid w:val="00813D8A"/>
    <w:rsid w:val="00813E42"/>
    <w:rsid w:val="0081415A"/>
    <w:rsid w:val="00814E95"/>
    <w:rsid w:val="00814FFF"/>
    <w:rsid w:val="0081510D"/>
    <w:rsid w:val="00815D7A"/>
    <w:rsid w:val="00816361"/>
    <w:rsid w:val="0081659B"/>
    <w:rsid w:val="008166EF"/>
    <w:rsid w:val="0081671E"/>
    <w:rsid w:val="00816BD8"/>
    <w:rsid w:val="00816FEF"/>
    <w:rsid w:val="00817348"/>
    <w:rsid w:val="008175AB"/>
    <w:rsid w:val="008176B6"/>
    <w:rsid w:val="00817792"/>
    <w:rsid w:val="00817799"/>
    <w:rsid w:val="00820117"/>
    <w:rsid w:val="008203A7"/>
    <w:rsid w:val="0082099B"/>
    <w:rsid w:val="00820A8C"/>
    <w:rsid w:val="00820C65"/>
    <w:rsid w:val="00820DB7"/>
    <w:rsid w:val="008211E0"/>
    <w:rsid w:val="00821520"/>
    <w:rsid w:val="008215FB"/>
    <w:rsid w:val="008218AC"/>
    <w:rsid w:val="008219F7"/>
    <w:rsid w:val="008220CC"/>
    <w:rsid w:val="00822149"/>
    <w:rsid w:val="00822235"/>
    <w:rsid w:val="008224F6"/>
    <w:rsid w:val="00822A06"/>
    <w:rsid w:val="00822A10"/>
    <w:rsid w:val="00822EEA"/>
    <w:rsid w:val="00823174"/>
    <w:rsid w:val="00823505"/>
    <w:rsid w:val="008237B2"/>
    <w:rsid w:val="00823D3B"/>
    <w:rsid w:val="0082425B"/>
    <w:rsid w:val="00824EDC"/>
    <w:rsid w:val="00825751"/>
    <w:rsid w:val="008261A1"/>
    <w:rsid w:val="008264EB"/>
    <w:rsid w:val="008268CE"/>
    <w:rsid w:val="00827865"/>
    <w:rsid w:val="00827C23"/>
    <w:rsid w:val="00827CF6"/>
    <w:rsid w:val="00830083"/>
    <w:rsid w:val="008308F4"/>
    <w:rsid w:val="00830EE4"/>
    <w:rsid w:val="0083171C"/>
    <w:rsid w:val="00831A9B"/>
    <w:rsid w:val="008325D9"/>
    <w:rsid w:val="00832D2F"/>
    <w:rsid w:val="00833288"/>
    <w:rsid w:val="00833AC6"/>
    <w:rsid w:val="00833B05"/>
    <w:rsid w:val="00833B7D"/>
    <w:rsid w:val="00833E08"/>
    <w:rsid w:val="00833E72"/>
    <w:rsid w:val="00834A94"/>
    <w:rsid w:val="00835417"/>
    <w:rsid w:val="008355F8"/>
    <w:rsid w:val="00835644"/>
    <w:rsid w:val="008356CF"/>
    <w:rsid w:val="008357B5"/>
    <w:rsid w:val="00835825"/>
    <w:rsid w:val="00835908"/>
    <w:rsid w:val="00835DA6"/>
    <w:rsid w:val="00835E96"/>
    <w:rsid w:val="008362B4"/>
    <w:rsid w:val="008366F1"/>
    <w:rsid w:val="008369FD"/>
    <w:rsid w:val="00836FC8"/>
    <w:rsid w:val="008402B0"/>
    <w:rsid w:val="008405AB"/>
    <w:rsid w:val="00840CA2"/>
    <w:rsid w:val="00840EC7"/>
    <w:rsid w:val="0084118A"/>
    <w:rsid w:val="008417DA"/>
    <w:rsid w:val="00841917"/>
    <w:rsid w:val="0084206B"/>
    <w:rsid w:val="008429BA"/>
    <w:rsid w:val="00842C70"/>
    <w:rsid w:val="00842F43"/>
    <w:rsid w:val="0084339C"/>
    <w:rsid w:val="0084374F"/>
    <w:rsid w:val="00844A22"/>
    <w:rsid w:val="0084566E"/>
    <w:rsid w:val="00845A68"/>
    <w:rsid w:val="00845B21"/>
    <w:rsid w:val="00846567"/>
    <w:rsid w:val="0084675E"/>
    <w:rsid w:val="008469EE"/>
    <w:rsid w:val="00846A33"/>
    <w:rsid w:val="00846F3C"/>
    <w:rsid w:val="00847697"/>
    <w:rsid w:val="00847703"/>
    <w:rsid w:val="00847782"/>
    <w:rsid w:val="00847DF5"/>
    <w:rsid w:val="00847F24"/>
    <w:rsid w:val="00850EB2"/>
    <w:rsid w:val="00850ECA"/>
    <w:rsid w:val="00850FB8"/>
    <w:rsid w:val="00851049"/>
    <w:rsid w:val="00851107"/>
    <w:rsid w:val="00851C38"/>
    <w:rsid w:val="00851D1B"/>
    <w:rsid w:val="00852275"/>
    <w:rsid w:val="008525D6"/>
    <w:rsid w:val="00852A08"/>
    <w:rsid w:val="00852C22"/>
    <w:rsid w:val="00852CD7"/>
    <w:rsid w:val="0085309D"/>
    <w:rsid w:val="00853A33"/>
    <w:rsid w:val="00853DC6"/>
    <w:rsid w:val="008540C4"/>
    <w:rsid w:val="008547B5"/>
    <w:rsid w:val="00854822"/>
    <w:rsid w:val="00854892"/>
    <w:rsid w:val="00855639"/>
    <w:rsid w:val="00856686"/>
    <w:rsid w:val="00856897"/>
    <w:rsid w:val="008569B7"/>
    <w:rsid w:val="00856C37"/>
    <w:rsid w:val="00856CEA"/>
    <w:rsid w:val="00856E9A"/>
    <w:rsid w:val="00856F55"/>
    <w:rsid w:val="0085707B"/>
    <w:rsid w:val="008575F4"/>
    <w:rsid w:val="00857B63"/>
    <w:rsid w:val="00857D2E"/>
    <w:rsid w:val="0086075D"/>
    <w:rsid w:val="00860F27"/>
    <w:rsid w:val="00861086"/>
    <w:rsid w:val="008610EE"/>
    <w:rsid w:val="00862238"/>
    <w:rsid w:val="00862502"/>
    <w:rsid w:val="00862CC1"/>
    <w:rsid w:val="0086386D"/>
    <w:rsid w:val="00863FF2"/>
    <w:rsid w:val="008642A7"/>
    <w:rsid w:val="00864475"/>
    <w:rsid w:val="00864651"/>
    <w:rsid w:val="00864B47"/>
    <w:rsid w:val="00864B63"/>
    <w:rsid w:val="00864D0A"/>
    <w:rsid w:val="00865A67"/>
    <w:rsid w:val="00865DFC"/>
    <w:rsid w:val="008660D4"/>
    <w:rsid w:val="00866C1A"/>
    <w:rsid w:val="00866ECF"/>
    <w:rsid w:val="008678EC"/>
    <w:rsid w:val="00867B0E"/>
    <w:rsid w:val="00867EE5"/>
    <w:rsid w:val="00867FE6"/>
    <w:rsid w:val="008708FF"/>
    <w:rsid w:val="0087107A"/>
    <w:rsid w:val="008716C5"/>
    <w:rsid w:val="00871857"/>
    <w:rsid w:val="00871944"/>
    <w:rsid w:val="00871D12"/>
    <w:rsid w:val="00871E0B"/>
    <w:rsid w:val="00871EF5"/>
    <w:rsid w:val="00871FA9"/>
    <w:rsid w:val="0087202A"/>
    <w:rsid w:val="008721C1"/>
    <w:rsid w:val="00872277"/>
    <w:rsid w:val="008724C5"/>
    <w:rsid w:val="008728E9"/>
    <w:rsid w:val="00872C17"/>
    <w:rsid w:val="00872EE1"/>
    <w:rsid w:val="00873475"/>
    <w:rsid w:val="00873A6B"/>
    <w:rsid w:val="00873BD7"/>
    <w:rsid w:val="00873D01"/>
    <w:rsid w:val="00873F0D"/>
    <w:rsid w:val="00874190"/>
    <w:rsid w:val="008741E4"/>
    <w:rsid w:val="00874754"/>
    <w:rsid w:val="00874B70"/>
    <w:rsid w:val="00874F67"/>
    <w:rsid w:val="00874FF4"/>
    <w:rsid w:val="008752D3"/>
    <w:rsid w:val="0087539A"/>
    <w:rsid w:val="00875543"/>
    <w:rsid w:val="00875807"/>
    <w:rsid w:val="00875CB9"/>
    <w:rsid w:val="00875EEF"/>
    <w:rsid w:val="00876091"/>
    <w:rsid w:val="008763CF"/>
    <w:rsid w:val="00876450"/>
    <w:rsid w:val="008764E3"/>
    <w:rsid w:val="00876EDA"/>
    <w:rsid w:val="008772A9"/>
    <w:rsid w:val="0087751E"/>
    <w:rsid w:val="00877610"/>
    <w:rsid w:val="008776C6"/>
    <w:rsid w:val="00877CEA"/>
    <w:rsid w:val="008801E6"/>
    <w:rsid w:val="00880250"/>
    <w:rsid w:val="008802C6"/>
    <w:rsid w:val="0088097E"/>
    <w:rsid w:val="00880C39"/>
    <w:rsid w:val="008811C5"/>
    <w:rsid w:val="00881249"/>
    <w:rsid w:val="008812A4"/>
    <w:rsid w:val="0088201D"/>
    <w:rsid w:val="0088225D"/>
    <w:rsid w:val="008823EE"/>
    <w:rsid w:val="008825B5"/>
    <w:rsid w:val="0088278C"/>
    <w:rsid w:val="00882874"/>
    <w:rsid w:val="00882E3C"/>
    <w:rsid w:val="00882E8D"/>
    <w:rsid w:val="00882FCD"/>
    <w:rsid w:val="0088308A"/>
    <w:rsid w:val="00883787"/>
    <w:rsid w:val="00883984"/>
    <w:rsid w:val="00884517"/>
    <w:rsid w:val="008847EC"/>
    <w:rsid w:val="00884BB5"/>
    <w:rsid w:val="00884CCD"/>
    <w:rsid w:val="00884EC6"/>
    <w:rsid w:val="0088503A"/>
    <w:rsid w:val="00885061"/>
    <w:rsid w:val="008853EA"/>
    <w:rsid w:val="008855E4"/>
    <w:rsid w:val="0088560B"/>
    <w:rsid w:val="0088575A"/>
    <w:rsid w:val="008857E1"/>
    <w:rsid w:val="00885ACA"/>
    <w:rsid w:val="00886454"/>
    <w:rsid w:val="008868F6"/>
    <w:rsid w:val="00886CD2"/>
    <w:rsid w:val="0088700F"/>
    <w:rsid w:val="008872D6"/>
    <w:rsid w:val="008873DF"/>
    <w:rsid w:val="00887B39"/>
    <w:rsid w:val="00887C38"/>
    <w:rsid w:val="00887D18"/>
    <w:rsid w:val="008903C9"/>
    <w:rsid w:val="008909E7"/>
    <w:rsid w:val="0089109F"/>
    <w:rsid w:val="008916E5"/>
    <w:rsid w:val="00891E6F"/>
    <w:rsid w:val="0089275D"/>
    <w:rsid w:val="0089299C"/>
    <w:rsid w:val="00892A36"/>
    <w:rsid w:val="00892BEB"/>
    <w:rsid w:val="00892CE3"/>
    <w:rsid w:val="00893239"/>
    <w:rsid w:val="0089330D"/>
    <w:rsid w:val="00893376"/>
    <w:rsid w:val="0089352C"/>
    <w:rsid w:val="008937EF"/>
    <w:rsid w:val="00893FD8"/>
    <w:rsid w:val="008940AF"/>
    <w:rsid w:val="0089420E"/>
    <w:rsid w:val="008942F5"/>
    <w:rsid w:val="00894489"/>
    <w:rsid w:val="00894A76"/>
    <w:rsid w:val="00894CD6"/>
    <w:rsid w:val="00894DA6"/>
    <w:rsid w:val="0089548A"/>
    <w:rsid w:val="00896128"/>
    <w:rsid w:val="008963A5"/>
    <w:rsid w:val="008963FD"/>
    <w:rsid w:val="00896D5D"/>
    <w:rsid w:val="00897244"/>
    <w:rsid w:val="008972D7"/>
    <w:rsid w:val="0089779C"/>
    <w:rsid w:val="00897C8C"/>
    <w:rsid w:val="008A03CE"/>
    <w:rsid w:val="008A0A2B"/>
    <w:rsid w:val="008A1193"/>
    <w:rsid w:val="008A15F9"/>
    <w:rsid w:val="008A1951"/>
    <w:rsid w:val="008A1CFB"/>
    <w:rsid w:val="008A3158"/>
    <w:rsid w:val="008A3363"/>
    <w:rsid w:val="008A3371"/>
    <w:rsid w:val="008A35D1"/>
    <w:rsid w:val="008A36B5"/>
    <w:rsid w:val="008A3C3E"/>
    <w:rsid w:val="008A4112"/>
    <w:rsid w:val="008A4351"/>
    <w:rsid w:val="008A4531"/>
    <w:rsid w:val="008A485E"/>
    <w:rsid w:val="008A4866"/>
    <w:rsid w:val="008A5524"/>
    <w:rsid w:val="008A5528"/>
    <w:rsid w:val="008A55A3"/>
    <w:rsid w:val="008A5F31"/>
    <w:rsid w:val="008A5FA0"/>
    <w:rsid w:val="008A651B"/>
    <w:rsid w:val="008A6559"/>
    <w:rsid w:val="008A6590"/>
    <w:rsid w:val="008A6A16"/>
    <w:rsid w:val="008A6E39"/>
    <w:rsid w:val="008A769E"/>
    <w:rsid w:val="008A79DE"/>
    <w:rsid w:val="008A7C8D"/>
    <w:rsid w:val="008B0037"/>
    <w:rsid w:val="008B070B"/>
    <w:rsid w:val="008B0DDC"/>
    <w:rsid w:val="008B14EA"/>
    <w:rsid w:val="008B1757"/>
    <w:rsid w:val="008B18D1"/>
    <w:rsid w:val="008B1C33"/>
    <w:rsid w:val="008B29EC"/>
    <w:rsid w:val="008B2D48"/>
    <w:rsid w:val="008B3618"/>
    <w:rsid w:val="008B3920"/>
    <w:rsid w:val="008B430D"/>
    <w:rsid w:val="008B4637"/>
    <w:rsid w:val="008B4B6F"/>
    <w:rsid w:val="008B4D22"/>
    <w:rsid w:val="008B4E08"/>
    <w:rsid w:val="008B56EC"/>
    <w:rsid w:val="008B591E"/>
    <w:rsid w:val="008B5C5C"/>
    <w:rsid w:val="008B5CCF"/>
    <w:rsid w:val="008B5D01"/>
    <w:rsid w:val="008B60A6"/>
    <w:rsid w:val="008B6388"/>
    <w:rsid w:val="008B6C64"/>
    <w:rsid w:val="008B78A6"/>
    <w:rsid w:val="008B7992"/>
    <w:rsid w:val="008B7A5B"/>
    <w:rsid w:val="008B7C1D"/>
    <w:rsid w:val="008B7CD0"/>
    <w:rsid w:val="008B7D7E"/>
    <w:rsid w:val="008B7DA1"/>
    <w:rsid w:val="008C05B7"/>
    <w:rsid w:val="008C10B5"/>
    <w:rsid w:val="008C12CA"/>
    <w:rsid w:val="008C1A9A"/>
    <w:rsid w:val="008C1FD6"/>
    <w:rsid w:val="008C20DC"/>
    <w:rsid w:val="008C28AA"/>
    <w:rsid w:val="008C2922"/>
    <w:rsid w:val="008C2B1D"/>
    <w:rsid w:val="008C2E26"/>
    <w:rsid w:val="008C31B6"/>
    <w:rsid w:val="008C35A6"/>
    <w:rsid w:val="008C380B"/>
    <w:rsid w:val="008C3E26"/>
    <w:rsid w:val="008C4A96"/>
    <w:rsid w:val="008C4D09"/>
    <w:rsid w:val="008C4E50"/>
    <w:rsid w:val="008C4E5E"/>
    <w:rsid w:val="008C5141"/>
    <w:rsid w:val="008C5610"/>
    <w:rsid w:val="008C5674"/>
    <w:rsid w:val="008C5739"/>
    <w:rsid w:val="008C5F06"/>
    <w:rsid w:val="008C6701"/>
    <w:rsid w:val="008C6838"/>
    <w:rsid w:val="008C68BB"/>
    <w:rsid w:val="008C7244"/>
    <w:rsid w:val="008C7282"/>
    <w:rsid w:val="008C7364"/>
    <w:rsid w:val="008C7CA5"/>
    <w:rsid w:val="008C7ECB"/>
    <w:rsid w:val="008D0F70"/>
    <w:rsid w:val="008D13E9"/>
    <w:rsid w:val="008D1449"/>
    <w:rsid w:val="008D1651"/>
    <w:rsid w:val="008D17A4"/>
    <w:rsid w:val="008D1921"/>
    <w:rsid w:val="008D194D"/>
    <w:rsid w:val="008D1A46"/>
    <w:rsid w:val="008D1E97"/>
    <w:rsid w:val="008D1EC4"/>
    <w:rsid w:val="008D2AAD"/>
    <w:rsid w:val="008D32BB"/>
    <w:rsid w:val="008D36AD"/>
    <w:rsid w:val="008D3B86"/>
    <w:rsid w:val="008D3CA8"/>
    <w:rsid w:val="008D43FD"/>
    <w:rsid w:val="008D46E5"/>
    <w:rsid w:val="008D4755"/>
    <w:rsid w:val="008D4B52"/>
    <w:rsid w:val="008D4C3D"/>
    <w:rsid w:val="008D4EC8"/>
    <w:rsid w:val="008D5337"/>
    <w:rsid w:val="008D57C0"/>
    <w:rsid w:val="008D5D9E"/>
    <w:rsid w:val="008D66FF"/>
    <w:rsid w:val="008D69A2"/>
    <w:rsid w:val="008D6EC6"/>
    <w:rsid w:val="008D7102"/>
    <w:rsid w:val="008D743C"/>
    <w:rsid w:val="008D7AE6"/>
    <w:rsid w:val="008D7D3F"/>
    <w:rsid w:val="008D7F47"/>
    <w:rsid w:val="008E0BB6"/>
    <w:rsid w:val="008E0D3C"/>
    <w:rsid w:val="008E0E51"/>
    <w:rsid w:val="008E0ED2"/>
    <w:rsid w:val="008E13BD"/>
    <w:rsid w:val="008E16C3"/>
    <w:rsid w:val="008E16E2"/>
    <w:rsid w:val="008E1A91"/>
    <w:rsid w:val="008E1B9E"/>
    <w:rsid w:val="008E1C8E"/>
    <w:rsid w:val="008E1D52"/>
    <w:rsid w:val="008E223D"/>
    <w:rsid w:val="008E2D7F"/>
    <w:rsid w:val="008E3097"/>
    <w:rsid w:val="008E33DE"/>
    <w:rsid w:val="008E3B80"/>
    <w:rsid w:val="008E3B97"/>
    <w:rsid w:val="008E3C19"/>
    <w:rsid w:val="008E3C7C"/>
    <w:rsid w:val="008E4027"/>
    <w:rsid w:val="008E496A"/>
    <w:rsid w:val="008E4F66"/>
    <w:rsid w:val="008E50D6"/>
    <w:rsid w:val="008E534C"/>
    <w:rsid w:val="008E55AB"/>
    <w:rsid w:val="008E58D6"/>
    <w:rsid w:val="008E5D59"/>
    <w:rsid w:val="008E5E04"/>
    <w:rsid w:val="008E6311"/>
    <w:rsid w:val="008E6676"/>
    <w:rsid w:val="008E6DB2"/>
    <w:rsid w:val="008E7168"/>
    <w:rsid w:val="008E7471"/>
    <w:rsid w:val="008E7712"/>
    <w:rsid w:val="008E77FA"/>
    <w:rsid w:val="008E7EBD"/>
    <w:rsid w:val="008E7EC5"/>
    <w:rsid w:val="008F00BB"/>
    <w:rsid w:val="008F011D"/>
    <w:rsid w:val="008F078F"/>
    <w:rsid w:val="008F0B9B"/>
    <w:rsid w:val="008F0E5F"/>
    <w:rsid w:val="008F1022"/>
    <w:rsid w:val="008F120A"/>
    <w:rsid w:val="008F162B"/>
    <w:rsid w:val="008F1BF7"/>
    <w:rsid w:val="008F1ED8"/>
    <w:rsid w:val="008F27E0"/>
    <w:rsid w:val="008F3206"/>
    <w:rsid w:val="008F3DAC"/>
    <w:rsid w:val="008F48EB"/>
    <w:rsid w:val="008F4C5A"/>
    <w:rsid w:val="008F4F0B"/>
    <w:rsid w:val="008F51A9"/>
    <w:rsid w:val="008F60F7"/>
    <w:rsid w:val="008F64C4"/>
    <w:rsid w:val="008F6798"/>
    <w:rsid w:val="008F69F8"/>
    <w:rsid w:val="008F6A50"/>
    <w:rsid w:val="008F6B7C"/>
    <w:rsid w:val="008F6C81"/>
    <w:rsid w:val="008F6D51"/>
    <w:rsid w:val="008F70D7"/>
    <w:rsid w:val="008F710D"/>
    <w:rsid w:val="008F7417"/>
    <w:rsid w:val="008F7BE4"/>
    <w:rsid w:val="008F7D33"/>
    <w:rsid w:val="0090021F"/>
    <w:rsid w:val="009005D8"/>
    <w:rsid w:val="00900730"/>
    <w:rsid w:val="00901026"/>
    <w:rsid w:val="009016A4"/>
    <w:rsid w:val="00901E3E"/>
    <w:rsid w:val="009020D4"/>
    <w:rsid w:val="00902910"/>
    <w:rsid w:val="00903244"/>
    <w:rsid w:val="009033EC"/>
    <w:rsid w:val="00903EF2"/>
    <w:rsid w:val="009041BD"/>
    <w:rsid w:val="009046C4"/>
    <w:rsid w:val="00904A2B"/>
    <w:rsid w:val="009050CD"/>
    <w:rsid w:val="0090517A"/>
    <w:rsid w:val="00905324"/>
    <w:rsid w:val="009055F8"/>
    <w:rsid w:val="009056AA"/>
    <w:rsid w:val="009059BC"/>
    <w:rsid w:val="009062A5"/>
    <w:rsid w:val="00906DC0"/>
    <w:rsid w:val="00907699"/>
    <w:rsid w:val="009077E1"/>
    <w:rsid w:val="00907952"/>
    <w:rsid w:val="009107AF"/>
    <w:rsid w:val="009107C5"/>
    <w:rsid w:val="009109A5"/>
    <w:rsid w:val="00910C82"/>
    <w:rsid w:val="00910F14"/>
    <w:rsid w:val="00910FA7"/>
    <w:rsid w:val="00911272"/>
    <w:rsid w:val="00911339"/>
    <w:rsid w:val="00911902"/>
    <w:rsid w:val="00911DFE"/>
    <w:rsid w:val="0091218B"/>
    <w:rsid w:val="009126D6"/>
    <w:rsid w:val="00912923"/>
    <w:rsid w:val="00913215"/>
    <w:rsid w:val="009134DE"/>
    <w:rsid w:val="009135D6"/>
    <w:rsid w:val="00913867"/>
    <w:rsid w:val="0091393C"/>
    <w:rsid w:val="00913CE6"/>
    <w:rsid w:val="0091412F"/>
    <w:rsid w:val="009141D1"/>
    <w:rsid w:val="00914444"/>
    <w:rsid w:val="00914A66"/>
    <w:rsid w:val="00914C77"/>
    <w:rsid w:val="00915346"/>
    <w:rsid w:val="009157B8"/>
    <w:rsid w:val="00915CE9"/>
    <w:rsid w:val="00917AED"/>
    <w:rsid w:val="00917EB3"/>
    <w:rsid w:val="00920749"/>
    <w:rsid w:val="00920815"/>
    <w:rsid w:val="00920F2A"/>
    <w:rsid w:val="0092163C"/>
    <w:rsid w:val="009218E1"/>
    <w:rsid w:val="00921ACB"/>
    <w:rsid w:val="00921AF9"/>
    <w:rsid w:val="00921C7C"/>
    <w:rsid w:val="009220A4"/>
    <w:rsid w:val="0092219A"/>
    <w:rsid w:val="00922599"/>
    <w:rsid w:val="009228C8"/>
    <w:rsid w:val="00922C16"/>
    <w:rsid w:val="00922E8D"/>
    <w:rsid w:val="0092369B"/>
    <w:rsid w:val="0092398F"/>
    <w:rsid w:val="00923F7B"/>
    <w:rsid w:val="00924276"/>
    <w:rsid w:val="00924509"/>
    <w:rsid w:val="00924FE8"/>
    <w:rsid w:val="0092548E"/>
    <w:rsid w:val="00925D83"/>
    <w:rsid w:val="00926263"/>
    <w:rsid w:val="009268C9"/>
    <w:rsid w:val="00926A2E"/>
    <w:rsid w:val="009270C6"/>
    <w:rsid w:val="00927608"/>
    <w:rsid w:val="009304AF"/>
    <w:rsid w:val="00930B71"/>
    <w:rsid w:val="0093149F"/>
    <w:rsid w:val="00931551"/>
    <w:rsid w:val="009317DD"/>
    <w:rsid w:val="00931986"/>
    <w:rsid w:val="009321DA"/>
    <w:rsid w:val="009325B3"/>
    <w:rsid w:val="0093275C"/>
    <w:rsid w:val="00932843"/>
    <w:rsid w:val="00932BAB"/>
    <w:rsid w:val="009336FE"/>
    <w:rsid w:val="00933A0A"/>
    <w:rsid w:val="00934988"/>
    <w:rsid w:val="00934AFE"/>
    <w:rsid w:val="00934C77"/>
    <w:rsid w:val="00935A8D"/>
    <w:rsid w:val="0093672F"/>
    <w:rsid w:val="00936A39"/>
    <w:rsid w:val="00936E90"/>
    <w:rsid w:val="00937089"/>
    <w:rsid w:val="00937A32"/>
    <w:rsid w:val="00937D57"/>
    <w:rsid w:val="00940034"/>
    <w:rsid w:val="009401F6"/>
    <w:rsid w:val="00940225"/>
    <w:rsid w:val="00940508"/>
    <w:rsid w:val="009417FE"/>
    <w:rsid w:val="0094191A"/>
    <w:rsid w:val="00941F58"/>
    <w:rsid w:val="00942559"/>
    <w:rsid w:val="00942670"/>
    <w:rsid w:val="009427AF"/>
    <w:rsid w:val="0094286B"/>
    <w:rsid w:val="00942A5E"/>
    <w:rsid w:val="00942EAA"/>
    <w:rsid w:val="009434B2"/>
    <w:rsid w:val="00943784"/>
    <w:rsid w:val="009441D9"/>
    <w:rsid w:val="00944619"/>
    <w:rsid w:val="00944A94"/>
    <w:rsid w:val="00944D42"/>
    <w:rsid w:val="00944F8A"/>
    <w:rsid w:val="0094565F"/>
    <w:rsid w:val="00945789"/>
    <w:rsid w:val="009459AC"/>
    <w:rsid w:val="00945B5C"/>
    <w:rsid w:val="0094623D"/>
    <w:rsid w:val="00946557"/>
    <w:rsid w:val="00946A89"/>
    <w:rsid w:val="00946CF4"/>
    <w:rsid w:val="00946DFF"/>
    <w:rsid w:val="009470DF"/>
    <w:rsid w:val="00947C83"/>
    <w:rsid w:val="00947E8E"/>
    <w:rsid w:val="00950450"/>
    <w:rsid w:val="00950757"/>
    <w:rsid w:val="009507D3"/>
    <w:rsid w:val="0095093C"/>
    <w:rsid w:val="009509A7"/>
    <w:rsid w:val="00950A1A"/>
    <w:rsid w:val="009510A2"/>
    <w:rsid w:val="009515F9"/>
    <w:rsid w:val="0095183B"/>
    <w:rsid w:val="00952A03"/>
    <w:rsid w:val="00952AE9"/>
    <w:rsid w:val="00952BC0"/>
    <w:rsid w:val="00953063"/>
    <w:rsid w:val="00953257"/>
    <w:rsid w:val="0095338B"/>
    <w:rsid w:val="0095353D"/>
    <w:rsid w:val="00953837"/>
    <w:rsid w:val="00953952"/>
    <w:rsid w:val="009539C7"/>
    <w:rsid w:val="00954659"/>
    <w:rsid w:val="0095472E"/>
    <w:rsid w:val="0095474C"/>
    <w:rsid w:val="00954C03"/>
    <w:rsid w:val="009553D1"/>
    <w:rsid w:val="00956BBB"/>
    <w:rsid w:val="00957319"/>
    <w:rsid w:val="009579B6"/>
    <w:rsid w:val="00957B3D"/>
    <w:rsid w:val="00957BFF"/>
    <w:rsid w:val="00957D92"/>
    <w:rsid w:val="00960004"/>
    <w:rsid w:val="009605F8"/>
    <w:rsid w:val="009607EC"/>
    <w:rsid w:val="009612A4"/>
    <w:rsid w:val="00961B9D"/>
    <w:rsid w:val="00962203"/>
    <w:rsid w:val="00962CB9"/>
    <w:rsid w:val="00962CD1"/>
    <w:rsid w:val="00963307"/>
    <w:rsid w:val="00963424"/>
    <w:rsid w:val="00963C46"/>
    <w:rsid w:val="00963C4C"/>
    <w:rsid w:val="00964312"/>
    <w:rsid w:val="0096478C"/>
    <w:rsid w:val="0096492A"/>
    <w:rsid w:val="00964F74"/>
    <w:rsid w:val="0096500A"/>
    <w:rsid w:val="0096597D"/>
    <w:rsid w:val="009659BB"/>
    <w:rsid w:val="00965B23"/>
    <w:rsid w:val="00965B8A"/>
    <w:rsid w:val="00965C65"/>
    <w:rsid w:val="00966177"/>
    <w:rsid w:val="009666B4"/>
    <w:rsid w:val="00966E2B"/>
    <w:rsid w:val="00966EE0"/>
    <w:rsid w:val="009677DB"/>
    <w:rsid w:val="00967D45"/>
    <w:rsid w:val="00967FAD"/>
    <w:rsid w:val="0097032D"/>
    <w:rsid w:val="0097071F"/>
    <w:rsid w:val="00970925"/>
    <w:rsid w:val="00970E62"/>
    <w:rsid w:val="009712BB"/>
    <w:rsid w:val="0097134E"/>
    <w:rsid w:val="009717AC"/>
    <w:rsid w:val="00971DC3"/>
    <w:rsid w:val="00972768"/>
    <w:rsid w:val="00973224"/>
    <w:rsid w:val="009732A7"/>
    <w:rsid w:val="009737F3"/>
    <w:rsid w:val="0097382E"/>
    <w:rsid w:val="00973ADD"/>
    <w:rsid w:val="00973D48"/>
    <w:rsid w:val="00974DCC"/>
    <w:rsid w:val="009751A6"/>
    <w:rsid w:val="009751C1"/>
    <w:rsid w:val="0097536D"/>
    <w:rsid w:val="0097556C"/>
    <w:rsid w:val="009762BC"/>
    <w:rsid w:val="009766E5"/>
    <w:rsid w:val="00976BEB"/>
    <w:rsid w:val="00976FA8"/>
    <w:rsid w:val="009773EA"/>
    <w:rsid w:val="0097766E"/>
    <w:rsid w:val="00977B17"/>
    <w:rsid w:val="00977C9E"/>
    <w:rsid w:val="0098002F"/>
    <w:rsid w:val="00980057"/>
    <w:rsid w:val="00980F62"/>
    <w:rsid w:val="009810D2"/>
    <w:rsid w:val="009811F1"/>
    <w:rsid w:val="00981550"/>
    <w:rsid w:val="00981798"/>
    <w:rsid w:val="00981C75"/>
    <w:rsid w:val="00981CE7"/>
    <w:rsid w:val="0098262F"/>
    <w:rsid w:val="00982C91"/>
    <w:rsid w:val="0098320B"/>
    <w:rsid w:val="00983554"/>
    <w:rsid w:val="00983883"/>
    <w:rsid w:val="00983D0A"/>
    <w:rsid w:val="00983E57"/>
    <w:rsid w:val="0098457F"/>
    <w:rsid w:val="00984A52"/>
    <w:rsid w:val="00985791"/>
    <w:rsid w:val="00985865"/>
    <w:rsid w:val="00985B76"/>
    <w:rsid w:val="00985DE2"/>
    <w:rsid w:val="00985F59"/>
    <w:rsid w:val="00986079"/>
    <w:rsid w:val="009862AB"/>
    <w:rsid w:val="0098675D"/>
    <w:rsid w:val="00986A88"/>
    <w:rsid w:val="00986BD9"/>
    <w:rsid w:val="0098788B"/>
    <w:rsid w:val="00987BA4"/>
    <w:rsid w:val="00987CDE"/>
    <w:rsid w:val="00990136"/>
    <w:rsid w:val="009906F2"/>
    <w:rsid w:val="00990728"/>
    <w:rsid w:val="00990AA3"/>
    <w:rsid w:val="00991236"/>
    <w:rsid w:val="00991587"/>
    <w:rsid w:val="00991993"/>
    <w:rsid w:val="00991C3B"/>
    <w:rsid w:val="00991F60"/>
    <w:rsid w:val="009922F8"/>
    <w:rsid w:val="009926E0"/>
    <w:rsid w:val="009937E8"/>
    <w:rsid w:val="00993992"/>
    <w:rsid w:val="00993B18"/>
    <w:rsid w:val="00994019"/>
    <w:rsid w:val="00994415"/>
    <w:rsid w:val="009944AA"/>
    <w:rsid w:val="0099451E"/>
    <w:rsid w:val="00994D29"/>
    <w:rsid w:val="00994EA1"/>
    <w:rsid w:val="00994FA9"/>
    <w:rsid w:val="00995125"/>
    <w:rsid w:val="009955C9"/>
    <w:rsid w:val="00995612"/>
    <w:rsid w:val="0099568A"/>
    <w:rsid w:val="00995A46"/>
    <w:rsid w:val="00996B1A"/>
    <w:rsid w:val="00996FF3"/>
    <w:rsid w:val="009978FB"/>
    <w:rsid w:val="00997C14"/>
    <w:rsid w:val="009A0281"/>
    <w:rsid w:val="009A077F"/>
    <w:rsid w:val="009A0EB9"/>
    <w:rsid w:val="009A186E"/>
    <w:rsid w:val="009A18F6"/>
    <w:rsid w:val="009A1B72"/>
    <w:rsid w:val="009A1D38"/>
    <w:rsid w:val="009A27A7"/>
    <w:rsid w:val="009A2DCC"/>
    <w:rsid w:val="009A2E8B"/>
    <w:rsid w:val="009A30CC"/>
    <w:rsid w:val="009A33A6"/>
    <w:rsid w:val="009A3424"/>
    <w:rsid w:val="009A3631"/>
    <w:rsid w:val="009A36C6"/>
    <w:rsid w:val="009A3E1D"/>
    <w:rsid w:val="009A3ECC"/>
    <w:rsid w:val="009A438A"/>
    <w:rsid w:val="009A491D"/>
    <w:rsid w:val="009A4C15"/>
    <w:rsid w:val="009A4C86"/>
    <w:rsid w:val="009A54D0"/>
    <w:rsid w:val="009A5584"/>
    <w:rsid w:val="009A55D4"/>
    <w:rsid w:val="009A5668"/>
    <w:rsid w:val="009A5ABC"/>
    <w:rsid w:val="009A6039"/>
    <w:rsid w:val="009A604E"/>
    <w:rsid w:val="009A63A7"/>
    <w:rsid w:val="009A6619"/>
    <w:rsid w:val="009A6645"/>
    <w:rsid w:val="009A698F"/>
    <w:rsid w:val="009A6C20"/>
    <w:rsid w:val="009A6DA4"/>
    <w:rsid w:val="009A7B51"/>
    <w:rsid w:val="009A7F10"/>
    <w:rsid w:val="009B0439"/>
    <w:rsid w:val="009B0DB9"/>
    <w:rsid w:val="009B10F3"/>
    <w:rsid w:val="009B1464"/>
    <w:rsid w:val="009B19FD"/>
    <w:rsid w:val="009B1D76"/>
    <w:rsid w:val="009B2076"/>
    <w:rsid w:val="009B2438"/>
    <w:rsid w:val="009B2F7B"/>
    <w:rsid w:val="009B302B"/>
    <w:rsid w:val="009B3352"/>
    <w:rsid w:val="009B3AD6"/>
    <w:rsid w:val="009B3C39"/>
    <w:rsid w:val="009B3E26"/>
    <w:rsid w:val="009B4047"/>
    <w:rsid w:val="009B51E4"/>
    <w:rsid w:val="009B5372"/>
    <w:rsid w:val="009B5B13"/>
    <w:rsid w:val="009B5B4F"/>
    <w:rsid w:val="009B60CF"/>
    <w:rsid w:val="009B6264"/>
    <w:rsid w:val="009B66B1"/>
    <w:rsid w:val="009B68A3"/>
    <w:rsid w:val="009B6C6D"/>
    <w:rsid w:val="009B6F89"/>
    <w:rsid w:val="009B70C3"/>
    <w:rsid w:val="009B7264"/>
    <w:rsid w:val="009B7376"/>
    <w:rsid w:val="009B73B7"/>
    <w:rsid w:val="009B7CBE"/>
    <w:rsid w:val="009B7CD0"/>
    <w:rsid w:val="009C049D"/>
    <w:rsid w:val="009C0525"/>
    <w:rsid w:val="009C0DDC"/>
    <w:rsid w:val="009C1059"/>
    <w:rsid w:val="009C1142"/>
    <w:rsid w:val="009C1271"/>
    <w:rsid w:val="009C2182"/>
    <w:rsid w:val="009C265C"/>
    <w:rsid w:val="009C319F"/>
    <w:rsid w:val="009C3209"/>
    <w:rsid w:val="009C3706"/>
    <w:rsid w:val="009C3721"/>
    <w:rsid w:val="009C3A3A"/>
    <w:rsid w:val="009C3ADF"/>
    <w:rsid w:val="009C3C90"/>
    <w:rsid w:val="009C3CFA"/>
    <w:rsid w:val="009C426B"/>
    <w:rsid w:val="009C4678"/>
    <w:rsid w:val="009C4821"/>
    <w:rsid w:val="009C4BD0"/>
    <w:rsid w:val="009C4E85"/>
    <w:rsid w:val="009C513F"/>
    <w:rsid w:val="009C5654"/>
    <w:rsid w:val="009C5ED9"/>
    <w:rsid w:val="009C6101"/>
    <w:rsid w:val="009C63FC"/>
    <w:rsid w:val="009C6CEA"/>
    <w:rsid w:val="009C6D0D"/>
    <w:rsid w:val="009C6F41"/>
    <w:rsid w:val="009C6FBE"/>
    <w:rsid w:val="009C7442"/>
    <w:rsid w:val="009C7AAC"/>
    <w:rsid w:val="009C7B85"/>
    <w:rsid w:val="009C7BDA"/>
    <w:rsid w:val="009D005E"/>
    <w:rsid w:val="009D0254"/>
    <w:rsid w:val="009D0562"/>
    <w:rsid w:val="009D08C8"/>
    <w:rsid w:val="009D0CB5"/>
    <w:rsid w:val="009D0F8E"/>
    <w:rsid w:val="009D1033"/>
    <w:rsid w:val="009D156B"/>
    <w:rsid w:val="009D1642"/>
    <w:rsid w:val="009D1A64"/>
    <w:rsid w:val="009D1B29"/>
    <w:rsid w:val="009D1F23"/>
    <w:rsid w:val="009D1F51"/>
    <w:rsid w:val="009D27B0"/>
    <w:rsid w:val="009D2810"/>
    <w:rsid w:val="009D2919"/>
    <w:rsid w:val="009D3D28"/>
    <w:rsid w:val="009D4146"/>
    <w:rsid w:val="009D47F0"/>
    <w:rsid w:val="009D4972"/>
    <w:rsid w:val="009D49AB"/>
    <w:rsid w:val="009D56EA"/>
    <w:rsid w:val="009D5B91"/>
    <w:rsid w:val="009D5ED9"/>
    <w:rsid w:val="009D70ED"/>
    <w:rsid w:val="009D72ED"/>
    <w:rsid w:val="009D754F"/>
    <w:rsid w:val="009D792E"/>
    <w:rsid w:val="009D7AF2"/>
    <w:rsid w:val="009E0DFE"/>
    <w:rsid w:val="009E0E9D"/>
    <w:rsid w:val="009E0F7C"/>
    <w:rsid w:val="009E1303"/>
    <w:rsid w:val="009E1AB2"/>
    <w:rsid w:val="009E22BC"/>
    <w:rsid w:val="009E2352"/>
    <w:rsid w:val="009E283A"/>
    <w:rsid w:val="009E29A1"/>
    <w:rsid w:val="009E31F6"/>
    <w:rsid w:val="009E3D63"/>
    <w:rsid w:val="009E3E8E"/>
    <w:rsid w:val="009E42AD"/>
    <w:rsid w:val="009E4C07"/>
    <w:rsid w:val="009E4E32"/>
    <w:rsid w:val="009E53A5"/>
    <w:rsid w:val="009E5C2D"/>
    <w:rsid w:val="009E6B69"/>
    <w:rsid w:val="009E6FF1"/>
    <w:rsid w:val="009E75B9"/>
    <w:rsid w:val="009E777F"/>
    <w:rsid w:val="009E7E88"/>
    <w:rsid w:val="009E7EC3"/>
    <w:rsid w:val="009E7F3C"/>
    <w:rsid w:val="009F0166"/>
    <w:rsid w:val="009F01FC"/>
    <w:rsid w:val="009F0828"/>
    <w:rsid w:val="009F0A1F"/>
    <w:rsid w:val="009F0B9B"/>
    <w:rsid w:val="009F0C81"/>
    <w:rsid w:val="009F11DF"/>
    <w:rsid w:val="009F1210"/>
    <w:rsid w:val="009F19F6"/>
    <w:rsid w:val="009F2A20"/>
    <w:rsid w:val="009F2DEE"/>
    <w:rsid w:val="009F349F"/>
    <w:rsid w:val="009F3FCB"/>
    <w:rsid w:val="009F42E7"/>
    <w:rsid w:val="009F4321"/>
    <w:rsid w:val="009F469F"/>
    <w:rsid w:val="009F4E91"/>
    <w:rsid w:val="009F5001"/>
    <w:rsid w:val="009F51E6"/>
    <w:rsid w:val="009F558B"/>
    <w:rsid w:val="009F55B5"/>
    <w:rsid w:val="009F5801"/>
    <w:rsid w:val="009F58F2"/>
    <w:rsid w:val="009F5BC8"/>
    <w:rsid w:val="009F5BDA"/>
    <w:rsid w:val="009F5D4A"/>
    <w:rsid w:val="009F5F04"/>
    <w:rsid w:val="009F6120"/>
    <w:rsid w:val="009F6C14"/>
    <w:rsid w:val="009F6E0F"/>
    <w:rsid w:val="009F7921"/>
    <w:rsid w:val="009F7C16"/>
    <w:rsid w:val="00A000FB"/>
    <w:rsid w:val="00A00198"/>
    <w:rsid w:val="00A00380"/>
    <w:rsid w:val="00A0074F"/>
    <w:rsid w:val="00A0076D"/>
    <w:rsid w:val="00A00B6E"/>
    <w:rsid w:val="00A00D76"/>
    <w:rsid w:val="00A01184"/>
    <w:rsid w:val="00A01449"/>
    <w:rsid w:val="00A01548"/>
    <w:rsid w:val="00A0161C"/>
    <w:rsid w:val="00A0205D"/>
    <w:rsid w:val="00A020AF"/>
    <w:rsid w:val="00A023F4"/>
    <w:rsid w:val="00A0286B"/>
    <w:rsid w:val="00A028B0"/>
    <w:rsid w:val="00A028FF"/>
    <w:rsid w:val="00A02CB5"/>
    <w:rsid w:val="00A02FF9"/>
    <w:rsid w:val="00A03289"/>
    <w:rsid w:val="00A033E4"/>
    <w:rsid w:val="00A037C2"/>
    <w:rsid w:val="00A03D43"/>
    <w:rsid w:val="00A0424A"/>
    <w:rsid w:val="00A042FF"/>
    <w:rsid w:val="00A04380"/>
    <w:rsid w:val="00A0461C"/>
    <w:rsid w:val="00A04786"/>
    <w:rsid w:val="00A053D8"/>
    <w:rsid w:val="00A05472"/>
    <w:rsid w:val="00A05C32"/>
    <w:rsid w:val="00A0653F"/>
    <w:rsid w:val="00A06770"/>
    <w:rsid w:val="00A067CD"/>
    <w:rsid w:val="00A104D3"/>
    <w:rsid w:val="00A10CFB"/>
    <w:rsid w:val="00A111F9"/>
    <w:rsid w:val="00A11A9F"/>
    <w:rsid w:val="00A11BC1"/>
    <w:rsid w:val="00A11CD0"/>
    <w:rsid w:val="00A11CD5"/>
    <w:rsid w:val="00A11D8D"/>
    <w:rsid w:val="00A11F61"/>
    <w:rsid w:val="00A11FDE"/>
    <w:rsid w:val="00A1232D"/>
    <w:rsid w:val="00A128CE"/>
    <w:rsid w:val="00A12E62"/>
    <w:rsid w:val="00A12ED5"/>
    <w:rsid w:val="00A130A4"/>
    <w:rsid w:val="00A13948"/>
    <w:rsid w:val="00A14290"/>
    <w:rsid w:val="00A152AE"/>
    <w:rsid w:val="00A1555B"/>
    <w:rsid w:val="00A155C5"/>
    <w:rsid w:val="00A1569C"/>
    <w:rsid w:val="00A158C4"/>
    <w:rsid w:val="00A1631D"/>
    <w:rsid w:val="00A165DF"/>
    <w:rsid w:val="00A16AD8"/>
    <w:rsid w:val="00A178D0"/>
    <w:rsid w:val="00A179D6"/>
    <w:rsid w:val="00A17D96"/>
    <w:rsid w:val="00A17F73"/>
    <w:rsid w:val="00A2021E"/>
    <w:rsid w:val="00A2051F"/>
    <w:rsid w:val="00A20840"/>
    <w:rsid w:val="00A20B67"/>
    <w:rsid w:val="00A218E7"/>
    <w:rsid w:val="00A21C95"/>
    <w:rsid w:val="00A21CF3"/>
    <w:rsid w:val="00A21CFC"/>
    <w:rsid w:val="00A22232"/>
    <w:rsid w:val="00A22705"/>
    <w:rsid w:val="00A2318B"/>
    <w:rsid w:val="00A2360E"/>
    <w:rsid w:val="00A2374D"/>
    <w:rsid w:val="00A238F1"/>
    <w:rsid w:val="00A23B0A"/>
    <w:rsid w:val="00A23BF1"/>
    <w:rsid w:val="00A23C45"/>
    <w:rsid w:val="00A24813"/>
    <w:rsid w:val="00A249CE"/>
    <w:rsid w:val="00A24F83"/>
    <w:rsid w:val="00A2507B"/>
    <w:rsid w:val="00A25674"/>
    <w:rsid w:val="00A25829"/>
    <w:rsid w:val="00A25C91"/>
    <w:rsid w:val="00A25D83"/>
    <w:rsid w:val="00A25DCE"/>
    <w:rsid w:val="00A26119"/>
    <w:rsid w:val="00A2629A"/>
    <w:rsid w:val="00A26C26"/>
    <w:rsid w:val="00A26CAA"/>
    <w:rsid w:val="00A271F5"/>
    <w:rsid w:val="00A27334"/>
    <w:rsid w:val="00A2770E"/>
    <w:rsid w:val="00A27770"/>
    <w:rsid w:val="00A27AEC"/>
    <w:rsid w:val="00A30860"/>
    <w:rsid w:val="00A31200"/>
    <w:rsid w:val="00A318F5"/>
    <w:rsid w:val="00A320DB"/>
    <w:rsid w:val="00A32537"/>
    <w:rsid w:val="00A3254E"/>
    <w:rsid w:val="00A32797"/>
    <w:rsid w:val="00A32865"/>
    <w:rsid w:val="00A33177"/>
    <w:rsid w:val="00A33241"/>
    <w:rsid w:val="00A33460"/>
    <w:rsid w:val="00A33947"/>
    <w:rsid w:val="00A33B1F"/>
    <w:rsid w:val="00A33B7E"/>
    <w:rsid w:val="00A33EDA"/>
    <w:rsid w:val="00A341D5"/>
    <w:rsid w:val="00A342C4"/>
    <w:rsid w:val="00A34448"/>
    <w:rsid w:val="00A344E5"/>
    <w:rsid w:val="00A34681"/>
    <w:rsid w:val="00A34D03"/>
    <w:rsid w:val="00A34DF4"/>
    <w:rsid w:val="00A3509F"/>
    <w:rsid w:val="00A35D16"/>
    <w:rsid w:val="00A36475"/>
    <w:rsid w:val="00A36F82"/>
    <w:rsid w:val="00A37773"/>
    <w:rsid w:val="00A37BCD"/>
    <w:rsid w:val="00A400E0"/>
    <w:rsid w:val="00A4027A"/>
    <w:rsid w:val="00A41689"/>
    <w:rsid w:val="00A4223E"/>
    <w:rsid w:val="00A422F2"/>
    <w:rsid w:val="00A42592"/>
    <w:rsid w:val="00A42F2A"/>
    <w:rsid w:val="00A43402"/>
    <w:rsid w:val="00A436F7"/>
    <w:rsid w:val="00A4375E"/>
    <w:rsid w:val="00A437C6"/>
    <w:rsid w:val="00A43C59"/>
    <w:rsid w:val="00A43F81"/>
    <w:rsid w:val="00A43FE5"/>
    <w:rsid w:val="00A44313"/>
    <w:rsid w:val="00A448E7"/>
    <w:rsid w:val="00A44DF1"/>
    <w:rsid w:val="00A45DDD"/>
    <w:rsid w:val="00A46165"/>
    <w:rsid w:val="00A464CA"/>
    <w:rsid w:val="00A46769"/>
    <w:rsid w:val="00A46C51"/>
    <w:rsid w:val="00A46E2D"/>
    <w:rsid w:val="00A470E6"/>
    <w:rsid w:val="00A47532"/>
    <w:rsid w:val="00A47B19"/>
    <w:rsid w:val="00A47F3C"/>
    <w:rsid w:val="00A50152"/>
    <w:rsid w:val="00A5087C"/>
    <w:rsid w:val="00A50CAA"/>
    <w:rsid w:val="00A50ECD"/>
    <w:rsid w:val="00A51068"/>
    <w:rsid w:val="00A513AC"/>
    <w:rsid w:val="00A51830"/>
    <w:rsid w:val="00A518F3"/>
    <w:rsid w:val="00A51C91"/>
    <w:rsid w:val="00A5208C"/>
    <w:rsid w:val="00A52729"/>
    <w:rsid w:val="00A52B79"/>
    <w:rsid w:val="00A52C6B"/>
    <w:rsid w:val="00A52DFF"/>
    <w:rsid w:val="00A53675"/>
    <w:rsid w:val="00A53A38"/>
    <w:rsid w:val="00A53CCF"/>
    <w:rsid w:val="00A53DEA"/>
    <w:rsid w:val="00A53E3A"/>
    <w:rsid w:val="00A542E9"/>
    <w:rsid w:val="00A543C7"/>
    <w:rsid w:val="00A543CC"/>
    <w:rsid w:val="00A54C29"/>
    <w:rsid w:val="00A55BB0"/>
    <w:rsid w:val="00A55F29"/>
    <w:rsid w:val="00A564D7"/>
    <w:rsid w:val="00A56776"/>
    <w:rsid w:val="00A56B6A"/>
    <w:rsid w:val="00A56E5A"/>
    <w:rsid w:val="00A5706F"/>
    <w:rsid w:val="00A571C4"/>
    <w:rsid w:val="00A578DC"/>
    <w:rsid w:val="00A579F6"/>
    <w:rsid w:val="00A57B88"/>
    <w:rsid w:val="00A57D53"/>
    <w:rsid w:val="00A60009"/>
    <w:rsid w:val="00A6053D"/>
    <w:rsid w:val="00A607C5"/>
    <w:rsid w:val="00A60A74"/>
    <w:rsid w:val="00A60CD9"/>
    <w:rsid w:val="00A60EDF"/>
    <w:rsid w:val="00A61163"/>
    <w:rsid w:val="00A627D2"/>
    <w:rsid w:val="00A62C86"/>
    <w:rsid w:val="00A62CF5"/>
    <w:rsid w:val="00A6363A"/>
    <w:rsid w:val="00A636BD"/>
    <w:rsid w:val="00A640E2"/>
    <w:rsid w:val="00A6429E"/>
    <w:rsid w:val="00A646CA"/>
    <w:rsid w:val="00A64A76"/>
    <w:rsid w:val="00A64D65"/>
    <w:rsid w:val="00A656A5"/>
    <w:rsid w:val="00A658B5"/>
    <w:rsid w:val="00A6597E"/>
    <w:rsid w:val="00A65D07"/>
    <w:rsid w:val="00A660F8"/>
    <w:rsid w:val="00A66148"/>
    <w:rsid w:val="00A67182"/>
    <w:rsid w:val="00A6725B"/>
    <w:rsid w:val="00A672E1"/>
    <w:rsid w:val="00A67931"/>
    <w:rsid w:val="00A67DB3"/>
    <w:rsid w:val="00A701E5"/>
    <w:rsid w:val="00A7030D"/>
    <w:rsid w:val="00A70519"/>
    <w:rsid w:val="00A70605"/>
    <w:rsid w:val="00A70809"/>
    <w:rsid w:val="00A7117B"/>
    <w:rsid w:val="00A72029"/>
    <w:rsid w:val="00A72135"/>
    <w:rsid w:val="00A73134"/>
    <w:rsid w:val="00A73361"/>
    <w:rsid w:val="00A7365A"/>
    <w:rsid w:val="00A7393C"/>
    <w:rsid w:val="00A73C1F"/>
    <w:rsid w:val="00A73CD6"/>
    <w:rsid w:val="00A73CE8"/>
    <w:rsid w:val="00A7408E"/>
    <w:rsid w:val="00A74291"/>
    <w:rsid w:val="00A74365"/>
    <w:rsid w:val="00A74C96"/>
    <w:rsid w:val="00A74E99"/>
    <w:rsid w:val="00A752AE"/>
    <w:rsid w:val="00A75DF0"/>
    <w:rsid w:val="00A75F68"/>
    <w:rsid w:val="00A76001"/>
    <w:rsid w:val="00A764FB"/>
    <w:rsid w:val="00A76B58"/>
    <w:rsid w:val="00A77066"/>
    <w:rsid w:val="00A770AE"/>
    <w:rsid w:val="00A772A2"/>
    <w:rsid w:val="00A777B2"/>
    <w:rsid w:val="00A77B30"/>
    <w:rsid w:val="00A804DD"/>
    <w:rsid w:val="00A806B3"/>
    <w:rsid w:val="00A80ADC"/>
    <w:rsid w:val="00A81124"/>
    <w:rsid w:val="00A814DF"/>
    <w:rsid w:val="00A81F09"/>
    <w:rsid w:val="00A81F91"/>
    <w:rsid w:val="00A82001"/>
    <w:rsid w:val="00A823D6"/>
    <w:rsid w:val="00A825D4"/>
    <w:rsid w:val="00A828F6"/>
    <w:rsid w:val="00A82B73"/>
    <w:rsid w:val="00A83931"/>
    <w:rsid w:val="00A83CE7"/>
    <w:rsid w:val="00A84125"/>
    <w:rsid w:val="00A841D9"/>
    <w:rsid w:val="00A84665"/>
    <w:rsid w:val="00A85025"/>
    <w:rsid w:val="00A852E7"/>
    <w:rsid w:val="00A853DD"/>
    <w:rsid w:val="00A85C74"/>
    <w:rsid w:val="00A86576"/>
    <w:rsid w:val="00A8661D"/>
    <w:rsid w:val="00A86A8A"/>
    <w:rsid w:val="00A86C84"/>
    <w:rsid w:val="00A86E8B"/>
    <w:rsid w:val="00A87164"/>
    <w:rsid w:val="00A871A9"/>
    <w:rsid w:val="00A87388"/>
    <w:rsid w:val="00A87733"/>
    <w:rsid w:val="00A87E8D"/>
    <w:rsid w:val="00A90577"/>
    <w:rsid w:val="00A90F3A"/>
    <w:rsid w:val="00A914C1"/>
    <w:rsid w:val="00A9154C"/>
    <w:rsid w:val="00A91AC0"/>
    <w:rsid w:val="00A91CB9"/>
    <w:rsid w:val="00A92CE5"/>
    <w:rsid w:val="00A93072"/>
    <w:rsid w:val="00A9365A"/>
    <w:rsid w:val="00A938BD"/>
    <w:rsid w:val="00A93953"/>
    <w:rsid w:val="00A93E3C"/>
    <w:rsid w:val="00A9482B"/>
    <w:rsid w:val="00A94ADF"/>
    <w:rsid w:val="00A953A5"/>
    <w:rsid w:val="00A95451"/>
    <w:rsid w:val="00A95611"/>
    <w:rsid w:val="00A95691"/>
    <w:rsid w:val="00A959D8"/>
    <w:rsid w:val="00A960D9"/>
    <w:rsid w:val="00A96429"/>
    <w:rsid w:val="00A9648F"/>
    <w:rsid w:val="00A970D0"/>
    <w:rsid w:val="00A9744C"/>
    <w:rsid w:val="00A97988"/>
    <w:rsid w:val="00A97A35"/>
    <w:rsid w:val="00A97A96"/>
    <w:rsid w:val="00A97BC0"/>
    <w:rsid w:val="00A97DA3"/>
    <w:rsid w:val="00A97FF2"/>
    <w:rsid w:val="00AA0460"/>
    <w:rsid w:val="00AA09C2"/>
    <w:rsid w:val="00AA1094"/>
    <w:rsid w:val="00AA113D"/>
    <w:rsid w:val="00AA12EE"/>
    <w:rsid w:val="00AA1A3C"/>
    <w:rsid w:val="00AA1B78"/>
    <w:rsid w:val="00AA20D4"/>
    <w:rsid w:val="00AA25AF"/>
    <w:rsid w:val="00AA25DC"/>
    <w:rsid w:val="00AA26B8"/>
    <w:rsid w:val="00AA3896"/>
    <w:rsid w:val="00AA3CB2"/>
    <w:rsid w:val="00AA3F03"/>
    <w:rsid w:val="00AA42A4"/>
    <w:rsid w:val="00AA45C0"/>
    <w:rsid w:val="00AA5329"/>
    <w:rsid w:val="00AA53BE"/>
    <w:rsid w:val="00AA5B51"/>
    <w:rsid w:val="00AA5B54"/>
    <w:rsid w:val="00AA60FF"/>
    <w:rsid w:val="00AA6820"/>
    <w:rsid w:val="00AA6979"/>
    <w:rsid w:val="00AA6BD5"/>
    <w:rsid w:val="00AA6BD8"/>
    <w:rsid w:val="00AA6C7D"/>
    <w:rsid w:val="00AA6DC5"/>
    <w:rsid w:val="00AA6F8B"/>
    <w:rsid w:val="00AA71DB"/>
    <w:rsid w:val="00AA7437"/>
    <w:rsid w:val="00AA7930"/>
    <w:rsid w:val="00AA7C45"/>
    <w:rsid w:val="00AA7FB9"/>
    <w:rsid w:val="00AA7FD6"/>
    <w:rsid w:val="00AB03D4"/>
    <w:rsid w:val="00AB042A"/>
    <w:rsid w:val="00AB0C7B"/>
    <w:rsid w:val="00AB10E8"/>
    <w:rsid w:val="00AB11AD"/>
    <w:rsid w:val="00AB1714"/>
    <w:rsid w:val="00AB19EF"/>
    <w:rsid w:val="00AB1E1F"/>
    <w:rsid w:val="00AB1F22"/>
    <w:rsid w:val="00AB1FE5"/>
    <w:rsid w:val="00AB2082"/>
    <w:rsid w:val="00AB2279"/>
    <w:rsid w:val="00AB2495"/>
    <w:rsid w:val="00AB254E"/>
    <w:rsid w:val="00AB2739"/>
    <w:rsid w:val="00AB2936"/>
    <w:rsid w:val="00AB2D34"/>
    <w:rsid w:val="00AB3430"/>
    <w:rsid w:val="00AB37B9"/>
    <w:rsid w:val="00AB3840"/>
    <w:rsid w:val="00AB4AD1"/>
    <w:rsid w:val="00AB4BA8"/>
    <w:rsid w:val="00AB5410"/>
    <w:rsid w:val="00AB5482"/>
    <w:rsid w:val="00AB5A28"/>
    <w:rsid w:val="00AB5E07"/>
    <w:rsid w:val="00AB6961"/>
    <w:rsid w:val="00AB72A0"/>
    <w:rsid w:val="00AB748D"/>
    <w:rsid w:val="00AB756F"/>
    <w:rsid w:val="00AB7954"/>
    <w:rsid w:val="00AB7CFA"/>
    <w:rsid w:val="00AC082A"/>
    <w:rsid w:val="00AC1658"/>
    <w:rsid w:val="00AC2041"/>
    <w:rsid w:val="00AC2065"/>
    <w:rsid w:val="00AC27FC"/>
    <w:rsid w:val="00AC2952"/>
    <w:rsid w:val="00AC2ABC"/>
    <w:rsid w:val="00AC3151"/>
    <w:rsid w:val="00AC3199"/>
    <w:rsid w:val="00AC35EC"/>
    <w:rsid w:val="00AC37F1"/>
    <w:rsid w:val="00AC3D2E"/>
    <w:rsid w:val="00AC403C"/>
    <w:rsid w:val="00AC449B"/>
    <w:rsid w:val="00AC4518"/>
    <w:rsid w:val="00AC4547"/>
    <w:rsid w:val="00AC5151"/>
    <w:rsid w:val="00AC5178"/>
    <w:rsid w:val="00AC5625"/>
    <w:rsid w:val="00AC5915"/>
    <w:rsid w:val="00AC5B42"/>
    <w:rsid w:val="00AC5B48"/>
    <w:rsid w:val="00AC627F"/>
    <w:rsid w:val="00AC639A"/>
    <w:rsid w:val="00AC6B63"/>
    <w:rsid w:val="00AC7056"/>
    <w:rsid w:val="00AC74AA"/>
    <w:rsid w:val="00AC790B"/>
    <w:rsid w:val="00AC79F2"/>
    <w:rsid w:val="00AC7EEB"/>
    <w:rsid w:val="00AC7F7C"/>
    <w:rsid w:val="00AD00D3"/>
    <w:rsid w:val="00AD0582"/>
    <w:rsid w:val="00AD0852"/>
    <w:rsid w:val="00AD0A93"/>
    <w:rsid w:val="00AD0EC1"/>
    <w:rsid w:val="00AD1450"/>
    <w:rsid w:val="00AD15E8"/>
    <w:rsid w:val="00AD1992"/>
    <w:rsid w:val="00AD23EB"/>
    <w:rsid w:val="00AD24C9"/>
    <w:rsid w:val="00AD252E"/>
    <w:rsid w:val="00AD2971"/>
    <w:rsid w:val="00AD308C"/>
    <w:rsid w:val="00AD30F2"/>
    <w:rsid w:val="00AD32BD"/>
    <w:rsid w:val="00AD356D"/>
    <w:rsid w:val="00AD3D5A"/>
    <w:rsid w:val="00AD4E0A"/>
    <w:rsid w:val="00AD50BB"/>
    <w:rsid w:val="00AD5486"/>
    <w:rsid w:val="00AD5B2A"/>
    <w:rsid w:val="00AD604B"/>
    <w:rsid w:val="00AD6178"/>
    <w:rsid w:val="00AD6223"/>
    <w:rsid w:val="00AD6479"/>
    <w:rsid w:val="00AD6502"/>
    <w:rsid w:val="00AD65FC"/>
    <w:rsid w:val="00AD6689"/>
    <w:rsid w:val="00AD6A6B"/>
    <w:rsid w:val="00AD6A9F"/>
    <w:rsid w:val="00AD6AE8"/>
    <w:rsid w:val="00AD75F7"/>
    <w:rsid w:val="00AD7A3D"/>
    <w:rsid w:val="00AD7F2C"/>
    <w:rsid w:val="00AE0695"/>
    <w:rsid w:val="00AE099C"/>
    <w:rsid w:val="00AE0A44"/>
    <w:rsid w:val="00AE0A51"/>
    <w:rsid w:val="00AE0AE5"/>
    <w:rsid w:val="00AE12B3"/>
    <w:rsid w:val="00AE1DDA"/>
    <w:rsid w:val="00AE24ED"/>
    <w:rsid w:val="00AE25EA"/>
    <w:rsid w:val="00AE2679"/>
    <w:rsid w:val="00AE29DE"/>
    <w:rsid w:val="00AE2AC5"/>
    <w:rsid w:val="00AE2ECC"/>
    <w:rsid w:val="00AE3E7E"/>
    <w:rsid w:val="00AE4379"/>
    <w:rsid w:val="00AE4D4D"/>
    <w:rsid w:val="00AE4F11"/>
    <w:rsid w:val="00AE4FA6"/>
    <w:rsid w:val="00AE57C5"/>
    <w:rsid w:val="00AE5BA9"/>
    <w:rsid w:val="00AE6079"/>
    <w:rsid w:val="00AE62F8"/>
    <w:rsid w:val="00AE689F"/>
    <w:rsid w:val="00AE77DD"/>
    <w:rsid w:val="00AE78D1"/>
    <w:rsid w:val="00AE7E53"/>
    <w:rsid w:val="00AF0057"/>
    <w:rsid w:val="00AF0608"/>
    <w:rsid w:val="00AF0761"/>
    <w:rsid w:val="00AF0B14"/>
    <w:rsid w:val="00AF1112"/>
    <w:rsid w:val="00AF1315"/>
    <w:rsid w:val="00AF146B"/>
    <w:rsid w:val="00AF171E"/>
    <w:rsid w:val="00AF19BF"/>
    <w:rsid w:val="00AF1D69"/>
    <w:rsid w:val="00AF2371"/>
    <w:rsid w:val="00AF2763"/>
    <w:rsid w:val="00AF2DC3"/>
    <w:rsid w:val="00AF2FFE"/>
    <w:rsid w:val="00AF33FB"/>
    <w:rsid w:val="00AF3B82"/>
    <w:rsid w:val="00AF434C"/>
    <w:rsid w:val="00AF43A0"/>
    <w:rsid w:val="00AF4867"/>
    <w:rsid w:val="00AF4AD9"/>
    <w:rsid w:val="00AF4E52"/>
    <w:rsid w:val="00AF4EDB"/>
    <w:rsid w:val="00AF4FD7"/>
    <w:rsid w:val="00AF55C3"/>
    <w:rsid w:val="00AF572D"/>
    <w:rsid w:val="00AF5A8D"/>
    <w:rsid w:val="00AF6A9A"/>
    <w:rsid w:val="00B003E2"/>
    <w:rsid w:val="00B00509"/>
    <w:rsid w:val="00B00804"/>
    <w:rsid w:val="00B01436"/>
    <w:rsid w:val="00B01454"/>
    <w:rsid w:val="00B015F5"/>
    <w:rsid w:val="00B01603"/>
    <w:rsid w:val="00B016A1"/>
    <w:rsid w:val="00B01721"/>
    <w:rsid w:val="00B01817"/>
    <w:rsid w:val="00B01F1B"/>
    <w:rsid w:val="00B025BD"/>
    <w:rsid w:val="00B02706"/>
    <w:rsid w:val="00B02964"/>
    <w:rsid w:val="00B033E5"/>
    <w:rsid w:val="00B03558"/>
    <w:rsid w:val="00B03A63"/>
    <w:rsid w:val="00B04284"/>
    <w:rsid w:val="00B04AF3"/>
    <w:rsid w:val="00B04B26"/>
    <w:rsid w:val="00B04C6F"/>
    <w:rsid w:val="00B04EE4"/>
    <w:rsid w:val="00B05564"/>
    <w:rsid w:val="00B060BB"/>
    <w:rsid w:val="00B068EB"/>
    <w:rsid w:val="00B06B7D"/>
    <w:rsid w:val="00B06D63"/>
    <w:rsid w:val="00B07771"/>
    <w:rsid w:val="00B07C8F"/>
    <w:rsid w:val="00B10B80"/>
    <w:rsid w:val="00B112C8"/>
    <w:rsid w:val="00B11365"/>
    <w:rsid w:val="00B113BE"/>
    <w:rsid w:val="00B11BBE"/>
    <w:rsid w:val="00B11E1E"/>
    <w:rsid w:val="00B123D8"/>
    <w:rsid w:val="00B12963"/>
    <w:rsid w:val="00B129A4"/>
    <w:rsid w:val="00B132C2"/>
    <w:rsid w:val="00B134AF"/>
    <w:rsid w:val="00B139DD"/>
    <w:rsid w:val="00B13F83"/>
    <w:rsid w:val="00B141F2"/>
    <w:rsid w:val="00B143F1"/>
    <w:rsid w:val="00B14816"/>
    <w:rsid w:val="00B149D2"/>
    <w:rsid w:val="00B14C35"/>
    <w:rsid w:val="00B14C6D"/>
    <w:rsid w:val="00B14CA0"/>
    <w:rsid w:val="00B14E33"/>
    <w:rsid w:val="00B15185"/>
    <w:rsid w:val="00B152CF"/>
    <w:rsid w:val="00B153DB"/>
    <w:rsid w:val="00B15C1B"/>
    <w:rsid w:val="00B160E8"/>
    <w:rsid w:val="00B1611A"/>
    <w:rsid w:val="00B16563"/>
    <w:rsid w:val="00B166D9"/>
    <w:rsid w:val="00B16A73"/>
    <w:rsid w:val="00B17057"/>
    <w:rsid w:val="00B176EA"/>
    <w:rsid w:val="00B17E18"/>
    <w:rsid w:val="00B200E2"/>
    <w:rsid w:val="00B201A4"/>
    <w:rsid w:val="00B201D1"/>
    <w:rsid w:val="00B20386"/>
    <w:rsid w:val="00B20508"/>
    <w:rsid w:val="00B2063A"/>
    <w:rsid w:val="00B20784"/>
    <w:rsid w:val="00B20907"/>
    <w:rsid w:val="00B20C4F"/>
    <w:rsid w:val="00B212B2"/>
    <w:rsid w:val="00B213A6"/>
    <w:rsid w:val="00B21B60"/>
    <w:rsid w:val="00B22A23"/>
    <w:rsid w:val="00B22BD8"/>
    <w:rsid w:val="00B22DB6"/>
    <w:rsid w:val="00B235B0"/>
    <w:rsid w:val="00B243EE"/>
    <w:rsid w:val="00B24AF1"/>
    <w:rsid w:val="00B24DF6"/>
    <w:rsid w:val="00B254BC"/>
    <w:rsid w:val="00B2593B"/>
    <w:rsid w:val="00B2619D"/>
    <w:rsid w:val="00B263DB"/>
    <w:rsid w:val="00B26636"/>
    <w:rsid w:val="00B26F59"/>
    <w:rsid w:val="00B27A61"/>
    <w:rsid w:val="00B27AC2"/>
    <w:rsid w:val="00B311E3"/>
    <w:rsid w:val="00B31846"/>
    <w:rsid w:val="00B31A9E"/>
    <w:rsid w:val="00B31CAC"/>
    <w:rsid w:val="00B31E04"/>
    <w:rsid w:val="00B32698"/>
    <w:rsid w:val="00B327E3"/>
    <w:rsid w:val="00B32927"/>
    <w:rsid w:val="00B32D40"/>
    <w:rsid w:val="00B32E71"/>
    <w:rsid w:val="00B32FE0"/>
    <w:rsid w:val="00B32FE9"/>
    <w:rsid w:val="00B33726"/>
    <w:rsid w:val="00B34354"/>
    <w:rsid w:val="00B3443E"/>
    <w:rsid w:val="00B34522"/>
    <w:rsid w:val="00B34877"/>
    <w:rsid w:val="00B34A7D"/>
    <w:rsid w:val="00B34FE2"/>
    <w:rsid w:val="00B3501C"/>
    <w:rsid w:val="00B35166"/>
    <w:rsid w:val="00B357D8"/>
    <w:rsid w:val="00B35910"/>
    <w:rsid w:val="00B35B07"/>
    <w:rsid w:val="00B35CF2"/>
    <w:rsid w:val="00B360F4"/>
    <w:rsid w:val="00B36376"/>
    <w:rsid w:val="00B36470"/>
    <w:rsid w:val="00B3649F"/>
    <w:rsid w:val="00B368A4"/>
    <w:rsid w:val="00B36A00"/>
    <w:rsid w:val="00B36D8B"/>
    <w:rsid w:val="00B36F19"/>
    <w:rsid w:val="00B36F74"/>
    <w:rsid w:val="00B37096"/>
    <w:rsid w:val="00B3721C"/>
    <w:rsid w:val="00B37664"/>
    <w:rsid w:val="00B37915"/>
    <w:rsid w:val="00B3792B"/>
    <w:rsid w:val="00B37A20"/>
    <w:rsid w:val="00B37BFC"/>
    <w:rsid w:val="00B40187"/>
    <w:rsid w:val="00B401D8"/>
    <w:rsid w:val="00B40358"/>
    <w:rsid w:val="00B40515"/>
    <w:rsid w:val="00B4065D"/>
    <w:rsid w:val="00B407C6"/>
    <w:rsid w:val="00B41173"/>
    <w:rsid w:val="00B4134D"/>
    <w:rsid w:val="00B4139D"/>
    <w:rsid w:val="00B41614"/>
    <w:rsid w:val="00B41683"/>
    <w:rsid w:val="00B42184"/>
    <w:rsid w:val="00B421D8"/>
    <w:rsid w:val="00B42851"/>
    <w:rsid w:val="00B42A79"/>
    <w:rsid w:val="00B42F80"/>
    <w:rsid w:val="00B435CB"/>
    <w:rsid w:val="00B439E4"/>
    <w:rsid w:val="00B43AD8"/>
    <w:rsid w:val="00B43E19"/>
    <w:rsid w:val="00B447C9"/>
    <w:rsid w:val="00B44A91"/>
    <w:rsid w:val="00B44AC9"/>
    <w:rsid w:val="00B44C40"/>
    <w:rsid w:val="00B4521C"/>
    <w:rsid w:val="00B46267"/>
    <w:rsid w:val="00B46362"/>
    <w:rsid w:val="00B465EC"/>
    <w:rsid w:val="00B472C1"/>
    <w:rsid w:val="00B4761A"/>
    <w:rsid w:val="00B4780A"/>
    <w:rsid w:val="00B479A7"/>
    <w:rsid w:val="00B47A5A"/>
    <w:rsid w:val="00B47A65"/>
    <w:rsid w:val="00B47D6B"/>
    <w:rsid w:val="00B47F6F"/>
    <w:rsid w:val="00B501FA"/>
    <w:rsid w:val="00B5022A"/>
    <w:rsid w:val="00B503F6"/>
    <w:rsid w:val="00B505C8"/>
    <w:rsid w:val="00B50857"/>
    <w:rsid w:val="00B5095B"/>
    <w:rsid w:val="00B50DB8"/>
    <w:rsid w:val="00B50F7F"/>
    <w:rsid w:val="00B5116B"/>
    <w:rsid w:val="00B51246"/>
    <w:rsid w:val="00B5133F"/>
    <w:rsid w:val="00B51D9E"/>
    <w:rsid w:val="00B51F4D"/>
    <w:rsid w:val="00B527E9"/>
    <w:rsid w:val="00B52928"/>
    <w:rsid w:val="00B52BA2"/>
    <w:rsid w:val="00B52BEA"/>
    <w:rsid w:val="00B53654"/>
    <w:rsid w:val="00B536C4"/>
    <w:rsid w:val="00B53905"/>
    <w:rsid w:val="00B53A92"/>
    <w:rsid w:val="00B53C84"/>
    <w:rsid w:val="00B546DB"/>
    <w:rsid w:val="00B54B5B"/>
    <w:rsid w:val="00B54CE0"/>
    <w:rsid w:val="00B54D44"/>
    <w:rsid w:val="00B550FA"/>
    <w:rsid w:val="00B55207"/>
    <w:rsid w:val="00B5562E"/>
    <w:rsid w:val="00B55862"/>
    <w:rsid w:val="00B55D65"/>
    <w:rsid w:val="00B55DCA"/>
    <w:rsid w:val="00B56137"/>
    <w:rsid w:val="00B56305"/>
    <w:rsid w:val="00B56694"/>
    <w:rsid w:val="00B568E3"/>
    <w:rsid w:val="00B56F13"/>
    <w:rsid w:val="00B57000"/>
    <w:rsid w:val="00B60141"/>
    <w:rsid w:val="00B606DB"/>
    <w:rsid w:val="00B607AD"/>
    <w:rsid w:val="00B607FF"/>
    <w:rsid w:val="00B60939"/>
    <w:rsid w:val="00B60AFD"/>
    <w:rsid w:val="00B611C1"/>
    <w:rsid w:val="00B6124D"/>
    <w:rsid w:val="00B61465"/>
    <w:rsid w:val="00B614EC"/>
    <w:rsid w:val="00B61A59"/>
    <w:rsid w:val="00B61B28"/>
    <w:rsid w:val="00B6202F"/>
    <w:rsid w:val="00B6216F"/>
    <w:rsid w:val="00B62715"/>
    <w:rsid w:val="00B62F74"/>
    <w:rsid w:val="00B633C1"/>
    <w:rsid w:val="00B63466"/>
    <w:rsid w:val="00B63544"/>
    <w:rsid w:val="00B63B11"/>
    <w:rsid w:val="00B63D59"/>
    <w:rsid w:val="00B63D8D"/>
    <w:rsid w:val="00B64866"/>
    <w:rsid w:val="00B64C40"/>
    <w:rsid w:val="00B64E46"/>
    <w:rsid w:val="00B65611"/>
    <w:rsid w:val="00B65B2B"/>
    <w:rsid w:val="00B66132"/>
    <w:rsid w:val="00B66651"/>
    <w:rsid w:val="00B66AAB"/>
    <w:rsid w:val="00B67EC0"/>
    <w:rsid w:val="00B70016"/>
    <w:rsid w:val="00B7024B"/>
    <w:rsid w:val="00B70A9E"/>
    <w:rsid w:val="00B70B3E"/>
    <w:rsid w:val="00B70CCA"/>
    <w:rsid w:val="00B70D8A"/>
    <w:rsid w:val="00B70E8E"/>
    <w:rsid w:val="00B70F69"/>
    <w:rsid w:val="00B7131A"/>
    <w:rsid w:val="00B71366"/>
    <w:rsid w:val="00B71B34"/>
    <w:rsid w:val="00B71B97"/>
    <w:rsid w:val="00B71BA8"/>
    <w:rsid w:val="00B71F23"/>
    <w:rsid w:val="00B72749"/>
    <w:rsid w:val="00B730BB"/>
    <w:rsid w:val="00B7366A"/>
    <w:rsid w:val="00B7385C"/>
    <w:rsid w:val="00B738B6"/>
    <w:rsid w:val="00B74466"/>
    <w:rsid w:val="00B745FA"/>
    <w:rsid w:val="00B74816"/>
    <w:rsid w:val="00B759C6"/>
    <w:rsid w:val="00B75B6F"/>
    <w:rsid w:val="00B75C34"/>
    <w:rsid w:val="00B76C92"/>
    <w:rsid w:val="00B77494"/>
    <w:rsid w:val="00B77643"/>
    <w:rsid w:val="00B777DF"/>
    <w:rsid w:val="00B778A5"/>
    <w:rsid w:val="00B80416"/>
    <w:rsid w:val="00B80EFD"/>
    <w:rsid w:val="00B818A4"/>
    <w:rsid w:val="00B82CE8"/>
    <w:rsid w:val="00B83269"/>
    <w:rsid w:val="00B83739"/>
    <w:rsid w:val="00B838CD"/>
    <w:rsid w:val="00B83AE8"/>
    <w:rsid w:val="00B840E9"/>
    <w:rsid w:val="00B84117"/>
    <w:rsid w:val="00B8434D"/>
    <w:rsid w:val="00B84B40"/>
    <w:rsid w:val="00B858F0"/>
    <w:rsid w:val="00B85AA2"/>
    <w:rsid w:val="00B85FF2"/>
    <w:rsid w:val="00B86142"/>
    <w:rsid w:val="00B8649C"/>
    <w:rsid w:val="00B864A8"/>
    <w:rsid w:val="00B8695D"/>
    <w:rsid w:val="00B86BAA"/>
    <w:rsid w:val="00B86ED6"/>
    <w:rsid w:val="00B87573"/>
    <w:rsid w:val="00B87D24"/>
    <w:rsid w:val="00B87F0A"/>
    <w:rsid w:val="00B90365"/>
    <w:rsid w:val="00B906D7"/>
    <w:rsid w:val="00B90848"/>
    <w:rsid w:val="00B90D27"/>
    <w:rsid w:val="00B90EA3"/>
    <w:rsid w:val="00B91096"/>
    <w:rsid w:val="00B918EA"/>
    <w:rsid w:val="00B9244C"/>
    <w:rsid w:val="00B9278C"/>
    <w:rsid w:val="00B92D0B"/>
    <w:rsid w:val="00B92FA7"/>
    <w:rsid w:val="00B93187"/>
    <w:rsid w:val="00B931A5"/>
    <w:rsid w:val="00B93308"/>
    <w:rsid w:val="00B933B7"/>
    <w:rsid w:val="00B93608"/>
    <w:rsid w:val="00B93FEB"/>
    <w:rsid w:val="00B9414C"/>
    <w:rsid w:val="00B94500"/>
    <w:rsid w:val="00B945C0"/>
    <w:rsid w:val="00B946D9"/>
    <w:rsid w:val="00B94945"/>
    <w:rsid w:val="00B94DD6"/>
    <w:rsid w:val="00B9522B"/>
    <w:rsid w:val="00B95B2F"/>
    <w:rsid w:val="00B963FE"/>
    <w:rsid w:val="00B9659E"/>
    <w:rsid w:val="00B965A1"/>
    <w:rsid w:val="00B966EB"/>
    <w:rsid w:val="00B96816"/>
    <w:rsid w:val="00B96AF7"/>
    <w:rsid w:val="00B96DE2"/>
    <w:rsid w:val="00B96F1E"/>
    <w:rsid w:val="00B97570"/>
    <w:rsid w:val="00B97850"/>
    <w:rsid w:val="00B97A3C"/>
    <w:rsid w:val="00B97AD0"/>
    <w:rsid w:val="00B97BBB"/>
    <w:rsid w:val="00B97C0D"/>
    <w:rsid w:val="00B97F9B"/>
    <w:rsid w:val="00BA01D8"/>
    <w:rsid w:val="00BA040B"/>
    <w:rsid w:val="00BA0C37"/>
    <w:rsid w:val="00BA0D2F"/>
    <w:rsid w:val="00BA144A"/>
    <w:rsid w:val="00BA14CD"/>
    <w:rsid w:val="00BA2B14"/>
    <w:rsid w:val="00BA2E6B"/>
    <w:rsid w:val="00BA2F49"/>
    <w:rsid w:val="00BA322D"/>
    <w:rsid w:val="00BA3B9F"/>
    <w:rsid w:val="00BA5111"/>
    <w:rsid w:val="00BA516B"/>
    <w:rsid w:val="00BA5950"/>
    <w:rsid w:val="00BA5AB6"/>
    <w:rsid w:val="00BA6247"/>
    <w:rsid w:val="00BA634C"/>
    <w:rsid w:val="00BA63FA"/>
    <w:rsid w:val="00BA66D4"/>
    <w:rsid w:val="00BA6C63"/>
    <w:rsid w:val="00BA6CAF"/>
    <w:rsid w:val="00BA73D7"/>
    <w:rsid w:val="00BA745B"/>
    <w:rsid w:val="00BA74B7"/>
    <w:rsid w:val="00BA7DE1"/>
    <w:rsid w:val="00BB00B3"/>
    <w:rsid w:val="00BB01FD"/>
    <w:rsid w:val="00BB024D"/>
    <w:rsid w:val="00BB0B6D"/>
    <w:rsid w:val="00BB0BDD"/>
    <w:rsid w:val="00BB0C24"/>
    <w:rsid w:val="00BB131F"/>
    <w:rsid w:val="00BB176C"/>
    <w:rsid w:val="00BB1AD6"/>
    <w:rsid w:val="00BB208B"/>
    <w:rsid w:val="00BB2096"/>
    <w:rsid w:val="00BB211D"/>
    <w:rsid w:val="00BB29A3"/>
    <w:rsid w:val="00BB2A73"/>
    <w:rsid w:val="00BB2CFD"/>
    <w:rsid w:val="00BB2F41"/>
    <w:rsid w:val="00BB3353"/>
    <w:rsid w:val="00BB33CF"/>
    <w:rsid w:val="00BB3966"/>
    <w:rsid w:val="00BB3A45"/>
    <w:rsid w:val="00BB3C18"/>
    <w:rsid w:val="00BB3D51"/>
    <w:rsid w:val="00BB4ACC"/>
    <w:rsid w:val="00BB5A14"/>
    <w:rsid w:val="00BB6010"/>
    <w:rsid w:val="00BB62A7"/>
    <w:rsid w:val="00BB6B08"/>
    <w:rsid w:val="00BB703E"/>
    <w:rsid w:val="00BB732D"/>
    <w:rsid w:val="00BB738A"/>
    <w:rsid w:val="00BB7405"/>
    <w:rsid w:val="00BB76C5"/>
    <w:rsid w:val="00BB7A1F"/>
    <w:rsid w:val="00BC032A"/>
    <w:rsid w:val="00BC147E"/>
    <w:rsid w:val="00BC1582"/>
    <w:rsid w:val="00BC15C2"/>
    <w:rsid w:val="00BC15F0"/>
    <w:rsid w:val="00BC176D"/>
    <w:rsid w:val="00BC1D09"/>
    <w:rsid w:val="00BC25AD"/>
    <w:rsid w:val="00BC25BD"/>
    <w:rsid w:val="00BC2E50"/>
    <w:rsid w:val="00BC2FA1"/>
    <w:rsid w:val="00BC3223"/>
    <w:rsid w:val="00BC3472"/>
    <w:rsid w:val="00BC3631"/>
    <w:rsid w:val="00BC3684"/>
    <w:rsid w:val="00BC402F"/>
    <w:rsid w:val="00BC4C2C"/>
    <w:rsid w:val="00BC4D8B"/>
    <w:rsid w:val="00BC4FB9"/>
    <w:rsid w:val="00BC591F"/>
    <w:rsid w:val="00BC5959"/>
    <w:rsid w:val="00BC59E5"/>
    <w:rsid w:val="00BC5B9B"/>
    <w:rsid w:val="00BC60A8"/>
    <w:rsid w:val="00BC6856"/>
    <w:rsid w:val="00BC6AEC"/>
    <w:rsid w:val="00BC6BAE"/>
    <w:rsid w:val="00BC6DD3"/>
    <w:rsid w:val="00BC7329"/>
    <w:rsid w:val="00BC7D6D"/>
    <w:rsid w:val="00BC7DDE"/>
    <w:rsid w:val="00BC7FAE"/>
    <w:rsid w:val="00BD057F"/>
    <w:rsid w:val="00BD077B"/>
    <w:rsid w:val="00BD07C9"/>
    <w:rsid w:val="00BD0B7F"/>
    <w:rsid w:val="00BD0F7E"/>
    <w:rsid w:val="00BD153F"/>
    <w:rsid w:val="00BD1C37"/>
    <w:rsid w:val="00BD1D62"/>
    <w:rsid w:val="00BD2108"/>
    <w:rsid w:val="00BD272A"/>
    <w:rsid w:val="00BD2EF8"/>
    <w:rsid w:val="00BD305F"/>
    <w:rsid w:val="00BD3509"/>
    <w:rsid w:val="00BD3566"/>
    <w:rsid w:val="00BD35BF"/>
    <w:rsid w:val="00BD3680"/>
    <w:rsid w:val="00BD390F"/>
    <w:rsid w:val="00BD3E37"/>
    <w:rsid w:val="00BD3EB7"/>
    <w:rsid w:val="00BD42B2"/>
    <w:rsid w:val="00BD49FD"/>
    <w:rsid w:val="00BD4E87"/>
    <w:rsid w:val="00BD500A"/>
    <w:rsid w:val="00BD5390"/>
    <w:rsid w:val="00BD68A3"/>
    <w:rsid w:val="00BD68F7"/>
    <w:rsid w:val="00BD6938"/>
    <w:rsid w:val="00BD6CF3"/>
    <w:rsid w:val="00BD6EE3"/>
    <w:rsid w:val="00BD74B6"/>
    <w:rsid w:val="00BD76E4"/>
    <w:rsid w:val="00BD791C"/>
    <w:rsid w:val="00BD7C4B"/>
    <w:rsid w:val="00BD7E0D"/>
    <w:rsid w:val="00BD7F72"/>
    <w:rsid w:val="00BD7FC2"/>
    <w:rsid w:val="00BE0977"/>
    <w:rsid w:val="00BE0CCC"/>
    <w:rsid w:val="00BE0ECA"/>
    <w:rsid w:val="00BE1750"/>
    <w:rsid w:val="00BE1780"/>
    <w:rsid w:val="00BE199F"/>
    <w:rsid w:val="00BE1D71"/>
    <w:rsid w:val="00BE2180"/>
    <w:rsid w:val="00BE21F2"/>
    <w:rsid w:val="00BE2642"/>
    <w:rsid w:val="00BE2AE0"/>
    <w:rsid w:val="00BE2D1F"/>
    <w:rsid w:val="00BE3145"/>
    <w:rsid w:val="00BE384E"/>
    <w:rsid w:val="00BE408A"/>
    <w:rsid w:val="00BE4275"/>
    <w:rsid w:val="00BE4B12"/>
    <w:rsid w:val="00BE4D1E"/>
    <w:rsid w:val="00BE517C"/>
    <w:rsid w:val="00BE5470"/>
    <w:rsid w:val="00BE54B2"/>
    <w:rsid w:val="00BE5BF2"/>
    <w:rsid w:val="00BE602B"/>
    <w:rsid w:val="00BE6432"/>
    <w:rsid w:val="00BE66F9"/>
    <w:rsid w:val="00BF06AE"/>
    <w:rsid w:val="00BF0F35"/>
    <w:rsid w:val="00BF0F8F"/>
    <w:rsid w:val="00BF0F95"/>
    <w:rsid w:val="00BF1295"/>
    <w:rsid w:val="00BF17A6"/>
    <w:rsid w:val="00BF2433"/>
    <w:rsid w:val="00BF2E6E"/>
    <w:rsid w:val="00BF2EDE"/>
    <w:rsid w:val="00BF3464"/>
    <w:rsid w:val="00BF35C2"/>
    <w:rsid w:val="00BF3F04"/>
    <w:rsid w:val="00BF428A"/>
    <w:rsid w:val="00BF468F"/>
    <w:rsid w:val="00BF478C"/>
    <w:rsid w:val="00BF5831"/>
    <w:rsid w:val="00BF5BD5"/>
    <w:rsid w:val="00BF5F0B"/>
    <w:rsid w:val="00BF60AC"/>
    <w:rsid w:val="00BF61C9"/>
    <w:rsid w:val="00BF68D6"/>
    <w:rsid w:val="00BF6C94"/>
    <w:rsid w:val="00BF776C"/>
    <w:rsid w:val="00BF7A8F"/>
    <w:rsid w:val="00BF7CF0"/>
    <w:rsid w:val="00BF7E98"/>
    <w:rsid w:val="00C00424"/>
    <w:rsid w:val="00C0043B"/>
    <w:rsid w:val="00C00BB0"/>
    <w:rsid w:val="00C00CE1"/>
    <w:rsid w:val="00C0166B"/>
    <w:rsid w:val="00C01AF4"/>
    <w:rsid w:val="00C01B15"/>
    <w:rsid w:val="00C022E4"/>
    <w:rsid w:val="00C024D2"/>
    <w:rsid w:val="00C02DA7"/>
    <w:rsid w:val="00C035DA"/>
    <w:rsid w:val="00C03AFE"/>
    <w:rsid w:val="00C03CBD"/>
    <w:rsid w:val="00C04052"/>
    <w:rsid w:val="00C04423"/>
    <w:rsid w:val="00C04A45"/>
    <w:rsid w:val="00C058CE"/>
    <w:rsid w:val="00C05EB9"/>
    <w:rsid w:val="00C063EF"/>
    <w:rsid w:val="00C06563"/>
    <w:rsid w:val="00C069AB"/>
    <w:rsid w:val="00C06B17"/>
    <w:rsid w:val="00C06CDF"/>
    <w:rsid w:val="00C078B3"/>
    <w:rsid w:val="00C07BB1"/>
    <w:rsid w:val="00C102C7"/>
    <w:rsid w:val="00C10CAD"/>
    <w:rsid w:val="00C10FEF"/>
    <w:rsid w:val="00C110F4"/>
    <w:rsid w:val="00C11687"/>
    <w:rsid w:val="00C1179F"/>
    <w:rsid w:val="00C12020"/>
    <w:rsid w:val="00C1209D"/>
    <w:rsid w:val="00C12306"/>
    <w:rsid w:val="00C1236D"/>
    <w:rsid w:val="00C1260E"/>
    <w:rsid w:val="00C127B9"/>
    <w:rsid w:val="00C128FA"/>
    <w:rsid w:val="00C12C14"/>
    <w:rsid w:val="00C12CB3"/>
    <w:rsid w:val="00C12CE6"/>
    <w:rsid w:val="00C12E2D"/>
    <w:rsid w:val="00C1324D"/>
    <w:rsid w:val="00C13B42"/>
    <w:rsid w:val="00C13E6B"/>
    <w:rsid w:val="00C14050"/>
    <w:rsid w:val="00C1426E"/>
    <w:rsid w:val="00C1431E"/>
    <w:rsid w:val="00C14586"/>
    <w:rsid w:val="00C1492C"/>
    <w:rsid w:val="00C15F04"/>
    <w:rsid w:val="00C15F4C"/>
    <w:rsid w:val="00C1616E"/>
    <w:rsid w:val="00C166E9"/>
    <w:rsid w:val="00C167C5"/>
    <w:rsid w:val="00C16AE3"/>
    <w:rsid w:val="00C16E73"/>
    <w:rsid w:val="00C171DF"/>
    <w:rsid w:val="00C1742F"/>
    <w:rsid w:val="00C1765D"/>
    <w:rsid w:val="00C1782D"/>
    <w:rsid w:val="00C178D2"/>
    <w:rsid w:val="00C179B3"/>
    <w:rsid w:val="00C17CF2"/>
    <w:rsid w:val="00C17E3F"/>
    <w:rsid w:val="00C17E5D"/>
    <w:rsid w:val="00C17F4D"/>
    <w:rsid w:val="00C200AA"/>
    <w:rsid w:val="00C200BA"/>
    <w:rsid w:val="00C201B0"/>
    <w:rsid w:val="00C20AC3"/>
    <w:rsid w:val="00C20ADB"/>
    <w:rsid w:val="00C20F41"/>
    <w:rsid w:val="00C217A2"/>
    <w:rsid w:val="00C2188B"/>
    <w:rsid w:val="00C218FE"/>
    <w:rsid w:val="00C22524"/>
    <w:rsid w:val="00C237ED"/>
    <w:rsid w:val="00C241A4"/>
    <w:rsid w:val="00C24632"/>
    <w:rsid w:val="00C24742"/>
    <w:rsid w:val="00C2489D"/>
    <w:rsid w:val="00C24A50"/>
    <w:rsid w:val="00C25418"/>
    <w:rsid w:val="00C2546D"/>
    <w:rsid w:val="00C25775"/>
    <w:rsid w:val="00C25948"/>
    <w:rsid w:val="00C25A0B"/>
    <w:rsid w:val="00C25A0D"/>
    <w:rsid w:val="00C25B13"/>
    <w:rsid w:val="00C25CE2"/>
    <w:rsid w:val="00C25CEA"/>
    <w:rsid w:val="00C25D9C"/>
    <w:rsid w:val="00C27383"/>
    <w:rsid w:val="00C274C4"/>
    <w:rsid w:val="00C2778B"/>
    <w:rsid w:val="00C27E94"/>
    <w:rsid w:val="00C3056C"/>
    <w:rsid w:val="00C31209"/>
    <w:rsid w:val="00C31649"/>
    <w:rsid w:val="00C317DF"/>
    <w:rsid w:val="00C32486"/>
    <w:rsid w:val="00C32666"/>
    <w:rsid w:val="00C327EF"/>
    <w:rsid w:val="00C33EFD"/>
    <w:rsid w:val="00C34295"/>
    <w:rsid w:val="00C3434C"/>
    <w:rsid w:val="00C343C4"/>
    <w:rsid w:val="00C3444E"/>
    <w:rsid w:val="00C348E7"/>
    <w:rsid w:val="00C34B28"/>
    <w:rsid w:val="00C34B4F"/>
    <w:rsid w:val="00C34C6D"/>
    <w:rsid w:val="00C35352"/>
    <w:rsid w:val="00C35365"/>
    <w:rsid w:val="00C35CE8"/>
    <w:rsid w:val="00C35E4F"/>
    <w:rsid w:val="00C36481"/>
    <w:rsid w:val="00C370B1"/>
    <w:rsid w:val="00C3760F"/>
    <w:rsid w:val="00C37763"/>
    <w:rsid w:val="00C3787D"/>
    <w:rsid w:val="00C37A75"/>
    <w:rsid w:val="00C37B21"/>
    <w:rsid w:val="00C37E99"/>
    <w:rsid w:val="00C40023"/>
    <w:rsid w:val="00C40177"/>
    <w:rsid w:val="00C40385"/>
    <w:rsid w:val="00C4128E"/>
    <w:rsid w:val="00C41768"/>
    <w:rsid w:val="00C41D15"/>
    <w:rsid w:val="00C41DDD"/>
    <w:rsid w:val="00C42100"/>
    <w:rsid w:val="00C42225"/>
    <w:rsid w:val="00C429D3"/>
    <w:rsid w:val="00C42B01"/>
    <w:rsid w:val="00C42DF5"/>
    <w:rsid w:val="00C435CC"/>
    <w:rsid w:val="00C4362A"/>
    <w:rsid w:val="00C43768"/>
    <w:rsid w:val="00C43870"/>
    <w:rsid w:val="00C439C5"/>
    <w:rsid w:val="00C43EAE"/>
    <w:rsid w:val="00C441C1"/>
    <w:rsid w:val="00C442C2"/>
    <w:rsid w:val="00C443FE"/>
    <w:rsid w:val="00C444E2"/>
    <w:rsid w:val="00C4472C"/>
    <w:rsid w:val="00C44E5A"/>
    <w:rsid w:val="00C455EB"/>
    <w:rsid w:val="00C4586B"/>
    <w:rsid w:val="00C45B8C"/>
    <w:rsid w:val="00C45D5C"/>
    <w:rsid w:val="00C45F9C"/>
    <w:rsid w:val="00C46026"/>
    <w:rsid w:val="00C462D4"/>
    <w:rsid w:val="00C46504"/>
    <w:rsid w:val="00C46B76"/>
    <w:rsid w:val="00C46D3D"/>
    <w:rsid w:val="00C47157"/>
    <w:rsid w:val="00C472B9"/>
    <w:rsid w:val="00C475AA"/>
    <w:rsid w:val="00C50290"/>
    <w:rsid w:val="00C503F9"/>
    <w:rsid w:val="00C50798"/>
    <w:rsid w:val="00C5104F"/>
    <w:rsid w:val="00C517D2"/>
    <w:rsid w:val="00C518B0"/>
    <w:rsid w:val="00C51E53"/>
    <w:rsid w:val="00C52539"/>
    <w:rsid w:val="00C527C7"/>
    <w:rsid w:val="00C52840"/>
    <w:rsid w:val="00C52AEA"/>
    <w:rsid w:val="00C52D23"/>
    <w:rsid w:val="00C5340A"/>
    <w:rsid w:val="00C537E2"/>
    <w:rsid w:val="00C53C98"/>
    <w:rsid w:val="00C540E0"/>
    <w:rsid w:val="00C544E5"/>
    <w:rsid w:val="00C54D1E"/>
    <w:rsid w:val="00C559E2"/>
    <w:rsid w:val="00C55C36"/>
    <w:rsid w:val="00C56BA8"/>
    <w:rsid w:val="00C56FCF"/>
    <w:rsid w:val="00C57092"/>
    <w:rsid w:val="00C572F6"/>
    <w:rsid w:val="00C57A97"/>
    <w:rsid w:val="00C57B6C"/>
    <w:rsid w:val="00C57BD5"/>
    <w:rsid w:val="00C57BED"/>
    <w:rsid w:val="00C60320"/>
    <w:rsid w:val="00C6061D"/>
    <w:rsid w:val="00C60707"/>
    <w:rsid w:val="00C61A59"/>
    <w:rsid w:val="00C61EAC"/>
    <w:rsid w:val="00C628A6"/>
    <w:rsid w:val="00C62E04"/>
    <w:rsid w:val="00C62F57"/>
    <w:rsid w:val="00C631E7"/>
    <w:rsid w:val="00C637F4"/>
    <w:rsid w:val="00C63A36"/>
    <w:rsid w:val="00C63EE5"/>
    <w:rsid w:val="00C64344"/>
    <w:rsid w:val="00C64395"/>
    <w:rsid w:val="00C64A0E"/>
    <w:rsid w:val="00C64A6D"/>
    <w:rsid w:val="00C64C6D"/>
    <w:rsid w:val="00C64FDE"/>
    <w:rsid w:val="00C65108"/>
    <w:rsid w:val="00C65576"/>
    <w:rsid w:val="00C65621"/>
    <w:rsid w:val="00C65823"/>
    <w:rsid w:val="00C658DB"/>
    <w:rsid w:val="00C65F46"/>
    <w:rsid w:val="00C66064"/>
    <w:rsid w:val="00C66165"/>
    <w:rsid w:val="00C66BBE"/>
    <w:rsid w:val="00C66F46"/>
    <w:rsid w:val="00C67286"/>
    <w:rsid w:val="00C678A2"/>
    <w:rsid w:val="00C70029"/>
    <w:rsid w:val="00C701D7"/>
    <w:rsid w:val="00C7060A"/>
    <w:rsid w:val="00C706B4"/>
    <w:rsid w:val="00C70C63"/>
    <w:rsid w:val="00C71077"/>
    <w:rsid w:val="00C7144C"/>
    <w:rsid w:val="00C7151A"/>
    <w:rsid w:val="00C717E3"/>
    <w:rsid w:val="00C71BA9"/>
    <w:rsid w:val="00C71F60"/>
    <w:rsid w:val="00C72241"/>
    <w:rsid w:val="00C72FD1"/>
    <w:rsid w:val="00C73114"/>
    <w:rsid w:val="00C73944"/>
    <w:rsid w:val="00C73DAD"/>
    <w:rsid w:val="00C73DD6"/>
    <w:rsid w:val="00C73EEF"/>
    <w:rsid w:val="00C741C9"/>
    <w:rsid w:val="00C74BB0"/>
    <w:rsid w:val="00C74E58"/>
    <w:rsid w:val="00C74EF8"/>
    <w:rsid w:val="00C74F2B"/>
    <w:rsid w:val="00C750C8"/>
    <w:rsid w:val="00C75296"/>
    <w:rsid w:val="00C75570"/>
    <w:rsid w:val="00C7560F"/>
    <w:rsid w:val="00C758D0"/>
    <w:rsid w:val="00C75AA0"/>
    <w:rsid w:val="00C75C49"/>
    <w:rsid w:val="00C765F9"/>
    <w:rsid w:val="00C7724B"/>
    <w:rsid w:val="00C80A0E"/>
    <w:rsid w:val="00C80A71"/>
    <w:rsid w:val="00C811AF"/>
    <w:rsid w:val="00C81334"/>
    <w:rsid w:val="00C816ED"/>
    <w:rsid w:val="00C81915"/>
    <w:rsid w:val="00C81F6F"/>
    <w:rsid w:val="00C8213F"/>
    <w:rsid w:val="00C82809"/>
    <w:rsid w:val="00C82BC6"/>
    <w:rsid w:val="00C82D3E"/>
    <w:rsid w:val="00C82E18"/>
    <w:rsid w:val="00C82EEA"/>
    <w:rsid w:val="00C8303F"/>
    <w:rsid w:val="00C83185"/>
    <w:rsid w:val="00C83194"/>
    <w:rsid w:val="00C8335F"/>
    <w:rsid w:val="00C8342C"/>
    <w:rsid w:val="00C83438"/>
    <w:rsid w:val="00C837BE"/>
    <w:rsid w:val="00C8390D"/>
    <w:rsid w:val="00C83B52"/>
    <w:rsid w:val="00C83F7B"/>
    <w:rsid w:val="00C83F99"/>
    <w:rsid w:val="00C83FD4"/>
    <w:rsid w:val="00C843A0"/>
    <w:rsid w:val="00C8491E"/>
    <w:rsid w:val="00C85154"/>
    <w:rsid w:val="00C8579B"/>
    <w:rsid w:val="00C857ED"/>
    <w:rsid w:val="00C85A70"/>
    <w:rsid w:val="00C85B1E"/>
    <w:rsid w:val="00C85CE2"/>
    <w:rsid w:val="00C86475"/>
    <w:rsid w:val="00C866D5"/>
    <w:rsid w:val="00C86C15"/>
    <w:rsid w:val="00C86EB4"/>
    <w:rsid w:val="00C86F91"/>
    <w:rsid w:val="00C86FF8"/>
    <w:rsid w:val="00C87087"/>
    <w:rsid w:val="00C875BF"/>
    <w:rsid w:val="00C8797A"/>
    <w:rsid w:val="00C87D00"/>
    <w:rsid w:val="00C900B8"/>
    <w:rsid w:val="00C90197"/>
    <w:rsid w:val="00C906B9"/>
    <w:rsid w:val="00C90932"/>
    <w:rsid w:val="00C90C71"/>
    <w:rsid w:val="00C90E7D"/>
    <w:rsid w:val="00C916C2"/>
    <w:rsid w:val="00C91B5E"/>
    <w:rsid w:val="00C91C55"/>
    <w:rsid w:val="00C91D48"/>
    <w:rsid w:val="00C91FD1"/>
    <w:rsid w:val="00C922BF"/>
    <w:rsid w:val="00C92D07"/>
    <w:rsid w:val="00C93018"/>
    <w:rsid w:val="00C93109"/>
    <w:rsid w:val="00C931CF"/>
    <w:rsid w:val="00C93669"/>
    <w:rsid w:val="00C938CF"/>
    <w:rsid w:val="00C94053"/>
    <w:rsid w:val="00C94D7D"/>
    <w:rsid w:val="00C953E2"/>
    <w:rsid w:val="00C95410"/>
    <w:rsid w:val="00C955E3"/>
    <w:rsid w:val="00C95B3A"/>
    <w:rsid w:val="00C95EC0"/>
    <w:rsid w:val="00C9624D"/>
    <w:rsid w:val="00C96673"/>
    <w:rsid w:val="00C969DA"/>
    <w:rsid w:val="00C96DF8"/>
    <w:rsid w:val="00C96FBD"/>
    <w:rsid w:val="00C97BF7"/>
    <w:rsid w:val="00C97DD1"/>
    <w:rsid w:val="00CA1384"/>
    <w:rsid w:val="00CA14F1"/>
    <w:rsid w:val="00CA16CF"/>
    <w:rsid w:val="00CA17FA"/>
    <w:rsid w:val="00CA1A86"/>
    <w:rsid w:val="00CA1B65"/>
    <w:rsid w:val="00CA1B8A"/>
    <w:rsid w:val="00CA1C3F"/>
    <w:rsid w:val="00CA1C6A"/>
    <w:rsid w:val="00CA2722"/>
    <w:rsid w:val="00CA2830"/>
    <w:rsid w:val="00CA2C77"/>
    <w:rsid w:val="00CA2C9E"/>
    <w:rsid w:val="00CA3055"/>
    <w:rsid w:val="00CA371A"/>
    <w:rsid w:val="00CA380D"/>
    <w:rsid w:val="00CA38A7"/>
    <w:rsid w:val="00CA408B"/>
    <w:rsid w:val="00CA444F"/>
    <w:rsid w:val="00CA5245"/>
    <w:rsid w:val="00CA52B0"/>
    <w:rsid w:val="00CA54D5"/>
    <w:rsid w:val="00CA5590"/>
    <w:rsid w:val="00CA5972"/>
    <w:rsid w:val="00CA5E84"/>
    <w:rsid w:val="00CA5EB3"/>
    <w:rsid w:val="00CA67DC"/>
    <w:rsid w:val="00CA6B23"/>
    <w:rsid w:val="00CA6EF1"/>
    <w:rsid w:val="00CA6F3C"/>
    <w:rsid w:val="00CA71F4"/>
    <w:rsid w:val="00CA724F"/>
    <w:rsid w:val="00CA7B09"/>
    <w:rsid w:val="00CA7B3F"/>
    <w:rsid w:val="00CA7B91"/>
    <w:rsid w:val="00CA7CB4"/>
    <w:rsid w:val="00CA7CB8"/>
    <w:rsid w:val="00CB068B"/>
    <w:rsid w:val="00CB0E0C"/>
    <w:rsid w:val="00CB0F92"/>
    <w:rsid w:val="00CB1200"/>
    <w:rsid w:val="00CB12A5"/>
    <w:rsid w:val="00CB1B96"/>
    <w:rsid w:val="00CB1C88"/>
    <w:rsid w:val="00CB1CAC"/>
    <w:rsid w:val="00CB2632"/>
    <w:rsid w:val="00CB2956"/>
    <w:rsid w:val="00CB2A72"/>
    <w:rsid w:val="00CB2C3E"/>
    <w:rsid w:val="00CB2F2A"/>
    <w:rsid w:val="00CB3010"/>
    <w:rsid w:val="00CB3289"/>
    <w:rsid w:val="00CB36C6"/>
    <w:rsid w:val="00CB3AF1"/>
    <w:rsid w:val="00CB3D59"/>
    <w:rsid w:val="00CB4145"/>
    <w:rsid w:val="00CB45C0"/>
    <w:rsid w:val="00CB4855"/>
    <w:rsid w:val="00CB5137"/>
    <w:rsid w:val="00CB554A"/>
    <w:rsid w:val="00CB5AE5"/>
    <w:rsid w:val="00CB5B1A"/>
    <w:rsid w:val="00CB6251"/>
    <w:rsid w:val="00CB67BE"/>
    <w:rsid w:val="00CB6963"/>
    <w:rsid w:val="00CB6AE2"/>
    <w:rsid w:val="00CB6B22"/>
    <w:rsid w:val="00CB7E95"/>
    <w:rsid w:val="00CB7F5F"/>
    <w:rsid w:val="00CC04E5"/>
    <w:rsid w:val="00CC06CB"/>
    <w:rsid w:val="00CC1204"/>
    <w:rsid w:val="00CC1493"/>
    <w:rsid w:val="00CC1B39"/>
    <w:rsid w:val="00CC1BFA"/>
    <w:rsid w:val="00CC1D9C"/>
    <w:rsid w:val="00CC2594"/>
    <w:rsid w:val="00CC273E"/>
    <w:rsid w:val="00CC283E"/>
    <w:rsid w:val="00CC2882"/>
    <w:rsid w:val="00CC2C71"/>
    <w:rsid w:val="00CC2E9F"/>
    <w:rsid w:val="00CC354B"/>
    <w:rsid w:val="00CC35EA"/>
    <w:rsid w:val="00CC3848"/>
    <w:rsid w:val="00CC3F5A"/>
    <w:rsid w:val="00CC404A"/>
    <w:rsid w:val="00CC4D87"/>
    <w:rsid w:val="00CC4E4C"/>
    <w:rsid w:val="00CC4F12"/>
    <w:rsid w:val="00CC53BC"/>
    <w:rsid w:val="00CC54E8"/>
    <w:rsid w:val="00CC6924"/>
    <w:rsid w:val="00CC6D5E"/>
    <w:rsid w:val="00CC7531"/>
    <w:rsid w:val="00CD0200"/>
    <w:rsid w:val="00CD0438"/>
    <w:rsid w:val="00CD07B3"/>
    <w:rsid w:val="00CD0B25"/>
    <w:rsid w:val="00CD0DF7"/>
    <w:rsid w:val="00CD10C9"/>
    <w:rsid w:val="00CD12E2"/>
    <w:rsid w:val="00CD1B18"/>
    <w:rsid w:val="00CD1D55"/>
    <w:rsid w:val="00CD20BA"/>
    <w:rsid w:val="00CD24B0"/>
    <w:rsid w:val="00CD2590"/>
    <w:rsid w:val="00CD2FA1"/>
    <w:rsid w:val="00CD3AD1"/>
    <w:rsid w:val="00CD3F77"/>
    <w:rsid w:val="00CD425F"/>
    <w:rsid w:val="00CD465F"/>
    <w:rsid w:val="00CD4D96"/>
    <w:rsid w:val="00CD55D9"/>
    <w:rsid w:val="00CD57E1"/>
    <w:rsid w:val="00CD6399"/>
    <w:rsid w:val="00CD68C7"/>
    <w:rsid w:val="00CD6ADC"/>
    <w:rsid w:val="00CD6B28"/>
    <w:rsid w:val="00CD7014"/>
    <w:rsid w:val="00CD7166"/>
    <w:rsid w:val="00CD7193"/>
    <w:rsid w:val="00CD79E9"/>
    <w:rsid w:val="00CD7DD0"/>
    <w:rsid w:val="00CD7F38"/>
    <w:rsid w:val="00CE05F4"/>
    <w:rsid w:val="00CE08AD"/>
    <w:rsid w:val="00CE0A60"/>
    <w:rsid w:val="00CE0B5F"/>
    <w:rsid w:val="00CE1408"/>
    <w:rsid w:val="00CE147E"/>
    <w:rsid w:val="00CE1D39"/>
    <w:rsid w:val="00CE23E8"/>
    <w:rsid w:val="00CE284E"/>
    <w:rsid w:val="00CE38C8"/>
    <w:rsid w:val="00CE3A8D"/>
    <w:rsid w:val="00CE3BFC"/>
    <w:rsid w:val="00CE3E93"/>
    <w:rsid w:val="00CE43FE"/>
    <w:rsid w:val="00CE469A"/>
    <w:rsid w:val="00CE4CF0"/>
    <w:rsid w:val="00CE50CE"/>
    <w:rsid w:val="00CE524F"/>
    <w:rsid w:val="00CE52FC"/>
    <w:rsid w:val="00CE563D"/>
    <w:rsid w:val="00CE58CC"/>
    <w:rsid w:val="00CE5DC9"/>
    <w:rsid w:val="00CE6089"/>
    <w:rsid w:val="00CE6274"/>
    <w:rsid w:val="00CE6499"/>
    <w:rsid w:val="00CE670A"/>
    <w:rsid w:val="00CE674B"/>
    <w:rsid w:val="00CE6A16"/>
    <w:rsid w:val="00CE6A1C"/>
    <w:rsid w:val="00CE6A6F"/>
    <w:rsid w:val="00CE6BB4"/>
    <w:rsid w:val="00CE73D2"/>
    <w:rsid w:val="00CE77B6"/>
    <w:rsid w:val="00CF066E"/>
    <w:rsid w:val="00CF103C"/>
    <w:rsid w:val="00CF133D"/>
    <w:rsid w:val="00CF1739"/>
    <w:rsid w:val="00CF26F5"/>
    <w:rsid w:val="00CF2B8D"/>
    <w:rsid w:val="00CF30ED"/>
    <w:rsid w:val="00CF3A1B"/>
    <w:rsid w:val="00CF3BEC"/>
    <w:rsid w:val="00CF3E2C"/>
    <w:rsid w:val="00CF4537"/>
    <w:rsid w:val="00CF456B"/>
    <w:rsid w:val="00CF458B"/>
    <w:rsid w:val="00CF4622"/>
    <w:rsid w:val="00CF4A23"/>
    <w:rsid w:val="00CF4CF5"/>
    <w:rsid w:val="00CF58FD"/>
    <w:rsid w:val="00CF5A22"/>
    <w:rsid w:val="00CF5A9A"/>
    <w:rsid w:val="00CF5B52"/>
    <w:rsid w:val="00CF68EE"/>
    <w:rsid w:val="00CF6B88"/>
    <w:rsid w:val="00CF6D71"/>
    <w:rsid w:val="00CF731C"/>
    <w:rsid w:val="00CF73AD"/>
    <w:rsid w:val="00CF7412"/>
    <w:rsid w:val="00CF7EF1"/>
    <w:rsid w:val="00D008A0"/>
    <w:rsid w:val="00D00978"/>
    <w:rsid w:val="00D00AE2"/>
    <w:rsid w:val="00D00D1A"/>
    <w:rsid w:val="00D00D49"/>
    <w:rsid w:val="00D0112A"/>
    <w:rsid w:val="00D01233"/>
    <w:rsid w:val="00D0143B"/>
    <w:rsid w:val="00D0151C"/>
    <w:rsid w:val="00D0262E"/>
    <w:rsid w:val="00D026ED"/>
    <w:rsid w:val="00D02785"/>
    <w:rsid w:val="00D03111"/>
    <w:rsid w:val="00D03679"/>
    <w:rsid w:val="00D03749"/>
    <w:rsid w:val="00D03FED"/>
    <w:rsid w:val="00D04F07"/>
    <w:rsid w:val="00D05636"/>
    <w:rsid w:val="00D057D0"/>
    <w:rsid w:val="00D059A0"/>
    <w:rsid w:val="00D05A14"/>
    <w:rsid w:val="00D05C65"/>
    <w:rsid w:val="00D05E3D"/>
    <w:rsid w:val="00D06139"/>
    <w:rsid w:val="00D06327"/>
    <w:rsid w:val="00D0663A"/>
    <w:rsid w:val="00D066B0"/>
    <w:rsid w:val="00D069B9"/>
    <w:rsid w:val="00D07A82"/>
    <w:rsid w:val="00D07BAA"/>
    <w:rsid w:val="00D07C6C"/>
    <w:rsid w:val="00D07D65"/>
    <w:rsid w:val="00D104AE"/>
    <w:rsid w:val="00D105D9"/>
    <w:rsid w:val="00D10985"/>
    <w:rsid w:val="00D1099A"/>
    <w:rsid w:val="00D110BD"/>
    <w:rsid w:val="00D11500"/>
    <w:rsid w:val="00D117D8"/>
    <w:rsid w:val="00D117E4"/>
    <w:rsid w:val="00D11D64"/>
    <w:rsid w:val="00D1246F"/>
    <w:rsid w:val="00D1248D"/>
    <w:rsid w:val="00D124D6"/>
    <w:rsid w:val="00D12D76"/>
    <w:rsid w:val="00D131FA"/>
    <w:rsid w:val="00D1349D"/>
    <w:rsid w:val="00D13675"/>
    <w:rsid w:val="00D141E1"/>
    <w:rsid w:val="00D14312"/>
    <w:rsid w:val="00D148BE"/>
    <w:rsid w:val="00D148D0"/>
    <w:rsid w:val="00D14DEC"/>
    <w:rsid w:val="00D15314"/>
    <w:rsid w:val="00D15B48"/>
    <w:rsid w:val="00D15DC5"/>
    <w:rsid w:val="00D15F10"/>
    <w:rsid w:val="00D1625F"/>
    <w:rsid w:val="00D162B7"/>
    <w:rsid w:val="00D16E48"/>
    <w:rsid w:val="00D170CF"/>
    <w:rsid w:val="00D17152"/>
    <w:rsid w:val="00D17246"/>
    <w:rsid w:val="00D17D6C"/>
    <w:rsid w:val="00D17F8F"/>
    <w:rsid w:val="00D17FC6"/>
    <w:rsid w:val="00D204BE"/>
    <w:rsid w:val="00D21269"/>
    <w:rsid w:val="00D2155B"/>
    <w:rsid w:val="00D21892"/>
    <w:rsid w:val="00D218AA"/>
    <w:rsid w:val="00D21B17"/>
    <w:rsid w:val="00D21EE1"/>
    <w:rsid w:val="00D21EFD"/>
    <w:rsid w:val="00D221BF"/>
    <w:rsid w:val="00D22D55"/>
    <w:rsid w:val="00D23AC3"/>
    <w:rsid w:val="00D23B5F"/>
    <w:rsid w:val="00D23C7E"/>
    <w:rsid w:val="00D23D11"/>
    <w:rsid w:val="00D23E9A"/>
    <w:rsid w:val="00D244B6"/>
    <w:rsid w:val="00D24853"/>
    <w:rsid w:val="00D24E0A"/>
    <w:rsid w:val="00D24E1A"/>
    <w:rsid w:val="00D251EF"/>
    <w:rsid w:val="00D2596F"/>
    <w:rsid w:val="00D259DA"/>
    <w:rsid w:val="00D259F6"/>
    <w:rsid w:val="00D25D7F"/>
    <w:rsid w:val="00D25D8A"/>
    <w:rsid w:val="00D2659B"/>
    <w:rsid w:val="00D267D1"/>
    <w:rsid w:val="00D26D69"/>
    <w:rsid w:val="00D2754D"/>
    <w:rsid w:val="00D276CA"/>
    <w:rsid w:val="00D27707"/>
    <w:rsid w:val="00D27899"/>
    <w:rsid w:val="00D27B27"/>
    <w:rsid w:val="00D27F5D"/>
    <w:rsid w:val="00D30636"/>
    <w:rsid w:val="00D30D5B"/>
    <w:rsid w:val="00D30F4E"/>
    <w:rsid w:val="00D310CC"/>
    <w:rsid w:val="00D31202"/>
    <w:rsid w:val="00D32111"/>
    <w:rsid w:val="00D3220C"/>
    <w:rsid w:val="00D32601"/>
    <w:rsid w:val="00D328C6"/>
    <w:rsid w:val="00D329C0"/>
    <w:rsid w:val="00D32AFE"/>
    <w:rsid w:val="00D32EC6"/>
    <w:rsid w:val="00D33271"/>
    <w:rsid w:val="00D336EF"/>
    <w:rsid w:val="00D337FC"/>
    <w:rsid w:val="00D33AE4"/>
    <w:rsid w:val="00D33BE9"/>
    <w:rsid w:val="00D33F93"/>
    <w:rsid w:val="00D345E0"/>
    <w:rsid w:val="00D3481B"/>
    <w:rsid w:val="00D349A5"/>
    <w:rsid w:val="00D34DC2"/>
    <w:rsid w:val="00D34F29"/>
    <w:rsid w:val="00D355F4"/>
    <w:rsid w:val="00D357FF"/>
    <w:rsid w:val="00D360EE"/>
    <w:rsid w:val="00D361A8"/>
    <w:rsid w:val="00D361E0"/>
    <w:rsid w:val="00D3683F"/>
    <w:rsid w:val="00D36D1B"/>
    <w:rsid w:val="00D3722D"/>
    <w:rsid w:val="00D37534"/>
    <w:rsid w:val="00D37767"/>
    <w:rsid w:val="00D37893"/>
    <w:rsid w:val="00D378DD"/>
    <w:rsid w:val="00D37B5D"/>
    <w:rsid w:val="00D37B7C"/>
    <w:rsid w:val="00D37EBA"/>
    <w:rsid w:val="00D401AA"/>
    <w:rsid w:val="00D403BC"/>
    <w:rsid w:val="00D40464"/>
    <w:rsid w:val="00D408DD"/>
    <w:rsid w:val="00D40904"/>
    <w:rsid w:val="00D40A19"/>
    <w:rsid w:val="00D40B11"/>
    <w:rsid w:val="00D40C71"/>
    <w:rsid w:val="00D4140E"/>
    <w:rsid w:val="00D41744"/>
    <w:rsid w:val="00D420B3"/>
    <w:rsid w:val="00D4247B"/>
    <w:rsid w:val="00D424C7"/>
    <w:rsid w:val="00D4255D"/>
    <w:rsid w:val="00D42EAD"/>
    <w:rsid w:val="00D43137"/>
    <w:rsid w:val="00D4352D"/>
    <w:rsid w:val="00D43535"/>
    <w:rsid w:val="00D4368D"/>
    <w:rsid w:val="00D437B6"/>
    <w:rsid w:val="00D43A7A"/>
    <w:rsid w:val="00D43AF4"/>
    <w:rsid w:val="00D43B2A"/>
    <w:rsid w:val="00D43CF1"/>
    <w:rsid w:val="00D43D83"/>
    <w:rsid w:val="00D43FDD"/>
    <w:rsid w:val="00D443E3"/>
    <w:rsid w:val="00D444B1"/>
    <w:rsid w:val="00D448D0"/>
    <w:rsid w:val="00D44DEF"/>
    <w:rsid w:val="00D455F3"/>
    <w:rsid w:val="00D4594A"/>
    <w:rsid w:val="00D45BD4"/>
    <w:rsid w:val="00D45D83"/>
    <w:rsid w:val="00D45FF5"/>
    <w:rsid w:val="00D46245"/>
    <w:rsid w:val="00D469C8"/>
    <w:rsid w:val="00D46A90"/>
    <w:rsid w:val="00D47575"/>
    <w:rsid w:val="00D47C30"/>
    <w:rsid w:val="00D47D65"/>
    <w:rsid w:val="00D5077C"/>
    <w:rsid w:val="00D507DF"/>
    <w:rsid w:val="00D50C39"/>
    <w:rsid w:val="00D512D6"/>
    <w:rsid w:val="00D51517"/>
    <w:rsid w:val="00D5179D"/>
    <w:rsid w:val="00D51C11"/>
    <w:rsid w:val="00D51C1C"/>
    <w:rsid w:val="00D5243B"/>
    <w:rsid w:val="00D52890"/>
    <w:rsid w:val="00D529C9"/>
    <w:rsid w:val="00D52CF8"/>
    <w:rsid w:val="00D531B6"/>
    <w:rsid w:val="00D533EC"/>
    <w:rsid w:val="00D5374A"/>
    <w:rsid w:val="00D53ACD"/>
    <w:rsid w:val="00D53BF6"/>
    <w:rsid w:val="00D53F6B"/>
    <w:rsid w:val="00D54155"/>
    <w:rsid w:val="00D543CD"/>
    <w:rsid w:val="00D54751"/>
    <w:rsid w:val="00D54788"/>
    <w:rsid w:val="00D54A4A"/>
    <w:rsid w:val="00D5532F"/>
    <w:rsid w:val="00D55406"/>
    <w:rsid w:val="00D554C5"/>
    <w:rsid w:val="00D5578E"/>
    <w:rsid w:val="00D55CB7"/>
    <w:rsid w:val="00D55D25"/>
    <w:rsid w:val="00D56125"/>
    <w:rsid w:val="00D56230"/>
    <w:rsid w:val="00D56688"/>
    <w:rsid w:val="00D56A82"/>
    <w:rsid w:val="00D56A95"/>
    <w:rsid w:val="00D57252"/>
    <w:rsid w:val="00D5740D"/>
    <w:rsid w:val="00D57581"/>
    <w:rsid w:val="00D57687"/>
    <w:rsid w:val="00D57F8B"/>
    <w:rsid w:val="00D60005"/>
    <w:rsid w:val="00D60354"/>
    <w:rsid w:val="00D6076E"/>
    <w:rsid w:val="00D60833"/>
    <w:rsid w:val="00D60ACC"/>
    <w:rsid w:val="00D60E33"/>
    <w:rsid w:val="00D6109E"/>
    <w:rsid w:val="00D6163C"/>
    <w:rsid w:val="00D61901"/>
    <w:rsid w:val="00D61A85"/>
    <w:rsid w:val="00D61BAF"/>
    <w:rsid w:val="00D61D3E"/>
    <w:rsid w:val="00D62471"/>
    <w:rsid w:val="00D62BE9"/>
    <w:rsid w:val="00D62D5D"/>
    <w:rsid w:val="00D63C13"/>
    <w:rsid w:val="00D6418C"/>
    <w:rsid w:val="00D64442"/>
    <w:rsid w:val="00D650EC"/>
    <w:rsid w:val="00D65671"/>
    <w:rsid w:val="00D65D2E"/>
    <w:rsid w:val="00D660CB"/>
    <w:rsid w:val="00D663D1"/>
    <w:rsid w:val="00D66B58"/>
    <w:rsid w:val="00D66BCF"/>
    <w:rsid w:val="00D66FB7"/>
    <w:rsid w:val="00D6729B"/>
    <w:rsid w:val="00D676D5"/>
    <w:rsid w:val="00D6789D"/>
    <w:rsid w:val="00D67973"/>
    <w:rsid w:val="00D67C18"/>
    <w:rsid w:val="00D67DEB"/>
    <w:rsid w:val="00D70783"/>
    <w:rsid w:val="00D7096A"/>
    <w:rsid w:val="00D70F16"/>
    <w:rsid w:val="00D71AA6"/>
    <w:rsid w:val="00D71D22"/>
    <w:rsid w:val="00D724D4"/>
    <w:rsid w:val="00D72617"/>
    <w:rsid w:val="00D726E0"/>
    <w:rsid w:val="00D72A93"/>
    <w:rsid w:val="00D72F57"/>
    <w:rsid w:val="00D72FA1"/>
    <w:rsid w:val="00D73166"/>
    <w:rsid w:val="00D73E86"/>
    <w:rsid w:val="00D74AC9"/>
    <w:rsid w:val="00D74E5F"/>
    <w:rsid w:val="00D752CA"/>
    <w:rsid w:val="00D756F1"/>
    <w:rsid w:val="00D758BE"/>
    <w:rsid w:val="00D75AA1"/>
    <w:rsid w:val="00D75B6C"/>
    <w:rsid w:val="00D75E3F"/>
    <w:rsid w:val="00D762F7"/>
    <w:rsid w:val="00D76A44"/>
    <w:rsid w:val="00D76A56"/>
    <w:rsid w:val="00D76E15"/>
    <w:rsid w:val="00D77060"/>
    <w:rsid w:val="00D773E4"/>
    <w:rsid w:val="00D77B31"/>
    <w:rsid w:val="00D77D78"/>
    <w:rsid w:val="00D80298"/>
    <w:rsid w:val="00D810FD"/>
    <w:rsid w:val="00D815AF"/>
    <w:rsid w:val="00D815EF"/>
    <w:rsid w:val="00D8192E"/>
    <w:rsid w:val="00D81949"/>
    <w:rsid w:val="00D81953"/>
    <w:rsid w:val="00D81E92"/>
    <w:rsid w:val="00D81F26"/>
    <w:rsid w:val="00D822E2"/>
    <w:rsid w:val="00D8281C"/>
    <w:rsid w:val="00D82AEE"/>
    <w:rsid w:val="00D83F5A"/>
    <w:rsid w:val="00D83F6E"/>
    <w:rsid w:val="00D84163"/>
    <w:rsid w:val="00D843F2"/>
    <w:rsid w:val="00D84D21"/>
    <w:rsid w:val="00D84F5E"/>
    <w:rsid w:val="00D84FBA"/>
    <w:rsid w:val="00D851AA"/>
    <w:rsid w:val="00D8538A"/>
    <w:rsid w:val="00D85447"/>
    <w:rsid w:val="00D85696"/>
    <w:rsid w:val="00D85A85"/>
    <w:rsid w:val="00D85ADB"/>
    <w:rsid w:val="00D85B66"/>
    <w:rsid w:val="00D85C68"/>
    <w:rsid w:val="00D86230"/>
    <w:rsid w:val="00D86231"/>
    <w:rsid w:val="00D86F4A"/>
    <w:rsid w:val="00D870FE"/>
    <w:rsid w:val="00D87779"/>
    <w:rsid w:val="00D878A8"/>
    <w:rsid w:val="00D901C6"/>
    <w:rsid w:val="00D902A6"/>
    <w:rsid w:val="00D9080B"/>
    <w:rsid w:val="00D90CFD"/>
    <w:rsid w:val="00D912AB"/>
    <w:rsid w:val="00D91347"/>
    <w:rsid w:val="00D91923"/>
    <w:rsid w:val="00D91EC1"/>
    <w:rsid w:val="00D9257F"/>
    <w:rsid w:val="00D926E8"/>
    <w:rsid w:val="00D9285C"/>
    <w:rsid w:val="00D92A89"/>
    <w:rsid w:val="00D92B32"/>
    <w:rsid w:val="00D92BA8"/>
    <w:rsid w:val="00D92D9D"/>
    <w:rsid w:val="00D92E16"/>
    <w:rsid w:val="00D92F27"/>
    <w:rsid w:val="00D9323A"/>
    <w:rsid w:val="00D9353D"/>
    <w:rsid w:val="00D93753"/>
    <w:rsid w:val="00D93A24"/>
    <w:rsid w:val="00D93BCD"/>
    <w:rsid w:val="00D93C9D"/>
    <w:rsid w:val="00D93CBC"/>
    <w:rsid w:val="00D9436E"/>
    <w:rsid w:val="00D947E2"/>
    <w:rsid w:val="00D94B5A"/>
    <w:rsid w:val="00D94DF8"/>
    <w:rsid w:val="00D95039"/>
    <w:rsid w:val="00D96521"/>
    <w:rsid w:val="00D96E4A"/>
    <w:rsid w:val="00D97291"/>
    <w:rsid w:val="00D97906"/>
    <w:rsid w:val="00D97A73"/>
    <w:rsid w:val="00D97B41"/>
    <w:rsid w:val="00DA0D42"/>
    <w:rsid w:val="00DA1146"/>
    <w:rsid w:val="00DA13AA"/>
    <w:rsid w:val="00DA1437"/>
    <w:rsid w:val="00DA1972"/>
    <w:rsid w:val="00DA1DB5"/>
    <w:rsid w:val="00DA204E"/>
    <w:rsid w:val="00DA21D2"/>
    <w:rsid w:val="00DA3167"/>
    <w:rsid w:val="00DA357B"/>
    <w:rsid w:val="00DA3706"/>
    <w:rsid w:val="00DA3744"/>
    <w:rsid w:val="00DA37AE"/>
    <w:rsid w:val="00DA473C"/>
    <w:rsid w:val="00DA4DB6"/>
    <w:rsid w:val="00DA4DC3"/>
    <w:rsid w:val="00DA5548"/>
    <w:rsid w:val="00DA644F"/>
    <w:rsid w:val="00DA65AA"/>
    <w:rsid w:val="00DA6A55"/>
    <w:rsid w:val="00DA6C95"/>
    <w:rsid w:val="00DA6FE8"/>
    <w:rsid w:val="00DA709C"/>
    <w:rsid w:val="00DA7137"/>
    <w:rsid w:val="00DA7318"/>
    <w:rsid w:val="00DA77A5"/>
    <w:rsid w:val="00DA792D"/>
    <w:rsid w:val="00DA7CFB"/>
    <w:rsid w:val="00DA7D14"/>
    <w:rsid w:val="00DA7E65"/>
    <w:rsid w:val="00DB01E8"/>
    <w:rsid w:val="00DB0DB8"/>
    <w:rsid w:val="00DB0E36"/>
    <w:rsid w:val="00DB16FA"/>
    <w:rsid w:val="00DB17FC"/>
    <w:rsid w:val="00DB19D0"/>
    <w:rsid w:val="00DB1C28"/>
    <w:rsid w:val="00DB1CCD"/>
    <w:rsid w:val="00DB22CF"/>
    <w:rsid w:val="00DB2723"/>
    <w:rsid w:val="00DB27B4"/>
    <w:rsid w:val="00DB2876"/>
    <w:rsid w:val="00DB2BB3"/>
    <w:rsid w:val="00DB2C40"/>
    <w:rsid w:val="00DB32E7"/>
    <w:rsid w:val="00DB3465"/>
    <w:rsid w:val="00DB34CB"/>
    <w:rsid w:val="00DB39C7"/>
    <w:rsid w:val="00DB3DBF"/>
    <w:rsid w:val="00DB3DDE"/>
    <w:rsid w:val="00DB3DFB"/>
    <w:rsid w:val="00DB4426"/>
    <w:rsid w:val="00DB450B"/>
    <w:rsid w:val="00DB455A"/>
    <w:rsid w:val="00DB4646"/>
    <w:rsid w:val="00DB4689"/>
    <w:rsid w:val="00DB484F"/>
    <w:rsid w:val="00DB4C58"/>
    <w:rsid w:val="00DB52D9"/>
    <w:rsid w:val="00DB54F2"/>
    <w:rsid w:val="00DB5830"/>
    <w:rsid w:val="00DB585B"/>
    <w:rsid w:val="00DB630C"/>
    <w:rsid w:val="00DB6666"/>
    <w:rsid w:val="00DB6D95"/>
    <w:rsid w:val="00DB750D"/>
    <w:rsid w:val="00DB75E4"/>
    <w:rsid w:val="00DB7CCC"/>
    <w:rsid w:val="00DC033C"/>
    <w:rsid w:val="00DC04F6"/>
    <w:rsid w:val="00DC0690"/>
    <w:rsid w:val="00DC0782"/>
    <w:rsid w:val="00DC081B"/>
    <w:rsid w:val="00DC0E5C"/>
    <w:rsid w:val="00DC1656"/>
    <w:rsid w:val="00DC1D65"/>
    <w:rsid w:val="00DC2C01"/>
    <w:rsid w:val="00DC2D31"/>
    <w:rsid w:val="00DC3661"/>
    <w:rsid w:val="00DC3875"/>
    <w:rsid w:val="00DC38BC"/>
    <w:rsid w:val="00DC3C57"/>
    <w:rsid w:val="00DC478F"/>
    <w:rsid w:val="00DC480D"/>
    <w:rsid w:val="00DC4F86"/>
    <w:rsid w:val="00DC5498"/>
    <w:rsid w:val="00DC5501"/>
    <w:rsid w:val="00DC5918"/>
    <w:rsid w:val="00DC5924"/>
    <w:rsid w:val="00DC5DE4"/>
    <w:rsid w:val="00DC5EAC"/>
    <w:rsid w:val="00DC6277"/>
    <w:rsid w:val="00DC69C3"/>
    <w:rsid w:val="00DC7154"/>
    <w:rsid w:val="00DC7334"/>
    <w:rsid w:val="00DC7CA0"/>
    <w:rsid w:val="00DC7E44"/>
    <w:rsid w:val="00DC7E8A"/>
    <w:rsid w:val="00DC7EFF"/>
    <w:rsid w:val="00DD04E0"/>
    <w:rsid w:val="00DD06F3"/>
    <w:rsid w:val="00DD07AF"/>
    <w:rsid w:val="00DD0F78"/>
    <w:rsid w:val="00DD14EA"/>
    <w:rsid w:val="00DD160F"/>
    <w:rsid w:val="00DD1B3F"/>
    <w:rsid w:val="00DD1BB1"/>
    <w:rsid w:val="00DD1D38"/>
    <w:rsid w:val="00DD20D8"/>
    <w:rsid w:val="00DD21D1"/>
    <w:rsid w:val="00DD273C"/>
    <w:rsid w:val="00DD320F"/>
    <w:rsid w:val="00DD32E1"/>
    <w:rsid w:val="00DD34A5"/>
    <w:rsid w:val="00DD35F3"/>
    <w:rsid w:val="00DD3C9B"/>
    <w:rsid w:val="00DD3F28"/>
    <w:rsid w:val="00DD4446"/>
    <w:rsid w:val="00DD4537"/>
    <w:rsid w:val="00DD4E15"/>
    <w:rsid w:val="00DD5423"/>
    <w:rsid w:val="00DD5D8A"/>
    <w:rsid w:val="00DD6138"/>
    <w:rsid w:val="00DD6451"/>
    <w:rsid w:val="00DD65F8"/>
    <w:rsid w:val="00DD6783"/>
    <w:rsid w:val="00DD7C17"/>
    <w:rsid w:val="00DE04DE"/>
    <w:rsid w:val="00DE07D4"/>
    <w:rsid w:val="00DE0CCE"/>
    <w:rsid w:val="00DE0E29"/>
    <w:rsid w:val="00DE0F04"/>
    <w:rsid w:val="00DE11D1"/>
    <w:rsid w:val="00DE19E5"/>
    <w:rsid w:val="00DE1A3E"/>
    <w:rsid w:val="00DE202A"/>
    <w:rsid w:val="00DE2304"/>
    <w:rsid w:val="00DE248E"/>
    <w:rsid w:val="00DE2B0A"/>
    <w:rsid w:val="00DE2B8F"/>
    <w:rsid w:val="00DE3138"/>
    <w:rsid w:val="00DE37F8"/>
    <w:rsid w:val="00DE3B12"/>
    <w:rsid w:val="00DE4273"/>
    <w:rsid w:val="00DE4B23"/>
    <w:rsid w:val="00DE4DBE"/>
    <w:rsid w:val="00DE4F96"/>
    <w:rsid w:val="00DE4FCB"/>
    <w:rsid w:val="00DE51D2"/>
    <w:rsid w:val="00DE543B"/>
    <w:rsid w:val="00DE5D07"/>
    <w:rsid w:val="00DE681E"/>
    <w:rsid w:val="00DE6869"/>
    <w:rsid w:val="00DE6AF4"/>
    <w:rsid w:val="00DE6C13"/>
    <w:rsid w:val="00DE70EF"/>
    <w:rsid w:val="00DE722F"/>
    <w:rsid w:val="00DE72A7"/>
    <w:rsid w:val="00DE780B"/>
    <w:rsid w:val="00DE7832"/>
    <w:rsid w:val="00DE7B27"/>
    <w:rsid w:val="00DF0432"/>
    <w:rsid w:val="00DF0B6D"/>
    <w:rsid w:val="00DF0C6F"/>
    <w:rsid w:val="00DF1264"/>
    <w:rsid w:val="00DF18FC"/>
    <w:rsid w:val="00DF2116"/>
    <w:rsid w:val="00DF2290"/>
    <w:rsid w:val="00DF238D"/>
    <w:rsid w:val="00DF262A"/>
    <w:rsid w:val="00DF2685"/>
    <w:rsid w:val="00DF29F3"/>
    <w:rsid w:val="00DF2AA8"/>
    <w:rsid w:val="00DF3BE9"/>
    <w:rsid w:val="00DF3C0E"/>
    <w:rsid w:val="00DF493E"/>
    <w:rsid w:val="00DF4B27"/>
    <w:rsid w:val="00DF4DC2"/>
    <w:rsid w:val="00DF50A1"/>
    <w:rsid w:val="00DF5D2B"/>
    <w:rsid w:val="00DF5EF5"/>
    <w:rsid w:val="00DF6171"/>
    <w:rsid w:val="00DF6282"/>
    <w:rsid w:val="00DF6341"/>
    <w:rsid w:val="00DF67D3"/>
    <w:rsid w:val="00DF68AD"/>
    <w:rsid w:val="00DF6929"/>
    <w:rsid w:val="00DF73FE"/>
    <w:rsid w:val="00DF74D7"/>
    <w:rsid w:val="00DF7577"/>
    <w:rsid w:val="00DF7586"/>
    <w:rsid w:val="00DF7CA5"/>
    <w:rsid w:val="00E00E8E"/>
    <w:rsid w:val="00E00FED"/>
    <w:rsid w:val="00E01089"/>
    <w:rsid w:val="00E01140"/>
    <w:rsid w:val="00E016F7"/>
    <w:rsid w:val="00E018D2"/>
    <w:rsid w:val="00E01D60"/>
    <w:rsid w:val="00E02C43"/>
    <w:rsid w:val="00E03060"/>
    <w:rsid w:val="00E0316F"/>
    <w:rsid w:val="00E03B67"/>
    <w:rsid w:val="00E03BE1"/>
    <w:rsid w:val="00E03C14"/>
    <w:rsid w:val="00E03D22"/>
    <w:rsid w:val="00E04BCB"/>
    <w:rsid w:val="00E050CD"/>
    <w:rsid w:val="00E052F8"/>
    <w:rsid w:val="00E05630"/>
    <w:rsid w:val="00E05B1B"/>
    <w:rsid w:val="00E063A9"/>
    <w:rsid w:val="00E063C8"/>
    <w:rsid w:val="00E066DD"/>
    <w:rsid w:val="00E06DBB"/>
    <w:rsid w:val="00E07758"/>
    <w:rsid w:val="00E07A60"/>
    <w:rsid w:val="00E07DE3"/>
    <w:rsid w:val="00E10149"/>
    <w:rsid w:val="00E10B29"/>
    <w:rsid w:val="00E10B80"/>
    <w:rsid w:val="00E11340"/>
    <w:rsid w:val="00E11645"/>
    <w:rsid w:val="00E118B0"/>
    <w:rsid w:val="00E1193D"/>
    <w:rsid w:val="00E11EC6"/>
    <w:rsid w:val="00E11F1F"/>
    <w:rsid w:val="00E122A1"/>
    <w:rsid w:val="00E126E3"/>
    <w:rsid w:val="00E127CC"/>
    <w:rsid w:val="00E12EC7"/>
    <w:rsid w:val="00E13584"/>
    <w:rsid w:val="00E13A5A"/>
    <w:rsid w:val="00E154DB"/>
    <w:rsid w:val="00E16372"/>
    <w:rsid w:val="00E16574"/>
    <w:rsid w:val="00E166D9"/>
    <w:rsid w:val="00E16AD8"/>
    <w:rsid w:val="00E16B3A"/>
    <w:rsid w:val="00E1792F"/>
    <w:rsid w:val="00E17EBB"/>
    <w:rsid w:val="00E17FFA"/>
    <w:rsid w:val="00E20299"/>
    <w:rsid w:val="00E20A34"/>
    <w:rsid w:val="00E20DE9"/>
    <w:rsid w:val="00E20E4D"/>
    <w:rsid w:val="00E20ED6"/>
    <w:rsid w:val="00E2112D"/>
    <w:rsid w:val="00E212CD"/>
    <w:rsid w:val="00E21358"/>
    <w:rsid w:val="00E21DB3"/>
    <w:rsid w:val="00E222D2"/>
    <w:rsid w:val="00E2249B"/>
    <w:rsid w:val="00E22650"/>
    <w:rsid w:val="00E22A0D"/>
    <w:rsid w:val="00E22E99"/>
    <w:rsid w:val="00E22F28"/>
    <w:rsid w:val="00E23470"/>
    <w:rsid w:val="00E23533"/>
    <w:rsid w:val="00E244F6"/>
    <w:rsid w:val="00E247D8"/>
    <w:rsid w:val="00E25428"/>
    <w:rsid w:val="00E25459"/>
    <w:rsid w:val="00E2588A"/>
    <w:rsid w:val="00E258DB"/>
    <w:rsid w:val="00E25CC9"/>
    <w:rsid w:val="00E25FAB"/>
    <w:rsid w:val="00E261B0"/>
    <w:rsid w:val="00E262BD"/>
    <w:rsid w:val="00E2771E"/>
    <w:rsid w:val="00E27CB3"/>
    <w:rsid w:val="00E27DE1"/>
    <w:rsid w:val="00E27FF3"/>
    <w:rsid w:val="00E3012B"/>
    <w:rsid w:val="00E3031C"/>
    <w:rsid w:val="00E3047F"/>
    <w:rsid w:val="00E30642"/>
    <w:rsid w:val="00E309BE"/>
    <w:rsid w:val="00E30CF4"/>
    <w:rsid w:val="00E311EF"/>
    <w:rsid w:val="00E3188B"/>
    <w:rsid w:val="00E318A0"/>
    <w:rsid w:val="00E31CD7"/>
    <w:rsid w:val="00E31F3A"/>
    <w:rsid w:val="00E32146"/>
    <w:rsid w:val="00E32177"/>
    <w:rsid w:val="00E32180"/>
    <w:rsid w:val="00E324AC"/>
    <w:rsid w:val="00E327F2"/>
    <w:rsid w:val="00E32B47"/>
    <w:rsid w:val="00E33F94"/>
    <w:rsid w:val="00E34948"/>
    <w:rsid w:val="00E349DF"/>
    <w:rsid w:val="00E349ED"/>
    <w:rsid w:val="00E34F54"/>
    <w:rsid w:val="00E35043"/>
    <w:rsid w:val="00E35D43"/>
    <w:rsid w:val="00E360F4"/>
    <w:rsid w:val="00E36545"/>
    <w:rsid w:val="00E36747"/>
    <w:rsid w:val="00E370AB"/>
    <w:rsid w:val="00E37569"/>
    <w:rsid w:val="00E37CC8"/>
    <w:rsid w:val="00E401B2"/>
    <w:rsid w:val="00E4085F"/>
    <w:rsid w:val="00E40B4C"/>
    <w:rsid w:val="00E41229"/>
    <w:rsid w:val="00E41378"/>
    <w:rsid w:val="00E41BCF"/>
    <w:rsid w:val="00E41E30"/>
    <w:rsid w:val="00E429E2"/>
    <w:rsid w:val="00E42C7E"/>
    <w:rsid w:val="00E42F73"/>
    <w:rsid w:val="00E43AEE"/>
    <w:rsid w:val="00E43D70"/>
    <w:rsid w:val="00E443B9"/>
    <w:rsid w:val="00E443C9"/>
    <w:rsid w:val="00E44BB1"/>
    <w:rsid w:val="00E456F9"/>
    <w:rsid w:val="00E45A5C"/>
    <w:rsid w:val="00E45D09"/>
    <w:rsid w:val="00E466F3"/>
    <w:rsid w:val="00E46D72"/>
    <w:rsid w:val="00E46D92"/>
    <w:rsid w:val="00E4779D"/>
    <w:rsid w:val="00E478D4"/>
    <w:rsid w:val="00E47B2C"/>
    <w:rsid w:val="00E50158"/>
    <w:rsid w:val="00E50289"/>
    <w:rsid w:val="00E50545"/>
    <w:rsid w:val="00E50630"/>
    <w:rsid w:val="00E509A3"/>
    <w:rsid w:val="00E509F5"/>
    <w:rsid w:val="00E512BB"/>
    <w:rsid w:val="00E51560"/>
    <w:rsid w:val="00E51821"/>
    <w:rsid w:val="00E518E3"/>
    <w:rsid w:val="00E51978"/>
    <w:rsid w:val="00E51A6B"/>
    <w:rsid w:val="00E51CDF"/>
    <w:rsid w:val="00E51D39"/>
    <w:rsid w:val="00E52476"/>
    <w:rsid w:val="00E52A86"/>
    <w:rsid w:val="00E53431"/>
    <w:rsid w:val="00E53A05"/>
    <w:rsid w:val="00E53FC8"/>
    <w:rsid w:val="00E54347"/>
    <w:rsid w:val="00E54576"/>
    <w:rsid w:val="00E545F1"/>
    <w:rsid w:val="00E5463F"/>
    <w:rsid w:val="00E55380"/>
    <w:rsid w:val="00E55424"/>
    <w:rsid w:val="00E5543F"/>
    <w:rsid w:val="00E55915"/>
    <w:rsid w:val="00E55946"/>
    <w:rsid w:val="00E55BB5"/>
    <w:rsid w:val="00E55D0A"/>
    <w:rsid w:val="00E565AD"/>
    <w:rsid w:val="00E56F3F"/>
    <w:rsid w:val="00E57083"/>
    <w:rsid w:val="00E57273"/>
    <w:rsid w:val="00E576BC"/>
    <w:rsid w:val="00E5789D"/>
    <w:rsid w:val="00E5792F"/>
    <w:rsid w:val="00E57A32"/>
    <w:rsid w:val="00E60402"/>
    <w:rsid w:val="00E60BB5"/>
    <w:rsid w:val="00E60F79"/>
    <w:rsid w:val="00E611DF"/>
    <w:rsid w:val="00E61228"/>
    <w:rsid w:val="00E61463"/>
    <w:rsid w:val="00E614C1"/>
    <w:rsid w:val="00E61FD8"/>
    <w:rsid w:val="00E628E7"/>
    <w:rsid w:val="00E62B68"/>
    <w:rsid w:val="00E62F93"/>
    <w:rsid w:val="00E630D4"/>
    <w:rsid w:val="00E631E1"/>
    <w:rsid w:val="00E63299"/>
    <w:rsid w:val="00E632BD"/>
    <w:rsid w:val="00E63B02"/>
    <w:rsid w:val="00E63D53"/>
    <w:rsid w:val="00E63FC5"/>
    <w:rsid w:val="00E641E3"/>
    <w:rsid w:val="00E6439A"/>
    <w:rsid w:val="00E6446B"/>
    <w:rsid w:val="00E6460E"/>
    <w:rsid w:val="00E6488C"/>
    <w:rsid w:val="00E6490C"/>
    <w:rsid w:val="00E64B4A"/>
    <w:rsid w:val="00E64BC3"/>
    <w:rsid w:val="00E652CA"/>
    <w:rsid w:val="00E65503"/>
    <w:rsid w:val="00E65A0F"/>
    <w:rsid w:val="00E65E79"/>
    <w:rsid w:val="00E65F35"/>
    <w:rsid w:val="00E65FA2"/>
    <w:rsid w:val="00E66238"/>
    <w:rsid w:val="00E663B9"/>
    <w:rsid w:val="00E663FB"/>
    <w:rsid w:val="00E66A2A"/>
    <w:rsid w:val="00E66B5A"/>
    <w:rsid w:val="00E66BA2"/>
    <w:rsid w:val="00E66E05"/>
    <w:rsid w:val="00E67416"/>
    <w:rsid w:val="00E67735"/>
    <w:rsid w:val="00E67800"/>
    <w:rsid w:val="00E67C0F"/>
    <w:rsid w:val="00E67D0E"/>
    <w:rsid w:val="00E7003C"/>
    <w:rsid w:val="00E70CFE"/>
    <w:rsid w:val="00E711AC"/>
    <w:rsid w:val="00E718B6"/>
    <w:rsid w:val="00E71A48"/>
    <w:rsid w:val="00E71BEC"/>
    <w:rsid w:val="00E71DCA"/>
    <w:rsid w:val="00E71EF9"/>
    <w:rsid w:val="00E71F07"/>
    <w:rsid w:val="00E72331"/>
    <w:rsid w:val="00E723BA"/>
    <w:rsid w:val="00E72835"/>
    <w:rsid w:val="00E73581"/>
    <w:rsid w:val="00E73FC5"/>
    <w:rsid w:val="00E74080"/>
    <w:rsid w:val="00E740DC"/>
    <w:rsid w:val="00E7414A"/>
    <w:rsid w:val="00E7570F"/>
    <w:rsid w:val="00E758CA"/>
    <w:rsid w:val="00E75C09"/>
    <w:rsid w:val="00E763D3"/>
    <w:rsid w:val="00E76699"/>
    <w:rsid w:val="00E769A3"/>
    <w:rsid w:val="00E77CA7"/>
    <w:rsid w:val="00E77CE3"/>
    <w:rsid w:val="00E77D44"/>
    <w:rsid w:val="00E77DB7"/>
    <w:rsid w:val="00E77DFD"/>
    <w:rsid w:val="00E8065E"/>
    <w:rsid w:val="00E8133B"/>
    <w:rsid w:val="00E81861"/>
    <w:rsid w:val="00E819A9"/>
    <w:rsid w:val="00E81B2E"/>
    <w:rsid w:val="00E81DBB"/>
    <w:rsid w:val="00E82473"/>
    <w:rsid w:val="00E82874"/>
    <w:rsid w:val="00E82ECD"/>
    <w:rsid w:val="00E8318A"/>
    <w:rsid w:val="00E83278"/>
    <w:rsid w:val="00E833C8"/>
    <w:rsid w:val="00E833F7"/>
    <w:rsid w:val="00E83529"/>
    <w:rsid w:val="00E83B82"/>
    <w:rsid w:val="00E83B83"/>
    <w:rsid w:val="00E83BDF"/>
    <w:rsid w:val="00E83E9D"/>
    <w:rsid w:val="00E84988"/>
    <w:rsid w:val="00E849D5"/>
    <w:rsid w:val="00E84D05"/>
    <w:rsid w:val="00E84DD3"/>
    <w:rsid w:val="00E855E9"/>
    <w:rsid w:val="00E85F65"/>
    <w:rsid w:val="00E861F6"/>
    <w:rsid w:val="00E866BA"/>
    <w:rsid w:val="00E86806"/>
    <w:rsid w:val="00E86FCC"/>
    <w:rsid w:val="00E87A1A"/>
    <w:rsid w:val="00E87A1D"/>
    <w:rsid w:val="00E87B35"/>
    <w:rsid w:val="00E87F07"/>
    <w:rsid w:val="00E87F36"/>
    <w:rsid w:val="00E901F3"/>
    <w:rsid w:val="00E902D9"/>
    <w:rsid w:val="00E9094A"/>
    <w:rsid w:val="00E90AEF"/>
    <w:rsid w:val="00E90C0F"/>
    <w:rsid w:val="00E90DE6"/>
    <w:rsid w:val="00E913FD"/>
    <w:rsid w:val="00E91D35"/>
    <w:rsid w:val="00E92425"/>
    <w:rsid w:val="00E926A5"/>
    <w:rsid w:val="00E92703"/>
    <w:rsid w:val="00E92D29"/>
    <w:rsid w:val="00E930CB"/>
    <w:rsid w:val="00E93577"/>
    <w:rsid w:val="00E94014"/>
    <w:rsid w:val="00E94540"/>
    <w:rsid w:val="00E948FE"/>
    <w:rsid w:val="00E957D9"/>
    <w:rsid w:val="00E96074"/>
    <w:rsid w:val="00E96274"/>
    <w:rsid w:val="00E962CC"/>
    <w:rsid w:val="00E96D66"/>
    <w:rsid w:val="00E96FB2"/>
    <w:rsid w:val="00E970ED"/>
    <w:rsid w:val="00E97315"/>
    <w:rsid w:val="00E974C7"/>
    <w:rsid w:val="00E976BB"/>
    <w:rsid w:val="00EA01A4"/>
    <w:rsid w:val="00EA01D9"/>
    <w:rsid w:val="00EA04D5"/>
    <w:rsid w:val="00EA0E2F"/>
    <w:rsid w:val="00EA0E4F"/>
    <w:rsid w:val="00EA17C3"/>
    <w:rsid w:val="00EA1F0A"/>
    <w:rsid w:val="00EA25E0"/>
    <w:rsid w:val="00EA25FA"/>
    <w:rsid w:val="00EA2973"/>
    <w:rsid w:val="00EA2C12"/>
    <w:rsid w:val="00EA2C2F"/>
    <w:rsid w:val="00EA2CAA"/>
    <w:rsid w:val="00EA2FC9"/>
    <w:rsid w:val="00EA2FE5"/>
    <w:rsid w:val="00EA3864"/>
    <w:rsid w:val="00EA3A3D"/>
    <w:rsid w:val="00EA3B9B"/>
    <w:rsid w:val="00EA4010"/>
    <w:rsid w:val="00EA4058"/>
    <w:rsid w:val="00EA41B7"/>
    <w:rsid w:val="00EA48AB"/>
    <w:rsid w:val="00EA4FAE"/>
    <w:rsid w:val="00EA514E"/>
    <w:rsid w:val="00EA5259"/>
    <w:rsid w:val="00EA5695"/>
    <w:rsid w:val="00EA5C8C"/>
    <w:rsid w:val="00EA5EE8"/>
    <w:rsid w:val="00EA60B2"/>
    <w:rsid w:val="00EA6681"/>
    <w:rsid w:val="00EA70C7"/>
    <w:rsid w:val="00EA728E"/>
    <w:rsid w:val="00EA7CE0"/>
    <w:rsid w:val="00EA7F1C"/>
    <w:rsid w:val="00EA7FF8"/>
    <w:rsid w:val="00EB066A"/>
    <w:rsid w:val="00EB0D4C"/>
    <w:rsid w:val="00EB15B6"/>
    <w:rsid w:val="00EB35C0"/>
    <w:rsid w:val="00EB37D8"/>
    <w:rsid w:val="00EB3CE8"/>
    <w:rsid w:val="00EB3D06"/>
    <w:rsid w:val="00EB3E88"/>
    <w:rsid w:val="00EB45B5"/>
    <w:rsid w:val="00EB4637"/>
    <w:rsid w:val="00EB4916"/>
    <w:rsid w:val="00EB4929"/>
    <w:rsid w:val="00EB4EAD"/>
    <w:rsid w:val="00EB524D"/>
    <w:rsid w:val="00EB564D"/>
    <w:rsid w:val="00EB5D6D"/>
    <w:rsid w:val="00EB5FB5"/>
    <w:rsid w:val="00EB6248"/>
    <w:rsid w:val="00EB624A"/>
    <w:rsid w:val="00EB649E"/>
    <w:rsid w:val="00EB67F7"/>
    <w:rsid w:val="00EB69F1"/>
    <w:rsid w:val="00EB6A4A"/>
    <w:rsid w:val="00EB6BF3"/>
    <w:rsid w:val="00EB6D72"/>
    <w:rsid w:val="00EB6F0A"/>
    <w:rsid w:val="00EB705D"/>
    <w:rsid w:val="00EB7151"/>
    <w:rsid w:val="00EB769F"/>
    <w:rsid w:val="00EB7CCB"/>
    <w:rsid w:val="00EC00C9"/>
    <w:rsid w:val="00EC0127"/>
    <w:rsid w:val="00EC050D"/>
    <w:rsid w:val="00EC0DD9"/>
    <w:rsid w:val="00EC1999"/>
    <w:rsid w:val="00EC2127"/>
    <w:rsid w:val="00EC2649"/>
    <w:rsid w:val="00EC31ED"/>
    <w:rsid w:val="00EC3479"/>
    <w:rsid w:val="00EC351F"/>
    <w:rsid w:val="00EC3C5E"/>
    <w:rsid w:val="00EC47AF"/>
    <w:rsid w:val="00EC4A21"/>
    <w:rsid w:val="00EC4F75"/>
    <w:rsid w:val="00EC5836"/>
    <w:rsid w:val="00EC5A29"/>
    <w:rsid w:val="00EC5D7A"/>
    <w:rsid w:val="00EC688C"/>
    <w:rsid w:val="00EC6F84"/>
    <w:rsid w:val="00ED072C"/>
    <w:rsid w:val="00ED0CBB"/>
    <w:rsid w:val="00ED0D2F"/>
    <w:rsid w:val="00ED0F49"/>
    <w:rsid w:val="00ED12E3"/>
    <w:rsid w:val="00ED13E4"/>
    <w:rsid w:val="00ED150D"/>
    <w:rsid w:val="00ED19FA"/>
    <w:rsid w:val="00ED1AE9"/>
    <w:rsid w:val="00ED1D0E"/>
    <w:rsid w:val="00ED20A8"/>
    <w:rsid w:val="00ED24F5"/>
    <w:rsid w:val="00ED2502"/>
    <w:rsid w:val="00ED2900"/>
    <w:rsid w:val="00ED2C29"/>
    <w:rsid w:val="00ED2F72"/>
    <w:rsid w:val="00ED379C"/>
    <w:rsid w:val="00ED37E3"/>
    <w:rsid w:val="00ED3958"/>
    <w:rsid w:val="00ED40AE"/>
    <w:rsid w:val="00ED4316"/>
    <w:rsid w:val="00ED48AC"/>
    <w:rsid w:val="00ED4929"/>
    <w:rsid w:val="00ED4B04"/>
    <w:rsid w:val="00ED5213"/>
    <w:rsid w:val="00ED57EA"/>
    <w:rsid w:val="00ED58FE"/>
    <w:rsid w:val="00ED5BD4"/>
    <w:rsid w:val="00ED660D"/>
    <w:rsid w:val="00ED695D"/>
    <w:rsid w:val="00ED6CF2"/>
    <w:rsid w:val="00ED6E64"/>
    <w:rsid w:val="00ED6F64"/>
    <w:rsid w:val="00ED7006"/>
    <w:rsid w:val="00ED7403"/>
    <w:rsid w:val="00ED7661"/>
    <w:rsid w:val="00ED78AD"/>
    <w:rsid w:val="00ED7A80"/>
    <w:rsid w:val="00ED7DD1"/>
    <w:rsid w:val="00EE0155"/>
    <w:rsid w:val="00EE04B2"/>
    <w:rsid w:val="00EE07D3"/>
    <w:rsid w:val="00EE0AE7"/>
    <w:rsid w:val="00EE0E24"/>
    <w:rsid w:val="00EE10A1"/>
    <w:rsid w:val="00EE1193"/>
    <w:rsid w:val="00EE12C1"/>
    <w:rsid w:val="00EE12EA"/>
    <w:rsid w:val="00EE1313"/>
    <w:rsid w:val="00EE1996"/>
    <w:rsid w:val="00EE1C01"/>
    <w:rsid w:val="00EE1E67"/>
    <w:rsid w:val="00EE1F3D"/>
    <w:rsid w:val="00EE22AF"/>
    <w:rsid w:val="00EE34A3"/>
    <w:rsid w:val="00EE3819"/>
    <w:rsid w:val="00EE3A60"/>
    <w:rsid w:val="00EE3C3B"/>
    <w:rsid w:val="00EE3E4B"/>
    <w:rsid w:val="00EE4995"/>
    <w:rsid w:val="00EE4A41"/>
    <w:rsid w:val="00EE4E58"/>
    <w:rsid w:val="00EE5435"/>
    <w:rsid w:val="00EE563A"/>
    <w:rsid w:val="00EE6611"/>
    <w:rsid w:val="00EE6C7A"/>
    <w:rsid w:val="00EE6F42"/>
    <w:rsid w:val="00EE7A78"/>
    <w:rsid w:val="00EE7F6A"/>
    <w:rsid w:val="00EF0171"/>
    <w:rsid w:val="00EF0269"/>
    <w:rsid w:val="00EF0338"/>
    <w:rsid w:val="00EF0730"/>
    <w:rsid w:val="00EF0EAD"/>
    <w:rsid w:val="00EF0EE8"/>
    <w:rsid w:val="00EF196C"/>
    <w:rsid w:val="00EF1B25"/>
    <w:rsid w:val="00EF1CDD"/>
    <w:rsid w:val="00EF1DA0"/>
    <w:rsid w:val="00EF206C"/>
    <w:rsid w:val="00EF2D09"/>
    <w:rsid w:val="00EF2FB6"/>
    <w:rsid w:val="00EF3404"/>
    <w:rsid w:val="00EF3455"/>
    <w:rsid w:val="00EF381C"/>
    <w:rsid w:val="00EF3FAB"/>
    <w:rsid w:val="00EF3FE6"/>
    <w:rsid w:val="00EF4747"/>
    <w:rsid w:val="00EF4BF8"/>
    <w:rsid w:val="00EF5087"/>
    <w:rsid w:val="00EF5542"/>
    <w:rsid w:val="00EF56E5"/>
    <w:rsid w:val="00EF5D54"/>
    <w:rsid w:val="00EF5F93"/>
    <w:rsid w:val="00EF6AA6"/>
    <w:rsid w:val="00EF6E22"/>
    <w:rsid w:val="00EF7144"/>
    <w:rsid w:val="00EF739B"/>
    <w:rsid w:val="00EF7434"/>
    <w:rsid w:val="00EF759B"/>
    <w:rsid w:val="00EF78E3"/>
    <w:rsid w:val="00EF7C78"/>
    <w:rsid w:val="00EF7C9D"/>
    <w:rsid w:val="00F0013B"/>
    <w:rsid w:val="00F00719"/>
    <w:rsid w:val="00F00A83"/>
    <w:rsid w:val="00F01229"/>
    <w:rsid w:val="00F015D1"/>
    <w:rsid w:val="00F0166F"/>
    <w:rsid w:val="00F0167F"/>
    <w:rsid w:val="00F01C82"/>
    <w:rsid w:val="00F01D19"/>
    <w:rsid w:val="00F01D65"/>
    <w:rsid w:val="00F01D7B"/>
    <w:rsid w:val="00F02253"/>
    <w:rsid w:val="00F02259"/>
    <w:rsid w:val="00F02657"/>
    <w:rsid w:val="00F02707"/>
    <w:rsid w:val="00F02D7E"/>
    <w:rsid w:val="00F034FD"/>
    <w:rsid w:val="00F036B6"/>
    <w:rsid w:val="00F03859"/>
    <w:rsid w:val="00F03C2E"/>
    <w:rsid w:val="00F04465"/>
    <w:rsid w:val="00F04954"/>
    <w:rsid w:val="00F04A66"/>
    <w:rsid w:val="00F04B4B"/>
    <w:rsid w:val="00F04E44"/>
    <w:rsid w:val="00F04F7C"/>
    <w:rsid w:val="00F05017"/>
    <w:rsid w:val="00F0516C"/>
    <w:rsid w:val="00F0531E"/>
    <w:rsid w:val="00F05BF9"/>
    <w:rsid w:val="00F05CB8"/>
    <w:rsid w:val="00F0606B"/>
    <w:rsid w:val="00F065F9"/>
    <w:rsid w:val="00F0662C"/>
    <w:rsid w:val="00F067A2"/>
    <w:rsid w:val="00F06C3E"/>
    <w:rsid w:val="00F06E5A"/>
    <w:rsid w:val="00F06E85"/>
    <w:rsid w:val="00F0706E"/>
    <w:rsid w:val="00F071B1"/>
    <w:rsid w:val="00F071E9"/>
    <w:rsid w:val="00F07A19"/>
    <w:rsid w:val="00F07B9E"/>
    <w:rsid w:val="00F108E8"/>
    <w:rsid w:val="00F10A32"/>
    <w:rsid w:val="00F10E95"/>
    <w:rsid w:val="00F10EBA"/>
    <w:rsid w:val="00F10F31"/>
    <w:rsid w:val="00F1115E"/>
    <w:rsid w:val="00F1116F"/>
    <w:rsid w:val="00F1188C"/>
    <w:rsid w:val="00F12103"/>
    <w:rsid w:val="00F12272"/>
    <w:rsid w:val="00F124D7"/>
    <w:rsid w:val="00F1263A"/>
    <w:rsid w:val="00F12873"/>
    <w:rsid w:val="00F128BD"/>
    <w:rsid w:val="00F12ABE"/>
    <w:rsid w:val="00F12CB9"/>
    <w:rsid w:val="00F13211"/>
    <w:rsid w:val="00F139C5"/>
    <w:rsid w:val="00F13DA4"/>
    <w:rsid w:val="00F13F55"/>
    <w:rsid w:val="00F147AB"/>
    <w:rsid w:val="00F14949"/>
    <w:rsid w:val="00F1544F"/>
    <w:rsid w:val="00F15B77"/>
    <w:rsid w:val="00F16330"/>
    <w:rsid w:val="00F169A1"/>
    <w:rsid w:val="00F16B18"/>
    <w:rsid w:val="00F175B2"/>
    <w:rsid w:val="00F17A8A"/>
    <w:rsid w:val="00F17E94"/>
    <w:rsid w:val="00F17FC8"/>
    <w:rsid w:val="00F2004C"/>
    <w:rsid w:val="00F20066"/>
    <w:rsid w:val="00F200BC"/>
    <w:rsid w:val="00F203F1"/>
    <w:rsid w:val="00F2048C"/>
    <w:rsid w:val="00F20820"/>
    <w:rsid w:val="00F20AFA"/>
    <w:rsid w:val="00F20C20"/>
    <w:rsid w:val="00F20CB8"/>
    <w:rsid w:val="00F21112"/>
    <w:rsid w:val="00F2114C"/>
    <w:rsid w:val="00F21236"/>
    <w:rsid w:val="00F21AA7"/>
    <w:rsid w:val="00F21F88"/>
    <w:rsid w:val="00F224B2"/>
    <w:rsid w:val="00F22549"/>
    <w:rsid w:val="00F22A43"/>
    <w:rsid w:val="00F231F5"/>
    <w:rsid w:val="00F232BB"/>
    <w:rsid w:val="00F23614"/>
    <w:rsid w:val="00F23701"/>
    <w:rsid w:val="00F239DF"/>
    <w:rsid w:val="00F23EA8"/>
    <w:rsid w:val="00F24102"/>
    <w:rsid w:val="00F24837"/>
    <w:rsid w:val="00F2575F"/>
    <w:rsid w:val="00F25E39"/>
    <w:rsid w:val="00F27161"/>
    <w:rsid w:val="00F27565"/>
    <w:rsid w:val="00F27E89"/>
    <w:rsid w:val="00F303DF"/>
    <w:rsid w:val="00F308B7"/>
    <w:rsid w:val="00F30A84"/>
    <w:rsid w:val="00F30D23"/>
    <w:rsid w:val="00F30F07"/>
    <w:rsid w:val="00F310D4"/>
    <w:rsid w:val="00F31A2B"/>
    <w:rsid w:val="00F31D5A"/>
    <w:rsid w:val="00F31D64"/>
    <w:rsid w:val="00F31EC8"/>
    <w:rsid w:val="00F32A61"/>
    <w:rsid w:val="00F33975"/>
    <w:rsid w:val="00F33DE9"/>
    <w:rsid w:val="00F33FAB"/>
    <w:rsid w:val="00F343CE"/>
    <w:rsid w:val="00F34958"/>
    <w:rsid w:val="00F34DFC"/>
    <w:rsid w:val="00F34E06"/>
    <w:rsid w:val="00F35097"/>
    <w:rsid w:val="00F356A7"/>
    <w:rsid w:val="00F35E6D"/>
    <w:rsid w:val="00F35F21"/>
    <w:rsid w:val="00F3606C"/>
    <w:rsid w:val="00F360F4"/>
    <w:rsid w:val="00F3619A"/>
    <w:rsid w:val="00F36465"/>
    <w:rsid w:val="00F36496"/>
    <w:rsid w:val="00F370FE"/>
    <w:rsid w:val="00F37214"/>
    <w:rsid w:val="00F37B0C"/>
    <w:rsid w:val="00F37CA0"/>
    <w:rsid w:val="00F37E17"/>
    <w:rsid w:val="00F40764"/>
    <w:rsid w:val="00F407E7"/>
    <w:rsid w:val="00F40AAA"/>
    <w:rsid w:val="00F40B87"/>
    <w:rsid w:val="00F40BA7"/>
    <w:rsid w:val="00F40F9D"/>
    <w:rsid w:val="00F41122"/>
    <w:rsid w:val="00F41544"/>
    <w:rsid w:val="00F41ACD"/>
    <w:rsid w:val="00F4235D"/>
    <w:rsid w:val="00F42628"/>
    <w:rsid w:val="00F42D81"/>
    <w:rsid w:val="00F4356C"/>
    <w:rsid w:val="00F4368D"/>
    <w:rsid w:val="00F438F7"/>
    <w:rsid w:val="00F43B96"/>
    <w:rsid w:val="00F43ECD"/>
    <w:rsid w:val="00F444CF"/>
    <w:rsid w:val="00F4487E"/>
    <w:rsid w:val="00F44A14"/>
    <w:rsid w:val="00F44B19"/>
    <w:rsid w:val="00F4576B"/>
    <w:rsid w:val="00F46370"/>
    <w:rsid w:val="00F466A1"/>
    <w:rsid w:val="00F46C2D"/>
    <w:rsid w:val="00F46CB6"/>
    <w:rsid w:val="00F4756D"/>
    <w:rsid w:val="00F47DE8"/>
    <w:rsid w:val="00F47FB3"/>
    <w:rsid w:val="00F503B5"/>
    <w:rsid w:val="00F5046A"/>
    <w:rsid w:val="00F5067C"/>
    <w:rsid w:val="00F50A1D"/>
    <w:rsid w:val="00F51395"/>
    <w:rsid w:val="00F51639"/>
    <w:rsid w:val="00F517C0"/>
    <w:rsid w:val="00F5189F"/>
    <w:rsid w:val="00F52479"/>
    <w:rsid w:val="00F5310C"/>
    <w:rsid w:val="00F53378"/>
    <w:rsid w:val="00F53984"/>
    <w:rsid w:val="00F53E23"/>
    <w:rsid w:val="00F53E8B"/>
    <w:rsid w:val="00F54122"/>
    <w:rsid w:val="00F542C1"/>
    <w:rsid w:val="00F5457C"/>
    <w:rsid w:val="00F54795"/>
    <w:rsid w:val="00F550E3"/>
    <w:rsid w:val="00F5527C"/>
    <w:rsid w:val="00F5529B"/>
    <w:rsid w:val="00F552B9"/>
    <w:rsid w:val="00F552D8"/>
    <w:rsid w:val="00F55691"/>
    <w:rsid w:val="00F557F8"/>
    <w:rsid w:val="00F55D7C"/>
    <w:rsid w:val="00F55DD8"/>
    <w:rsid w:val="00F55E73"/>
    <w:rsid w:val="00F55E7E"/>
    <w:rsid w:val="00F55EDA"/>
    <w:rsid w:val="00F55F22"/>
    <w:rsid w:val="00F56B58"/>
    <w:rsid w:val="00F56C80"/>
    <w:rsid w:val="00F56FC7"/>
    <w:rsid w:val="00F57CF7"/>
    <w:rsid w:val="00F57F3B"/>
    <w:rsid w:val="00F60092"/>
    <w:rsid w:val="00F6041D"/>
    <w:rsid w:val="00F60802"/>
    <w:rsid w:val="00F60883"/>
    <w:rsid w:val="00F60F79"/>
    <w:rsid w:val="00F61574"/>
    <w:rsid w:val="00F61656"/>
    <w:rsid w:val="00F61C18"/>
    <w:rsid w:val="00F623D1"/>
    <w:rsid w:val="00F62628"/>
    <w:rsid w:val="00F62701"/>
    <w:rsid w:val="00F6280A"/>
    <w:rsid w:val="00F629D3"/>
    <w:rsid w:val="00F62EC9"/>
    <w:rsid w:val="00F63B40"/>
    <w:rsid w:val="00F63BD0"/>
    <w:rsid w:val="00F63F9B"/>
    <w:rsid w:val="00F64D94"/>
    <w:rsid w:val="00F65177"/>
    <w:rsid w:val="00F6540C"/>
    <w:rsid w:val="00F65571"/>
    <w:rsid w:val="00F65C23"/>
    <w:rsid w:val="00F65DD0"/>
    <w:rsid w:val="00F65EA1"/>
    <w:rsid w:val="00F65F4B"/>
    <w:rsid w:val="00F6659B"/>
    <w:rsid w:val="00F669FE"/>
    <w:rsid w:val="00F673BE"/>
    <w:rsid w:val="00F67737"/>
    <w:rsid w:val="00F67881"/>
    <w:rsid w:val="00F67A69"/>
    <w:rsid w:val="00F67B7C"/>
    <w:rsid w:val="00F67DF8"/>
    <w:rsid w:val="00F70087"/>
    <w:rsid w:val="00F7017D"/>
    <w:rsid w:val="00F703DE"/>
    <w:rsid w:val="00F7058C"/>
    <w:rsid w:val="00F70820"/>
    <w:rsid w:val="00F70BFF"/>
    <w:rsid w:val="00F70C9D"/>
    <w:rsid w:val="00F71132"/>
    <w:rsid w:val="00F7113E"/>
    <w:rsid w:val="00F71B2B"/>
    <w:rsid w:val="00F71B40"/>
    <w:rsid w:val="00F7292E"/>
    <w:rsid w:val="00F72960"/>
    <w:rsid w:val="00F72A6E"/>
    <w:rsid w:val="00F72C3E"/>
    <w:rsid w:val="00F73379"/>
    <w:rsid w:val="00F73926"/>
    <w:rsid w:val="00F73E08"/>
    <w:rsid w:val="00F73F8A"/>
    <w:rsid w:val="00F741EB"/>
    <w:rsid w:val="00F74BBE"/>
    <w:rsid w:val="00F74C3F"/>
    <w:rsid w:val="00F74CD9"/>
    <w:rsid w:val="00F74D3F"/>
    <w:rsid w:val="00F75687"/>
    <w:rsid w:val="00F75B4C"/>
    <w:rsid w:val="00F762DF"/>
    <w:rsid w:val="00F76E52"/>
    <w:rsid w:val="00F7715B"/>
    <w:rsid w:val="00F771FB"/>
    <w:rsid w:val="00F7758D"/>
    <w:rsid w:val="00F7798E"/>
    <w:rsid w:val="00F77EB0"/>
    <w:rsid w:val="00F80154"/>
    <w:rsid w:val="00F805EF"/>
    <w:rsid w:val="00F807E9"/>
    <w:rsid w:val="00F808BE"/>
    <w:rsid w:val="00F80A7B"/>
    <w:rsid w:val="00F80E5D"/>
    <w:rsid w:val="00F816E0"/>
    <w:rsid w:val="00F81E78"/>
    <w:rsid w:val="00F8216A"/>
    <w:rsid w:val="00F83203"/>
    <w:rsid w:val="00F83916"/>
    <w:rsid w:val="00F83F63"/>
    <w:rsid w:val="00F845F5"/>
    <w:rsid w:val="00F84D7A"/>
    <w:rsid w:val="00F850A8"/>
    <w:rsid w:val="00F851CE"/>
    <w:rsid w:val="00F85373"/>
    <w:rsid w:val="00F857C1"/>
    <w:rsid w:val="00F8592F"/>
    <w:rsid w:val="00F85B75"/>
    <w:rsid w:val="00F85CB8"/>
    <w:rsid w:val="00F85DB4"/>
    <w:rsid w:val="00F863DA"/>
    <w:rsid w:val="00F87511"/>
    <w:rsid w:val="00F9010F"/>
    <w:rsid w:val="00F90411"/>
    <w:rsid w:val="00F905AB"/>
    <w:rsid w:val="00F90656"/>
    <w:rsid w:val="00F91219"/>
    <w:rsid w:val="00F9141C"/>
    <w:rsid w:val="00F91C0C"/>
    <w:rsid w:val="00F92444"/>
    <w:rsid w:val="00F92990"/>
    <w:rsid w:val="00F92FA5"/>
    <w:rsid w:val="00F930BA"/>
    <w:rsid w:val="00F935CC"/>
    <w:rsid w:val="00F9393E"/>
    <w:rsid w:val="00F93D85"/>
    <w:rsid w:val="00F93E95"/>
    <w:rsid w:val="00F94015"/>
    <w:rsid w:val="00F94477"/>
    <w:rsid w:val="00F9480D"/>
    <w:rsid w:val="00F95B57"/>
    <w:rsid w:val="00F95B6E"/>
    <w:rsid w:val="00F966D5"/>
    <w:rsid w:val="00F968B1"/>
    <w:rsid w:val="00F96AB5"/>
    <w:rsid w:val="00F96F0A"/>
    <w:rsid w:val="00F96F18"/>
    <w:rsid w:val="00F96FD0"/>
    <w:rsid w:val="00F97479"/>
    <w:rsid w:val="00F979AD"/>
    <w:rsid w:val="00F97A78"/>
    <w:rsid w:val="00F97B7E"/>
    <w:rsid w:val="00FA073C"/>
    <w:rsid w:val="00FA0B20"/>
    <w:rsid w:val="00FA0DAD"/>
    <w:rsid w:val="00FA12D2"/>
    <w:rsid w:val="00FA1401"/>
    <w:rsid w:val="00FA1793"/>
    <w:rsid w:val="00FA1D3C"/>
    <w:rsid w:val="00FA24E7"/>
    <w:rsid w:val="00FA296A"/>
    <w:rsid w:val="00FA2A21"/>
    <w:rsid w:val="00FA2C7E"/>
    <w:rsid w:val="00FA3017"/>
    <w:rsid w:val="00FA3165"/>
    <w:rsid w:val="00FA34CD"/>
    <w:rsid w:val="00FA3AAE"/>
    <w:rsid w:val="00FA3BAF"/>
    <w:rsid w:val="00FA3D3A"/>
    <w:rsid w:val="00FA3F99"/>
    <w:rsid w:val="00FA42ED"/>
    <w:rsid w:val="00FA44AD"/>
    <w:rsid w:val="00FA44DA"/>
    <w:rsid w:val="00FA50F8"/>
    <w:rsid w:val="00FA5125"/>
    <w:rsid w:val="00FA5641"/>
    <w:rsid w:val="00FA5EE6"/>
    <w:rsid w:val="00FA6658"/>
    <w:rsid w:val="00FA6676"/>
    <w:rsid w:val="00FA67E9"/>
    <w:rsid w:val="00FA6E2D"/>
    <w:rsid w:val="00FA7699"/>
    <w:rsid w:val="00FA7956"/>
    <w:rsid w:val="00FA7F82"/>
    <w:rsid w:val="00FB0057"/>
    <w:rsid w:val="00FB0487"/>
    <w:rsid w:val="00FB0824"/>
    <w:rsid w:val="00FB0B58"/>
    <w:rsid w:val="00FB0D7A"/>
    <w:rsid w:val="00FB133E"/>
    <w:rsid w:val="00FB2892"/>
    <w:rsid w:val="00FB2A05"/>
    <w:rsid w:val="00FB2F22"/>
    <w:rsid w:val="00FB2FCB"/>
    <w:rsid w:val="00FB366B"/>
    <w:rsid w:val="00FB3833"/>
    <w:rsid w:val="00FB3911"/>
    <w:rsid w:val="00FB3F83"/>
    <w:rsid w:val="00FB402E"/>
    <w:rsid w:val="00FB40BE"/>
    <w:rsid w:val="00FB4478"/>
    <w:rsid w:val="00FB4A70"/>
    <w:rsid w:val="00FB4C9C"/>
    <w:rsid w:val="00FB517C"/>
    <w:rsid w:val="00FB662C"/>
    <w:rsid w:val="00FB6ADF"/>
    <w:rsid w:val="00FB6E5E"/>
    <w:rsid w:val="00FB703D"/>
    <w:rsid w:val="00FB71E4"/>
    <w:rsid w:val="00FB73BF"/>
    <w:rsid w:val="00FB7820"/>
    <w:rsid w:val="00FB7C55"/>
    <w:rsid w:val="00FC00A4"/>
    <w:rsid w:val="00FC029E"/>
    <w:rsid w:val="00FC0538"/>
    <w:rsid w:val="00FC0C90"/>
    <w:rsid w:val="00FC0EA8"/>
    <w:rsid w:val="00FC0F7D"/>
    <w:rsid w:val="00FC1074"/>
    <w:rsid w:val="00FC1449"/>
    <w:rsid w:val="00FC16A3"/>
    <w:rsid w:val="00FC1884"/>
    <w:rsid w:val="00FC1A4B"/>
    <w:rsid w:val="00FC1C92"/>
    <w:rsid w:val="00FC1DDF"/>
    <w:rsid w:val="00FC2376"/>
    <w:rsid w:val="00FC25CB"/>
    <w:rsid w:val="00FC2D8B"/>
    <w:rsid w:val="00FC36D5"/>
    <w:rsid w:val="00FC371D"/>
    <w:rsid w:val="00FC404B"/>
    <w:rsid w:val="00FC4324"/>
    <w:rsid w:val="00FC462F"/>
    <w:rsid w:val="00FC48E6"/>
    <w:rsid w:val="00FC4981"/>
    <w:rsid w:val="00FC4B27"/>
    <w:rsid w:val="00FC4B7F"/>
    <w:rsid w:val="00FC4E3E"/>
    <w:rsid w:val="00FC5033"/>
    <w:rsid w:val="00FC50B6"/>
    <w:rsid w:val="00FC50D9"/>
    <w:rsid w:val="00FC5F0B"/>
    <w:rsid w:val="00FC60F6"/>
    <w:rsid w:val="00FC6D71"/>
    <w:rsid w:val="00FC6DAD"/>
    <w:rsid w:val="00FC746B"/>
    <w:rsid w:val="00FC7A71"/>
    <w:rsid w:val="00FC7BFA"/>
    <w:rsid w:val="00FC7D0D"/>
    <w:rsid w:val="00FC7D9A"/>
    <w:rsid w:val="00FD0098"/>
    <w:rsid w:val="00FD074B"/>
    <w:rsid w:val="00FD0B92"/>
    <w:rsid w:val="00FD0BB2"/>
    <w:rsid w:val="00FD0CE9"/>
    <w:rsid w:val="00FD0D2D"/>
    <w:rsid w:val="00FD0D52"/>
    <w:rsid w:val="00FD1377"/>
    <w:rsid w:val="00FD138C"/>
    <w:rsid w:val="00FD1A77"/>
    <w:rsid w:val="00FD2100"/>
    <w:rsid w:val="00FD24BF"/>
    <w:rsid w:val="00FD24EC"/>
    <w:rsid w:val="00FD297F"/>
    <w:rsid w:val="00FD2ABE"/>
    <w:rsid w:val="00FD2FAA"/>
    <w:rsid w:val="00FD3293"/>
    <w:rsid w:val="00FD329D"/>
    <w:rsid w:val="00FD32ED"/>
    <w:rsid w:val="00FD38E5"/>
    <w:rsid w:val="00FD3ABB"/>
    <w:rsid w:val="00FD3DF8"/>
    <w:rsid w:val="00FD436C"/>
    <w:rsid w:val="00FD446D"/>
    <w:rsid w:val="00FD46F4"/>
    <w:rsid w:val="00FD4DDE"/>
    <w:rsid w:val="00FD4EB0"/>
    <w:rsid w:val="00FD4F2C"/>
    <w:rsid w:val="00FD4F9E"/>
    <w:rsid w:val="00FD5856"/>
    <w:rsid w:val="00FD58E8"/>
    <w:rsid w:val="00FD5AB3"/>
    <w:rsid w:val="00FD6113"/>
    <w:rsid w:val="00FD627A"/>
    <w:rsid w:val="00FD6394"/>
    <w:rsid w:val="00FD779A"/>
    <w:rsid w:val="00FD7A5A"/>
    <w:rsid w:val="00FD7BB9"/>
    <w:rsid w:val="00FD7CB5"/>
    <w:rsid w:val="00FE021A"/>
    <w:rsid w:val="00FE0549"/>
    <w:rsid w:val="00FE0BCA"/>
    <w:rsid w:val="00FE0E6C"/>
    <w:rsid w:val="00FE0F93"/>
    <w:rsid w:val="00FE1059"/>
    <w:rsid w:val="00FE14CC"/>
    <w:rsid w:val="00FE1CB3"/>
    <w:rsid w:val="00FE1CDC"/>
    <w:rsid w:val="00FE2186"/>
    <w:rsid w:val="00FE29C6"/>
    <w:rsid w:val="00FE36CA"/>
    <w:rsid w:val="00FE3BDB"/>
    <w:rsid w:val="00FE4354"/>
    <w:rsid w:val="00FE453D"/>
    <w:rsid w:val="00FE4943"/>
    <w:rsid w:val="00FE5272"/>
    <w:rsid w:val="00FE66F2"/>
    <w:rsid w:val="00FE694F"/>
    <w:rsid w:val="00FE6CCC"/>
    <w:rsid w:val="00FE6DFD"/>
    <w:rsid w:val="00FE70C3"/>
    <w:rsid w:val="00FE77D7"/>
    <w:rsid w:val="00FE78DA"/>
    <w:rsid w:val="00FE78FE"/>
    <w:rsid w:val="00FE7A7E"/>
    <w:rsid w:val="00FE7AFF"/>
    <w:rsid w:val="00FF0377"/>
    <w:rsid w:val="00FF0805"/>
    <w:rsid w:val="00FF0B46"/>
    <w:rsid w:val="00FF1A8B"/>
    <w:rsid w:val="00FF1AAE"/>
    <w:rsid w:val="00FF1E70"/>
    <w:rsid w:val="00FF2095"/>
    <w:rsid w:val="00FF22BA"/>
    <w:rsid w:val="00FF2559"/>
    <w:rsid w:val="00FF26C4"/>
    <w:rsid w:val="00FF280C"/>
    <w:rsid w:val="00FF2AD9"/>
    <w:rsid w:val="00FF2F13"/>
    <w:rsid w:val="00FF31EF"/>
    <w:rsid w:val="00FF33BC"/>
    <w:rsid w:val="00FF359F"/>
    <w:rsid w:val="00FF35FB"/>
    <w:rsid w:val="00FF37D3"/>
    <w:rsid w:val="00FF3A26"/>
    <w:rsid w:val="00FF3D09"/>
    <w:rsid w:val="00FF3DCF"/>
    <w:rsid w:val="00FF3E1C"/>
    <w:rsid w:val="00FF3ECD"/>
    <w:rsid w:val="00FF492C"/>
    <w:rsid w:val="00FF4A21"/>
    <w:rsid w:val="00FF5660"/>
    <w:rsid w:val="00FF5A5C"/>
    <w:rsid w:val="00FF5AA3"/>
    <w:rsid w:val="00FF5AD8"/>
    <w:rsid w:val="00FF5EF8"/>
    <w:rsid w:val="00FF5F66"/>
    <w:rsid w:val="00FF6439"/>
    <w:rsid w:val="00FF6763"/>
    <w:rsid w:val="00FF699D"/>
    <w:rsid w:val="00FF775B"/>
    <w:rsid w:val="00FF7A19"/>
    <w:rsid w:val="03EC0152"/>
    <w:rsid w:val="088E1A80"/>
    <w:rsid w:val="0AC0D4F6"/>
    <w:rsid w:val="1FA8ADCB"/>
    <w:rsid w:val="20D2BBAE"/>
    <w:rsid w:val="2D6B86F0"/>
    <w:rsid w:val="2FDFBA9B"/>
    <w:rsid w:val="36ACA867"/>
    <w:rsid w:val="39E75377"/>
    <w:rsid w:val="41774817"/>
    <w:rsid w:val="4B93ADF1"/>
    <w:rsid w:val="5453B588"/>
    <w:rsid w:val="59CA1C24"/>
    <w:rsid w:val="5F87AEE8"/>
    <w:rsid w:val="66E868BA"/>
    <w:rsid w:val="6BE2EB00"/>
    <w:rsid w:val="79B831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aliases w:val="Page Header,Header title,he=header,cntr/bld"/>
    <w:basedOn w:val="Normal"/>
    <w:link w:val="HeaderChar"/>
    <w:uiPriority w:val="99"/>
    <w:qFormat/>
    <w:rsid w:val="00A51C91"/>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qFormat/>
    <w:rsid w:val="001C002E"/>
  </w:style>
  <w:style w:type="table" w:styleId="TableGrid">
    <w:name w:val="Table Grid"/>
    <w:aliases w:val="Summary box,Table Gridbeth,CMA Table Template,ASD Table,RTI AMCP Table,new style,HTAtableplain,PBAC table,MSD Table Grid,Dossier table,Summary Table,Conclusion box,Table Grid nm,PHE Table Grid,Lash Style Table,Section 3- footnotes,HealthConsu"/>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1"/>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2"/>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4C3B02"/>
    <w:pPr>
      <w:numPr>
        <w:ilvl w:val="1"/>
        <w:numId w:val="2"/>
      </w:numPr>
      <w:spacing w:before="60" w:after="6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07519D"/>
    <w:rPr>
      <w:rFonts w:asciiTheme="minorHAnsi" w:eastAsiaTheme="minorHAnsi" w:hAnsiTheme="minorHAnsi" w:cstheme="minorBidi"/>
      <w:sz w:val="24"/>
      <w:szCs w:val="22"/>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3"/>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4"/>
      </w:numPr>
      <w:spacing w:after="120"/>
      <w:ind w:left="1134"/>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6106A8"/>
    <w:pPr>
      <w:numPr>
        <w:numId w:val="5"/>
      </w:numPr>
      <w:spacing w:after="120"/>
      <w:contextualSpacing/>
    </w:pPr>
    <w:rPr>
      <w:rFonts w:asciiTheme="minorHAnsi" w:hAnsiTheme="minorHAnsi"/>
      <w:snapToGrid w:val="0"/>
    </w:rPr>
  </w:style>
  <w:style w:type="character" w:customStyle="1" w:styleId="COMexecsummmainissuesbulletsChar">
    <w:name w:val="COM exec summ main issues bullets Char"/>
    <w:basedOn w:val="DefaultParagraphFont"/>
    <w:link w:val="COMexecsummmainissuesbullets"/>
    <w:rsid w:val="006106A8"/>
    <w:rPr>
      <w:rFonts w:asciiTheme="minorHAnsi" w:hAnsiTheme="minorHAnsi" w:cs="Arial"/>
      <w:snapToGrid w:val="0"/>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E261B0"/>
    <w:pPr>
      <w:keepNext/>
      <w:spacing w:after="120"/>
      <w:outlineLvl w:val="2"/>
    </w:pPr>
    <w:rPr>
      <w:b/>
      <w:iCs/>
      <w:sz w:val="28"/>
    </w:rPr>
  </w:style>
  <w:style w:type="character" w:customStyle="1" w:styleId="COMH3Char">
    <w:name w:val="COM H3 Char"/>
    <w:basedOn w:val="DefaultParagraphFont"/>
    <w:link w:val="COMH3"/>
    <w:rsid w:val="00E261B0"/>
    <w:rPr>
      <w:rFonts w:ascii="Calibri" w:hAnsi="Calibri" w:cs="Arial"/>
      <w:b/>
      <w:iCs/>
      <w:sz w:val="28"/>
      <w:szCs w:val="24"/>
    </w:rPr>
  </w:style>
  <w:style w:type="paragraph" w:customStyle="1" w:styleId="COMH4">
    <w:name w:val="COM H4"/>
    <w:basedOn w:val="Normal"/>
    <w:link w:val="COMH4Char"/>
    <w:qFormat/>
    <w:rsid w:val="00857D2E"/>
    <w:pPr>
      <w:keepNext/>
      <w:spacing w:after="120"/>
    </w:pPr>
    <w:rPr>
      <w:b/>
      <w:i/>
    </w:rPr>
  </w:style>
  <w:style w:type="character" w:customStyle="1" w:styleId="COMH4Char">
    <w:name w:val="COM H4 Char"/>
    <w:basedOn w:val="DefaultParagraphFont"/>
    <w:link w:val="COMH4"/>
    <w:rsid w:val="00857D2E"/>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paragraph" w:styleId="ListParagraph">
    <w:name w:val="List Paragraph"/>
    <w:aliases w:val="BulletPoints,Numbered para,Bullet point,List Paragraph1,List Paragraph11,Recommendation,Styl moj,Akapit z listą11,Table Legend,Footnote,ES Paragraph,PBAC ES Paragraph,PBAC normal points,Bullet List,Section heading,Figure_name,List NUmber"/>
    <w:basedOn w:val="Normal"/>
    <w:link w:val="ListParagraphChar"/>
    <w:uiPriority w:val="34"/>
    <w:qFormat/>
    <w:rsid w:val="00771C7A"/>
    <w:pPr>
      <w:ind w:left="720"/>
      <w:contextualSpacing/>
    </w:pPr>
  </w:style>
  <w:style w:type="character" w:customStyle="1" w:styleId="ListParagraphChar">
    <w:name w:val="List Paragraph Char"/>
    <w:aliases w:val="BulletPoints Char,Numbered para Char,Bullet point Char,List Paragraph1 Char,List Paragraph11 Char,Recommendation Char,Styl moj Char,Akapit z listą11 Char,Table Legend Char,Footnote Char,ES Paragraph Char,PBAC ES Paragraph Char"/>
    <w:basedOn w:val="DefaultParagraphFont"/>
    <w:link w:val="ListParagraph"/>
    <w:uiPriority w:val="34"/>
    <w:qFormat/>
    <w:locked/>
    <w:rsid w:val="00771C7A"/>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771C7A"/>
    <w:rPr>
      <w:sz w:val="16"/>
      <w:szCs w:val="16"/>
    </w:rPr>
  </w:style>
  <w:style w:type="paragraph" w:styleId="CommentText">
    <w:name w:val="annotation text"/>
    <w:basedOn w:val="Normal"/>
    <w:link w:val="CommentTextChar"/>
    <w:unhideWhenUsed/>
    <w:rsid w:val="00771C7A"/>
    <w:rPr>
      <w:sz w:val="20"/>
      <w:szCs w:val="20"/>
    </w:rPr>
  </w:style>
  <w:style w:type="character" w:customStyle="1" w:styleId="CommentTextChar">
    <w:name w:val="Comment Text Char"/>
    <w:basedOn w:val="DefaultParagraphFont"/>
    <w:link w:val="CommentText"/>
    <w:rsid w:val="00771C7A"/>
    <w:rPr>
      <w:rFonts w:ascii="Calibri" w:hAnsi="Calibri" w:cs="Arial"/>
    </w:rPr>
  </w:style>
  <w:style w:type="paragraph" w:styleId="CommentSubject">
    <w:name w:val="annotation subject"/>
    <w:basedOn w:val="CommentText"/>
    <w:next w:val="CommentText"/>
    <w:link w:val="CommentSubjectChar"/>
    <w:semiHidden/>
    <w:unhideWhenUsed/>
    <w:rsid w:val="00771C7A"/>
    <w:rPr>
      <w:b/>
      <w:bCs/>
    </w:rPr>
  </w:style>
  <w:style w:type="character" w:customStyle="1" w:styleId="CommentSubjectChar">
    <w:name w:val="Comment Subject Char"/>
    <w:basedOn w:val="CommentTextChar"/>
    <w:link w:val="CommentSubject"/>
    <w:semiHidden/>
    <w:rsid w:val="00771C7A"/>
    <w:rPr>
      <w:rFonts w:ascii="Calibri" w:hAnsi="Calibri" w:cs="Arial"/>
      <w:b/>
      <w:bCs/>
    </w:rPr>
  </w:style>
  <w:style w:type="paragraph" w:customStyle="1" w:styleId="TableText">
    <w:name w:val="Table Text"/>
    <w:basedOn w:val="Normal"/>
    <w:link w:val="TableTextChar"/>
    <w:qFormat/>
    <w:rsid w:val="0085707B"/>
    <w:pPr>
      <w:spacing w:before="20" w:after="20" w:line="276" w:lineRule="auto"/>
      <w:jc w:val="left"/>
    </w:pPr>
    <w:rPr>
      <w:rFonts w:ascii="Arial Narrow" w:eastAsiaTheme="majorEastAsia" w:hAnsi="Arial Narrow"/>
      <w:sz w:val="20"/>
      <w:szCs w:val="20"/>
      <w:lang w:eastAsia="en-US" w:bidi="en-US"/>
    </w:rPr>
  </w:style>
  <w:style w:type="character" w:customStyle="1" w:styleId="TableTextChar">
    <w:name w:val="Table Text Char"/>
    <w:basedOn w:val="DefaultParagraphFont"/>
    <w:link w:val="TableText"/>
    <w:rsid w:val="0085707B"/>
    <w:rPr>
      <w:rFonts w:ascii="Arial Narrow" w:eastAsiaTheme="majorEastAsia" w:hAnsi="Arial Narrow" w:cs="Arial"/>
      <w:lang w:eastAsia="en-US" w:bidi="en-US"/>
    </w:rPr>
  </w:style>
  <w:style w:type="paragraph" w:customStyle="1" w:styleId="Default">
    <w:name w:val="Default"/>
    <w:rsid w:val="002A5A8F"/>
    <w:pPr>
      <w:autoSpaceDE w:val="0"/>
      <w:autoSpaceDN w:val="0"/>
      <w:adjustRightInd w:val="0"/>
    </w:pPr>
    <w:rPr>
      <w:color w:val="000000"/>
      <w:sz w:val="24"/>
      <w:szCs w:val="24"/>
    </w:rPr>
  </w:style>
  <w:style w:type="character" w:styleId="UnresolvedMention">
    <w:name w:val="Unresolved Mention"/>
    <w:basedOn w:val="DefaultParagraphFont"/>
    <w:uiPriority w:val="99"/>
    <w:unhideWhenUsed/>
    <w:rsid w:val="00C1616E"/>
    <w:rPr>
      <w:color w:val="605E5C"/>
      <w:shd w:val="clear" w:color="auto" w:fill="E1DFDD"/>
    </w:rPr>
  </w:style>
  <w:style w:type="paragraph" w:customStyle="1" w:styleId="Sources">
    <w:name w:val="Sources"/>
    <w:basedOn w:val="Normal"/>
    <w:link w:val="SourcesChar"/>
    <w:qFormat/>
    <w:rsid w:val="00246853"/>
    <w:pPr>
      <w:spacing w:before="120" w:after="120"/>
      <w:jc w:val="left"/>
    </w:pPr>
    <w:rPr>
      <w:rFonts w:ascii="Arial" w:eastAsiaTheme="minorHAnsi" w:hAnsi="Arial" w:cstheme="minorBidi"/>
      <w:sz w:val="16"/>
      <w:szCs w:val="22"/>
      <w:lang w:eastAsia="en-US"/>
    </w:rPr>
  </w:style>
  <w:style w:type="character" w:customStyle="1" w:styleId="SourcesChar">
    <w:name w:val="Sources Char"/>
    <w:basedOn w:val="DefaultParagraphFont"/>
    <w:link w:val="Sources"/>
    <w:rsid w:val="00246853"/>
    <w:rPr>
      <w:rFonts w:ascii="Arial" w:eastAsiaTheme="minorHAnsi" w:hAnsi="Arial" w:cstheme="minorBidi"/>
      <w:sz w:val="16"/>
      <w:szCs w:val="22"/>
      <w:lang w:eastAsia="en-US"/>
    </w:rPr>
  </w:style>
  <w:style w:type="paragraph" w:customStyle="1" w:styleId="TableFooter">
    <w:name w:val="Table Footer"/>
    <w:basedOn w:val="Normal"/>
    <w:link w:val="TableFooterChar"/>
    <w:qFormat/>
    <w:rsid w:val="001F7774"/>
    <w:pPr>
      <w:widowControl w:val="0"/>
      <w:contextualSpacing/>
    </w:pPr>
    <w:rPr>
      <w:rFonts w:ascii="Arial Narrow" w:hAnsi="Arial Narrow"/>
      <w:snapToGrid w:val="0"/>
      <w:sz w:val="18"/>
      <w:szCs w:val="20"/>
      <w:lang w:eastAsia="en-US"/>
    </w:rPr>
  </w:style>
  <w:style w:type="character" w:customStyle="1" w:styleId="TableFooterChar">
    <w:name w:val="Table Footer Char"/>
    <w:link w:val="TableFooter"/>
    <w:rsid w:val="001F7774"/>
    <w:rPr>
      <w:rFonts w:ascii="Arial Narrow" w:hAnsi="Arial Narrow" w:cs="Arial"/>
      <w:snapToGrid w:val="0"/>
      <w:sz w:val="18"/>
      <w:lang w:eastAsia="en-US"/>
    </w:rPr>
  </w:style>
  <w:style w:type="paragraph" w:customStyle="1" w:styleId="PBACTblFignote">
    <w:name w:val="PBAC Tbl/Fig note"/>
    <w:qFormat/>
    <w:rsid w:val="008E58D6"/>
    <w:pPr>
      <w:keepNext/>
      <w:keepLines/>
      <w:spacing w:after="360"/>
      <w:contextualSpacing/>
      <w:textboxTightWrap w:val="allLines"/>
    </w:pPr>
    <w:rPr>
      <w:rFonts w:ascii="Arial Narrow" w:hAnsi="Arial Narrow" w:cs="Arial"/>
      <w:sz w:val="18"/>
      <w:szCs w:val="24"/>
      <w:lang w:eastAsia="en-GB"/>
    </w:rPr>
  </w:style>
  <w:style w:type="paragraph" w:styleId="Footer">
    <w:name w:val="footer"/>
    <w:basedOn w:val="Normal"/>
    <w:link w:val="FooterChar"/>
    <w:uiPriority w:val="99"/>
    <w:unhideWhenUsed/>
    <w:rsid w:val="008A7C8D"/>
    <w:pPr>
      <w:tabs>
        <w:tab w:val="center" w:pos="4513"/>
        <w:tab w:val="right" w:pos="9026"/>
      </w:tabs>
    </w:pPr>
  </w:style>
  <w:style w:type="character" w:customStyle="1" w:styleId="FooterChar">
    <w:name w:val="Footer Char"/>
    <w:basedOn w:val="DefaultParagraphFont"/>
    <w:link w:val="Footer"/>
    <w:uiPriority w:val="99"/>
    <w:rsid w:val="008A7C8D"/>
    <w:rPr>
      <w:rFonts w:ascii="Calibri" w:hAnsi="Calibri" w:cs="Arial"/>
      <w:sz w:val="24"/>
      <w:szCs w:val="24"/>
    </w:rPr>
  </w:style>
  <w:style w:type="paragraph" w:customStyle="1" w:styleId="PBACTabletext">
    <w:name w:val="PBAC Table text"/>
    <w:link w:val="PBACTabletextChar"/>
    <w:qFormat/>
    <w:rsid w:val="005C6592"/>
    <w:pPr>
      <w:keepNext/>
      <w:keepLines/>
      <w:suppressLineNumbers/>
      <w:spacing w:after="20"/>
      <w:textboxTightWrap w:val="allLines"/>
    </w:pPr>
    <w:rPr>
      <w:rFonts w:ascii="Arial Narrow" w:hAnsi="Arial Narrow" w:cs="Arial"/>
      <w:szCs w:val="24"/>
      <w:lang w:eastAsia="en-GB"/>
    </w:rPr>
  </w:style>
  <w:style w:type="character" w:customStyle="1" w:styleId="PBACTabletextChar">
    <w:name w:val="PBAC Table text Char"/>
    <w:basedOn w:val="DefaultParagraphFont"/>
    <w:link w:val="PBACTabletext"/>
    <w:rsid w:val="005C6592"/>
    <w:rPr>
      <w:rFonts w:ascii="Arial Narrow" w:hAnsi="Arial Narrow" w:cs="Arial"/>
      <w:szCs w:val="24"/>
      <w:lang w:eastAsia="en-GB"/>
    </w:rPr>
  </w:style>
  <w:style w:type="paragraph" w:styleId="Caption">
    <w:name w:val="caption"/>
    <w:basedOn w:val="Normal"/>
    <w:next w:val="Normal"/>
    <w:unhideWhenUsed/>
    <w:rsid w:val="0001346B"/>
    <w:pPr>
      <w:spacing w:after="200"/>
    </w:pPr>
    <w:rPr>
      <w:i/>
      <w:iCs/>
      <w:color w:val="1F497D" w:themeColor="text2"/>
      <w:sz w:val="18"/>
      <w:szCs w:val="18"/>
    </w:rPr>
  </w:style>
  <w:style w:type="paragraph" w:customStyle="1" w:styleId="COMH1numbered">
    <w:name w:val="COM H1 numbered"/>
    <w:next w:val="Normal"/>
    <w:qFormat/>
    <w:rsid w:val="008C35A6"/>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8C35A6"/>
    <w:pPr>
      <w:spacing w:after="120"/>
      <w:ind w:hanging="720"/>
      <w:contextualSpacing w:val="0"/>
    </w:pPr>
    <w:rPr>
      <w:rFonts w:asciiTheme="minorHAnsi" w:hAnsiTheme="minorHAnsi"/>
      <w:snapToGrid w:val="0"/>
    </w:rPr>
  </w:style>
  <w:style w:type="character" w:customStyle="1" w:styleId="COMexecsumnumberedparaChar">
    <w:name w:val="COM exec sum numbered para Char"/>
    <w:basedOn w:val="DefaultParagraphFont"/>
    <w:link w:val="COMexecsumnumberedpara"/>
    <w:rsid w:val="008C35A6"/>
    <w:rPr>
      <w:rFonts w:asciiTheme="minorHAnsi" w:hAnsiTheme="minorHAnsi" w:cs="Arial"/>
      <w:snapToGrid w:val="0"/>
      <w:sz w:val="24"/>
      <w:szCs w:val="24"/>
    </w:rPr>
  </w:style>
  <w:style w:type="paragraph" w:styleId="ListBullet">
    <w:name w:val="List Bullet"/>
    <w:aliases w:val="zz List Bullet"/>
    <w:basedOn w:val="Normal"/>
    <w:unhideWhenUsed/>
    <w:rsid w:val="008C35A6"/>
    <w:pPr>
      <w:tabs>
        <w:tab w:val="num" w:pos="360"/>
      </w:tabs>
      <w:ind w:left="360" w:hanging="360"/>
      <w:contextualSpacing/>
    </w:pPr>
  </w:style>
  <w:style w:type="table" w:customStyle="1" w:styleId="Table">
    <w:name w:val="Table"/>
    <w:semiHidden/>
    <w:unhideWhenUsed/>
    <w:qFormat/>
    <w:rsid w:val="008C35A6"/>
    <w:pPr>
      <w:spacing w:after="200"/>
    </w:pPr>
    <w:rPr>
      <w:rFonts w:asciiTheme="minorHAnsi" w:eastAsiaTheme="minorHAnsi" w:hAnsiTheme="minorHAnsi" w:cstheme="minorBidi"/>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FirstParagraph">
    <w:name w:val="First Paragraph"/>
    <w:basedOn w:val="BodyText"/>
    <w:next w:val="BodyText"/>
    <w:qFormat/>
    <w:rsid w:val="008C35A6"/>
    <w:pPr>
      <w:spacing w:before="180" w:after="180"/>
      <w:jc w:val="left"/>
    </w:pPr>
    <w:rPr>
      <w:rFonts w:asciiTheme="minorHAnsi" w:eastAsiaTheme="minorHAnsi" w:hAnsiTheme="minorHAnsi" w:cstheme="minorBidi"/>
      <w:lang w:val="en-US" w:eastAsia="en-US"/>
    </w:rPr>
  </w:style>
  <w:style w:type="paragraph" w:styleId="BodyText">
    <w:name w:val="Body Text"/>
    <w:basedOn w:val="Normal"/>
    <w:link w:val="BodyTextChar"/>
    <w:semiHidden/>
    <w:unhideWhenUsed/>
    <w:rsid w:val="008C35A6"/>
    <w:pPr>
      <w:spacing w:after="120"/>
    </w:pPr>
  </w:style>
  <w:style w:type="character" w:customStyle="1" w:styleId="BodyTextChar">
    <w:name w:val="Body Text Char"/>
    <w:basedOn w:val="DefaultParagraphFont"/>
    <w:link w:val="BodyText"/>
    <w:semiHidden/>
    <w:rsid w:val="008C35A6"/>
    <w:rPr>
      <w:rFonts w:ascii="Calibri" w:hAnsi="Calibri" w:cs="Arial"/>
      <w:sz w:val="24"/>
      <w:szCs w:val="24"/>
    </w:rPr>
  </w:style>
  <w:style w:type="paragraph" w:styleId="NormalWeb">
    <w:name w:val="Normal (Web)"/>
    <w:basedOn w:val="Normal"/>
    <w:uiPriority w:val="99"/>
    <w:semiHidden/>
    <w:unhideWhenUsed/>
    <w:rsid w:val="00655CC5"/>
    <w:pPr>
      <w:spacing w:before="100" w:beforeAutospacing="1" w:after="100" w:afterAutospacing="1"/>
      <w:jc w:val="left"/>
    </w:pPr>
    <w:rPr>
      <w:rFonts w:ascii="Times New Roman" w:hAnsi="Times New Roman" w:cs="Times New Roman"/>
    </w:rPr>
  </w:style>
  <w:style w:type="paragraph" w:customStyle="1" w:styleId="paragraph">
    <w:name w:val="paragraph"/>
    <w:basedOn w:val="Normal"/>
    <w:rsid w:val="00655CC5"/>
    <w:pPr>
      <w:spacing w:before="100" w:beforeAutospacing="1" w:after="100" w:afterAutospacing="1"/>
      <w:jc w:val="left"/>
    </w:pPr>
    <w:rPr>
      <w:rFonts w:ascii="Times New Roman" w:hAnsi="Times New Roman" w:cs="Times New Roman"/>
      <w:lang w:val="en-US" w:eastAsia="en-US"/>
    </w:rPr>
  </w:style>
  <w:style w:type="character" w:customStyle="1" w:styleId="normaltextrun">
    <w:name w:val="normaltextrun"/>
    <w:basedOn w:val="DefaultParagraphFont"/>
    <w:rsid w:val="00655CC5"/>
  </w:style>
  <w:style w:type="character" w:customStyle="1" w:styleId="eop">
    <w:name w:val="eop"/>
    <w:basedOn w:val="DefaultParagraphFont"/>
    <w:rsid w:val="00655CC5"/>
  </w:style>
  <w:style w:type="character" w:styleId="Strong">
    <w:name w:val="Strong"/>
    <w:basedOn w:val="DefaultParagraphFont"/>
    <w:uiPriority w:val="22"/>
    <w:qFormat/>
    <w:rsid w:val="00655CC5"/>
    <w:rPr>
      <w:b/>
      <w:bCs/>
    </w:rPr>
  </w:style>
  <w:style w:type="paragraph" w:customStyle="1" w:styleId="1-MainHeading">
    <w:name w:val="1-Main Heading"/>
    <w:next w:val="Normal"/>
    <w:link w:val="1-MainHeadingChar"/>
    <w:qFormat/>
    <w:rsid w:val="00F53E2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F53E23"/>
    <w:rPr>
      <w:rFonts w:asciiTheme="minorHAnsi" w:eastAsiaTheme="majorEastAsia" w:hAnsiTheme="minorHAnsi" w:cstheme="majorBidi"/>
      <w:b/>
      <w:spacing w:val="5"/>
      <w:kern w:val="28"/>
      <w:sz w:val="36"/>
      <w:szCs w:val="36"/>
    </w:rPr>
  </w:style>
  <w:style w:type="paragraph" w:customStyle="1" w:styleId="PBACHeading1">
    <w:name w:val="PBAC Heading 1"/>
    <w:qFormat/>
    <w:rsid w:val="00276161"/>
    <w:pPr>
      <w:ind w:left="720" w:hanging="720"/>
      <w:outlineLvl w:val="0"/>
    </w:pPr>
    <w:rPr>
      <w:rFonts w:ascii="Calibri" w:hAnsi="Calibri" w:cs="Calibri"/>
      <w:b/>
      <w:snapToGrid w:val="0"/>
      <w:sz w:val="32"/>
      <w:szCs w:val="32"/>
      <w:lang w:eastAsia="en-US"/>
    </w:rPr>
  </w:style>
  <w:style w:type="table" w:customStyle="1" w:styleId="TableGrid1">
    <w:name w:val="Table Grid1"/>
    <w:basedOn w:val="TableNormal"/>
    <w:next w:val="TableGrid"/>
    <w:uiPriority w:val="39"/>
    <w:rsid w:val="007150B9"/>
    <w:rPr>
      <w:rFonts w:ascii="Aptos" w:eastAsia="Aptos" w:hAnsi="Aptos"/>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637F0"/>
    <w:rPr>
      <w:color w:val="2B579A"/>
      <w:shd w:val="clear" w:color="auto" w:fill="E1DFDD"/>
    </w:rPr>
  </w:style>
  <w:style w:type="table" w:customStyle="1" w:styleId="TableGrid2">
    <w:name w:val="Table Grid2"/>
    <w:basedOn w:val="TableNormal"/>
    <w:next w:val="TableGrid"/>
    <w:uiPriority w:val="39"/>
    <w:rsid w:val="00370FC7"/>
    <w:rPr>
      <w:rFonts w:ascii="Aptos" w:eastAsia="Aptos" w:hAnsi="Aptos"/>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A43F81"/>
    <w:pPr>
      <w:spacing w:before="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A43F81"/>
    <w:rPr>
      <w:rFonts w:asciiTheme="minorHAnsi" w:eastAsiaTheme="majorEastAsia" w:hAnsiTheme="minorHAnsi" w:cstheme="majorBidi"/>
      <w:b/>
      <w:i/>
      <w:spacing w:val="5"/>
      <w:kern w:val="28"/>
      <w:sz w:val="28"/>
      <w:szCs w:val="36"/>
      <w:lang w:eastAsia="en-US"/>
    </w:rPr>
  </w:style>
  <w:style w:type="paragraph" w:styleId="NoSpacing">
    <w:name w:val="No Spacing"/>
    <w:uiPriority w:val="1"/>
    <w:qFormat/>
    <w:rsid w:val="00CA14F1"/>
    <w:rPr>
      <w:sz w:val="24"/>
      <w:szCs w:val="24"/>
      <w:lang w:eastAsia="en-US"/>
    </w:rPr>
  </w:style>
  <w:style w:type="paragraph" w:customStyle="1" w:styleId="2-SectionHeading">
    <w:name w:val="2-Section Heading"/>
    <w:qFormat/>
    <w:rsid w:val="00CA14F1"/>
    <w:pPr>
      <w:keepNext/>
      <w:spacing w:before="240" w:after="120"/>
      <w:outlineLvl w:val="1"/>
    </w:pPr>
    <w:rPr>
      <w:rFonts w:asciiTheme="minorHAnsi" w:hAnsiTheme="minorHAnsi" w:cs="Arial"/>
      <w:b/>
      <w:snapToGrid w:val="0"/>
      <w:sz w:val="32"/>
      <w:szCs w:val="32"/>
    </w:rPr>
  </w:style>
  <w:style w:type="paragraph" w:styleId="FootnoteText">
    <w:name w:val="footnote text"/>
    <w:basedOn w:val="Normal"/>
    <w:link w:val="FootnoteTextChar"/>
    <w:semiHidden/>
    <w:unhideWhenUsed/>
    <w:rsid w:val="00B05564"/>
    <w:rPr>
      <w:sz w:val="20"/>
      <w:szCs w:val="20"/>
    </w:rPr>
  </w:style>
  <w:style w:type="character" w:customStyle="1" w:styleId="FootnoteTextChar">
    <w:name w:val="Footnote Text Char"/>
    <w:basedOn w:val="DefaultParagraphFont"/>
    <w:link w:val="FootnoteText"/>
    <w:semiHidden/>
    <w:rsid w:val="00B05564"/>
    <w:rPr>
      <w:rFonts w:ascii="Calibri" w:hAnsi="Calibri" w:cs="Arial"/>
    </w:rPr>
  </w:style>
  <w:style w:type="character" w:styleId="FootnoteReference">
    <w:name w:val="footnote reference"/>
    <w:basedOn w:val="DefaultParagraphFont"/>
    <w:semiHidden/>
    <w:unhideWhenUsed/>
    <w:rsid w:val="00B055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1835">
      <w:bodyDiv w:val="1"/>
      <w:marLeft w:val="0"/>
      <w:marRight w:val="0"/>
      <w:marTop w:val="0"/>
      <w:marBottom w:val="0"/>
      <w:divBdr>
        <w:top w:val="none" w:sz="0" w:space="0" w:color="auto"/>
        <w:left w:val="none" w:sz="0" w:space="0" w:color="auto"/>
        <w:bottom w:val="none" w:sz="0" w:space="0" w:color="auto"/>
        <w:right w:val="none" w:sz="0" w:space="0" w:color="auto"/>
      </w:divBdr>
    </w:div>
    <w:div w:id="5462079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2022877">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3082481">
      <w:bodyDiv w:val="1"/>
      <w:marLeft w:val="0"/>
      <w:marRight w:val="0"/>
      <w:marTop w:val="0"/>
      <w:marBottom w:val="0"/>
      <w:divBdr>
        <w:top w:val="none" w:sz="0" w:space="0" w:color="auto"/>
        <w:left w:val="none" w:sz="0" w:space="0" w:color="auto"/>
        <w:bottom w:val="none" w:sz="0" w:space="0" w:color="auto"/>
        <w:right w:val="none" w:sz="0" w:space="0" w:color="auto"/>
      </w:divBdr>
    </w:div>
    <w:div w:id="190923558">
      <w:bodyDiv w:val="1"/>
      <w:marLeft w:val="0"/>
      <w:marRight w:val="0"/>
      <w:marTop w:val="0"/>
      <w:marBottom w:val="0"/>
      <w:divBdr>
        <w:top w:val="none" w:sz="0" w:space="0" w:color="auto"/>
        <w:left w:val="none" w:sz="0" w:space="0" w:color="auto"/>
        <w:bottom w:val="none" w:sz="0" w:space="0" w:color="auto"/>
        <w:right w:val="none" w:sz="0" w:space="0" w:color="auto"/>
      </w:divBdr>
    </w:div>
    <w:div w:id="197819563">
      <w:bodyDiv w:val="1"/>
      <w:marLeft w:val="0"/>
      <w:marRight w:val="0"/>
      <w:marTop w:val="0"/>
      <w:marBottom w:val="0"/>
      <w:divBdr>
        <w:top w:val="none" w:sz="0" w:space="0" w:color="auto"/>
        <w:left w:val="none" w:sz="0" w:space="0" w:color="auto"/>
        <w:bottom w:val="none" w:sz="0" w:space="0" w:color="auto"/>
        <w:right w:val="none" w:sz="0" w:space="0" w:color="auto"/>
      </w:divBdr>
    </w:div>
    <w:div w:id="237979249">
      <w:bodyDiv w:val="1"/>
      <w:marLeft w:val="0"/>
      <w:marRight w:val="0"/>
      <w:marTop w:val="0"/>
      <w:marBottom w:val="0"/>
      <w:divBdr>
        <w:top w:val="none" w:sz="0" w:space="0" w:color="auto"/>
        <w:left w:val="none" w:sz="0" w:space="0" w:color="auto"/>
        <w:bottom w:val="none" w:sz="0" w:space="0" w:color="auto"/>
        <w:right w:val="none" w:sz="0" w:space="0" w:color="auto"/>
      </w:divBdr>
    </w:div>
    <w:div w:id="273948244">
      <w:bodyDiv w:val="1"/>
      <w:marLeft w:val="0"/>
      <w:marRight w:val="0"/>
      <w:marTop w:val="0"/>
      <w:marBottom w:val="0"/>
      <w:divBdr>
        <w:top w:val="none" w:sz="0" w:space="0" w:color="auto"/>
        <w:left w:val="none" w:sz="0" w:space="0" w:color="auto"/>
        <w:bottom w:val="none" w:sz="0" w:space="0" w:color="auto"/>
        <w:right w:val="none" w:sz="0" w:space="0" w:color="auto"/>
      </w:divBdr>
      <w:divsChild>
        <w:div w:id="85422455">
          <w:marLeft w:val="360"/>
          <w:marRight w:val="0"/>
          <w:marTop w:val="120"/>
          <w:marBottom w:val="0"/>
          <w:divBdr>
            <w:top w:val="none" w:sz="0" w:space="0" w:color="auto"/>
            <w:left w:val="none" w:sz="0" w:space="0" w:color="auto"/>
            <w:bottom w:val="none" w:sz="0" w:space="0" w:color="auto"/>
            <w:right w:val="none" w:sz="0" w:space="0" w:color="auto"/>
          </w:divBdr>
        </w:div>
      </w:divsChild>
    </w:div>
    <w:div w:id="28385143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0744498">
      <w:bodyDiv w:val="1"/>
      <w:marLeft w:val="0"/>
      <w:marRight w:val="0"/>
      <w:marTop w:val="0"/>
      <w:marBottom w:val="0"/>
      <w:divBdr>
        <w:top w:val="none" w:sz="0" w:space="0" w:color="auto"/>
        <w:left w:val="none" w:sz="0" w:space="0" w:color="auto"/>
        <w:bottom w:val="none" w:sz="0" w:space="0" w:color="auto"/>
        <w:right w:val="none" w:sz="0" w:space="0" w:color="auto"/>
      </w:divBdr>
    </w:div>
    <w:div w:id="328751360">
      <w:bodyDiv w:val="1"/>
      <w:marLeft w:val="0"/>
      <w:marRight w:val="0"/>
      <w:marTop w:val="0"/>
      <w:marBottom w:val="0"/>
      <w:divBdr>
        <w:top w:val="none" w:sz="0" w:space="0" w:color="auto"/>
        <w:left w:val="none" w:sz="0" w:space="0" w:color="auto"/>
        <w:bottom w:val="none" w:sz="0" w:space="0" w:color="auto"/>
        <w:right w:val="none" w:sz="0" w:space="0" w:color="auto"/>
      </w:divBdr>
    </w:div>
    <w:div w:id="330913618">
      <w:bodyDiv w:val="1"/>
      <w:marLeft w:val="0"/>
      <w:marRight w:val="0"/>
      <w:marTop w:val="0"/>
      <w:marBottom w:val="0"/>
      <w:divBdr>
        <w:top w:val="none" w:sz="0" w:space="0" w:color="auto"/>
        <w:left w:val="none" w:sz="0" w:space="0" w:color="auto"/>
        <w:bottom w:val="none" w:sz="0" w:space="0" w:color="auto"/>
        <w:right w:val="none" w:sz="0" w:space="0" w:color="auto"/>
      </w:divBdr>
    </w:div>
    <w:div w:id="359361518">
      <w:bodyDiv w:val="1"/>
      <w:marLeft w:val="0"/>
      <w:marRight w:val="0"/>
      <w:marTop w:val="0"/>
      <w:marBottom w:val="0"/>
      <w:divBdr>
        <w:top w:val="none" w:sz="0" w:space="0" w:color="auto"/>
        <w:left w:val="none" w:sz="0" w:space="0" w:color="auto"/>
        <w:bottom w:val="none" w:sz="0" w:space="0" w:color="auto"/>
        <w:right w:val="none" w:sz="0" w:space="0" w:color="auto"/>
      </w:divBdr>
    </w:div>
    <w:div w:id="544146347">
      <w:bodyDiv w:val="1"/>
      <w:marLeft w:val="0"/>
      <w:marRight w:val="0"/>
      <w:marTop w:val="0"/>
      <w:marBottom w:val="0"/>
      <w:divBdr>
        <w:top w:val="none" w:sz="0" w:space="0" w:color="auto"/>
        <w:left w:val="none" w:sz="0" w:space="0" w:color="auto"/>
        <w:bottom w:val="none" w:sz="0" w:space="0" w:color="auto"/>
        <w:right w:val="none" w:sz="0" w:space="0" w:color="auto"/>
      </w:divBdr>
    </w:div>
    <w:div w:id="570577046">
      <w:bodyDiv w:val="1"/>
      <w:marLeft w:val="0"/>
      <w:marRight w:val="0"/>
      <w:marTop w:val="0"/>
      <w:marBottom w:val="0"/>
      <w:divBdr>
        <w:top w:val="none" w:sz="0" w:space="0" w:color="auto"/>
        <w:left w:val="none" w:sz="0" w:space="0" w:color="auto"/>
        <w:bottom w:val="none" w:sz="0" w:space="0" w:color="auto"/>
        <w:right w:val="none" w:sz="0" w:space="0" w:color="auto"/>
      </w:divBdr>
    </w:div>
    <w:div w:id="597446957">
      <w:bodyDiv w:val="1"/>
      <w:marLeft w:val="0"/>
      <w:marRight w:val="0"/>
      <w:marTop w:val="0"/>
      <w:marBottom w:val="0"/>
      <w:divBdr>
        <w:top w:val="none" w:sz="0" w:space="0" w:color="auto"/>
        <w:left w:val="none" w:sz="0" w:space="0" w:color="auto"/>
        <w:bottom w:val="none" w:sz="0" w:space="0" w:color="auto"/>
        <w:right w:val="none" w:sz="0" w:space="0" w:color="auto"/>
      </w:divBdr>
    </w:div>
    <w:div w:id="599139684">
      <w:bodyDiv w:val="1"/>
      <w:marLeft w:val="0"/>
      <w:marRight w:val="0"/>
      <w:marTop w:val="0"/>
      <w:marBottom w:val="0"/>
      <w:divBdr>
        <w:top w:val="none" w:sz="0" w:space="0" w:color="auto"/>
        <w:left w:val="none" w:sz="0" w:space="0" w:color="auto"/>
        <w:bottom w:val="none" w:sz="0" w:space="0" w:color="auto"/>
        <w:right w:val="none" w:sz="0" w:space="0" w:color="auto"/>
      </w:divBdr>
    </w:div>
    <w:div w:id="676008534">
      <w:bodyDiv w:val="1"/>
      <w:marLeft w:val="0"/>
      <w:marRight w:val="0"/>
      <w:marTop w:val="0"/>
      <w:marBottom w:val="0"/>
      <w:divBdr>
        <w:top w:val="none" w:sz="0" w:space="0" w:color="auto"/>
        <w:left w:val="none" w:sz="0" w:space="0" w:color="auto"/>
        <w:bottom w:val="none" w:sz="0" w:space="0" w:color="auto"/>
        <w:right w:val="none" w:sz="0" w:space="0" w:color="auto"/>
      </w:divBdr>
    </w:div>
    <w:div w:id="693000457">
      <w:bodyDiv w:val="1"/>
      <w:marLeft w:val="0"/>
      <w:marRight w:val="0"/>
      <w:marTop w:val="0"/>
      <w:marBottom w:val="0"/>
      <w:divBdr>
        <w:top w:val="none" w:sz="0" w:space="0" w:color="auto"/>
        <w:left w:val="none" w:sz="0" w:space="0" w:color="auto"/>
        <w:bottom w:val="none" w:sz="0" w:space="0" w:color="auto"/>
        <w:right w:val="none" w:sz="0" w:space="0" w:color="auto"/>
      </w:divBdr>
    </w:div>
    <w:div w:id="702286920">
      <w:bodyDiv w:val="1"/>
      <w:marLeft w:val="0"/>
      <w:marRight w:val="0"/>
      <w:marTop w:val="0"/>
      <w:marBottom w:val="0"/>
      <w:divBdr>
        <w:top w:val="none" w:sz="0" w:space="0" w:color="auto"/>
        <w:left w:val="none" w:sz="0" w:space="0" w:color="auto"/>
        <w:bottom w:val="none" w:sz="0" w:space="0" w:color="auto"/>
        <w:right w:val="none" w:sz="0" w:space="0" w:color="auto"/>
      </w:divBdr>
    </w:div>
    <w:div w:id="730808480">
      <w:bodyDiv w:val="1"/>
      <w:marLeft w:val="0"/>
      <w:marRight w:val="0"/>
      <w:marTop w:val="0"/>
      <w:marBottom w:val="0"/>
      <w:divBdr>
        <w:top w:val="none" w:sz="0" w:space="0" w:color="auto"/>
        <w:left w:val="none" w:sz="0" w:space="0" w:color="auto"/>
        <w:bottom w:val="none" w:sz="0" w:space="0" w:color="auto"/>
        <w:right w:val="none" w:sz="0" w:space="0" w:color="auto"/>
      </w:divBdr>
    </w:div>
    <w:div w:id="760174760">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8007465">
      <w:bodyDiv w:val="1"/>
      <w:marLeft w:val="0"/>
      <w:marRight w:val="0"/>
      <w:marTop w:val="0"/>
      <w:marBottom w:val="0"/>
      <w:divBdr>
        <w:top w:val="none" w:sz="0" w:space="0" w:color="auto"/>
        <w:left w:val="none" w:sz="0" w:space="0" w:color="auto"/>
        <w:bottom w:val="none" w:sz="0" w:space="0" w:color="auto"/>
        <w:right w:val="none" w:sz="0" w:space="0" w:color="auto"/>
      </w:divBdr>
    </w:div>
    <w:div w:id="956838207">
      <w:bodyDiv w:val="1"/>
      <w:marLeft w:val="0"/>
      <w:marRight w:val="0"/>
      <w:marTop w:val="0"/>
      <w:marBottom w:val="0"/>
      <w:divBdr>
        <w:top w:val="none" w:sz="0" w:space="0" w:color="auto"/>
        <w:left w:val="none" w:sz="0" w:space="0" w:color="auto"/>
        <w:bottom w:val="none" w:sz="0" w:space="0" w:color="auto"/>
        <w:right w:val="none" w:sz="0" w:space="0" w:color="auto"/>
      </w:divBdr>
    </w:div>
    <w:div w:id="1082533087">
      <w:bodyDiv w:val="1"/>
      <w:marLeft w:val="0"/>
      <w:marRight w:val="0"/>
      <w:marTop w:val="0"/>
      <w:marBottom w:val="0"/>
      <w:divBdr>
        <w:top w:val="none" w:sz="0" w:space="0" w:color="auto"/>
        <w:left w:val="none" w:sz="0" w:space="0" w:color="auto"/>
        <w:bottom w:val="none" w:sz="0" w:space="0" w:color="auto"/>
        <w:right w:val="none" w:sz="0" w:space="0" w:color="auto"/>
      </w:divBdr>
    </w:div>
    <w:div w:id="115194584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55625593">
      <w:bodyDiv w:val="1"/>
      <w:marLeft w:val="0"/>
      <w:marRight w:val="0"/>
      <w:marTop w:val="0"/>
      <w:marBottom w:val="0"/>
      <w:divBdr>
        <w:top w:val="none" w:sz="0" w:space="0" w:color="auto"/>
        <w:left w:val="none" w:sz="0" w:space="0" w:color="auto"/>
        <w:bottom w:val="none" w:sz="0" w:space="0" w:color="auto"/>
        <w:right w:val="none" w:sz="0" w:space="0" w:color="auto"/>
      </w:divBdr>
    </w:div>
    <w:div w:id="1256018276">
      <w:bodyDiv w:val="1"/>
      <w:marLeft w:val="0"/>
      <w:marRight w:val="0"/>
      <w:marTop w:val="0"/>
      <w:marBottom w:val="0"/>
      <w:divBdr>
        <w:top w:val="none" w:sz="0" w:space="0" w:color="auto"/>
        <w:left w:val="none" w:sz="0" w:space="0" w:color="auto"/>
        <w:bottom w:val="none" w:sz="0" w:space="0" w:color="auto"/>
        <w:right w:val="none" w:sz="0" w:space="0" w:color="auto"/>
      </w:divBdr>
    </w:div>
    <w:div w:id="1341931322">
      <w:bodyDiv w:val="1"/>
      <w:marLeft w:val="0"/>
      <w:marRight w:val="0"/>
      <w:marTop w:val="0"/>
      <w:marBottom w:val="0"/>
      <w:divBdr>
        <w:top w:val="none" w:sz="0" w:space="0" w:color="auto"/>
        <w:left w:val="none" w:sz="0" w:space="0" w:color="auto"/>
        <w:bottom w:val="none" w:sz="0" w:space="0" w:color="auto"/>
        <w:right w:val="none" w:sz="0" w:space="0" w:color="auto"/>
      </w:divBdr>
    </w:div>
    <w:div w:id="1560630806">
      <w:bodyDiv w:val="1"/>
      <w:marLeft w:val="0"/>
      <w:marRight w:val="0"/>
      <w:marTop w:val="0"/>
      <w:marBottom w:val="0"/>
      <w:divBdr>
        <w:top w:val="none" w:sz="0" w:space="0" w:color="auto"/>
        <w:left w:val="none" w:sz="0" w:space="0" w:color="auto"/>
        <w:bottom w:val="none" w:sz="0" w:space="0" w:color="auto"/>
        <w:right w:val="none" w:sz="0" w:space="0" w:color="auto"/>
      </w:divBdr>
    </w:div>
    <w:div w:id="1583447186">
      <w:bodyDiv w:val="1"/>
      <w:marLeft w:val="0"/>
      <w:marRight w:val="0"/>
      <w:marTop w:val="0"/>
      <w:marBottom w:val="0"/>
      <w:divBdr>
        <w:top w:val="none" w:sz="0" w:space="0" w:color="auto"/>
        <w:left w:val="none" w:sz="0" w:space="0" w:color="auto"/>
        <w:bottom w:val="none" w:sz="0" w:space="0" w:color="auto"/>
        <w:right w:val="none" w:sz="0" w:space="0" w:color="auto"/>
      </w:divBdr>
    </w:div>
    <w:div w:id="1619137428">
      <w:bodyDiv w:val="1"/>
      <w:marLeft w:val="0"/>
      <w:marRight w:val="0"/>
      <w:marTop w:val="0"/>
      <w:marBottom w:val="0"/>
      <w:divBdr>
        <w:top w:val="none" w:sz="0" w:space="0" w:color="auto"/>
        <w:left w:val="none" w:sz="0" w:space="0" w:color="auto"/>
        <w:bottom w:val="none" w:sz="0" w:space="0" w:color="auto"/>
        <w:right w:val="none" w:sz="0" w:space="0" w:color="auto"/>
      </w:divBdr>
    </w:div>
    <w:div w:id="1650211172">
      <w:bodyDiv w:val="1"/>
      <w:marLeft w:val="0"/>
      <w:marRight w:val="0"/>
      <w:marTop w:val="0"/>
      <w:marBottom w:val="0"/>
      <w:divBdr>
        <w:top w:val="none" w:sz="0" w:space="0" w:color="auto"/>
        <w:left w:val="none" w:sz="0" w:space="0" w:color="auto"/>
        <w:bottom w:val="none" w:sz="0" w:space="0" w:color="auto"/>
        <w:right w:val="none" w:sz="0" w:space="0" w:color="auto"/>
      </w:divBdr>
    </w:div>
    <w:div w:id="1728338619">
      <w:bodyDiv w:val="1"/>
      <w:marLeft w:val="0"/>
      <w:marRight w:val="0"/>
      <w:marTop w:val="0"/>
      <w:marBottom w:val="0"/>
      <w:divBdr>
        <w:top w:val="none" w:sz="0" w:space="0" w:color="auto"/>
        <w:left w:val="none" w:sz="0" w:space="0" w:color="auto"/>
        <w:bottom w:val="none" w:sz="0" w:space="0" w:color="auto"/>
        <w:right w:val="none" w:sz="0" w:space="0" w:color="auto"/>
      </w:divBdr>
    </w:div>
    <w:div w:id="1733650655">
      <w:bodyDiv w:val="1"/>
      <w:marLeft w:val="0"/>
      <w:marRight w:val="0"/>
      <w:marTop w:val="0"/>
      <w:marBottom w:val="0"/>
      <w:divBdr>
        <w:top w:val="none" w:sz="0" w:space="0" w:color="auto"/>
        <w:left w:val="none" w:sz="0" w:space="0" w:color="auto"/>
        <w:bottom w:val="none" w:sz="0" w:space="0" w:color="auto"/>
        <w:right w:val="none" w:sz="0" w:space="0" w:color="auto"/>
      </w:divBdr>
    </w:div>
    <w:div w:id="1746030784">
      <w:bodyDiv w:val="1"/>
      <w:marLeft w:val="0"/>
      <w:marRight w:val="0"/>
      <w:marTop w:val="0"/>
      <w:marBottom w:val="0"/>
      <w:divBdr>
        <w:top w:val="none" w:sz="0" w:space="0" w:color="auto"/>
        <w:left w:val="none" w:sz="0" w:space="0" w:color="auto"/>
        <w:bottom w:val="none" w:sz="0" w:space="0" w:color="auto"/>
        <w:right w:val="none" w:sz="0" w:space="0" w:color="auto"/>
      </w:divBdr>
      <w:divsChild>
        <w:div w:id="1359116529">
          <w:marLeft w:val="547"/>
          <w:marRight w:val="0"/>
          <w:marTop w:val="0"/>
          <w:marBottom w:val="0"/>
          <w:divBdr>
            <w:top w:val="none" w:sz="0" w:space="0" w:color="auto"/>
            <w:left w:val="none" w:sz="0" w:space="0" w:color="auto"/>
            <w:bottom w:val="none" w:sz="0" w:space="0" w:color="auto"/>
            <w:right w:val="none" w:sz="0" w:space="0" w:color="auto"/>
          </w:divBdr>
        </w:div>
      </w:divsChild>
    </w:div>
    <w:div w:id="175447302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5432268">
      <w:bodyDiv w:val="1"/>
      <w:marLeft w:val="0"/>
      <w:marRight w:val="0"/>
      <w:marTop w:val="0"/>
      <w:marBottom w:val="0"/>
      <w:divBdr>
        <w:top w:val="none" w:sz="0" w:space="0" w:color="auto"/>
        <w:left w:val="none" w:sz="0" w:space="0" w:color="auto"/>
        <w:bottom w:val="none" w:sz="0" w:space="0" w:color="auto"/>
        <w:right w:val="none" w:sz="0" w:space="0" w:color="auto"/>
      </w:divBdr>
    </w:div>
    <w:div w:id="2011640668">
      <w:bodyDiv w:val="1"/>
      <w:marLeft w:val="0"/>
      <w:marRight w:val="0"/>
      <w:marTop w:val="0"/>
      <w:marBottom w:val="0"/>
      <w:divBdr>
        <w:top w:val="none" w:sz="0" w:space="0" w:color="auto"/>
        <w:left w:val="none" w:sz="0" w:space="0" w:color="auto"/>
        <w:bottom w:val="none" w:sz="0" w:space="0" w:color="auto"/>
        <w:right w:val="none" w:sz="0" w:space="0" w:color="auto"/>
      </w:divBdr>
      <w:divsChild>
        <w:div w:id="495650443">
          <w:marLeft w:val="1080"/>
          <w:marRight w:val="0"/>
          <w:marTop w:val="100"/>
          <w:marBottom w:val="0"/>
          <w:divBdr>
            <w:top w:val="none" w:sz="0" w:space="0" w:color="auto"/>
            <w:left w:val="none" w:sz="0" w:space="0" w:color="auto"/>
            <w:bottom w:val="none" w:sz="0" w:space="0" w:color="auto"/>
            <w:right w:val="none" w:sz="0" w:space="0" w:color="auto"/>
          </w:divBdr>
        </w:div>
        <w:div w:id="1538200290">
          <w:marLeft w:val="1080"/>
          <w:marRight w:val="0"/>
          <w:marTop w:val="100"/>
          <w:marBottom w:val="0"/>
          <w:divBdr>
            <w:top w:val="none" w:sz="0" w:space="0" w:color="auto"/>
            <w:left w:val="none" w:sz="0" w:space="0" w:color="auto"/>
            <w:bottom w:val="none" w:sz="0" w:space="0" w:color="auto"/>
            <w:right w:val="none" w:sz="0" w:space="0" w:color="auto"/>
          </w:divBdr>
        </w:div>
        <w:div w:id="1621254871">
          <w:marLeft w:val="1080"/>
          <w:marRight w:val="0"/>
          <w:marTop w:val="100"/>
          <w:marBottom w:val="0"/>
          <w:divBdr>
            <w:top w:val="none" w:sz="0" w:space="0" w:color="auto"/>
            <w:left w:val="none" w:sz="0" w:space="0" w:color="auto"/>
            <w:bottom w:val="none" w:sz="0" w:space="0" w:color="auto"/>
            <w:right w:val="none" w:sz="0" w:space="0" w:color="auto"/>
          </w:divBdr>
        </w:div>
        <w:div w:id="1819835286">
          <w:marLeft w:val="1080"/>
          <w:marRight w:val="0"/>
          <w:marTop w:val="100"/>
          <w:marBottom w:val="0"/>
          <w:divBdr>
            <w:top w:val="none" w:sz="0" w:space="0" w:color="auto"/>
            <w:left w:val="none" w:sz="0" w:space="0" w:color="auto"/>
            <w:bottom w:val="none" w:sz="0" w:space="0" w:color="auto"/>
            <w:right w:val="none" w:sz="0" w:space="0" w:color="auto"/>
          </w:divBdr>
        </w:div>
      </w:divsChild>
    </w:div>
    <w:div w:id="2015255686">
      <w:bodyDiv w:val="1"/>
      <w:marLeft w:val="0"/>
      <w:marRight w:val="0"/>
      <w:marTop w:val="0"/>
      <w:marBottom w:val="0"/>
      <w:divBdr>
        <w:top w:val="none" w:sz="0" w:space="0" w:color="auto"/>
        <w:left w:val="none" w:sz="0" w:space="0" w:color="auto"/>
        <w:bottom w:val="none" w:sz="0" w:space="0" w:color="auto"/>
        <w:right w:val="none" w:sz="0" w:space="0" w:color="auto"/>
      </w:divBdr>
    </w:div>
    <w:div w:id="2028022432">
      <w:bodyDiv w:val="1"/>
      <w:marLeft w:val="0"/>
      <w:marRight w:val="0"/>
      <w:marTop w:val="0"/>
      <w:marBottom w:val="0"/>
      <w:divBdr>
        <w:top w:val="none" w:sz="0" w:space="0" w:color="auto"/>
        <w:left w:val="none" w:sz="0" w:space="0" w:color="auto"/>
        <w:bottom w:val="none" w:sz="0" w:space="0" w:color="auto"/>
        <w:right w:val="none" w:sz="0" w:space="0" w:color="auto"/>
      </w:divBdr>
    </w:div>
    <w:div w:id="2072847145">
      <w:bodyDiv w:val="1"/>
      <w:marLeft w:val="0"/>
      <w:marRight w:val="0"/>
      <w:marTop w:val="0"/>
      <w:marBottom w:val="0"/>
      <w:divBdr>
        <w:top w:val="none" w:sz="0" w:space="0" w:color="auto"/>
        <w:left w:val="none" w:sz="0" w:space="0" w:color="auto"/>
        <w:bottom w:val="none" w:sz="0" w:space="0" w:color="auto"/>
        <w:right w:val="none" w:sz="0" w:space="0" w:color="auto"/>
      </w:divBdr>
    </w:div>
    <w:div w:id="2124104683">
      <w:bodyDiv w:val="1"/>
      <w:marLeft w:val="0"/>
      <w:marRight w:val="0"/>
      <w:marTop w:val="0"/>
      <w:marBottom w:val="0"/>
      <w:divBdr>
        <w:top w:val="none" w:sz="0" w:space="0" w:color="auto"/>
        <w:left w:val="none" w:sz="0" w:space="0" w:color="auto"/>
        <w:bottom w:val="none" w:sz="0" w:space="0" w:color="auto"/>
        <w:right w:val="none" w:sz="0" w:space="0" w:color="auto"/>
      </w:divBdr>
    </w:div>
    <w:div w:id="214585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92F78-A26C-4219-89D1-70637AA3A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E3474-BD19-4388-B57B-2A886B6E57DD}">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06ED089D-FCA9-4532-A0D9-6FB80BD451E2}">
  <ds:schemaRefs>
    <ds:schemaRef ds:uri="http://schemas.microsoft.com/sharepoint/v3/contenttype/forms"/>
  </ds:schemaRefs>
</ds:datastoreItem>
</file>

<file path=customXml/itemProps4.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17844</Words>
  <Characters>99753</Characters>
  <Application>Microsoft Office Word</Application>
  <DocSecurity>0</DocSecurity>
  <Lines>2696</Lines>
  <Paragraphs>1507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116090</CharactersWithSpaces>
  <SharedDoc>false</SharedDoc>
  <HLinks>
    <vt:vector size="6" baseType="variant">
      <vt:variant>
        <vt:i4>5505135</vt:i4>
      </vt:variant>
      <vt:variant>
        <vt:i4>0</vt:i4>
      </vt:variant>
      <vt:variant>
        <vt:i4>0</vt:i4>
      </vt:variant>
      <vt:variant>
        <vt:i4>5</vt:i4>
      </vt:variant>
      <vt:variant>
        <vt:lpwstr>mailto:Hina.YAWARY@Health.gov.au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2025-10-26T23:53:00Z</dcterms:created>
  <dcterms:modified xsi:type="dcterms:W3CDTF">2025-10-27T00:01:00Z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y fmtid="{D5CDD505-2E9C-101B-9397-08002B2CF9AE}" pid="4" name="ClassificationContentMarkingHeaderShapeIds">
    <vt:lpwstr>678d7c73,268d6fa1,74578351</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6d9082bb,2c79bb99,7018c82a</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2025-09-08T03:22:17Z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0a759d90-cef5-4a8a-b760-599f3a64bf30</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