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C82AD" w14:textId="77777777" w:rsidR="00281861" w:rsidRDefault="005D7766" w:rsidP="00F11E04">
      <w:pPr>
        <w:pStyle w:val="2-SectionHeading"/>
        <w:numPr>
          <w:ilvl w:val="0"/>
          <w:numId w:val="0"/>
        </w:numPr>
        <w:ind w:left="720" w:hanging="720"/>
      </w:pPr>
      <w:bookmarkStart w:id="0" w:name="_Toc198219094"/>
      <w:r>
        <w:t>5.01</w:t>
      </w:r>
      <w:r w:rsidR="00163F66" w:rsidRPr="003123AC">
        <w:tab/>
      </w:r>
      <w:r w:rsidR="003123AC">
        <w:t>ABALOPARATIDE</w:t>
      </w:r>
      <w:r w:rsidR="00163F66" w:rsidRPr="003123AC">
        <w:t>,</w:t>
      </w:r>
      <w:r w:rsidR="00163F66" w:rsidRPr="003123AC">
        <w:br/>
      </w:r>
      <w:r w:rsidR="003123AC">
        <w:t>Solution for injection 3 mg in 1.5 mL pre-filled pen</w:t>
      </w:r>
      <w:r w:rsidR="00163F66" w:rsidRPr="003123AC">
        <w:t>,</w:t>
      </w:r>
      <w:r w:rsidR="00163F66" w:rsidRPr="003123AC">
        <w:br/>
      </w:r>
      <w:r w:rsidR="003123AC">
        <w:t>Eladynos</w:t>
      </w:r>
      <w:r w:rsidR="00B60939" w:rsidRPr="003123AC">
        <w:rPr>
          <w:vertAlign w:val="superscript"/>
        </w:rPr>
        <w:t>®</w:t>
      </w:r>
      <w:r w:rsidR="004A6040" w:rsidRPr="003123AC">
        <w:t>,</w:t>
      </w:r>
      <w:r w:rsidR="004A6040" w:rsidRPr="00D86D87">
        <w:br/>
      </w:r>
      <w:r w:rsidR="003123AC">
        <w:t>THERAMEX AUSTRALIA PTY LTD</w:t>
      </w:r>
      <w:r w:rsidR="00B60939" w:rsidRPr="00D86D87">
        <w:t>.</w:t>
      </w:r>
      <w:bookmarkEnd w:id="0"/>
      <w:r w:rsidR="00F73E08" w:rsidRPr="00D86D87">
        <w:t xml:space="preserve"> </w:t>
      </w:r>
      <w:bookmarkStart w:id="1" w:name="_Toc198219096"/>
    </w:p>
    <w:p w14:paraId="11C00795" w14:textId="5047D67E" w:rsidR="00B50DB8" w:rsidRPr="00D86D87" w:rsidRDefault="00B50DB8" w:rsidP="004A6040">
      <w:pPr>
        <w:pStyle w:val="2-SectionHeading"/>
      </w:pPr>
      <w:r w:rsidRPr="00D86D87">
        <w:t xml:space="preserve">Purpose of </w:t>
      </w:r>
      <w:r w:rsidR="00CD7193" w:rsidRPr="00D86D87">
        <w:t>s</w:t>
      </w:r>
      <w:r w:rsidR="00BB3A45" w:rsidRPr="00D86D87">
        <w:t>ubmission</w:t>
      </w:r>
      <w:bookmarkEnd w:id="1"/>
    </w:p>
    <w:p w14:paraId="76B02B2E" w14:textId="39E826A0" w:rsidR="006975E0" w:rsidRPr="006975E0" w:rsidRDefault="00C64F2F" w:rsidP="006975E0">
      <w:pPr>
        <w:pStyle w:val="3-BodyText"/>
        <w:rPr>
          <w:i/>
          <w:iCs/>
        </w:rPr>
      </w:pPr>
      <w:bookmarkStart w:id="2" w:name="_Ref194571213"/>
      <w:r w:rsidRPr="00C64F2F">
        <w:t xml:space="preserve">The Category 2 submission requested a General </w:t>
      </w:r>
      <w:r w:rsidR="002B377B">
        <w:t>S</w:t>
      </w:r>
      <w:r w:rsidRPr="00C64F2F">
        <w:t xml:space="preserve">chedule listing of abaloparatide as an alternative first-line treatment for patients with severe established osteoporosis </w:t>
      </w:r>
      <w:r>
        <w:t>and</w:t>
      </w:r>
      <w:r w:rsidRPr="00C64F2F">
        <w:t xml:space="preserve"> very high risk of fracture, regardless of gender.</w:t>
      </w:r>
      <w:bookmarkEnd w:id="2"/>
      <w:r w:rsidR="006975E0" w:rsidRPr="006975E0">
        <w:rPr>
          <w:i/>
          <w:iCs/>
        </w:rPr>
        <w:t xml:space="preserve"> </w:t>
      </w:r>
    </w:p>
    <w:p w14:paraId="46141290" w14:textId="51EBCD0C" w:rsidR="00C64F2F" w:rsidRPr="00C64F2F" w:rsidRDefault="00C64F2F" w:rsidP="00321D1A">
      <w:pPr>
        <w:pStyle w:val="3-BodyText"/>
      </w:pPr>
      <w:r w:rsidRPr="00C64F2F">
        <w:t>Listing was requested based on a cost-</w:t>
      </w:r>
      <w:r w:rsidR="00734920">
        <w:t>minimisation approach (CMA)</w:t>
      </w:r>
      <w:r w:rsidRPr="00C64F2F">
        <w:t xml:space="preserve"> to derive the proposed price of abaloparatide</w:t>
      </w:r>
      <w:r w:rsidR="002545D9">
        <w:t>,</w:t>
      </w:r>
      <w:r w:rsidRPr="00C64F2F">
        <w:t xml:space="preserve"> such that the total cost of treatment over one complete treatment course (based on a maximum 18 </w:t>
      </w:r>
      <w:r w:rsidR="00F1216E">
        <w:t>months</w:t>
      </w:r>
      <w:r w:rsidRPr="00C64F2F">
        <w:t xml:space="preserve"> of treatment) is equivalent to a duration of treatment with romosozumab (the comparator</w:t>
      </w:r>
      <w:r w:rsidR="00F1086B">
        <w:t xml:space="preserve">, </w:t>
      </w:r>
      <w:r w:rsidRPr="00C64F2F">
        <w:t xml:space="preserve">consisting of up to 12 months of </w:t>
      </w:r>
      <w:r w:rsidR="00F1086B">
        <w:t>treatment</w:t>
      </w:r>
      <w:r w:rsidRPr="00C64F2F">
        <w:t>). This approach mirror</w:t>
      </w:r>
      <w:r w:rsidR="00CB5759">
        <w:t>ed</w:t>
      </w:r>
      <w:r w:rsidRPr="00C64F2F">
        <w:t xml:space="preserve"> the price derivation used to set the price of romosozumab as </w:t>
      </w:r>
      <w:r w:rsidR="00CC37F5">
        <w:t>second-</w:t>
      </w:r>
      <w:r w:rsidRPr="00C64F2F">
        <w:t>line therapy v</w:t>
      </w:r>
      <w:r w:rsidR="00CB5759">
        <w:t>ersu</w:t>
      </w:r>
      <w:r w:rsidRPr="00C64F2F">
        <w:t>s teriparatide</w:t>
      </w:r>
      <w:r w:rsidR="000410F8">
        <w:t xml:space="preserve"> when it was considered at the March </w:t>
      </w:r>
      <w:r w:rsidR="000410F8" w:rsidRPr="00BD32E4">
        <w:t>2020</w:t>
      </w:r>
      <w:r w:rsidR="00F467E9" w:rsidRPr="00BD32E4">
        <w:t xml:space="preserve"> PBAC meeting</w:t>
      </w:r>
      <w:r w:rsidR="008A4EA6">
        <w:t xml:space="preserve"> using a CMA</w:t>
      </w:r>
      <w:r>
        <w:t>.</w:t>
      </w:r>
      <w:r w:rsidRPr="00C64F2F">
        <w:t xml:space="preserve"> </w:t>
      </w:r>
    </w:p>
    <w:p w14:paraId="3493A631" w14:textId="4E8B1CC5" w:rsidR="00C64F2F" w:rsidRDefault="00FE0077" w:rsidP="00C64F2F">
      <w:pPr>
        <w:pStyle w:val="TableFigureHeading"/>
      </w:pPr>
      <w:r w:rsidRPr="00D86D87">
        <w:t xml:space="preserve">Table </w:t>
      </w:r>
      <w:r w:rsidR="001C1C72">
        <w:fldChar w:fldCharType="begin"/>
      </w:r>
      <w:r w:rsidR="001C1C72">
        <w:instrText xml:space="preserve"> SEQ Table \* ARABIC </w:instrText>
      </w:r>
      <w:r w:rsidR="001C1C72">
        <w:fldChar w:fldCharType="separate"/>
      </w:r>
      <w:r w:rsidR="005B625A">
        <w:rPr>
          <w:noProof/>
        </w:rPr>
        <w:t>1</w:t>
      </w:r>
      <w:r w:rsidR="001C1C72">
        <w:rPr>
          <w:noProof/>
        </w:rPr>
        <w:fldChar w:fldCharType="end"/>
      </w:r>
      <w:r w:rsidRPr="00D86D87">
        <w:t>:</w:t>
      </w:r>
      <w:r w:rsidRPr="00D86D87">
        <w:rPr>
          <w:rStyle w:val="CommentReference"/>
          <w:b/>
          <w:szCs w:val="24"/>
        </w:rPr>
        <w:t xml:space="preserve"> </w:t>
      </w:r>
      <w:r w:rsidR="00C64F2F" w:rsidRPr="00D86D87">
        <w:rPr>
          <w:rStyle w:val="CommentReference"/>
          <w:b/>
          <w:szCs w:val="24"/>
        </w:rPr>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43"/>
        <w:gridCol w:w="7374"/>
      </w:tblGrid>
      <w:tr w:rsidR="00C64F2F" w:rsidRPr="00D86D87" w14:paraId="549BDAA7" w14:textId="77777777" w:rsidTr="007108EF">
        <w:tc>
          <w:tcPr>
            <w:tcW w:w="911" w:type="pct"/>
            <w:vAlign w:val="center"/>
          </w:tcPr>
          <w:p w14:paraId="6A55E563" w14:textId="77777777" w:rsidR="00C64F2F" w:rsidRPr="00D86D87" w:rsidRDefault="00C64F2F" w:rsidP="005224CD">
            <w:pPr>
              <w:pStyle w:val="In-tableHeading"/>
              <w:rPr>
                <w:lang w:val="en-AU"/>
              </w:rPr>
            </w:pPr>
            <w:r w:rsidRPr="00D86D87">
              <w:rPr>
                <w:lang w:val="en-AU"/>
              </w:rPr>
              <w:t>Component</w:t>
            </w:r>
          </w:p>
        </w:tc>
        <w:tc>
          <w:tcPr>
            <w:tcW w:w="4089" w:type="pct"/>
            <w:vAlign w:val="center"/>
          </w:tcPr>
          <w:p w14:paraId="7C4DED77" w14:textId="77777777" w:rsidR="00C64F2F" w:rsidRPr="00D86D87" w:rsidRDefault="00C64F2F" w:rsidP="005224CD">
            <w:pPr>
              <w:pStyle w:val="In-tableHeading"/>
              <w:rPr>
                <w:lang w:val="en-AU"/>
              </w:rPr>
            </w:pPr>
            <w:r w:rsidRPr="00D86D87">
              <w:rPr>
                <w:lang w:val="en-AU"/>
              </w:rPr>
              <w:t>Description</w:t>
            </w:r>
          </w:p>
        </w:tc>
      </w:tr>
      <w:tr w:rsidR="00C64F2F" w:rsidRPr="00D86D87" w14:paraId="10905048" w14:textId="77777777" w:rsidTr="007108EF">
        <w:tc>
          <w:tcPr>
            <w:tcW w:w="911" w:type="pct"/>
            <w:vAlign w:val="center"/>
          </w:tcPr>
          <w:p w14:paraId="7A200C36" w14:textId="77777777" w:rsidR="00C64F2F" w:rsidRPr="00D86D87" w:rsidRDefault="00C64F2F" w:rsidP="005224CD">
            <w:pPr>
              <w:pStyle w:val="TableText0"/>
            </w:pPr>
            <w:r w:rsidRPr="00D86D87">
              <w:t>Population</w:t>
            </w:r>
          </w:p>
        </w:tc>
        <w:tc>
          <w:tcPr>
            <w:tcW w:w="4089" w:type="pct"/>
            <w:vAlign w:val="center"/>
          </w:tcPr>
          <w:p w14:paraId="3A8161C3" w14:textId="77777777" w:rsidR="00C64F2F" w:rsidRPr="00D86D87" w:rsidRDefault="00C64F2F" w:rsidP="005224CD">
            <w:pPr>
              <w:pStyle w:val="TableText0"/>
            </w:pPr>
            <w:r w:rsidRPr="009211AB">
              <w:t>Severe established osteoporosis. Patient must be at a very high risk of fracture. First-line treatment.</w:t>
            </w:r>
          </w:p>
        </w:tc>
      </w:tr>
      <w:tr w:rsidR="00C64F2F" w:rsidRPr="00D86D87" w14:paraId="560B3B9F" w14:textId="77777777" w:rsidTr="007108EF">
        <w:tc>
          <w:tcPr>
            <w:tcW w:w="911" w:type="pct"/>
            <w:vAlign w:val="center"/>
          </w:tcPr>
          <w:p w14:paraId="0B6496DA" w14:textId="77777777" w:rsidR="00C64F2F" w:rsidRPr="00D86D87" w:rsidRDefault="00C64F2F" w:rsidP="005224CD">
            <w:pPr>
              <w:pStyle w:val="TableText0"/>
            </w:pPr>
            <w:r w:rsidRPr="00D86D87">
              <w:t>Intervention</w:t>
            </w:r>
          </w:p>
        </w:tc>
        <w:tc>
          <w:tcPr>
            <w:tcW w:w="4089" w:type="pct"/>
            <w:vAlign w:val="center"/>
          </w:tcPr>
          <w:p w14:paraId="2CFBE19E" w14:textId="783C0AF5" w:rsidR="00C64F2F" w:rsidRPr="00D86D87" w:rsidRDefault="00C64F2F" w:rsidP="005224CD">
            <w:pPr>
              <w:pStyle w:val="TableText0"/>
            </w:pPr>
            <w:r w:rsidRPr="009211AB">
              <w:t>Abaloparatide (Eladynos) SC daily injection, 3</w:t>
            </w:r>
            <w:r w:rsidR="009B7ED8">
              <w:t xml:space="preserve"> </w:t>
            </w:r>
            <w:r w:rsidRPr="009211AB">
              <w:t>mg/1.5 mL pre-filled pen</w:t>
            </w:r>
          </w:p>
        </w:tc>
      </w:tr>
      <w:tr w:rsidR="00C64F2F" w:rsidRPr="00D86D87" w14:paraId="70B43179" w14:textId="77777777" w:rsidTr="007108EF">
        <w:tc>
          <w:tcPr>
            <w:tcW w:w="911" w:type="pct"/>
            <w:vAlign w:val="center"/>
          </w:tcPr>
          <w:p w14:paraId="07FB18B5" w14:textId="77777777" w:rsidR="00C64F2F" w:rsidRPr="00D86D87" w:rsidRDefault="00C64F2F" w:rsidP="005224CD">
            <w:pPr>
              <w:pStyle w:val="TableText0"/>
            </w:pPr>
            <w:r w:rsidRPr="00D86D87">
              <w:t>Comparator</w:t>
            </w:r>
          </w:p>
        </w:tc>
        <w:tc>
          <w:tcPr>
            <w:tcW w:w="4089" w:type="pct"/>
            <w:vAlign w:val="center"/>
          </w:tcPr>
          <w:p w14:paraId="46EF9858" w14:textId="77777777" w:rsidR="00C64F2F" w:rsidRPr="00D86D87" w:rsidRDefault="00C64F2F" w:rsidP="005224CD">
            <w:pPr>
              <w:pStyle w:val="TableText0"/>
            </w:pPr>
            <w:r w:rsidRPr="000560E6">
              <w:t>Romosozumab (Evenity) SC monthly injection, 105 mg/1.17 mL, 2 x 1.17 mL pre-filled syringes</w:t>
            </w:r>
          </w:p>
        </w:tc>
      </w:tr>
      <w:tr w:rsidR="00C64F2F" w:rsidRPr="00D86D87" w14:paraId="1D166FF6" w14:textId="77777777" w:rsidTr="007108EF">
        <w:tc>
          <w:tcPr>
            <w:tcW w:w="911" w:type="pct"/>
            <w:vAlign w:val="center"/>
          </w:tcPr>
          <w:p w14:paraId="4BDAD010" w14:textId="77777777" w:rsidR="00C64F2F" w:rsidRPr="00D86D87" w:rsidRDefault="00C64F2F" w:rsidP="005224CD">
            <w:pPr>
              <w:pStyle w:val="TableText0"/>
            </w:pPr>
            <w:r w:rsidRPr="00D86D87">
              <w:t>Outcomes</w:t>
            </w:r>
          </w:p>
        </w:tc>
        <w:tc>
          <w:tcPr>
            <w:tcW w:w="4089" w:type="pct"/>
            <w:vAlign w:val="center"/>
          </w:tcPr>
          <w:p w14:paraId="246CDF3D" w14:textId="77777777" w:rsidR="00C64F2F" w:rsidRPr="009211AB" w:rsidRDefault="00C64F2F" w:rsidP="005224CD">
            <w:pPr>
              <w:pStyle w:val="TableText0"/>
              <w:rPr>
                <w:lang w:val="en-GB"/>
              </w:rPr>
            </w:pPr>
            <w:r w:rsidRPr="009211AB">
              <w:rPr>
                <w:lang w:val="en-GB"/>
              </w:rPr>
              <w:t xml:space="preserve">Primary: </w:t>
            </w:r>
          </w:p>
          <w:p w14:paraId="7FBCF070" w14:textId="77777777" w:rsidR="00C64F2F" w:rsidRPr="009211AB" w:rsidRDefault="00C64F2F" w:rsidP="00523719">
            <w:pPr>
              <w:pStyle w:val="TableText0"/>
              <w:numPr>
                <w:ilvl w:val="0"/>
                <w:numId w:val="8"/>
              </w:numPr>
              <w:rPr>
                <w:lang w:val="en-GB"/>
              </w:rPr>
            </w:pPr>
            <w:r w:rsidRPr="009211AB">
              <w:t>Incidence of new vertebral fractures.</w:t>
            </w:r>
          </w:p>
          <w:p w14:paraId="0E60EB42" w14:textId="77777777" w:rsidR="00C64F2F" w:rsidRPr="009211AB" w:rsidRDefault="00C64F2F" w:rsidP="005224CD">
            <w:pPr>
              <w:pStyle w:val="TableText0"/>
              <w:rPr>
                <w:lang w:val="en-GB"/>
              </w:rPr>
            </w:pPr>
            <w:r w:rsidRPr="009211AB">
              <w:rPr>
                <w:lang w:val="en-GB"/>
              </w:rPr>
              <w:t>Secondary:</w:t>
            </w:r>
          </w:p>
          <w:p w14:paraId="372DEC1D" w14:textId="77777777" w:rsidR="00C64F2F" w:rsidRPr="009211AB" w:rsidRDefault="00C64F2F" w:rsidP="00523719">
            <w:pPr>
              <w:pStyle w:val="TableText0"/>
              <w:numPr>
                <w:ilvl w:val="0"/>
                <w:numId w:val="8"/>
              </w:numPr>
            </w:pPr>
            <w:r w:rsidRPr="009211AB">
              <w:t>Incidence of nonvertebral fractures</w:t>
            </w:r>
          </w:p>
          <w:p w14:paraId="77C7E3A8" w14:textId="77777777" w:rsidR="00C64F2F" w:rsidRDefault="00C64F2F" w:rsidP="00523719">
            <w:pPr>
              <w:pStyle w:val="TableText0"/>
              <w:numPr>
                <w:ilvl w:val="0"/>
                <w:numId w:val="8"/>
              </w:numPr>
            </w:pPr>
            <w:r w:rsidRPr="009211AB">
              <w:t>Incidence of clinical fractures</w:t>
            </w:r>
          </w:p>
          <w:p w14:paraId="4A759D0A" w14:textId="77777777" w:rsidR="00C64F2F" w:rsidRPr="00D86D87" w:rsidRDefault="00C64F2F" w:rsidP="00523719">
            <w:pPr>
              <w:pStyle w:val="TableText0"/>
              <w:numPr>
                <w:ilvl w:val="0"/>
                <w:numId w:val="8"/>
              </w:numPr>
            </w:pPr>
            <w:r w:rsidRPr="009211AB">
              <w:t>Safety outcomes</w:t>
            </w:r>
          </w:p>
        </w:tc>
      </w:tr>
      <w:tr w:rsidR="00C64F2F" w:rsidRPr="00D86D87" w14:paraId="0BEF1477" w14:textId="77777777" w:rsidTr="007108EF">
        <w:tc>
          <w:tcPr>
            <w:tcW w:w="911" w:type="pct"/>
            <w:vAlign w:val="center"/>
          </w:tcPr>
          <w:p w14:paraId="00D1F65B" w14:textId="77777777" w:rsidR="00C64F2F" w:rsidRPr="00D86D87" w:rsidRDefault="00C64F2F" w:rsidP="005224CD">
            <w:pPr>
              <w:pStyle w:val="TableText0"/>
            </w:pPr>
            <w:r w:rsidRPr="00D86D87">
              <w:t>Clinical claim</w:t>
            </w:r>
          </w:p>
        </w:tc>
        <w:tc>
          <w:tcPr>
            <w:tcW w:w="4089" w:type="pct"/>
            <w:vAlign w:val="center"/>
          </w:tcPr>
          <w:p w14:paraId="11E4A733" w14:textId="77777777" w:rsidR="00C64F2F" w:rsidRPr="009211AB" w:rsidRDefault="00C64F2F" w:rsidP="005224CD">
            <w:pPr>
              <w:pStyle w:val="KMC16-Tablecontent"/>
              <w:keepNext/>
              <w:ind w:right="593"/>
              <w:jc w:val="both"/>
              <w:rPr>
                <w:lang w:val="en-AU"/>
              </w:rPr>
            </w:pPr>
            <w:r w:rsidRPr="000560E6">
              <w:rPr>
                <w:lang w:val="en-AU"/>
              </w:rPr>
              <w:t>Abaloparatide is non-inferior to romosozumab, in the first-line treatment of the requested PBS population. Abaloparatide has a superior safety profile compared with romosozumab.</w:t>
            </w:r>
          </w:p>
        </w:tc>
      </w:tr>
    </w:tbl>
    <w:p w14:paraId="6DF0DC67" w14:textId="77777777" w:rsidR="00C64F2F" w:rsidRDefault="00C64F2F" w:rsidP="00C64F2F">
      <w:pPr>
        <w:pStyle w:val="TableFigureFooter"/>
      </w:pPr>
      <w:r w:rsidRPr="00D86D87">
        <w:t>Source: Table</w:t>
      </w:r>
      <w:r>
        <w:t xml:space="preserve"> 1-2, p11 of the submission</w:t>
      </w:r>
      <w:r w:rsidRPr="00D86D87">
        <w:t>.</w:t>
      </w:r>
    </w:p>
    <w:p w14:paraId="4C444255" w14:textId="77777777" w:rsidR="00C64F2F" w:rsidRDefault="00C64F2F" w:rsidP="00C64F2F">
      <w:pPr>
        <w:pStyle w:val="TableFigureFooter"/>
        <w:spacing w:after="240"/>
      </w:pPr>
      <w:r w:rsidRPr="009211AB">
        <w:t>BMD = bone mineral density; SC = subcutaneous</w:t>
      </w:r>
    </w:p>
    <w:p w14:paraId="6B4AB6C2" w14:textId="7F01D731" w:rsidR="005C25FF" w:rsidRPr="00D86D87" w:rsidRDefault="005C25FF" w:rsidP="004A6040">
      <w:pPr>
        <w:pStyle w:val="2-SectionHeading"/>
      </w:pPr>
      <w:bookmarkStart w:id="3" w:name="_Toc198219097"/>
      <w:r w:rsidRPr="00D86D87">
        <w:t>Background</w:t>
      </w:r>
      <w:bookmarkEnd w:id="3"/>
    </w:p>
    <w:p w14:paraId="2C521D6D" w14:textId="78CF03EE" w:rsidR="005C25FF" w:rsidRPr="00D86D87" w:rsidRDefault="005C25FF" w:rsidP="004A6040">
      <w:pPr>
        <w:pStyle w:val="4-SubsectionHeading"/>
      </w:pPr>
      <w:bookmarkStart w:id="4" w:name="_Toc22897638"/>
      <w:bookmarkStart w:id="5" w:name="_Toc198219098"/>
      <w:r w:rsidRPr="00D86D87">
        <w:t>Registration status</w:t>
      </w:r>
      <w:bookmarkEnd w:id="4"/>
      <w:bookmarkEnd w:id="5"/>
    </w:p>
    <w:p w14:paraId="5374AD55" w14:textId="660EDA1E" w:rsidR="005C25FF" w:rsidRDefault="003923CE" w:rsidP="003923CE">
      <w:pPr>
        <w:pStyle w:val="3-BodyText"/>
      </w:pPr>
      <w:r w:rsidRPr="003923CE">
        <w:t xml:space="preserve">Abaloparatide was approved by the </w:t>
      </w:r>
      <w:r w:rsidR="006165A7">
        <w:t>Therapeutic Goods Administration (</w:t>
      </w:r>
      <w:r w:rsidRPr="003923CE">
        <w:t>TGA</w:t>
      </w:r>
      <w:r w:rsidR="006165A7">
        <w:t>)</w:t>
      </w:r>
      <w:r w:rsidRPr="003923CE">
        <w:t xml:space="preserve"> for the indication of treating osteoporosis in postmenopausal women at increased risk of fracture in November 2024.</w:t>
      </w:r>
    </w:p>
    <w:p w14:paraId="57D9D75F" w14:textId="77777777" w:rsidR="00862D0B" w:rsidRDefault="00862D0B" w:rsidP="00862D0B">
      <w:pPr>
        <w:pStyle w:val="4-SubsectionHeading"/>
      </w:pPr>
      <w:bookmarkStart w:id="6" w:name="_Toc22897639"/>
      <w:bookmarkStart w:id="7" w:name="_Toc187925081"/>
      <w:bookmarkStart w:id="8" w:name="_Toc198219099"/>
      <w:r w:rsidRPr="00D86D87">
        <w:lastRenderedPageBreak/>
        <w:t>Previous PBAC consideration</w:t>
      </w:r>
      <w:bookmarkEnd w:id="6"/>
      <w:bookmarkEnd w:id="7"/>
      <w:bookmarkEnd w:id="8"/>
    </w:p>
    <w:p w14:paraId="2A3E5E3C" w14:textId="34C9065F" w:rsidR="00862D0B" w:rsidRPr="004B1583" w:rsidRDefault="00862D0B" w:rsidP="00862D0B">
      <w:pPr>
        <w:pStyle w:val="3-BodyText"/>
        <w:rPr>
          <w:lang w:eastAsia="en-US"/>
        </w:rPr>
      </w:pPr>
      <w:r w:rsidRPr="004B1583">
        <w:rPr>
          <w:lang w:eastAsia="en-US"/>
        </w:rPr>
        <w:t xml:space="preserve">The PBAC previously recommended the listing of teriparatide in November 2008 for the treatment of severe established osteoporosis in the </w:t>
      </w:r>
      <w:r w:rsidR="0066698C" w:rsidRPr="004B1583">
        <w:rPr>
          <w:lang w:eastAsia="en-US"/>
        </w:rPr>
        <w:t>second line</w:t>
      </w:r>
      <w:r w:rsidRPr="004B1583">
        <w:rPr>
          <w:lang w:eastAsia="en-US"/>
        </w:rPr>
        <w:t xml:space="preserve"> setting </w:t>
      </w:r>
      <w:proofErr w:type="gramStart"/>
      <w:r w:rsidRPr="004B1583">
        <w:rPr>
          <w:lang w:eastAsia="en-US"/>
        </w:rPr>
        <w:t>on the basis of</w:t>
      </w:r>
      <w:proofErr w:type="gramEnd"/>
      <w:r w:rsidRPr="004B1583">
        <w:rPr>
          <w:lang w:eastAsia="en-US"/>
        </w:rPr>
        <w:t xml:space="preserve"> acceptable cost-effectiveness over alendronate in the context of a very high clinical need (p5, teriparatide </w:t>
      </w:r>
      <w:r w:rsidR="00631EF7">
        <w:rPr>
          <w:lang w:eastAsia="en-US"/>
        </w:rPr>
        <w:t>Public Summary Document [</w:t>
      </w:r>
      <w:r w:rsidRPr="004B1583">
        <w:rPr>
          <w:lang w:eastAsia="en-US"/>
        </w:rPr>
        <w:t>PSD</w:t>
      </w:r>
      <w:r w:rsidR="00631EF7">
        <w:rPr>
          <w:lang w:eastAsia="en-US"/>
        </w:rPr>
        <w:t>]</w:t>
      </w:r>
      <w:r w:rsidRPr="004B1583">
        <w:rPr>
          <w:lang w:eastAsia="en-US"/>
        </w:rPr>
        <w:t xml:space="preserve">, November 2008). </w:t>
      </w:r>
    </w:p>
    <w:p w14:paraId="35B1F65E" w14:textId="1DFA2275" w:rsidR="00862D0B" w:rsidRDefault="00862D0B" w:rsidP="00862D0B">
      <w:pPr>
        <w:pStyle w:val="3-BodyText"/>
      </w:pPr>
      <w:r w:rsidRPr="004B1583">
        <w:t>The PBAC previously recommended the listing of romosozumab (</w:t>
      </w:r>
      <w:proofErr w:type="gramStart"/>
      <w:r w:rsidR="0066698C" w:rsidRPr="004B1583">
        <w:t>second</w:t>
      </w:r>
      <w:r w:rsidR="00DA36B6">
        <w:t>-</w:t>
      </w:r>
      <w:r w:rsidR="0066698C" w:rsidRPr="004B1583">
        <w:t>line</w:t>
      </w:r>
      <w:proofErr w:type="gramEnd"/>
      <w:r w:rsidRPr="004B1583">
        <w:t xml:space="preserve">) in March 2020 </w:t>
      </w:r>
      <w:r w:rsidRPr="004B1583">
        <w:rPr>
          <w:bCs/>
        </w:rPr>
        <w:t xml:space="preserve">for </w:t>
      </w:r>
      <w:r w:rsidRPr="004B1583">
        <w:t xml:space="preserve">the treatment of severe osteoporosis in patients who have experienced a prior fracture while on anti-resorptive therapy </w:t>
      </w:r>
      <w:r w:rsidR="007252C7" w:rsidRPr="004B1583">
        <w:t xml:space="preserve">(ART) </w:t>
      </w:r>
      <w:r w:rsidR="009F7E48" w:rsidRPr="004B1583">
        <w:t xml:space="preserve">for &gt;12 months </w:t>
      </w:r>
      <w:proofErr w:type="gramStart"/>
      <w:r w:rsidRPr="004B1583">
        <w:t>on the basis of</w:t>
      </w:r>
      <w:proofErr w:type="gramEnd"/>
      <w:r w:rsidRPr="004B1583">
        <w:t xml:space="preserve"> a </w:t>
      </w:r>
      <w:r w:rsidR="00901300">
        <w:t>CMA</w:t>
      </w:r>
      <w:r w:rsidRPr="004B1583">
        <w:t xml:space="preserve"> compared to teriparatide</w:t>
      </w:r>
      <w:r w:rsidR="00FC1DC8" w:rsidRPr="004B1583">
        <w:t xml:space="preserve"> </w:t>
      </w:r>
      <w:r w:rsidRPr="004B1583">
        <w:t>(para</w:t>
      </w:r>
      <w:r w:rsidR="00B533C1">
        <w:t>graphs</w:t>
      </w:r>
      <w:r w:rsidRPr="004B1583">
        <w:t xml:space="preserve"> 1.2 </w:t>
      </w:r>
      <w:r w:rsidR="00B533C1">
        <w:t>and</w:t>
      </w:r>
      <w:r w:rsidR="00B533C1" w:rsidRPr="004B1583">
        <w:t xml:space="preserve"> </w:t>
      </w:r>
      <w:r w:rsidRPr="004B1583">
        <w:t xml:space="preserve">7.1, romosozumab PSD, March 2020). </w:t>
      </w:r>
      <w:r w:rsidR="00FB650F">
        <w:t>I</w:t>
      </w:r>
      <w:r w:rsidRPr="004B1583">
        <w:t>n March 2024, the PBAC recommended the listing romosozumab (</w:t>
      </w:r>
      <w:proofErr w:type="gramStart"/>
      <w:r w:rsidR="0066698C" w:rsidRPr="004B1583">
        <w:t>first</w:t>
      </w:r>
      <w:r w:rsidR="00DA36B6">
        <w:t>-</w:t>
      </w:r>
      <w:r w:rsidR="0066698C" w:rsidRPr="004B1583">
        <w:t>line</w:t>
      </w:r>
      <w:proofErr w:type="gramEnd"/>
      <w:r w:rsidRPr="004B1583">
        <w:t xml:space="preserve">) for the treatment of severe osteoporosis </w:t>
      </w:r>
      <w:proofErr w:type="gramStart"/>
      <w:r w:rsidRPr="004B1583">
        <w:t>on the basis of</w:t>
      </w:r>
      <w:proofErr w:type="gramEnd"/>
      <w:r w:rsidRPr="004B1583">
        <w:t xml:space="preserve"> a </w:t>
      </w:r>
      <w:r w:rsidR="00901300">
        <w:t>CMA</w:t>
      </w:r>
      <w:r w:rsidRPr="004B1583">
        <w:t xml:space="preserve"> versus alendronate</w:t>
      </w:r>
      <w:r w:rsidR="0060001E" w:rsidRPr="004B1583">
        <w:t>.</w:t>
      </w:r>
      <w:r w:rsidRPr="004B1583">
        <w:t xml:space="preserve"> </w:t>
      </w:r>
      <w:r w:rsidR="0060001E" w:rsidRPr="004B1583">
        <w:t xml:space="preserve">This was accepted with indication-specific pricing and a Risk Sharing Arrangement (RSA) </w:t>
      </w:r>
      <w:r w:rsidRPr="004B1583">
        <w:t>(para</w:t>
      </w:r>
      <w:r w:rsidR="00B533C1">
        <w:t>graphs</w:t>
      </w:r>
      <w:r w:rsidRPr="004B1583">
        <w:t xml:space="preserve"> 1.2 </w:t>
      </w:r>
      <w:r w:rsidR="00B533C1">
        <w:t>and</w:t>
      </w:r>
      <w:r w:rsidR="00B533C1" w:rsidRPr="004B1583">
        <w:t xml:space="preserve"> </w:t>
      </w:r>
      <w:r w:rsidRPr="004B1583">
        <w:t>5.1, romosozumab PSD, March 2024).</w:t>
      </w:r>
    </w:p>
    <w:p w14:paraId="724D1B40" w14:textId="131B5DC4" w:rsidR="009F1BA4" w:rsidRPr="004B1583" w:rsidRDefault="009F1BA4" w:rsidP="009F1BA4">
      <w:pPr>
        <w:pStyle w:val="3-BodyText"/>
        <w:numPr>
          <w:ilvl w:val="0"/>
          <w:numId w:val="0"/>
        </w:numPr>
        <w:ind w:left="720"/>
      </w:pPr>
      <w:r w:rsidRPr="00C33D30">
        <w:rPr>
          <w:i/>
        </w:rPr>
        <w:t>For more detail on PBAC’s view, see section 7 PBAC outcome.</w:t>
      </w:r>
    </w:p>
    <w:p w14:paraId="76E4EF3C" w14:textId="13040F70" w:rsidR="00B60939" w:rsidRDefault="00B50DB8" w:rsidP="00580E17">
      <w:pPr>
        <w:pStyle w:val="2-SectionHeading"/>
        <w:keepLines/>
      </w:pPr>
      <w:bookmarkStart w:id="9" w:name="_Toc107902078"/>
      <w:bookmarkStart w:id="10" w:name="_Toc198219100"/>
      <w:bookmarkEnd w:id="9"/>
      <w:r w:rsidRPr="00D86D87">
        <w:t>Requested listing</w:t>
      </w:r>
      <w:bookmarkEnd w:id="10"/>
    </w:p>
    <w:p w14:paraId="7474B02F" w14:textId="3F748D1D" w:rsidR="00CF6A65" w:rsidRPr="004B1583" w:rsidRDefault="00CF6A65" w:rsidP="00CF6A65">
      <w:pPr>
        <w:pStyle w:val="3-BodyText"/>
        <w:rPr>
          <w:lang w:eastAsia="en-US"/>
        </w:rPr>
      </w:pPr>
      <w:bookmarkStart w:id="11" w:name="_Hlk193967571"/>
      <w:r w:rsidRPr="004B1583">
        <w:rPr>
          <w:lang w:eastAsia="en-US"/>
        </w:rPr>
        <w:t xml:space="preserve">The </w:t>
      </w:r>
      <w:r>
        <w:rPr>
          <w:lang w:eastAsia="en-US"/>
        </w:rPr>
        <w:t>requested listing</w:t>
      </w:r>
      <w:r w:rsidR="00393438">
        <w:rPr>
          <w:lang w:eastAsia="en-US"/>
        </w:rPr>
        <w:t>s</w:t>
      </w:r>
      <w:r>
        <w:rPr>
          <w:lang w:eastAsia="en-US"/>
        </w:rPr>
        <w:t xml:space="preserve"> </w:t>
      </w:r>
      <w:r w:rsidR="00393438">
        <w:rPr>
          <w:lang w:eastAsia="en-US"/>
        </w:rPr>
        <w:t>proposed in the submission are</w:t>
      </w:r>
      <w:r>
        <w:rPr>
          <w:lang w:eastAsia="en-US"/>
        </w:rPr>
        <w:t xml:space="preserve"> </w:t>
      </w:r>
      <w:r w:rsidR="006B4840">
        <w:rPr>
          <w:lang w:eastAsia="en-US"/>
        </w:rPr>
        <w:t>detailed below</w:t>
      </w:r>
      <w:r w:rsidRPr="004B1583">
        <w:rPr>
          <w:lang w:eastAsia="en-US"/>
        </w:rPr>
        <w:t xml:space="preserve">. </w:t>
      </w:r>
    </w:p>
    <w:p w14:paraId="7857A2F6" w14:textId="77777777" w:rsidR="006B4840" w:rsidRDefault="006B4840">
      <w:pPr>
        <w:jc w:val="left"/>
        <w:rPr>
          <w:rFonts w:ascii="Arial Narrow" w:hAnsi="Arial Narrow" w:cstheme="minorHAnsi"/>
          <w:b/>
          <w:iCs/>
          <w:sz w:val="20"/>
          <w:szCs w:val="20"/>
        </w:rPr>
      </w:pPr>
      <w:r>
        <w:rPr>
          <w:rFonts w:ascii="Arial Narrow" w:hAnsi="Arial Narrow" w:cstheme="minorHAnsi"/>
          <w:b/>
          <w:iCs/>
          <w:sz w:val="20"/>
          <w:szCs w:val="20"/>
        </w:rPr>
        <w:br w:type="page"/>
      </w:r>
    </w:p>
    <w:p w14:paraId="220AECFF" w14:textId="1518ED63" w:rsidR="003923CE" w:rsidRPr="00CF6A65" w:rsidRDefault="00CF6A65" w:rsidP="00580E17">
      <w:pPr>
        <w:keepNext/>
        <w:keepLines/>
        <w:spacing w:before="60"/>
        <w:rPr>
          <w:rFonts w:ascii="Arial Narrow" w:hAnsi="Arial Narrow" w:cstheme="minorHAnsi"/>
          <w:b/>
          <w:sz w:val="20"/>
          <w:szCs w:val="20"/>
        </w:rPr>
      </w:pPr>
      <w:r w:rsidRPr="00CF6A65">
        <w:rPr>
          <w:rFonts w:ascii="Arial Narrow" w:hAnsi="Arial Narrow" w:cstheme="minorHAnsi"/>
          <w:b/>
          <w:iCs/>
          <w:sz w:val="20"/>
          <w:szCs w:val="20"/>
        </w:rPr>
        <w:lastRenderedPageBreak/>
        <w:t>Re</w:t>
      </w:r>
      <w:r w:rsidR="003923CE" w:rsidRPr="00CF6A65">
        <w:rPr>
          <w:rFonts w:ascii="Arial Narrow" w:hAnsi="Arial Narrow" w:cstheme="minorHAnsi"/>
          <w:b/>
          <w:sz w:val="20"/>
          <w:szCs w:val="20"/>
        </w:rPr>
        <w:t>quested listing – initiating in patients with severe established osteoporosis with very high risk of fracture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Recommended listing: initiating in patients"/>
      </w:tblPr>
      <w:tblGrid>
        <w:gridCol w:w="1986"/>
        <w:gridCol w:w="1228"/>
        <w:gridCol w:w="918"/>
        <w:gridCol w:w="1064"/>
        <w:gridCol w:w="1071"/>
        <w:gridCol w:w="1069"/>
        <w:gridCol w:w="1681"/>
      </w:tblGrid>
      <w:tr w:rsidR="003923CE" w:rsidRPr="00196231" w14:paraId="06132A91" w14:textId="3884A8D6" w:rsidTr="007A3C9D">
        <w:trPr>
          <w:trHeight w:val="405"/>
          <w:tblHeader/>
        </w:trPr>
        <w:tc>
          <w:tcPr>
            <w:tcW w:w="1101" w:type="pct"/>
            <w:shd w:val="clear" w:color="auto" w:fill="FFFFFF" w:themeFill="background1"/>
            <w:hideMark/>
          </w:tcPr>
          <w:p w14:paraId="1832C0F1" w14:textId="10993EED" w:rsidR="003923CE" w:rsidRPr="00196231" w:rsidRDefault="003923CE" w:rsidP="00580E17">
            <w:pPr>
              <w:pStyle w:val="TableText0"/>
            </w:pPr>
            <w:r w:rsidRPr="00196231">
              <w:t>Name, restriction, manner of administration and form</w:t>
            </w:r>
          </w:p>
        </w:tc>
        <w:tc>
          <w:tcPr>
            <w:tcW w:w="681" w:type="pct"/>
            <w:shd w:val="clear" w:color="auto" w:fill="FFFFFF" w:themeFill="background1"/>
          </w:tcPr>
          <w:p w14:paraId="6E2089E8" w14:textId="13EADF6B" w:rsidR="003923CE" w:rsidRPr="00196231" w:rsidRDefault="003923CE" w:rsidP="00580E17">
            <w:pPr>
              <w:pStyle w:val="TableText0"/>
            </w:pPr>
            <w:r>
              <w:t>Treatment phase</w:t>
            </w:r>
          </w:p>
        </w:tc>
        <w:tc>
          <w:tcPr>
            <w:tcW w:w="509" w:type="pct"/>
            <w:shd w:val="clear" w:color="auto" w:fill="FFFFFF" w:themeFill="background1"/>
            <w:hideMark/>
          </w:tcPr>
          <w:p w14:paraId="71577780" w14:textId="24A3BDD1" w:rsidR="003923CE" w:rsidRPr="00196231" w:rsidRDefault="003923CE" w:rsidP="00580E17">
            <w:pPr>
              <w:pStyle w:val="TableText0"/>
            </w:pPr>
            <w:r w:rsidRPr="00196231">
              <w:t>Max Quantity (packs)</w:t>
            </w:r>
          </w:p>
        </w:tc>
        <w:tc>
          <w:tcPr>
            <w:tcW w:w="590" w:type="pct"/>
            <w:shd w:val="clear" w:color="auto" w:fill="FFFFFF" w:themeFill="background1"/>
          </w:tcPr>
          <w:p w14:paraId="43904AD5" w14:textId="2D1E7506" w:rsidR="003923CE" w:rsidRPr="00196231" w:rsidRDefault="003923CE" w:rsidP="00580E17">
            <w:pPr>
              <w:pStyle w:val="TableText0"/>
            </w:pPr>
            <w:r w:rsidRPr="00196231">
              <w:t>Max Quantity (units)</w:t>
            </w:r>
          </w:p>
        </w:tc>
        <w:tc>
          <w:tcPr>
            <w:tcW w:w="594" w:type="pct"/>
            <w:shd w:val="clear" w:color="auto" w:fill="FFFFFF" w:themeFill="background1"/>
            <w:hideMark/>
          </w:tcPr>
          <w:p w14:paraId="1193A56C" w14:textId="29A41EDC" w:rsidR="003923CE" w:rsidRPr="00196231" w:rsidRDefault="003923CE" w:rsidP="00580E17">
            <w:pPr>
              <w:pStyle w:val="TableText0"/>
            </w:pPr>
            <w:r w:rsidRPr="00196231">
              <w:t>Number of repeats</w:t>
            </w:r>
          </w:p>
        </w:tc>
        <w:tc>
          <w:tcPr>
            <w:tcW w:w="593" w:type="pct"/>
            <w:shd w:val="clear" w:color="auto" w:fill="FFFFFF" w:themeFill="background1"/>
            <w:hideMark/>
          </w:tcPr>
          <w:p w14:paraId="683DE41E" w14:textId="01083CDE" w:rsidR="003923CE" w:rsidRDefault="003923CE" w:rsidP="00580E17">
            <w:pPr>
              <w:pStyle w:val="TableText0"/>
            </w:pPr>
            <w:r>
              <w:t>DPMQ</w:t>
            </w:r>
          </w:p>
          <w:p w14:paraId="29654278" w14:textId="3413C2C7" w:rsidR="003923CE" w:rsidRPr="00196231" w:rsidRDefault="003923CE" w:rsidP="00580E17">
            <w:pPr>
              <w:pStyle w:val="TableText0"/>
            </w:pPr>
          </w:p>
        </w:tc>
        <w:tc>
          <w:tcPr>
            <w:tcW w:w="932" w:type="pct"/>
            <w:shd w:val="clear" w:color="auto" w:fill="FFFFFF" w:themeFill="background1"/>
            <w:hideMark/>
          </w:tcPr>
          <w:p w14:paraId="2CB3BAD4" w14:textId="0411C379" w:rsidR="003923CE" w:rsidRPr="00196231" w:rsidRDefault="003923CE" w:rsidP="00580E17">
            <w:pPr>
              <w:pStyle w:val="TableText0"/>
            </w:pPr>
            <w:r w:rsidRPr="00196231">
              <w:t>Proprietary name and manufacturer</w:t>
            </w:r>
          </w:p>
        </w:tc>
      </w:tr>
      <w:tr w:rsidR="003923CE" w:rsidRPr="00196231" w14:paraId="46DDC44F" w14:textId="65D400AA" w:rsidTr="007A3C9D">
        <w:trPr>
          <w:trHeight w:val="224"/>
        </w:trPr>
        <w:tc>
          <w:tcPr>
            <w:tcW w:w="1101" w:type="pct"/>
            <w:vAlign w:val="center"/>
          </w:tcPr>
          <w:p w14:paraId="28549E18" w14:textId="4DEB0846" w:rsidR="003923CE" w:rsidRDefault="003923CE" w:rsidP="00580E17">
            <w:pPr>
              <w:pStyle w:val="TableText0"/>
            </w:pPr>
            <w:r w:rsidRPr="003418AC">
              <w:t xml:space="preserve">Abaloparatide, </w:t>
            </w:r>
          </w:p>
          <w:p w14:paraId="5141D902" w14:textId="72A907AB" w:rsidR="003923CE" w:rsidRDefault="003923CE" w:rsidP="00580E17">
            <w:pPr>
              <w:pStyle w:val="TableText0"/>
            </w:pPr>
            <w:r>
              <w:t>s</w:t>
            </w:r>
            <w:r w:rsidRPr="00786EA8">
              <w:t>evere established osteoporosis</w:t>
            </w:r>
            <w:r>
              <w:t xml:space="preserve">, </w:t>
            </w:r>
          </w:p>
          <w:p w14:paraId="662EF6D8" w14:textId="4D956B29" w:rsidR="003923CE" w:rsidRDefault="003923CE" w:rsidP="00580E17">
            <w:pPr>
              <w:pStyle w:val="TableText0"/>
            </w:pPr>
            <w:r w:rsidRPr="003418AC">
              <w:t xml:space="preserve">2 </w:t>
            </w:r>
            <w:r>
              <w:t>m</w:t>
            </w:r>
            <w:r w:rsidRPr="003418AC">
              <w:t xml:space="preserve">g/mL injection, </w:t>
            </w:r>
          </w:p>
          <w:p w14:paraId="32C0A37F" w14:textId="5585BF44" w:rsidR="003923CE" w:rsidRPr="00196231" w:rsidRDefault="003923CE" w:rsidP="00580E17">
            <w:pPr>
              <w:pStyle w:val="TableText0"/>
            </w:pPr>
            <w:r w:rsidRPr="003418AC">
              <w:t>1.5 mL pre-filled pen</w:t>
            </w:r>
          </w:p>
        </w:tc>
        <w:tc>
          <w:tcPr>
            <w:tcW w:w="681" w:type="pct"/>
            <w:vAlign w:val="center"/>
          </w:tcPr>
          <w:p w14:paraId="234D0F9D" w14:textId="5DE4A95A" w:rsidR="003923CE" w:rsidRDefault="003923CE" w:rsidP="00580E17">
            <w:pPr>
              <w:pStyle w:val="TableText0"/>
            </w:pPr>
            <w:r w:rsidRPr="003418AC">
              <w:t>Initial –</w:t>
            </w:r>
            <w:r>
              <w:t xml:space="preserve"> </w:t>
            </w:r>
          </w:p>
          <w:p w14:paraId="5E5CB0A8" w14:textId="011CB665" w:rsidR="003923CE" w:rsidRPr="00196231" w:rsidRDefault="003923CE" w:rsidP="00580E17">
            <w:pPr>
              <w:pStyle w:val="TableText0"/>
            </w:pPr>
            <w:r w:rsidRPr="003418AC">
              <w:t>first-line therapy</w:t>
            </w:r>
          </w:p>
        </w:tc>
        <w:tc>
          <w:tcPr>
            <w:tcW w:w="509" w:type="pct"/>
            <w:vAlign w:val="center"/>
          </w:tcPr>
          <w:p w14:paraId="24F206D5" w14:textId="74412BBF" w:rsidR="003923CE" w:rsidRPr="00196231" w:rsidRDefault="003923CE" w:rsidP="00580E17">
            <w:pPr>
              <w:pStyle w:val="TableText0"/>
            </w:pPr>
            <w:r>
              <w:t>1</w:t>
            </w:r>
          </w:p>
        </w:tc>
        <w:tc>
          <w:tcPr>
            <w:tcW w:w="590" w:type="pct"/>
            <w:vAlign w:val="center"/>
          </w:tcPr>
          <w:p w14:paraId="73FCDF22" w14:textId="1C5C1FEB" w:rsidR="003923CE" w:rsidRPr="00196231" w:rsidRDefault="003923CE" w:rsidP="00580E17">
            <w:pPr>
              <w:pStyle w:val="TableText0"/>
            </w:pPr>
            <w:r>
              <w:t>1</w:t>
            </w:r>
          </w:p>
        </w:tc>
        <w:tc>
          <w:tcPr>
            <w:tcW w:w="594" w:type="pct"/>
            <w:vAlign w:val="center"/>
          </w:tcPr>
          <w:p w14:paraId="47091FAD" w14:textId="0548AFCE" w:rsidR="003923CE" w:rsidRPr="00196231" w:rsidRDefault="003923CE" w:rsidP="00580E17">
            <w:pPr>
              <w:pStyle w:val="TableText0"/>
            </w:pPr>
            <w:r>
              <w:t>5</w:t>
            </w:r>
          </w:p>
        </w:tc>
        <w:tc>
          <w:tcPr>
            <w:tcW w:w="593" w:type="pct"/>
            <w:vAlign w:val="center"/>
          </w:tcPr>
          <w:p w14:paraId="4411014B" w14:textId="375CA9D3" w:rsidR="003923CE" w:rsidRPr="00196231" w:rsidRDefault="003923CE" w:rsidP="00580E17">
            <w:pPr>
              <w:pStyle w:val="TableText0"/>
            </w:pPr>
            <w:r>
              <w:t>$</w:t>
            </w:r>
            <w:r w:rsidR="008C0C40" w:rsidRPr="00306E37">
              <w:rPr>
                <w:color w:val="000000"/>
                <w:spacing w:val="51"/>
                <w:shd w:val="solid" w:color="000000" w:fill="000000"/>
                <w:fitText w:val="326" w:id="-623673344"/>
                <w14:textFill>
                  <w14:solidFill>
                    <w14:srgbClr w14:val="000000">
                      <w14:alpha w14:val="100000"/>
                    </w14:srgbClr>
                  </w14:solidFill>
                </w14:textFill>
              </w:rPr>
              <w:t>|||</w:t>
            </w:r>
            <w:r w:rsidR="008C0C40" w:rsidRPr="00306E37">
              <w:rPr>
                <w:color w:val="000000"/>
                <w:spacing w:val="3"/>
                <w:shd w:val="solid" w:color="000000" w:fill="000000"/>
                <w:fitText w:val="326" w:id="-623673344"/>
                <w14:textFill>
                  <w14:solidFill>
                    <w14:srgbClr w14:val="000000">
                      <w14:alpha w14:val="100000"/>
                    </w14:srgbClr>
                  </w14:solidFill>
                </w14:textFill>
              </w:rPr>
              <w:t>|</w:t>
            </w:r>
          </w:p>
        </w:tc>
        <w:tc>
          <w:tcPr>
            <w:tcW w:w="932" w:type="pct"/>
            <w:vAlign w:val="center"/>
          </w:tcPr>
          <w:p w14:paraId="5B6B8518" w14:textId="3EB7969B" w:rsidR="003923CE" w:rsidRPr="00196231" w:rsidRDefault="003923CE" w:rsidP="00580E17">
            <w:pPr>
              <w:pStyle w:val="TableText0"/>
            </w:pPr>
            <w:r w:rsidRPr="00D06A0C">
              <w:rPr>
                <w:lang w:val="es-ES"/>
              </w:rPr>
              <w:t>Eladynos – Theramex Australia Pty Ltd.</w:t>
            </w:r>
          </w:p>
        </w:tc>
      </w:tr>
      <w:bookmarkEnd w:id="11"/>
      <w:tr w:rsidR="003923CE" w:rsidRPr="0098262F" w14:paraId="7D21E76B" w14:textId="276BFAAE" w:rsidTr="003A69B8">
        <w:tblPrEx>
          <w:tblCellMar>
            <w:top w:w="15" w:type="dxa"/>
            <w:bottom w:w="15" w:type="dxa"/>
          </w:tblCellMar>
          <w:tblLook w:val="04A0" w:firstRow="1" w:lastRow="0" w:firstColumn="1" w:lastColumn="0" w:noHBand="0" w:noVBand="1"/>
        </w:tblPrEx>
        <w:trPr>
          <w:trHeight w:val="20"/>
        </w:trPr>
        <w:tc>
          <w:tcPr>
            <w:tcW w:w="5000" w:type="pct"/>
            <w:gridSpan w:val="7"/>
          </w:tcPr>
          <w:p w14:paraId="34C4CE0F" w14:textId="388A29A2" w:rsidR="003923CE" w:rsidRPr="005F7058" w:rsidRDefault="003923CE" w:rsidP="003A69B8">
            <w:pPr>
              <w:pStyle w:val="TableText0"/>
              <w:keepNext w:val="0"/>
              <w:keepLines w:val="0"/>
            </w:pPr>
            <w:r w:rsidRPr="005F7058">
              <w:t xml:space="preserve">Category / Program: </w:t>
            </w:r>
            <w:r>
              <w:t>General (GE)</w:t>
            </w:r>
          </w:p>
        </w:tc>
      </w:tr>
      <w:tr w:rsidR="003923CE" w:rsidRPr="0098262F" w14:paraId="6277A187" w14:textId="1E1E433B" w:rsidTr="003A69B8">
        <w:tblPrEx>
          <w:tblCellMar>
            <w:top w:w="15" w:type="dxa"/>
            <w:bottom w:w="15" w:type="dxa"/>
          </w:tblCellMar>
          <w:tblLook w:val="04A0" w:firstRow="1" w:lastRow="0" w:firstColumn="1" w:lastColumn="0" w:noHBand="0" w:noVBand="1"/>
        </w:tblPrEx>
        <w:trPr>
          <w:trHeight w:val="20"/>
        </w:trPr>
        <w:tc>
          <w:tcPr>
            <w:tcW w:w="5000" w:type="pct"/>
            <w:gridSpan w:val="7"/>
          </w:tcPr>
          <w:p w14:paraId="18B7E923" w14:textId="4E07D90A" w:rsidR="003923CE" w:rsidRPr="005F7058" w:rsidRDefault="003923CE" w:rsidP="003A69B8">
            <w:pPr>
              <w:pStyle w:val="TableText0"/>
              <w:keepNext w:val="0"/>
              <w:keepLines w:val="0"/>
            </w:pPr>
            <w:r w:rsidRPr="005F7058">
              <w:t xml:space="preserve">Prescriber type: </w:t>
            </w:r>
            <w:r w:rsidRPr="005F7058">
              <w:rPr>
                <w:bCs w:val="0"/>
              </w:rPr>
              <w:fldChar w:fldCharType="begin">
                <w:ffData>
                  <w:name w:val="Check1"/>
                  <w:enabled/>
                  <w:calcOnExit w:val="0"/>
                  <w:checkBox>
                    <w:sizeAuto/>
                    <w:default w:val="0"/>
                  </w:checkBox>
                </w:ffData>
              </w:fldChar>
            </w:r>
            <w:r w:rsidRPr="005F7058">
              <w:instrText xml:space="preserve"> FORMCHECKBOX </w:instrText>
            </w:r>
            <w:r w:rsidRPr="005F7058">
              <w:rPr>
                <w:bCs w:val="0"/>
              </w:rPr>
            </w:r>
            <w:r w:rsidRPr="005F7058">
              <w:rPr>
                <w:bCs w:val="0"/>
              </w:rPr>
              <w:fldChar w:fldCharType="separate"/>
            </w:r>
            <w:r w:rsidRPr="005F7058">
              <w:rPr>
                <w:bCs w:val="0"/>
              </w:rPr>
              <w:fldChar w:fldCharType="end"/>
            </w:r>
            <w:r w:rsidRPr="005F7058">
              <w:t xml:space="preserve">Dental </w:t>
            </w:r>
            <w:r w:rsidRPr="005F7058">
              <w:rPr>
                <w:bCs w:val="0"/>
              </w:rPr>
              <w:fldChar w:fldCharType="begin">
                <w:ffData>
                  <w:name w:val="Check5"/>
                  <w:enabled/>
                  <w:calcOnExit w:val="0"/>
                  <w:checkBox>
                    <w:sizeAuto/>
                    <w:default w:val="1"/>
                  </w:checkBox>
                </w:ffData>
              </w:fldChar>
            </w:r>
            <w:r w:rsidRPr="005F7058">
              <w:instrText xml:space="preserve"> FORMCHECKBOX </w:instrText>
            </w:r>
            <w:r w:rsidRPr="005F7058">
              <w:rPr>
                <w:bCs w:val="0"/>
              </w:rPr>
            </w:r>
            <w:r w:rsidRPr="005F7058">
              <w:rPr>
                <w:bCs w:val="0"/>
              </w:rPr>
              <w:fldChar w:fldCharType="separate"/>
            </w:r>
            <w:r w:rsidRPr="005F7058">
              <w:rPr>
                <w:bCs w:val="0"/>
              </w:rPr>
              <w:fldChar w:fldCharType="end"/>
            </w:r>
            <w:r w:rsidRPr="005F7058">
              <w:t xml:space="preserve">Medical Practitioners </w:t>
            </w:r>
            <w:r w:rsidRPr="005F7058">
              <w:rPr>
                <w:bCs w:val="0"/>
              </w:rPr>
              <w:fldChar w:fldCharType="begin">
                <w:ffData>
                  <w:name w:val="Check3"/>
                  <w:enabled/>
                  <w:calcOnExit w:val="0"/>
                  <w:checkBox>
                    <w:sizeAuto/>
                    <w:default w:val="0"/>
                  </w:checkBox>
                </w:ffData>
              </w:fldChar>
            </w:r>
            <w:r w:rsidRPr="005F7058">
              <w:instrText xml:space="preserve"> FORMCHECKBOX </w:instrText>
            </w:r>
            <w:r w:rsidRPr="005F7058">
              <w:rPr>
                <w:bCs w:val="0"/>
              </w:rPr>
            </w:r>
            <w:r w:rsidRPr="005F7058">
              <w:rPr>
                <w:bCs w:val="0"/>
              </w:rPr>
              <w:fldChar w:fldCharType="separate"/>
            </w:r>
            <w:r w:rsidRPr="005F7058">
              <w:rPr>
                <w:bCs w:val="0"/>
              </w:rPr>
              <w:fldChar w:fldCharType="end"/>
            </w:r>
            <w:r w:rsidRPr="005F7058">
              <w:t xml:space="preserve">Nurse practitioners </w:t>
            </w:r>
            <w:r w:rsidRPr="005F7058">
              <w:rPr>
                <w:bCs w:val="0"/>
              </w:rPr>
              <w:fldChar w:fldCharType="begin">
                <w:ffData>
                  <w:name w:val=""/>
                  <w:enabled/>
                  <w:calcOnExit w:val="0"/>
                  <w:checkBox>
                    <w:sizeAuto/>
                    <w:default w:val="0"/>
                  </w:checkBox>
                </w:ffData>
              </w:fldChar>
            </w:r>
            <w:r w:rsidRPr="005F7058">
              <w:instrText xml:space="preserve"> FORMCHECKBOX </w:instrText>
            </w:r>
            <w:r w:rsidRPr="005F7058">
              <w:rPr>
                <w:bCs w:val="0"/>
              </w:rPr>
            </w:r>
            <w:r w:rsidRPr="005F7058">
              <w:rPr>
                <w:bCs w:val="0"/>
              </w:rPr>
              <w:fldChar w:fldCharType="separate"/>
            </w:r>
            <w:r w:rsidRPr="005F7058">
              <w:rPr>
                <w:bCs w:val="0"/>
              </w:rPr>
              <w:fldChar w:fldCharType="end"/>
            </w:r>
            <w:r w:rsidRPr="005F7058">
              <w:t xml:space="preserve">Optometrists </w:t>
            </w:r>
            <w:r w:rsidRPr="005F7058">
              <w:rPr>
                <w:bCs w:val="0"/>
              </w:rPr>
              <w:fldChar w:fldCharType="begin">
                <w:ffData>
                  <w:name w:val="Check5"/>
                  <w:enabled/>
                  <w:calcOnExit w:val="0"/>
                  <w:checkBox>
                    <w:sizeAuto/>
                    <w:default w:val="0"/>
                  </w:checkBox>
                </w:ffData>
              </w:fldChar>
            </w:r>
            <w:r w:rsidRPr="005F7058">
              <w:instrText xml:space="preserve"> FORMCHECKBOX </w:instrText>
            </w:r>
            <w:r w:rsidRPr="005F7058">
              <w:rPr>
                <w:bCs w:val="0"/>
              </w:rPr>
            </w:r>
            <w:r w:rsidRPr="005F7058">
              <w:rPr>
                <w:bCs w:val="0"/>
              </w:rPr>
              <w:fldChar w:fldCharType="separate"/>
            </w:r>
            <w:r w:rsidRPr="005F7058">
              <w:rPr>
                <w:bCs w:val="0"/>
              </w:rPr>
              <w:fldChar w:fldCharType="end"/>
            </w:r>
            <w:r w:rsidRPr="005F7058">
              <w:t>Midwives</w:t>
            </w:r>
          </w:p>
        </w:tc>
      </w:tr>
      <w:tr w:rsidR="003923CE" w:rsidRPr="0098262F" w14:paraId="6127B38A" w14:textId="396FA96C" w:rsidTr="003A69B8">
        <w:tblPrEx>
          <w:tblCellMar>
            <w:top w:w="15" w:type="dxa"/>
            <w:bottom w:w="15" w:type="dxa"/>
          </w:tblCellMar>
          <w:tblLook w:val="04A0" w:firstRow="1" w:lastRow="0" w:firstColumn="1" w:lastColumn="0" w:noHBand="0" w:noVBand="1"/>
        </w:tblPrEx>
        <w:trPr>
          <w:trHeight w:val="20"/>
        </w:trPr>
        <w:tc>
          <w:tcPr>
            <w:tcW w:w="5000" w:type="pct"/>
            <w:gridSpan w:val="7"/>
          </w:tcPr>
          <w:p w14:paraId="227CB2A1" w14:textId="69866DB9" w:rsidR="003923CE" w:rsidRDefault="003923CE" w:rsidP="003A69B8">
            <w:pPr>
              <w:pStyle w:val="TableText0"/>
              <w:keepNext w:val="0"/>
              <w:keepLines w:val="0"/>
            </w:pPr>
            <w:r w:rsidRPr="005F7058">
              <w:t>Restriction type:</w:t>
            </w:r>
            <w:r w:rsidRPr="005F7058">
              <w:rPr>
                <w:color w:val="0066FF"/>
              </w:rPr>
              <w:br/>
            </w:r>
            <w:r w:rsidRPr="005F7058">
              <w:rPr>
                <w:bCs w:val="0"/>
              </w:rPr>
              <w:fldChar w:fldCharType="begin">
                <w:ffData>
                  <w:name w:val="Check1"/>
                  <w:enabled/>
                  <w:calcOnExit w:val="0"/>
                  <w:checkBox>
                    <w:sizeAuto/>
                    <w:default w:val="0"/>
                  </w:checkBox>
                </w:ffData>
              </w:fldChar>
            </w:r>
            <w:r w:rsidRPr="005F7058">
              <w:instrText xml:space="preserve"> FORMCHECKBOX </w:instrText>
            </w:r>
            <w:r w:rsidRPr="005F7058">
              <w:rPr>
                <w:bCs w:val="0"/>
              </w:rPr>
            </w:r>
            <w:r w:rsidRPr="005F7058">
              <w:rPr>
                <w:bCs w:val="0"/>
              </w:rPr>
              <w:fldChar w:fldCharType="separate"/>
            </w:r>
            <w:r w:rsidRPr="005F7058">
              <w:rPr>
                <w:bCs w:val="0"/>
              </w:rPr>
              <w:fldChar w:fldCharType="end"/>
            </w:r>
            <w:r w:rsidRPr="005F7058">
              <w:t>Restricted benefit</w:t>
            </w:r>
          </w:p>
          <w:p w14:paraId="24DD8443" w14:textId="6D06D03D" w:rsidR="003923CE" w:rsidRPr="005F7058" w:rsidRDefault="003923CE" w:rsidP="003A69B8">
            <w:pPr>
              <w:pStyle w:val="TableText0"/>
              <w:keepNext w:val="0"/>
              <w:keepLines w:val="0"/>
            </w:pPr>
            <w:r w:rsidRPr="00FA2CEF">
              <w:rPr>
                <w:bCs w:val="0"/>
              </w:rPr>
              <w:fldChar w:fldCharType="begin">
                <w:ffData>
                  <w:name w:val=""/>
                  <w:enabled/>
                  <w:calcOnExit w:val="0"/>
                  <w:checkBox>
                    <w:sizeAuto/>
                    <w:default w:val="0"/>
                  </w:checkBox>
                </w:ffData>
              </w:fldChar>
            </w:r>
            <w:r w:rsidRPr="00FA2CEF">
              <w:instrText xml:space="preserve"> FORMCHECKBOX </w:instrText>
            </w:r>
            <w:r w:rsidRPr="00FA2CEF">
              <w:rPr>
                <w:bCs w:val="0"/>
              </w:rPr>
            </w:r>
            <w:r w:rsidRPr="00FA2CEF">
              <w:rPr>
                <w:bCs w:val="0"/>
              </w:rPr>
              <w:fldChar w:fldCharType="separate"/>
            </w:r>
            <w:r w:rsidRPr="00FA2CEF">
              <w:rPr>
                <w:bCs w:val="0"/>
              </w:rPr>
              <w:fldChar w:fldCharType="end"/>
            </w:r>
            <w:r w:rsidRPr="00FA2CEF">
              <w:t>Authority Required</w:t>
            </w:r>
            <w:r>
              <w:t xml:space="preserve"> – In writing</w:t>
            </w:r>
            <w:r w:rsidRPr="005F7058">
              <w:br/>
            </w:r>
            <w:r w:rsidRPr="005F7058">
              <w:rPr>
                <w:bCs w:val="0"/>
              </w:rPr>
              <w:fldChar w:fldCharType="begin">
                <w:ffData>
                  <w:name w:val=""/>
                  <w:enabled/>
                  <w:calcOnExit w:val="0"/>
                  <w:checkBox>
                    <w:sizeAuto/>
                    <w:default w:val="0"/>
                  </w:checkBox>
                </w:ffData>
              </w:fldChar>
            </w:r>
            <w:r w:rsidRPr="005F7058">
              <w:instrText xml:space="preserve"> FORMCHECKBOX </w:instrText>
            </w:r>
            <w:r w:rsidRPr="005F7058">
              <w:rPr>
                <w:bCs w:val="0"/>
              </w:rPr>
            </w:r>
            <w:r w:rsidRPr="005F7058">
              <w:rPr>
                <w:bCs w:val="0"/>
              </w:rPr>
              <w:fldChar w:fldCharType="separate"/>
            </w:r>
            <w:r w:rsidRPr="005F7058">
              <w:rPr>
                <w:bCs w:val="0"/>
              </w:rPr>
              <w:fldChar w:fldCharType="end"/>
            </w:r>
            <w:r w:rsidRPr="005F7058">
              <w:t xml:space="preserve">Authority Required (STREAMLINED) </w:t>
            </w:r>
            <w:r w:rsidRPr="005F7058">
              <w:br/>
            </w:r>
            <w:r w:rsidRPr="005F7058">
              <w:rPr>
                <w:bCs w:val="0"/>
              </w:rPr>
              <w:fldChar w:fldCharType="begin">
                <w:ffData>
                  <w:name w:val="Check5"/>
                  <w:enabled/>
                  <w:calcOnExit w:val="0"/>
                  <w:checkBox>
                    <w:sizeAuto/>
                    <w:default w:val="1"/>
                  </w:checkBox>
                </w:ffData>
              </w:fldChar>
            </w:r>
            <w:r w:rsidRPr="005F7058">
              <w:instrText xml:space="preserve"> FORMCHECKBOX </w:instrText>
            </w:r>
            <w:r w:rsidRPr="005F7058">
              <w:rPr>
                <w:bCs w:val="0"/>
              </w:rPr>
            </w:r>
            <w:r w:rsidRPr="005F7058">
              <w:rPr>
                <w:bCs w:val="0"/>
              </w:rPr>
              <w:fldChar w:fldCharType="separate"/>
            </w:r>
            <w:r w:rsidRPr="005F7058">
              <w:rPr>
                <w:bCs w:val="0"/>
              </w:rPr>
              <w:fldChar w:fldCharType="end"/>
            </w:r>
            <w:r w:rsidRPr="005F7058">
              <w:t>Authority Required (telephone/</w:t>
            </w:r>
            <w:r>
              <w:t>electronic</w:t>
            </w:r>
            <w:r w:rsidRPr="005F7058">
              <w:t xml:space="preserve">) </w:t>
            </w:r>
          </w:p>
        </w:tc>
      </w:tr>
      <w:tr w:rsidR="003923CE" w:rsidRPr="0098262F" w14:paraId="1488FA76" w14:textId="4BAC15B4" w:rsidTr="003A69B8">
        <w:tblPrEx>
          <w:tblCellMar>
            <w:top w:w="15" w:type="dxa"/>
            <w:bottom w:w="15" w:type="dxa"/>
          </w:tblCellMar>
          <w:tblLook w:val="04A0" w:firstRow="1" w:lastRow="0" w:firstColumn="1" w:lastColumn="0" w:noHBand="0" w:noVBand="1"/>
        </w:tblPrEx>
        <w:trPr>
          <w:trHeight w:val="20"/>
        </w:trPr>
        <w:tc>
          <w:tcPr>
            <w:tcW w:w="5000" w:type="pct"/>
            <w:gridSpan w:val="7"/>
          </w:tcPr>
          <w:p w14:paraId="4B1F8D9F" w14:textId="64EF4EBA" w:rsidR="003923CE" w:rsidRPr="005F7058" w:rsidRDefault="003923CE" w:rsidP="003A69B8">
            <w:pPr>
              <w:pStyle w:val="TableText0"/>
              <w:keepNext w:val="0"/>
              <w:keepLines w:val="0"/>
            </w:pPr>
            <w:r>
              <w:t>Condition: Severe established osteoporosis</w:t>
            </w:r>
          </w:p>
        </w:tc>
      </w:tr>
      <w:tr w:rsidR="003923CE" w:rsidRPr="0098262F" w14:paraId="3D5AEAD0" w14:textId="7128E1AE" w:rsidTr="003A69B8">
        <w:tblPrEx>
          <w:tblCellMar>
            <w:top w:w="15" w:type="dxa"/>
            <w:bottom w:w="15" w:type="dxa"/>
          </w:tblCellMar>
          <w:tblLook w:val="04A0" w:firstRow="1" w:lastRow="0" w:firstColumn="1" w:lastColumn="0" w:noHBand="0" w:noVBand="1"/>
        </w:tblPrEx>
        <w:trPr>
          <w:trHeight w:val="20"/>
        </w:trPr>
        <w:tc>
          <w:tcPr>
            <w:tcW w:w="5000" w:type="pct"/>
            <w:gridSpan w:val="7"/>
          </w:tcPr>
          <w:p w14:paraId="65FD3158" w14:textId="02BEEA23" w:rsidR="003923CE" w:rsidRDefault="003923CE" w:rsidP="003A69B8">
            <w:pPr>
              <w:pStyle w:val="TableText0"/>
              <w:keepNext w:val="0"/>
              <w:keepLines w:val="0"/>
            </w:pPr>
            <w:r>
              <w:t>PBS indication: severe established osteoporosis</w:t>
            </w:r>
          </w:p>
        </w:tc>
      </w:tr>
      <w:tr w:rsidR="003923CE" w:rsidRPr="0098262F" w14:paraId="659F7935" w14:textId="1A8F7109" w:rsidTr="003A69B8">
        <w:tblPrEx>
          <w:tblCellMar>
            <w:top w:w="15" w:type="dxa"/>
            <w:bottom w:w="15" w:type="dxa"/>
          </w:tblCellMar>
          <w:tblLook w:val="04A0" w:firstRow="1" w:lastRow="0" w:firstColumn="1" w:lastColumn="0" w:noHBand="0" w:noVBand="1"/>
        </w:tblPrEx>
        <w:trPr>
          <w:trHeight w:val="20"/>
        </w:trPr>
        <w:tc>
          <w:tcPr>
            <w:tcW w:w="5000" w:type="pct"/>
            <w:gridSpan w:val="7"/>
            <w:vAlign w:val="center"/>
            <w:hideMark/>
          </w:tcPr>
          <w:p w14:paraId="63EF1257" w14:textId="37C1A2CD" w:rsidR="003923CE" w:rsidRPr="005F7058" w:rsidRDefault="003923CE" w:rsidP="003A69B8">
            <w:pPr>
              <w:pStyle w:val="TableText0"/>
              <w:keepNext w:val="0"/>
              <w:keepLines w:val="0"/>
            </w:pPr>
            <w:r w:rsidRPr="005F7058">
              <w:t xml:space="preserve">Treatment Phase: initial </w:t>
            </w:r>
            <w:r>
              <w:t xml:space="preserve">treatment </w:t>
            </w:r>
            <w:r w:rsidRPr="005F7058">
              <w:t>(</w:t>
            </w:r>
            <w:r>
              <w:t>first-line therapy)</w:t>
            </w:r>
          </w:p>
        </w:tc>
      </w:tr>
      <w:tr w:rsidR="003923CE" w:rsidRPr="0098262F" w14:paraId="68CC4721" w14:textId="41638B2C" w:rsidTr="003A69B8">
        <w:tblPrEx>
          <w:tblCellMar>
            <w:top w:w="15" w:type="dxa"/>
            <w:bottom w:w="15" w:type="dxa"/>
          </w:tblCellMar>
          <w:tblLook w:val="04A0" w:firstRow="1" w:lastRow="0" w:firstColumn="1" w:lastColumn="0" w:noHBand="0" w:noVBand="1"/>
        </w:tblPrEx>
        <w:trPr>
          <w:trHeight w:val="998"/>
        </w:trPr>
        <w:tc>
          <w:tcPr>
            <w:tcW w:w="5000" w:type="pct"/>
            <w:gridSpan w:val="7"/>
            <w:hideMark/>
          </w:tcPr>
          <w:p w14:paraId="31F9CBC8" w14:textId="166BB6CD" w:rsidR="003923CE" w:rsidRPr="005F7058" w:rsidRDefault="003923CE" w:rsidP="003A69B8">
            <w:pPr>
              <w:pStyle w:val="TableText0"/>
              <w:keepNext w:val="0"/>
              <w:keepLines w:val="0"/>
            </w:pPr>
            <w:r w:rsidRPr="005F7058">
              <w:t>Clinical criteria:</w:t>
            </w:r>
          </w:p>
          <w:p w14:paraId="570B9637" w14:textId="5794EC42" w:rsidR="003923CE" w:rsidRPr="00FA2CEF" w:rsidRDefault="003923CE" w:rsidP="003A69B8">
            <w:pPr>
              <w:pStyle w:val="TableText0"/>
              <w:keepNext w:val="0"/>
              <w:keepLines w:val="0"/>
            </w:pPr>
            <w:r w:rsidRPr="00FA2CEF">
              <w:t xml:space="preserve">Patient must not have received PBS-subsidised treatment with any of: (i) anti-resorptive therapy, (ii) teriparatide, or (iii) romosozumab, or (iv) abaloparatide, </w:t>
            </w:r>
          </w:p>
          <w:p w14:paraId="728E9EA9" w14:textId="1B80E5CB" w:rsidR="003923CE" w:rsidRPr="00FA2CEF" w:rsidRDefault="003923CE" w:rsidP="003A69B8">
            <w:pPr>
              <w:pStyle w:val="TableText0"/>
              <w:keepNext w:val="0"/>
              <w:keepLines w:val="0"/>
              <w:rPr>
                <w:bCs w:val="0"/>
              </w:rPr>
            </w:pPr>
            <w:r w:rsidRPr="00FA2CEF">
              <w:rPr>
                <w:bCs w:val="0"/>
              </w:rPr>
              <w:t>OR</w:t>
            </w:r>
          </w:p>
          <w:p w14:paraId="64699BB3" w14:textId="7C4DEFFF" w:rsidR="003923CE" w:rsidRPr="00FA2CEF" w:rsidRDefault="003923CE" w:rsidP="003A69B8">
            <w:pPr>
              <w:pStyle w:val="TableText0"/>
              <w:keepNext w:val="0"/>
              <w:keepLines w:val="0"/>
              <w:rPr>
                <w:bCs w:val="0"/>
              </w:rPr>
            </w:pPr>
            <w:r w:rsidRPr="00FA2CEF">
              <w:rPr>
                <w:bCs w:val="0"/>
              </w:rPr>
              <w:t>Patient must have developed intolerance to antiresorptive treatments or romosozumab of a severity necessitating permanent treatment withdrawal within the first 6 months of therapy.</w:t>
            </w:r>
          </w:p>
          <w:p w14:paraId="428707DB" w14:textId="0A698F1D" w:rsidR="003923CE" w:rsidRPr="00FA2CEF" w:rsidRDefault="003923CE" w:rsidP="003A69B8">
            <w:pPr>
              <w:pStyle w:val="TableText0"/>
              <w:keepNext w:val="0"/>
              <w:keepLines w:val="0"/>
              <w:rPr>
                <w:bCs w:val="0"/>
              </w:rPr>
            </w:pPr>
            <w:r w:rsidRPr="00FA2CEF">
              <w:rPr>
                <w:bCs w:val="0"/>
              </w:rPr>
              <w:t>AND</w:t>
            </w:r>
          </w:p>
          <w:p w14:paraId="514530A1" w14:textId="46B12E49" w:rsidR="003923CE" w:rsidRPr="00FA2CEF" w:rsidRDefault="003923CE" w:rsidP="003A69B8">
            <w:pPr>
              <w:pStyle w:val="TableText0"/>
              <w:keepNext w:val="0"/>
              <w:keepLines w:val="0"/>
              <w:rPr>
                <w:bCs w:val="0"/>
              </w:rPr>
            </w:pPr>
            <w:r w:rsidRPr="00FA2CEF">
              <w:rPr>
                <w:bCs w:val="0"/>
              </w:rPr>
              <w:t>Patient must be at very high risk of fracture,</w:t>
            </w:r>
          </w:p>
          <w:p w14:paraId="666762AF" w14:textId="1BCE469B" w:rsidR="003923CE" w:rsidRPr="00FA2CEF" w:rsidRDefault="003923CE" w:rsidP="003A69B8">
            <w:pPr>
              <w:pStyle w:val="TableText0"/>
              <w:keepNext w:val="0"/>
              <w:keepLines w:val="0"/>
              <w:rPr>
                <w:bCs w:val="0"/>
              </w:rPr>
            </w:pPr>
            <w:r w:rsidRPr="00FA2CEF">
              <w:rPr>
                <w:bCs w:val="0"/>
              </w:rPr>
              <w:t>AND</w:t>
            </w:r>
          </w:p>
          <w:p w14:paraId="2741B761" w14:textId="2830BB5A" w:rsidR="003923CE" w:rsidRPr="00FA2CEF" w:rsidRDefault="003923CE" w:rsidP="003A69B8">
            <w:pPr>
              <w:pStyle w:val="TableText0"/>
              <w:keepNext w:val="0"/>
              <w:keepLines w:val="0"/>
              <w:rPr>
                <w:bCs w:val="0"/>
              </w:rPr>
            </w:pPr>
            <w:r w:rsidRPr="00FA2CEF">
              <w:rPr>
                <w:bCs w:val="0"/>
              </w:rPr>
              <w:t>Patient must have a Bone Mineral Density (BMD) T-score of -2.5 or less,</w:t>
            </w:r>
          </w:p>
          <w:p w14:paraId="1F24DBFB" w14:textId="68A61780" w:rsidR="003923CE" w:rsidRPr="00FA2CEF" w:rsidRDefault="003923CE" w:rsidP="003A69B8">
            <w:pPr>
              <w:pStyle w:val="TableText0"/>
              <w:keepNext w:val="0"/>
              <w:keepLines w:val="0"/>
              <w:rPr>
                <w:bCs w:val="0"/>
              </w:rPr>
            </w:pPr>
            <w:r w:rsidRPr="00FA2CEF">
              <w:rPr>
                <w:bCs w:val="0"/>
              </w:rPr>
              <w:t>AND</w:t>
            </w:r>
          </w:p>
          <w:p w14:paraId="6417FA8F" w14:textId="2E23DAAB" w:rsidR="003923CE" w:rsidRPr="00FA2CEF" w:rsidRDefault="003923CE" w:rsidP="003A69B8">
            <w:pPr>
              <w:pStyle w:val="TableText0"/>
              <w:keepNext w:val="0"/>
              <w:keepLines w:val="0"/>
              <w:rPr>
                <w:bCs w:val="0"/>
              </w:rPr>
            </w:pPr>
            <w:r w:rsidRPr="00FA2CEF">
              <w:rPr>
                <w:bCs w:val="0"/>
              </w:rPr>
              <w:t>Patient must have had a symptomatic fracture due to minimal trauma,</w:t>
            </w:r>
          </w:p>
          <w:p w14:paraId="06F419A4" w14:textId="050EDB7E" w:rsidR="003923CE" w:rsidRPr="00FA2CEF" w:rsidRDefault="003923CE" w:rsidP="003A69B8">
            <w:pPr>
              <w:pStyle w:val="TableText0"/>
              <w:keepNext w:val="0"/>
              <w:keepLines w:val="0"/>
              <w:rPr>
                <w:bCs w:val="0"/>
              </w:rPr>
            </w:pPr>
            <w:r w:rsidRPr="00FA2CEF">
              <w:rPr>
                <w:bCs w:val="0"/>
              </w:rPr>
              <w:t>AND</w:t>
            </w:r>
          </w:p>
          <w:p w14:paraId="5D886C50" w14:textId="7BF23250" w:rsidR="003923CE" w:rsidRPr="00FA2CEF" w:rsidRDefault="003923CE" w:rsidP="003A69B8">
            <w:pPr>
              <w:pStyle w:val="TableText0"/>
              <w:keepNext w:val="0"/>
              <w:keepLines w:val="0"/>
              <w:rPr>
                <w:bCs w:val="0"/>
              </w:rPr>
            </w:pPr>
            <w:r w:rsidRPr="00FA2CEF">
              <w:rPr>
                <w:bCs w:val="0"/>
              </w:rPr>
              <w:t>Patient must have had at least 1 hip or symptomatic vertebral fracture in the previous 24 months; OR</w:t>
            </w:r>
          </w:p>
          <w:p w14:paraId="55B01AB1" w14:textId="17D4A18E" w:rsidR="003923CE" w:rsidRPr="00FA2CEF" w:rsidRDefault="003923CE" w:rsidP="003A69B8">
            <w:pPr>
              <w:pStyle w:val="TableText0"/>
              <w:keepNext w:val="0"/>
              <w:keepLines w:val="0"/>
              <w:rPr>
                <w:bCs w:val="0"/>
              </w:rPr>
            </w:pPr>
            <w:r w:rsidRPr="00FA2CEF">
              <w:rPr>
                <w:bCs w:val="0"/>
              </w:rPr>
              <w:t>Patient must have had at least 2 fractures including 1 symptomatic new fracture in the previous 24 months,</w:t>
            </w:r>
          </w:p>
          <w:p w14:paraId="5FFCEC23" w14:textId="531F5C79" w:rsidR="003923CE" w:rsidRPr="00FA2CEF" w:rsidRDefault="003923CE" w:rsidP="003A69B8">
            <w:pPr>
              <w:pStyle w:val="TableText0"/>
              <w:keepNext w:val="0"/>
              <w:keepLines w:val="0"/>
              <w:rPr>
                <w:bCs w:val="0"/>
              </w:rPr>
            </w:pPr>
            <w:r w:rsidRPr="00FA2CEF">
              <w:rPr>
                <w:bCs w:val="0"/>
              </w:rPr>
              <w:t>AND</w:t>
            </w:r>
          </w:p>
          <w:p w14:paraId="04FBF3E1" w14:textId="1E5C21B9" w:rsidR="003923CE" w:rsidRPr="00FA2CEF" w:rsidRDefault="003923CE" w:rsidP="003A69B8">
            <w:pPr>
              <w:pStyle w:val="TableText0"/>
              <w:keepNext w:val="0"/>
              <w:keepLines w:val="0"/>
              <w:rPr>
                <w:bCs w:val="0"/>
              </w:rPr>
            </w:pPr>
            <w:r w:rsidRPr="00FA2CEF">
              <w:rPr>
                <w:bCs w:val="0"/>
              </w:rPr>
              <w:t>The treatment must be the sole PBS-subsidised therapy for this condition,</w:t>
            </w:r>
          </w:p>
          <w:p w14:paraId="50C7A733" w14:textId="736026EF" w:rsidR="003923CE" w:rsidRPr="00FA2CEF" w:rsidRDefault="003923CE" w:rsidP="003A69B8">
            <w:pPr>
              <w:pStyle w:val="TableText0"/>
              <w:keepNext w:val="0"/>
              <w:keepLines w:val="0"/>
              <w:rPr>
                <w:bCs w:val="0"/>
              </w:rPr>
            </w:pPr>
            <w:r w:rsidRPr="00FA2CEF">
              <w:rPr>
                <w:bCs w:val="0"/>
              </w:rPr>
              <w:t>AND</w:t>
            </w:r>
          </w:p>
          <w:p w14:paraId="16662CAB" w14:textId="74357201" w:rsidR="003923CE" w:rsidRPr="005F7058" w:rsidRDefault="003923CE" w:rsidP="003A69B8">
            <w:pPr>
              <w:pStyle w:val="TableText0"/>
              <w:keepNext w:val="0"/>
              <w:keepLines w:val="0"/>
            </w:pPr>
            <w:r w:rsidRPr="00FA2CEF">
              <w:rPr>
                <w:bCs w:val="0"/>
              </w:rPr>
              <w:t>The treatment</w:t>
            </w:r>
            <w:r w:rsidRPr="00FA2CEF">
              <w:t xml:space="preserve"> must not exceed a lifetime maximum of 18 months of PBS and non-PBS-subsidised therapy.</w:t>
            </w:r>
          </w:p>
        </w:tc>
      </w:tr>
      <w:tr w:rsidR="003923CE" w:rsidRPr="0098262F" w14:paraId="52C5EAAD" w14:textId="45E72E31" w:rsidTr="003A69B8">
        <w:tblPrEx>
          <w:tblCellMar>
            <w:top w:w="15" w:type="dxa"/>
            <w:bottom w:w="15" w:type="dxa"/>
          </w:tblCellMar>
          <w:tblLook w:val="04A0" w:firstRow="1" w:lastRow="0" w:firstColumn="1" w:lastColumn="0" w:noHBand="0" w:noVBand="1"/>
        </w:tblPrEx>
        <w:trPr>
          <w:trHeight w:val="499"/>
        </w:trPr>
        <w:tc>
          <w:tcPr>
            <w:tcW w:w="5000" w:type="pct"/>
            <w:gridSpan w:val="7"/>
            <w:vAlign w:val="center"/>
            <w:hideMark/>
          </w:tcPr>
          <w:p w14:paraId="7FD1A0DD" w14:textId="5A6331B9" w:rsidR="003923CE" w:rsidRDefault="003923CE" w:rsidP="003A69B8">
            <w:pPr>
              <w:pStyle w:val="TableText0"/>
              <w:keepNext w:val="0"/>
              <w:keepLines w:val="0"/>
            </w:pPr>
            <w:r w:rsidRPr="005F7058">
              <w:t>Treatment criteria:</w:t>
            </w:r>
            <w:r>
              <w:t xml:space="preserve"> </w:t>
            </w:r>
          </w:p>
          <w:p w14:paraId="2815435C" w14:textId="421F4D59" w:rsidR="003923CE" w:rsidRPr="005F7058" w:rsidRDefault="003923CE" w:rsidP="003A69B8">
            <w:pPr>
              <w:pStyle w:val="TableText0"/>
              <w:keepNext w:val="0"/>
              <w:keepLines w:val="0"/>
            </w:pPr>
            <w:r>
              <w:t xml:space="preserve">Must be treated by a consultant physician, </w:t>
            </w:r>
          </w:p>
        </w:tc>
      </w:tr>
      <w:tr w:rsidR="003923CE" w:rsidRPr="0098262F" w14:paraId="6AD07938" w14:textId="4B35FD58" w:rsidTr="003A69B8">
        <w:tblPrEx>
          <w:tblCellMar>
            <w:top w:w="15" w:type="dxa"/>
            <w:bottom w:w="15" w:type="dxa"/>
          </w:tblCellMar>
          <w:tblLook w:val="04A0" w:firstRow="1" w:lastRow="0" w:firstColumn="1" w:lastColumn="0" w:noHBand="0" w:noVBand="1"/>
        </w:tblPrEx>
        <w:trPr>
          <w:trHeight w:val="20"/>
        </w:trPr>
        <w:tc>
          <w:tcPr>
            <w:tcW w:w="5000" w:type="pct"/>
            <w:gridSpan w:val="7"/>
            <w:vAlign w:val="center"/>
            <w:hideMark/>
          </w:tcPr>
          <w:p w14:paraId="0DC8C8EA" w14:textId="2818670C" w:rsidR="003923CE" w:rsidRPr="005F7058" w:rsidRDefault="003923CE" w:rsidP="003A69B8">
            <w:pPr>
              <w:pStyle w:val="TableText0"/>
              <w:keepNext w:val="0"/>
              <w:keepLines w:val="0"/>
            </w:pPr>
            <w:r w:rsidRPr="005F7058">
              <w:t>Population criteria:</w:t>
            </w:r>
            <w:r>
              <w:t xml:space="preserve"> Patient must be aged 18 years or older</w:t>
            </w:r>
          </w:p>
        </w:tc>
      </w:tr>
      <w:tr w:rsidR="003923CE" w:rsidRPr="0098262F" w14:paraId="1C2BE1E6" w14:textId="279B0E05" w:rsidTr="003A69B8">
        <w:tblPrEx>
          <w:tblCellMar>
            <w:top w:w="15" w:type="dxa"/>
            <w:bottom w:w="15" w:type="dxa"/>
          </w:tblCellMar>
          <w:tblLook w:val="04A0" w:firstRow="1" w:lastRow="0" w:firstColumn="1" w:lastColumn="0" w:noHBand="0" w:noVBand="1"/>
        </w:tblPrEx>
        <w:trPr>
          <w:trHeight w:val="20"/>
        </w:trPr>
        <w:tc>
          <w:tcPr>
            <w:tcW w:w="5000" w:type="pct"/>
            <w:gridSpan w:val="7"/>
            <w:vAlign w:val="center"/>
            <w:hideMark/>
          </w:tcPr>
          <w:p w14:paraId="5AC74CBB" w14:textId="7B2417E3" w:rsidR="003923CE" w:rsidRDefault="003923CE" w:rsidP="003A69B8">
            <w:pPr>
              <w:pStyle w:val="TableText0"/>
              <w:keepNext w:val="0"/>
              <w:keepLines w:val="0"/>
            </w:pPr>
            <w:r>
              <w:t>Prescriber instructions:</w:t>
            </w:r>
          </w:p>
          <w:p w14:paraId="2AD797A6" w14:textId="73C4ED9F" w:rsidR="003923CE" w:rsidRPr="00FA2CEF" w:rsidRDefault="003923CE" w:rsidP="00523719">
            <w:pPr>
              <w:pStyle w:val="TableText0"/>
              <w:keepNext w:val="0"/>
              <w:keepLines w:val="0"/>
              <w:numPr>
                <w:ilvl w:val="0"/>
                <w:numId w:val="9"/>
              </w:numPr>
              <w:ind w:left="311" w:hanging="268"/>
            </w:pPr>
            <w:r w:rsidRPr="00FA2CEF">
              <w:t>Details of fracture history including the date(s), site(s), the symptoms associated with the fracture(s) and the score of the qualifying BMD measurement must be provided at the time of application.</w:t>
            </w:r>
          </w:p>
          <w:p w14:paraId="2BE17C7E" w14:textId="49B3A9D5" w:rsidR="003923CE" w:rsidRPr="00FA2CEF" w:rsidRDefault="003923CE" w:rsidP="00523719">
            <w:pPr>
              <w:pStyle w:val="TableText0"/>
              <w:keepNext w:val="0"/>
              <w:keepLines w:val="0"/>
              <w:numPr>
                <w:ilvl w:val="0"/>
                <w:numId w:val="9"/>
              </w:numPr>
              <w:ind w:left="311" w:hanging="268"/>
            </w:pPr>
            <w:r w:rsidRPr="00FA2CEF">
              <w:t xml:space="preserve">A vertebral fracture is defined as a 20% or greater reduction in height of the anterior or mid portion of a vertebral body relative to the posterior height of that body, </w:t>
            </w:r>
            <w:r w:rsidR="00CA7DDD" w:rsidRPr="00FA2CEF">
              <w:t>or</w:t>
            </w:r>
            <w:r w:rsidRPr="00FA2CEF">
              <w:t xml:space="preserve"> a 20% or greater reduction in any of these heights compared to the vertebral body above or below the affected vertebral body.</w:t>
            </w:r>
          </w:p>
          <w:p w14:paraId="0471C8AA" w14:textId="30A43BE8" w:rsidR="003923CE" w:rsidRPr="005F7058" w:rsidRDefault="003923CE" w:rsidP="00523719">
            <w:pPr>
              <w:pStyle w:val="TableText0"/>
              <w:keepNext w:val="0"/>
              <w:keepLines w:val="0"/>
              <w:numPr>
                <w:ilvl w:val="0"/>
                <w:numId w:val="9"/>
              </w:numPr>
              <w:ind w:left="311" w:hanging="268"/>
            </w:pPr>
            <w:r w:rsidRPr="00FA2CEF">
              <w:t>Anti-resorptive therapies for osteoporosis include alendronate sodium, risedronate sodium, raloxifene hydrochloride, denosumab and zoledronic acid.</w:t>
            </w:r>
          </w:p>
        </w:tc>
      </w:tr>
    </w:tbl>
    <w:p w14:paraId="6EA89E7E" w14:textId="0275AE63" w:rsidR="003923CE" w:rsidRDefault="003923CE" w:rsidP="003923CE">
      <w:pPr>
        <w:spacing w:before="60"/>
        <w:rPr>
          <w:rFonts w:ascii="Arial Narrow" w:hAnsi="Arial Narrow"/>
          <w:b/>
          <w:bCs/>
          <w:sz w:val="20"/>
          <w:szCs w:val="20"/>
        </w:rPr>
      </w:pPr>
    </w:p>
    <w:p w14:paraId="658B559C" w14:textId="77777777" w:rsidR="00CF6A65" w:rsidRDefault="00CF6A65">
      <w:pPr>
        <w:jc w:val="left"/>
        <w:rPr>
          <w:rFonts w:ascii="Arial Narrow" w:hAnsi="Arial Narrow"/>
          <w:b/>
          <w:bCs/>
          <w:sz w:val="20"/>
          <w:szCs w:val="20"/>
        </w:rPr>
      </w:pPr>
      <w:r>
        <w:rPr>
          <w:rFonts w:ascii="Arial Narrow" w:hAnsi="Arial Narrow"/>
          <w:b/>
          <w:bCs/>
          <w:sz w:val="20"/>
          <w:szCs w:val="20"/>
        </w:rPr>
        <w:br w:type="page"/>
      </w:r>
    </w:p>
    <w:p w14:paraId="18D298BE" w14:textId="471AADD3" w:rsidR="003923CE" w:rsidRPr="00AD4F7C" w:rsidRDefault="003923CE" w:rsidP="00304EDD">
      <w:pPr>
        <w:spacing w:before="60"/>
        <w:rPr>
          <w:rFonts w:ascii="Arial Narrow" w:hAnsi="Arial Narrow"/>
          <w:bCs/>
          <w:sz w:val="20"/>
          <w:szCs w:val="20"/>
        </w:rPr>
      </w:pPr>
      <w:r w:rsidRPr="00AD4F7C">
        <w:rPr>
          <w:rFonts w:ascii="Arial Narrow" w:hAnsi="Arial Narrow"/>
          <w:b/>
          <w:bCs/>
          <w:sz w:val="20"/>
          <w:szCs w:val="20"/>
        </w:rPr>
        <w:t xml:space="preserve">Requested listing </w:t>
      </w:r>
      <w:r>
        <w:rPr>
          <w:rFonts w:ascii="Arial Narrow" w:hAnsi="Arial Narrow"/>
          <w:b/>
          <w:bCs/>
          <w:sz w:val="20"/>
          <w:szCs w:val="20"/>
        </w:rPr>
        <w:t>–</w:t>
      </w:r>
      <w:r w:rsidRPr="00AD4F7C">
        <w:rPr>
          <w:rFonts w:ascii="Arial Narrow" w:hAnsi="Arial Narrow"/>
          <w:b/>
          <w:bCs/>
          <w:sz w:val="20"/>
          <w:szCs w:val="20"/>
        </w:rPr>
        <w:t xml:space="preserve"> </w:t>
      </w:r>
      <w:r>
        <w:rPr>
          <w:rFonts w:ascii="Arial Narrow" w:hAnsi="Arial Narrow"/>
          <w:b/>
          <w:bCs/>
          <w:sz w:val="20"/>
          <w:szCs w:val="20"/>
        </w:rPr>
        <w:t>continuing in patients with severe established osteoporosis with very high risk of fracture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Requested listing: continuing in patients"/>
      </w:tblPr>
      <w:tblGrid>
        <w:gridCol w:w="1986"/>
        <w:gridCol w:w="1228"/>
        <w:gridCol w:w="918"/>
        <w:gridCol w:w="1064"/>
        <w:gridCol w:w="1071"/>
        <w:gridCol w:w="1069"/>
        <w:gridCol w:w="1681"/>
      </w:tblGrid>
      <w:tr w:rsidR="003923CE" w:rsidRPr="00196231" w14:paraId="22FC25D8" w14:textId="05389424" w:rsidTr="007A3C9D">
        <w:trPr>
          <w:trHeight w:val="405"/>
          <w:tblHeader/>
        </w:trPr>
        <w:tc>
          <w:tcPr>
            <w:tcW w:w="1101" w:type="pct"/>
            <w:shd w:val="clear" w:color="auto" w:fill="FFFFFF" w:themeFill="background1"/>
            <w:hideMark/>
          </w:tcPr>
          <w:p w14:paraId="623A7535" w14:textId="18451026" w:rsidR="003923CE" w:rsidRPr="00196231" w:rsidRDefault="003923CE" w:rsidP="00304EDD">
            <w:pPr>
              <w:pStyle w:val="TableText0"/>
              <w:keepNext w:val="0"/>
              <w:keepLines w:val="0"/>
            </w:pPr>
            <w:r w:rsidRPr="00196231">
              <w:t>Name, restriction, manner of administration and form</w:t>
            </w:r>
          </w:p>
        </w:tc>
        <w:tc>
          <w:tcPr>
            <w:tcW w:w="681" w:type="pct"/>
            <w:shd w:val="clear" w:color="auto" w:fill="FFFFFF" w:themeFill="background1"/>
          </w:tcPr>
          <w:p w14:paraId="77AF5754" w14:textId="277A5512" w:rsidR="003923CE" w:rsidRPr="00196231" w:rsidRDefault="003923CE" w:rsidP="00304EDD">
            <w:pPr>
              <w:pStyle w:val="TableText0"/>
              <w:keepNext w:val="0"/>
              <w:keepLines w:val="0"/>
            </w:pPr>
            <w:r>
              <w:t>Treatment phase</w:t>
            </w:r>
          </w:p>
        </w:tc>
        <w:tc>
          <w:tcPr>
            <w:tcW w:w="509" w:type="pct"/>
            <w:shd w:val="clear" w:color="auto" w:fill="FFFFFF" w:themeFill="background1"/>
            <w:hideMark/>
          </w:tcPr>
          <w:p w14:paraId="1CB632FF" w14:textId="76B6522B" w:rsidR="003923CE" w:rsidRPr="00196231" w:rsidRDefault="003923CE" w:rsidP="00304EDD">
            <w:pPr>
              <w:pStyle w:val="TableText0"/>
              <w:keepNext w:val="0"/>
              <w:keepLines w:val="0"/>
            </w:pPr>
            <w:r w:rsidRPr="00196231">
              <w:t>Max Quantity (packs)</w:t>
            </w:r>
          </w:p>
        </w:tc>
        <w:tc>
          <w:tcPr>
            <w:tcW w:w="590" w:type="pct"/>
            <w:shd w:val="clear" w:color="auto" w:fill="FFFFFF" w:themeFill="background1"/>
          </w:tcPr>
          <w:p w14:paraId="14CF0F52" w14:textId="526AD71F" w:rsidR="003923CE" w:rsidRPr="00196231" w:rsidRDefault="003923CE" w:rsidP="00304EDD">
            <w:pPr>
              <w:pStyle w:val="TableText0"/>
              <w:keepNext w:val="0"/>
              <w:keepLines w:val="0"/>
            </w:pPr>
            <w:r w:rsidRPr="00196231">
              <w:t>Max Quantity (units)</w:t>
            </w:r>
          </w:p>
        </w:tc>
        <w:tc>
          <w:tcPr>
            <w:tcW w:w="594" w:type="pct"/>
            <w:shd w:val="clear" w:color="auto" w:fill="FFFFFF" w:themeFill="background1"/>
            <w:hideMark/>
          </w:tcPr>
          <w:p w14:paraId="668B767B" w14:textId="2C6432C8" w:rsidR="003923CE" w:rsidRPr="00196231" w:rsidRDefault="003923CE" w:rsidP="00304EDD">
            <w:pPr>
              <w:pStyle w:val="TableText0"/>
              <w:keepNext w:val="0"/>
              <w:keepLines w:val="0"/>
            </w:pPr>
            <w:r w:rsidRPr="00196231">
              <w:t>Number of repeats</w:t>
            </w:r>
          </w:p>
        </w:tc>
        <w:tc>
          <w:tcPr>
            <w:tcW w:w="593" w:type="pct"/>
            <w:shd w:val="clear" w:color="auto" w:fill="FFFFFF" w:themeFill="background1"/>
            <w:hideMark/>
          </w:tcPr>
          <w:p w14:paraId="0F4D47A5" w14:textId="71AC9CA4" w:rsidR="003923CE" w:rsidRDefault="003923CE" w:rsidP="00304EDD">
            <w:pPr>
              <w:pStyle w:val="TableText0"/>
              <w:keepNext w:val="0"/>
              <w:keepLines w:val="0"/>
            </w:pPr>
            <w:r>
              <w:t>DPMQ</w:t>
            </w:r>
          </w:p>
          <w:p w14:paraId="22C23B31" w14:textId="06022DF4" w:rsidR="003923CE" w:rsidRPr="00196231" w:rsidRDefault="003923CE" w:rsidP="00304EDD">
            <w:pPr>
              <w:pStyle w:val="TableText0"/>
              <w:keepNext w:val="0"/>
              <w:keepLines w:val="0"/>
            </w:pPr>
          </w:p>
        </w:tc>
        <w:tc>
          <w:tcPr>
            <w:tcW w:w="932" w:type="pct"/>
            <w:shd w:val="clear" w:color="auto" w:fill="FFFFFF" w:themeFill="background1"/>
            <w:hideMark/>
          </w:tcPr>
          <w:p w14:paraId="10658DC3" w14:textId="2F73B6CD" w:rsidR="003923CE" w:rsidRPr="00196231" w:rsidRDefault="003923CE" w:rsidP="00304EDD">
            <w:pPr>
              <w:pStyle w:val="TableText0"/>
              <w:keepNext w:val="0"/>
              <w:keepLines w:val="0"/>
            </w:pPr>
            <w:r w:rsidRPr="00196231">
              <w:t>Proprietary name and manufacturer</w:t>
            </w:r>
          </w:p>
        </w:tc>
      </w:tr>
      <w:tr w:rsidR="003923CE" w:rsidRPr="00196231" w14:paraId="27259DD9" w14:textId="3A2858D3" w:rsidTr="007A3C9D">
        <w:trPr>
          <w:trHeight w:val="224"/>
        </w:trPr>
        <w:tc>
          <w:tcPr>
            <w:tcW w:w="1101" w:type="pct"/>
            <w:vAlign w:val="center"/>
          </w:tcPr>
          <w:p w14:paraId="3E448531" w14:textId="6DC684CB" w:rsidR="003923CE" w:rsidRDefault="003923CE" w:rsidP="00304EDD">
            <w:pPr>
              <w:pStyle w:val="TableText0"/>
              <w:keepNext w:val="0"/>
              <w:keepLines w:val="0"/>
            </w:pPr>
            <w:r w:rsidRPr="003418AC">
              <w:t xml:space="preserve">Abaloparatide, </w:t>
            </w:r>
          </w:p>
          <w:p w14:paraId="65B68BB4" w14:textId="50B5E5DA" w:rsidR="003923CE" w:rsidRDefault="003923CE" w:rsidP="00304EDD">
            <w:pPr>
              <w:pStyle w:val="TableText0"/>
              <w:keepNext w:val="0"/>
              <w:keepLines w:val="0"/>
            </w:pPr>
            <w:r>
              <w:t>s</w:t>
            </w:r>
            <w:r w:rsidRPr="00786EA8">
              <w:t>evere established osteoporosis</w:t>
            </w:r>
            <w:r>
              <w:t xml:space="preserve">, </w:t>
            </w:r>
          </w:p>
          <w:p w14:paraId="271A6F9A" w14:textId="64BB143F" w:rsidR="003923CE" w:rsidRDefault="003923CE" w:rsidP="00304EDD">
            <w:pPr>
              <w:pStyle w:val="TableText0"/>
              <w:keepNext w:val="0"/>
              <w:keepLines w:val="0"/>
            </w:pPr>
            <w:r w:rsidRPr="003418AC">
              <w:t xml:space="preserve">2 </w:t>
            </w:r>
            <w:r>
              <w:t>m</w:t>
            </w:r>
            <w:r w:rsidRPr="003418AC">
              <w:t xml:space="preserve">g/mL injection, </w:t>
            </w:r>
          </w:p>
          <w:p w14:paraId="3C384069" w14:textId="620C856E" w:rsidR="003923CE" w:rsidRPr="00196231" w:rsidRDefault="003923CE" w:rsidP="00304EDD">
            <w:pPr>
              <w:pStyle w:val="TableText0"/>
              <w:keepNext w:val="0"/>
              <w:keepLines w:val="0"/>
            </w:pPr>
            <w:r w:rsidRPr="003418AC">
              <w:t>1.5 mL pre-filled pen</w:t>
            </w:r>
          </w:p>
        </w:tc>
        <w:tc>
          <w:tcPr>
            <w:tcW w:w="681" w:type="pct"/>
            <w:vAlign w:val="center"/>
          </w:tcPr>
          <w:p w14:paraId="550BD156" w14:textId="046857E5" w:rsidR="003923CE" w:rsidRDefault="003923CE" w:rsidP="00304EDD">
            <w:pPr>
              <w:pStyle w:val="TableText0"/>
              <w:keepNext w:val="0"/>
              <w:keepLines w:val="0"/>
            </w:pPr>
            <w:r>
              <w:t>Continuing</w:t>
            </w:r>
            <w:r w:rsidRPr="003418AC">
              <w:t xml:space="preserve"> –</w:t>
            </w:r>
            <w:r>
              <w:t xml:space="preserve"> </w:t>
            </w:r>
          </w:p>
          <w:p w14:paraId="416ABE3D" w14:textId="5C36BD96" w:rsidR="003923CE" w:rsidRPr="00196231" w:rsidRDefault="003923CE" w:rsidP="00304EDD">
            <w:pPr>
              <w:pStyle w:val="TableText0"/>
              <w:keepNext w:val="0"/>
              <w:keepLines w:val="0"/>
            </w:pPr>
            <w:r w:rsidRPr="003418AC">
              <w:t>first-line therapy</w:t>
            </w:r>
          </w:p>
        </w:tc>
        <w:tc>
          <w:tcPr>
            <w:tcW w:w="509" w:type="pct"/>
            <w:vAlign w:val="center"/>
          </w:tcPr>
          <w:p w14:paraId="3710F683" w14:textId="0A99A428" w:rsidR="003923CE" w:rsidRPr="00196231" w:rsidRDefault="003923CE" w:rsidP="00304EDD">
            <w:pPr>
              <w:pStyle w:val="TableText0"/>
              <w:keepNext w:val="0"/>
              <w:keepLines w:val="0"/>
            </w:pPr>
            <w:r>
              <w:t>1</w:t>
            </w:r>
          </w:p>
        </w:tc>
        <w:tc>
          <w:tcPr>
            <w:tcW w:w="590" w:type="pct"/>
            <w:vAlign w:val="center"/>
          </w:tcPr>
          <w:p w14:paraId="20CDDCF4" w14:textId="534194AD" w:rsidR="003923CE" w:rsidRPr="00196231" w:rsidRDefault="003923CE" w:rsidP="00304EDD">
            <w:pPr>
              <w:pStyle w:val="TableText0"/>
              <w:keepNext w:val="0"/>
              <w:keepLines w:val="0"/>
            </w:pPr>
            <w:r>
              <w:t>1</w:t>
            </w:r>
          </w:p>
        </w:tc>
        <w:tc>
          <w:tcPr>
            <w:tcW w:w="594" w:type="pct"/>
            <w:vAlign w:val="center"/>
          </w:tcPr>
          <w:p w14:paraId="14A23C8F" w14:textId="6D991CA9" w:rsidR="003923CE" w:rsidRPr="00196231" w:rsidRDefault="003923CE" w:rsidP="00304EDD">
            <w:pPr>
              <w:pStyle w:val="TableText0"/>
              <w:keepNext w:val="0"/>
              <w:keepLines w:val="0"/>
            </w:pPr>
            <w:r>
              <w:t>5</w:t>
            </w:r>
          </w:p>
        </w:tc>
        <w:tc>
          <w:tcPr>
            <w:tcW w:w="593" w:type="pct"/>
            <w:vAlign w:val="center"/>
          </w:tcPr>
          <w:p w14:paraId="2EF9EB1B" w14:textId="364604FF" w:rsidR="003923CE" w:rsidRPr="00196231" w:rsidRDefault="003923CE" w:rsidP="00304EDD">
            <w:pPr>
              <w:pStyle w:val="TableText0"/>
              <w:keepNext w:val="0"/>
              <w:keepLines w:val="0"/>
            </w:pPr>
            <w:r>
              <w:t>$</w:t>
            </w:r>
            <w:r w:rsidR="008C0C40">
              <w:rPr>
                <w:color w:val="000000"/>
                <w:spacing w:val="51"/>
                <w:shd w:val="solid" w:color="000000" w:fill="000000"/>
                <w:fitText w:val="326" w:id="-623673343"/>
                <w14:textFill>
                  <w14:solidFill>
                    <w14:srgbClr w14:val="000000">
                      <w14:alpha w14:val="100000"/>
                    </w14:srgbClr>
                  </w14:solidFill>
                </w14:textFill>
              </w:rPr>
              <w:t>|||</w:t>
            </w:r>
            <w:r w:rsidR="008C0C40">
              <w:rPr>
                <w:color w:val="000000"/>
                <w:spacing w:val="1"/>
                <w:shd w:val="solid" w:color="000000" w:fill="000000"/>
                <w:fitText w:val="326" w:id="-623673343"/>
                <w14:textFill>
                  <w14:solidFill>
                    <w14:srgbClr w14:val="000000">
                      <w14:alpha w14:val="100000"/>
                    </w14:srgbClr>
                  </w14:solidFill>
                </w14:textFill>
              </w:rPr>
              <w:t>|</w:t>
            </w:r>
          </w:p>
        </w:tc>
        <w:tc>
          <w:tcPr>
            <w:tcW w:w="932" w:type="pct"/>
            <w:vAlign w:val="center"/>
          </w:tcPr>
          <w:p w14:paraId="44BD2447" w14:textId="25C2B862" w:rsidR="003923CE" w:rsidRPr="00196231" w:rsidRDefault="003923CE" w:rsidP="00304EDD">
            <w:pPr>
              <w:pStyle w:val="TableText0"/>
              <w:keepNext w:val="0"/>
              <w:keepLines w:val="0"/>
            </w:pPr>
            <w:r w:rsidRPr="00D06A0C">
              <w:rPr>
                <w:lang w:val="es-ES"/>
              </w:rPr>
              <w:t>Eladynos – Theramex Australia Pty Ltd.</w:t>
            </w:r>
          </w:p>
        </w:tc>
      </w:tr>
      <w:tr w:rsidR="003923CE" w:rsidRPr="0098262F" w14:paraId="2DCCB4D1" w14:textId="5EDF9384" w:rsidTr="005224CD">
        <w:tblPrEx>
          <w:tblCellMar>
            <w:top w:w="15" w:type="dxa"/>
            <w:bottom w:w="15" w:type="dxa"/>
          </w:tblCellMar>
          <w:tblLook w:val="04A0" w:firstRow="1" w:lastRow="0" w:firstColumn="1" w:lastColumn="0" w:noHBand="0" w:noVBand="1"/>
        </w:tblPrEx>
        <w:trPr>
          <w:cantSplit/>
          <w:trHeight w:val="20"/>
        </w:trPr>
        <w:tc>
          <w:tcPr>
            <w:tcW w:w="5000" w:type="pct"/>
            <w:gridSpan w:val="7"/>
          </w:tcPr>
          <w:p w14:paraId="578BEB3F" w14:textId="25F2637E" w:rsidR="003923CE" w:rsidRPr="005F7058" w:rsidRDefault="003923CE" w:rsidP="00304EDD">
            <w:pPr>
              <w:pStyle w:val="TableText0"/>
              <w:keepNext w:val="0"/>
              <w:keepLines w:val="0"/>
            </w:pPr>
            <w:r w:rsidRPr="005F7058">
              <w:t xml:space="preserve">Category / Program: </w:t>
            </w:r>
            <w:r>
              <w:t>General (GE)</w:t>
            </w:r>
          </w:p>
        </w:tc>
      </w:tr>
      <w:tr w:rsidR="003923CE" w:rsidRPr="0098262F" w14:paraId="694F59BB" w14:textId="1DF903CB" w:rsidTr="005224CD">
        <w:tblPrEx>
          <w:tblCellMar>
            <w:top w:w="15" w:type="dxa"/>
            <w:bottom w:w="15" w:type="dxa"/>
          </w:tblCellMar>
          <w:tblLook w:val="04A0" w:firstRow="1" w:lastRow="0" w:firstColumn="1" w:lastColumn="0" w:noHBand="0" w:noVBand="1"/>
        </w:tblPrEx>
        <w:trPr>
          <w:cantSplit/>
          <w:trHeight w:val="20"/>
        </w:trPr>
        <w:tc>
          <w:tcPr>
            <w:tcW w:w="5000" w:type="pct"/>
            <w:gridSpan w:val="7"/>
          </w:tcPr>
          <w:p w14:paraId="2141831B" w14:textId="5511911E" w:rsidR="003923CE" w:rsidRPr="005F7058" w:rsidRDefault="003923CE" w:rsidP="00304EDD">
            <w:pPr>
              <w:pStyle w:val="TableText0"/>
              <w:keepNext w:val="0"/>
              <w:keepLines w:val="0"/>
            </w:pPr>
            <w:r w:rsidRPr="005F7058">
              <w:t xml:space="preserve">Prescriber type: </w:t>
            </w:r>
            <w:r w:rsidRPr="005F7058">
              <w:rPr>
                <w:bCs w:val="0"/>
              </w:rPr>
              <w:fldChar w:fldCharType="begin">
                <w:ffData>
                  <w:name w:val="Check1"/>
                  <w:enabled/>
                  <w:calcOnExit w:val="0"/>
                  <w:checkBox>
                    <w:sizeAuto/>
                    <w:default w:val="0"/>
                  </w:checkBox>
                </w:ffData>
              </w:fldChar>
            </w:r>
            <w:r w:rsidRPr="005F7058">
              <w:instrText xml:space="preserve"> FORMCHECKBOX </w:instrText>
            </w:r>
            <w:r w:rsidRPr="005F7058">
              <w:rPr>
                <w:bCs w:val="0"/>
              </w:rPr>
            </w:r>
            <w:r w:rsidRPr="005F7058">
              <w:rPr>
                <w:bCs w:val="0"/>
              </w:rPr>
              <w:fldChar w:fldCharType="separate"/>
            </w:r>
            <w:r w:rsidRPr="005F7058">
              <w:rPr>
                <w:bCs w:val="0"/>
              </w:rPr>
              <w:fldChar w:fldCharType="end"/>
            </w:r>
            <w:r w:rsidRPr="005F7058">
              <w:t xml:space="preserve">Dental </w:t>
            </w:r>
            <w:r w:rsidRPr="005F7058">
              <w:rPr>
                <w:bCs w:val="0"/>
              </w:rPr>
              <w:fldChar w:fldCharType="begin">
                <w:ffData>
                  <w:name w:val="Check5"/>
                  <w:enabled/>
                  <w:calcOnExit w:val="0"/>
                  <w:checkBox>
                    <w:sizeAuto/>
                    <w:default w:val="1"/>
                  </w:checkBox>
                </w:ffData>
              </w:fldChar>
            </w:r>
            <w:r w:rsidRPr="005F7058">
              <w:instrText xml:space="preserve"> FORMCHECKBOX </w:instrText>
            </w:r>
            <w:r w:rsidRPr="005F7058">
              <w:rPr>
                <w:bCs w:val="0"/>
              </w:rPr>
            </w:r>
            <w:r w:rsidRPr="005F7058">
              <w:rPr>
                <w:bCs w:val="0"/>
              </w:rPr>
              <w:fldChar w:fldCharType="separate"/>
            </w:r>
            <w:r w:rsidRPr="005F7058">
              <w:rPr>
                <w:bCs w:val="0"/>
              </w:rPr>
              <w:fldChar w:fldCharType="end"/>
            </w:r>
            <w:r w:rsidRPr="005F7058">
              <w:t xml:space="preserve">Medical Practitioners </w:t>
            </w:r>
            <w:r w:rsidRPr="005F7058">
              <w:rPr>
                <w:bCs w:val="0"/>
              </w:rPr>
              <w:fldChar w:fldCharType="begin">
                <w:ffData>
                  <w:name w:val="Check3"/>
                  <w:enabled/>
                  <w:calcOnExit w:val="0"/>
                  <w:checkBox>
                    <w:sizeAuto/>
                    <w:default w:val="0"/>
                  </w:checkBox>
                </w:ffData>
              </w:fldChar>
            </w:r>
            <w:r w:rsidRPr="005F7058">
              <w:instrText xml:space="preserve"> FORMCHECKBOX </w:instrText>
            </w:r>
            <w:r w:rsidRPr="005F7058">
              <w:rPr>
                <w:bCs w:val="0"/>
              </w:rPr>
            </w:r>
            <w:r w:rsidRPr="005F7058">
              <w:rPr>
                <w:bCs w:val="0"/>
              </w:rPr>
              <w:fldChar w:fldCharType="separate"/>
            </w:r>
            <w:r w:rsidRPr="005F7058">
              <w:rPr>
                <w:bCs w:val="0"/>
              </w:rPr>
              <w:fldChar w:fldCharType="end"/>
            </w:r>
            <w:r w:rsidRPr="005F7058">
              <w:t xml:space="preserve">Nurse practitioners </w:t>
            </w:r>
            <w:r w:rsidRPr="005F7058">
              <w:rPr>
                <w:bCs w:val="0"/>
              </w:rPr>
              <w:fldChar w:fldCharType="begin">
                <w:ffData>
                  <w:name w:val=""/>
                  <w:enabled/>
                  <w:calcOnExit w:val="0"/>
                  <w:checkBox>
                    <w:sizeAuto/>
                    <w:default w:val="0"/>
                  </w:checkBox>
                </w:ffData>
              </w:fldChar>
            </w:r>
            <w:r w:rsidRPr="005F7058">
              <w:instrText xml:space="preserve"> FORMCHECKBOX </w:instrText>
            </w:r>
            <w:r w:rsidRPr="005F7058">
              <w:rPr>
                <w:bCs w:val="0"/>
              </w:rPr>
            </w:r>
            <w:r w:rsidRPr="005F7058">
              <w:rPr>
                <w:bCs w:val="0"/>
              </w:rPr>
              <w:fldChar w:fldCharType="separate"/>
            </w:r>
            <w:r w:rsidRPr="005F7058">
              <w:rPr>
                <w:bCs w:val="0"/>
              </w:rPr>
              <w:fldChar w:fldCharType="end"/>
            </w:r>
            <w:r w:rsidRPr="005F7058">
              <w:t xml:space="preserve">Optometrists </w:t>
            </w:r>
            <w:r w:rsidRPr="005F7058">
              <w:rPr>
                <w:bCs w:val="0"/>
              </w:rPr>
              <w:fldChar w:fldCharType="begin">
                <w:ffData>
                  <w:name w:val="Check5"/>
                  <w:enabled/>
                  <w:calcOnExit w:val="0"/>
                  <w:checkBox>
                    <w:sizeAuto/>
                    <w:default w:val="0"/>
                  </w:checkBox>
                </w:ffData>
              </w:fldChar>
            </w:r>
            <w:r w:rsidRPr="005F7058">
              <w:instrText xml:space="preserve"> FORMCHECKBOX </w:instrText>
            </w:r>
            <w:r w:rsidRPr="005F7058">
              <w:rPr>
                <w:bCs w:val="0"/>
              </w:rPr>
            </w:r>
            <w:r w:rsidRPr="005F7058">
              <w:rPr>
                <w:bCs w:val="0"/>
              </w:rPr>
              <w:fldChar w:fldCharType="separate"/>
            </w:r>
            <w:r w:rsidRPr="005F7058">
              <w:rPr>
                <w:bCs w:val="0"/>
              </w:rPr>
              <w:fldChar w:fldCharType="end"/>
            </w:r>
            <w:r w:rsidRPr="005F7058">
              <w:t>Midwives</w:t>
            </w:r>
          </w:p>
        </w:tc>
      </w:tr>
      <w:tr w:rsidR="003923CE" w:rsidRPr="0098262F" w14:paraId="02045C5B" w14:textId="7C62B9C9" w:rsidTr="005224CD">
        <w:tblPrEx>
          <w:tblCellMar>
            <w:top w:w="15" w:type="dxa"/>
            <w:bottom w:w="15" w:type="dxa"/>
          </w:tblCellMar>
          <w:tblLook w:val="04A0" w:firstRow="1" w:lastRow="0" w:firstColumn="1" w:lastColumn="0" w:noHBand="0" w:noVBand="1"/>
        </w:tblPrEx>
        <w:trPr>
          <w:cantSplit/>
          <w:trHeight w:val="20"/>
        </w:trPr>
        <w:tc>
          <w:tcPr>
            <w:tcW w:w="5000" w:type="pct"/>
            <w:gridSpan w:val="7"/>
          </w:tcPr>
          <w:p w14:paraId="24323A3F" w14:textId="620782D4" w:rsidR="003923CE" w:rsidRDefault="003923CE" w:rsidP="00304EDD">
            <w:pPr>
              <w:pStyle w:val="TableText0"/>
              <w:keepNext w:val="0"/>
              <w:keepLines w:val="0"/>
            </w:pPr>
            <w:r w:rsidRPr="005F7058">
              <w:t>Restriction type:</w:t>
            </w:r>
            <w:r w:rsidRPr="005F7058">
              <w:rPr>
                <w:color w:val="0066FF"/>
              </w:rPr>
              <w:br/>
            </w:r>
            <w:r w:rsidRPr="005F7058">
              <w:rPr>
                <w:bCs w:val="0"/>
              </w:rPr>
              <w:fldChar w:fldCharType="begin">
                <w:ffData>
                  <w:name w:val="Check1"/>
                  <w:enabled/>
                  <w:calcOnExit w:val="0"/>
                  <w:checkBox>
                    <w:sizeAuto/>
                    <w:default w:val="0"/>
                  </w:checkBox>
                </w:ffData>
              </w:fldChar>
            </w:r>
            <w:r w:rsidRPr="005F7058">
              <w:instrText xml:space="preserve"> FORMCHECKBOX </w:instrText>
            </w:r>
            <w:r w:rsidRPr="005F7058">
              <w:rPr>
                <w:bCs w:val="0"/>
              </w:rPr>
            </w:r>
            <w:r w:rsidRPr="005F7058">
              <w:rPr>
                <w:bCs w:val="0"/>
              </w:rPr>
              <w:fldChar w:fldCharType="separate"/>
            </w:r>
            <w:r w:rsidRPr="005F7058">
              <w:rPr>
                <w:bCs w:val="0"/>
              </w:rPr>
              <w:fldChar w:fldCharType="end"/>
            </w:r>
            <w:r w:rsidRPr="005F7058">
              <w:t>Restricted benefit</w:t>
            </w:r>
          </w:p>
          <w:p w14:paraId="35F13829" w14:textId="5BE1B17C" w:rsidR="003923CE" w:rsidRPr="005F7058" w:rsidRDefault="003923CE" w:rsidP="00304EDD">
            <w:pPr>
              <w:pStyle w:val="TableText0"/>
              <w:keepNext w:val="0"/>
              <w:keepLines w:val="0"/>
            </w:pPr>
            <w:r w:rsidRPr="00FA2CEF">
              <w:rPr>
                <w:bCs w:val="0"/>
              </w:rPr>
              <w:fldChar w:fldCharType="begin">
                <w:ffData>
                  <w:name w:val=""/>
                  <w:enabled/>
                  <w:calcOnExit w:val="0"/>
                  <w:checkBox>
                    <w:sizeAuto/>
                    <w:default w:val="0"/>
                  </w:checkBox>
                </w:ffData>
              </w:fldChar>
            </w:r>
            <w:r w:rsidRPr="00FA2CEF">
              <w:instrText xml:space="preserve"> FORMCHECKBOX </w:instrText>
            </w:r>
            <w:r w:rsidRPr="00FA2CEF">
              <w:rPr>
                <w:bCs w:val="0"/>
              </w:rPr>
            </w:r>
            <w:r w:rsidRPr="00FA2CEF">
              <w:rPr>
                <w:bCs w:val="0"/>
              </w:rPr>
              <w:fldChar w:fldCharType="separate"/>
            </w:r>
            <w:r w:rsidRPr="00FA2CEF">
              <w:rPr>
                <w:bCs w:val="0"/>
              </w:rPr>
              <w:fldChar w:fldCharType="end"/>
            </w:r>
            <w:r w:rsidRPr="00FA2CEF">
              <w:t>Authority Required</w:t>
            </w:r>
            <w:r>
              <w:t xml:space="preserve"> – In writing</w:t>
            </w:r>
            <w:r w:rsidRPr="005F7058">
              <w:br/>
            </w:r>
            <w:r w:rsidRPr="005F7058">
              <w:rPr>
                <w:bCs w:val="0"/>
              </w:rPr>
              <w:fldChar w:fldCharType="begin">
                <w:ffData>
                  <w:name w:val=""/>
                  <w:enabled/>
                  <w:calcOnExit w:val="0"/>
                  <w:checkBox>
                    <w:sizeAuto/>
                    <w:default w:val="0"/>
                  </w:checkBox>
                </w:ffData>
              </w:fldChar>
            </w:r>
            <w:r w:rsidRPr="005F7058">
              <w:instrText xml:space="preserve"> FORMCHECKBOX </w:instrText>
            </w:r>
            <w:r w:rsidRPr="005F7058">
              <w:rPr>
                <w:bCs w:val="0"/>
              </w:rPr>
            </w:r>
            <w:r w:rsidRPr="005F7058">
              <w:rPr>
                <w:bCs w:val="0"/>
              </w:rPr>
              <w:fldChar w:fldCharType="separate"/>
            </w:r>
            <w:r w:rsidRPr="005F7058">
              <w:rPr>
                <w:bCs w:val="0"/>
              </w:rPr>
              <w:fldChar w:fldCharType="end"/>
            </w:r>
            <w:r w:rsidRPr="005F7058">
              <w:t xml:space="preserve">Authority Required (STREAMLINED) </w:t>
            </w:r>
            <w:r w:rsidRPr="005F7058">
              <w:br/>
            </w:r>
            <w:r w:rsidRPr="005F7058">
              <w:rPr>
                <w:bCs w:val="0"/>
              </w:rPr>
              <w:fldChar w:fldCharType="begin">
                <w:ffData>
                  <w:name w:val="Check5"/>
                  <w:enabled/>
                  <w:calcOnExit w:val="0"/>
                  <w:checkBox>
                    <w:sizeAuto/>
                    <w:default w:val="1"/>
                  </w:checkBox>
                </w:ffData>
              </w:fldChar>
            </w:r>
            <w:r w:rsidRPr="005F7058">
              <w:instrText xml:space="preserve"> FORMCHECKBOX </w:instrText>
            </w:r>
            <w:r w:rsidRPr="005F7058">
              <w:rPr>
                <w:bCs w:val="0"/>
              </w:rPr>
            </w:r>
            <w:r w:rsidRPr="005F7058">
              <w:rPr>
                <w:bCs w:val="0"/>
              </w:rPr>
              <w:fldChar w:fldCharType="separate"/>
            </w:r>
            <w:r w:rsidRPr="005F7058">
              <w:rPr>
                <w:bCs w:val="0"/>
              </w:rPr>
              <w:fldChar w:fldCharType="end"/>
            </w:r>
            <w:r w:rsidRPr="005F7058">
              <w:t>Authority Required (telephone/</w:t>
            </w:r>
            <w:r>
              <w:t>electronic</w:t>
            </w:r>
            <w:r w:rsidRPr="005F7058">
              <w:t xml:space="preserve">) </w:t>
            </w:r>
          </w:p>
        </w:tc>
      </w:tr>
      <w:tr w:rsidR="003923CE" w:rsidRPr="0098262F" w14:paraId="502A7849" w14:textId="0AAA392D" w:rsidTr="005224CD">
        <w:tblPrEx>
          <w:tblCellMar>
            <w:top w:w="15" w:type="dxa"/>
            <w:bottom w:w="15" w:type="dxa"/>
          </w:tblCellMar>
          <w:tblLook w:val="04A0" w:firstRow="1" w:lastRow="0" w:firstColumn="1" w:lastColumn="0" w:noHBand="0" w:noVBand="1"/>
        </w:tblPrEx>
        <w:trPr>
          <w:cantSplit/>
          <w:trHeight w:val="20"/>
        </w:trPr>
        <w:tc>
          <w:tcPr>
            <w:tcW w:w="5000" w:type="pct"/>
            <w:gridSpan w:val="7"/>
          </w:tcPr>
          <w:p w14:paraId="7C57D244" w14:textId="71BA1450" w:rsidR="003923CE" w:rsidRPr="005F7058" w:rsidRDefault="003923CE" w:rsidP="00304EDD">
            <w:pPr>
              <w:pStyle w:val="TableText0"/>
              <w:keepNext w:val="0"/>
              <w:keepLines w:val="0"/>
            </w:pPr>
            <w:r>
              <w:t>Condition: Severe established osteoporosis</w:t>
            </w:r>
          </w:p>
        </w:tc>
      </w:tr>
      <w:tr w:rsidR="003923CE" w:rsidRPr="0098262F" w14:paraId="4ED93306" w14:textId="139E35EC" w:rsidTr="005224CD">
        <w:tblPrEx>
          <w:tblCellMar>
            <w:top w:w="15" w:type="dxa"/>
            <w:bottom w:w="15" w:type="dxa"/>
          </w:tblCellMar>
          <w:tblLook w:val="04A0" w:firstRow="1" w:lastRow="0" w:firstColumn="1" w:lastColumn="0" w:noHBand="0" w:noVBand="1"/>
        </w:tblPrEx>
        <w:trPr>
          <w:cantSplit/>
          <w:trHeight w:val="20"/>
        </w:trPr>
        <w:tc>
          <w:tcPr>
            <w:tcW w:w="5000" w:type="pct"/>
            <w:gridSpan w:val="7"/>
          </w:tcPr>
          <w:p w14:paraId="08556390" w14:textId="67BB32F1" w:rsidR="003923CE" w:rsidRDefault="003923CE" w:rsidP="00304EDD">
            <w:pPr>
              <w:pStyle w:val="TableText0"/>
              <w:keepNext w:val="0"/>
              <w:keepLines w:val="0"/>
            </w:pPr>
            <w:r>
              <w:t>PBS indication: severe established osteoporosis</w:t>
            </w:r>
          </w:p>
        </w:tc>
      </w:tr>
      <w:tr w:rsidR="003923CE" w:rsidRPr="0098262F" w14:paraId="4B490AA4" w14:textId="56921534" w:rsidTr="005224CD">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14:paraId="7D87515B" w14:textId="3AB1EB06" w:rsidR="003923CE" w:rsidRPr="005F7058" w:rsidRDefault="003923CE" w:rsidP="00304EDD">
            <w:pPr>
              <w:pStyle w:val="TableText0"/>
              <w:keepNext w:val="0"/>
              <w:keepLines w:val="0"/>
            </w:pPr>
            <w:r w:rsidRPr="005F7058">
              <w:t xml:space="preserve">Treatment Phase: </w:t>
            </w:r>
            <w:r>
              <w:t>continuing treatment</w:t>
            </w:r>
            <w:r w:rsidRPr="005F7058">
              <w:t xml:space="preserve"> (</w:t>
            </w:r>
            <w:r>
              <w:t>first-line therapy)</w:t>
            </w:r>
          </w:p>
        </w:tc>
      </w:tr>
      <w:tr w:rsidR="003923CE" w:rsidRPr="0098262F" w14:paraId="71DE668A" w14:textId="69E93311" w:rsidTr="005224CD">
        <w:tblPrEx>
          <w:tblCellMar>
            <w:top w:w="15" w:type="dxa"/>
            <w:bottom w:w="15" w:type="dxa"/>
          </w:tblCellMar>
          <w:tblLook w:val="04A0" w:firstRow="1" w:lastRow="0" w:firstColumn="1" w:lastColumn="0" w:noHBand="0" w:noVBand="1"/>
        </w:tblPrEx>
        <w:trPr>
          <w:cantSplit/>
          <w:trHeight w:val="998"/>
        </w:trPr>
        <w:tc>
          <w:tcPr>
            <w:tcW w:w="5000" w:type="pct"/>
            <w:gridSpan w:val="7"/>
            <w:hideMark/>
          </w:tcPr>
          <w:p w14:paraId="4C2A15B6" w14:textId="7F28691F" w:rsidR="003923CE" w:rsidRPr="005F7058" w:rsidRDefault="003923CE" w:rsidP="00304EDD">
            <w:pPr>
              <w:pStyle w:val="TableText0"/>
              <w:keepNext w:val="0"/>
              <w:keepLines w:val="0"/>
            </w:pPr>
            <w:r w:rsidRPr="005F7058">
              <w:t>Clinical criteria:</w:t>
            </w:r>
          </w:p>
          <w:p w14:paraId="058FC2AF" w14:textId="1F7EFBC3" w:rsidR="003923CE" w:rsidRPr="003A739D" w:rsidRDefault="003923CE" w:rsidP="00304EDD">
            <w:pPr>
              <w:pStyle w:val="TableText0"/>
              <w:keepNext w:val="0"/>
              <w:keepLines w:val="0"/>
              <w:rPr>
                <w:lang w:val="en-GB"/>
              </w:rPr>
            </w:pPr>
            <w:r w:rsidRPr="00FA2CEF">
              <w:t xml:space="preserve">Patient must </w:t>
            </w:r>
            <w:r w:rsidRPr="003A739D">
              <w:rPr>
                <w:lang w:val="en-GB"/>
              </w:rPr>
              <w:t>have previously received PBS-subsidised treatment with this drug for this condition as first-line therapy,</w:t>
            </w:r>
          </w:p>
          <w:p w14:paraId="772C65B3" w14:textId="75461717" w:rsidR="003923CE" w:rsidRPr="003A739D" w:rsidRDefault="003923CE" w:rsidP="00304EDD">
            <w:pPr>
              <w:pStyle w:val="TableText0"/>
              <w:keepNext w:val="0"/>
              <w:keepLines w:val="0"/>
              <w:rPr>
                <w:lang w:val="en-GB"/>
              </w:rPr>
            </w:pPr>
            <w:r w:rsidRPr="003A739D">
              <w:rPr>
                <w:lang w:val="en-GB"/>
              </w:rPr>
              <w:t>AND</w:t>
            </w:r>
          </w:p>
          <w:p w14:paraId="7D4671B8" w14:textId="7BCCD71B" w:rsidR="003923CE" w:rsidRPr="003A739D" w:rsidRDefault="003923CE" w:rsidP="00304EDD">
            <w:pPr>
              <w:pStyle w:val="TableText0"/>
              <w:keepNext w:val="0"/>
              <w:keepLines w:val="0"/>
              <w:rPr>
                <w:lang w:val="en-GB"/>
              </w:rPr>
            </w:pPr>
            <w:r w:rsidRPr="003A739D">
              <w:rPr>
                <w:lang w:val="en-GB"/>
              </w:rPr>
              <w:t>The treatment must be the sole PBS-subsidised therapy for this condition,</w:t>
            </w:r>
          </w:p>
          <w:p w14:paraId="12859D0D" w14:textId="4D63092F" w:rsidR="003923CE" w:rsidRPr="003A739D" w:rsidRDefault="003923CE" w:rsidP="00304EDD">
            <w:pPr>
              <w:pStyle w:val="TableText0"/>
              <w:keepNext w:val="0"/>
              <w:keepLines w:val="0"/>
              <w:rPr>
                <w:lang w:val="en-GB"/>
              </w:rPr>
            </w:pPr>
            <w:r w:rsidRPr="003A739D">
              <w:rPr>
                <w:lang w:val="en-GB"/>
              </w:rPr>
              <w:t>AND</w:t>
            </w:r>
          </w:p>
          <w:p w14:paraId="2AE6C348" w14:textId="7DF638AD" w:rsidR="003923CE" w:rsidRPr="005F7058" w:rsidRDefault="003923CE" w:rsidP="00304EDD">
            <w:pPr>
              <w:pStyle w:val="TableText0"/>
              <w:keepNext w:val="0"/>
              <w:keepLines w:val="0"/>
            </w:pPr>
            <w:r w:rsidRPr="003A739D">
              <w:t>The treatment must not exceed a lifetime maximum of 18 months of PBS and non-PBS-subsidised therapy.</w:t>
            </w:r>
          </w:p>
        </w:tc>
      </w:tr>
      <w:tr w:rsidR="003923CE" w:rsidRPr="0098262F" w14:paraId="2F6B332C" w14:textId="2C688B5B" w:rsidTr="005224CD">
        <w:tblPrEx>
          <w:tblCellMar>
            <w:top w:w="15" w:type="dxa"/>
            <w:bottom w:w="15" w:type="dxa"/>
          </w:tblCellMar>
          <w:tblLook w:val="04A0" w:firstRow="1" w:lastRow="0" w:firstColumn="1" w:lastColumn="0" w:noHBand="0" w:noVBand="1"/>
        </w:tblPrEx>
        <w:trPr>
          <w:cantSplit/>
          <w:trHeight w:val="499"/>
        </w:trPr>
        <w:tc>
          <w:tcPr>
            <w:tcW w:w="5000" w:type="pct"/>
            <w:gridSpan w:val="7"/>
            <w:vAlign w:val="center"/>
            <w:hideMark/>
          </w:tcPr>
          <w:p w14:paraId="7C109D9C" w14:textId="021FF616" w:rsidR="003923CE" w:rsidRDefault="003923CE" w:rsidP="00304EDD">
            <w:pPr>
              <w:pStyle w:val="TableText0"/>
              <w:keepNext w:val="0"/>
              <w:keepLines w:val="0"/>
            </w:pPr>
            <w:r w:rsidRPr="005F7058">
              <w:t>Treatment criteria:</w:t>
            </w:r>
            <w:r>
              <w:t xml:space="preserve"> </w:t>
            </w:r>
          </w:p>
          <w:p w14:paraId="247B7604" w14:textId="004DCCCB" w:rsidR="003923CE" w:rsidRPr="005F7058" w:rsidRDefault="003923CE" w:rsidP="00304EDD">
            <w:pPr>
              <w:pStyle w:val="TableText0"/>
              <w:keepNext w:val="0"/>
              <w:keepLines w:val="0"/>
            </w:pPr>
            <w:r>
              <w:t>Must be treated by a medical practitioner identifying as either: (i) a consultant physician, (ii) a general practitioner</w:t>
            </w:r>
            <w:r w:rsidR="00306E37">
              <w:t xml:space="preserve"> </w:t>
            </w:r>
          </w:p>
        </w:tc>
      </w:tr>
      <w:tr w:rsidR="003923CE" w:rsidRPr="0098262F" w14:paraId="3F7E77B7" w14:textId="5B2E9573" w:rsidTr="005224CD">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14:paraId="3E96EFE8" w14:textId="7B2525F8" w:rsidR="003923CE" w:rsidRPr="005F7058" w:rsidRDefault="003923CE" w:rsidP="00304EDD">
            <w:pPr>
              <w:pStyle w:val="TableText0"/>
              <w:keepNext w:val="0"/>
              <w:keepLines w:val="0"/>
            </w:pPr>
            <w:r w:rsidRPr="005F7058">
              <w:t>Population criteria:</w:t>
            </w:r>
            <w:r>
              <w:t xml:space="preserve"> Patient must be aged 18 years or older</w:t>
            </w:r>
          </w:p>
        </w:tc>
      </w:tr>
      <w:tr w:rsidR="003923CE" w:rsidRPr="0098262F" w14:paraId="13FFBC3C" w14:textId="1FF87E81" w:rsidTr="005224CD">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14:paraId="71C3788D" w14:textId="165633F3" w:rsidR="003923CE" w:rsidRDefault="003923CE" w:rsidP="00304EDD">
            <w:pPr>
              <w:pStyle w:val="TableText0"/>
              <w:keepNext w:val="0"/>
              <w:keepLines w:val="0"/>
            </w:pPr>
            <w:r>
              <w:t>Prescriber instructions:</w:t>
            </w:r>
          </w:p>
          <w:p w14:paraId="72F4A797" w14:textId="52ADFF08" w:rsidR="003923CE" w:rsidRPr="00FA2CEF" w:rsidRDefault="003923CE" w:rsidP="00304EDD">
            <w:pPr>
              <w:pStyle w:val="TableText0"/>
              <w:keepNext w:val="0"/>
              <w:keepLines w:val="0"/>
              <w:numPr>
                <w:ilvl w:val="0"/>
                <w:numId w:val="9"/>
              </w:numPr>
              <w:ind w:left="311" w:hanging="268"/>
            </w:pPr>
            <w:r w:rsidRPr="00FA2CEF">
              <w:t>Details of fracture history including the date(s), site(s), the symptoms associated with the fracture(s) and the score of the qualifying BMD measurement must be provided at the time of application.</w:t>
            </w:r>
          </w:p>
          <w:p w14:paraId="2ECE3B20" w14:textId="25004EAA" w:rsidR="003923CE" w:rsidRPr="00FA2CEF" w:rsidRDefault="003923CE" w:rsidP="00304EDD">
            <w:pPr>
              <w:pStyle w:val="TableText0"/>
              <w:keepNext w:val="0"/>
              <w:keepLines w:val="0"/>
              <w:numPr>
                <w:ilvl w:val="0"/>
                <w:numId w:val="9"/>
              </w:numPr>
              <w:ind w:left="311" w:hanging="268"/>
            </w:pPr>
            <w:r w:rsidRPr="00FA2CEF">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p w14:paraId="38BF0A6D" w14:textId="4221A660" w:rsidR="003923CE" w:rsidRPr="005F7058" w:rsidRDefault="003923CE" w:rsidP="00304EDD">
            <w:pPr>
              <w:pStyle w:val="TableText0"/>
              <w:keepNext w:val="0"/>
              <w:keepLines w:val="0"/>
              <w:numPr>
                <w:ilvl w:val="0"/>
                <w:numId w:val="9"/>
              </w:numPr>
              <w:ind w:left="311" w:hanging="268"/>
            </w:pPr>
            <w:r w:rsidRPr="00FA2CEF">
              <w:t>Anti-resorptive therapies for osteoporosis include alendronate sodium, risedronate sodium, raloxifene hydrochloride, denosumab and zoledronic acid.</w:t>
            </w:r>
          </w:p>
        </w:tc>
      </w:tr>
    </w:tbl>
    <w:p w14:paraId="04BF9F32" w14:textId="4332B28D" w:rsidR="007D0D3C" w:rsidRPr="00FD21F7" w:rsidRDefault="007D0D3C" w:rsidP="000B0AB8">
      <w:pPr>
        <w:pStyle w:val="3-BodyText"/>
        <w:spacing w:before="240"/>
      </w:pPr>
      <w:r w:rsidRPr="00FD21F7">
        <w:t xml:space="preserve">The </w:t>
      </w:r>
      <w:r w:rsidR="00ED6B26" w:rsidRPr="00FD21F7">
        <w:t>submission</w:t>
      </w:r>
      <w:r w:rsidRPr="00FD21F7">
        <w:t xml:space="preserve"> proposed</w:t>
      </w:r>
      <w:r w:rsidR="001106B5" w:rsidRPr="00FD21F7">
        <w:t xml:space="preserve"> to list</w:t>
      </w:r>
      <w:r w:rsidRPr="00FD21F7">
        <w:t xml:space="preserve"> abaloparatide </w:t>
      </w:r>
      <w:r w:rsidR="00350EBD" w:rsidRPr="00FD21F7">
        <w:t xml:space="preserve">on </w:t>
      </w:r>
      <w:r w:rsidRPr="00FD21F7">
        <w:t xml:space="preserve">the General </w:t>
      </w:r>
      <w:r w:rsidR="008D78EC" w:rsidRPr="00FD21F7">
        <w:t>S</w:t>
      </w:r>
      <w:r w:rsidRPr="00FD21F7">
        <w:t xml:space="preserve">chedule for </w:t>
      </w:r>
      <w:r w:rsidR="00A10D6B" w:rsidRPr="00FD21F7">
        <w:t>patients</w:t>
      </w:r>
      <w:r w:rsidR="00C81813" w:rsidRPr="00FD21F7">
        <w:t xml:space="preserve"> </w:t>
      </w:r>
      <w:r w:rsidRPr="00FD21F7">
        <w:t>with severe established osteoporosis and very high risk of fracture</w:t>
      </w:r>
      <w:r w:rsidR="008D78EC" w:rsidRPr="00FD21F7">
        <w:t>. Th</w:t>
      </w:r>
      <w:r w:rsidR="00350EBD" w:rsidRPr="00FD21F7">
        <w:t>e request for a gender agnostic listing</w:t>
      </w:r>
      <w:r w:rsidRPr="00FD21F7">
        <w:t xml:space="preserve"> align</w:t>
      </w:r>
      <w:r w:rsidR="007C420C">
        <w:t>ed</w:t>
      </w:r>
      <w:r w:rsidRPr="00FD21F7">
        <w:t xml:space="preserve"> with the current PBS restriction for romosozumab</w:t>
      </w:r>
      <w:r w:rsidR="00B26BBE" w:rsidRPr="00FD21F7">
        <w:t xml:space="preserve"> in the </w:t>
      </w:r>
      <w:r w:rsidR="0066698C" w:rsidRPr="00FD21F7">
        <w:t>first line</w:t>
      </w:r>
      <w:r w:rsidR="00B26BBE" w:rsidRPr="00FD21F7">
        <w:t xml:space="preserve"> setting</w:t>
      </w:r>
      <w:r w:rsidRPr="00FD21F7">
        <w:t xml:space="preserve">. However, abaloparatide is currently </w:t>
      </w:r>
      <w:r w:rsidR="008D78EC" w:rsidRPr="00FD21F7">
        <w:t xml:space="preserve">TGA </w:t>
      </w:r>
      <w:r w:rsidRPr="00FD21F7">
        <w:t>approved for use in postmenopausal women with increased risk of fracture</w:t>
      </w:r>
      <w:r w:rsidR="007C5D15" w:rsidRPr="00FD21F7">
        <w:t>,</w:t>
      </w:r>
      <w:r w:rsidRPr="00FD21F7">
        <w:t xml:space="preserve"> but not in </w:t>
      </w:r>
      <w:r w:rsidR="00AC1111" w:rsidRPr="00FD21F7">
        <w:t xml:space="preserve">premenopausal women, or in </w:t>
      </w:r>
      <w:r w:rsidRPr="00FD21F7">
        <w:t xml:space="preserve">men, </w:t>
      </w:r>
      <w:r w:rsidR="008D78EC" w:rsidRPr="00FD21F7">
        <w:t>whereas</w:t>
      </w:r>
      <w:r w:rsidRPr="00FD21F7">
        <w:t xml:space="preserve"> romosozumab has been </w:t>
      </w:r>
      <w:r w:rsidR="008D78EC" w:rsidRPr="00FD21F7">
        <w:t xml:space="preserve">TGA </w:t>
      </w:r>
      <w:r w:rsidRPr="00FD21F7">
        <w:t>approved for use in</w:t>
      </w:r>
      <w:r w:rsidR="006A6532" w:rsidRPr="00FD21F7">
        <w:t xml:space="preserve"> both</w:t>
      </w:r>
      <w:r w:rsidRPr="00FD21F7">
        <w:t xml:space="preserve"> men</w:t>
      </w:r>
      <w:r w:rsidR="006A6532" w:rsidRPr="00FD21F7">
        <w:t xml:space="preserve"> and </w:t>
      </w:r>
      <w:r w:rsidR="00842EDA" w:rsidRPr="00FD21F7">
        <w:t xml:space="preserve">postmenopausal </w:t>
      </w:r>
      <w:r w:rsidR="006A6532" w:rsidRPr="00FD21F7">
        <w:t>women</w:t>
      </w:r>
      <w:r w:rsidRPr="00FD21F7">
        <w:t xml:space="preserve"> with osteoporosis at high risk of fracture.</w:t>
      </w:r>
      <w:r w:rsidR="00313F3B" w:rsidRPr="00FD21F7">
        <w:t xml:space="preserve"> (</w:t>
      </w:r>
      <w:r w:rsidR="007E4C97" w:rsidRPr="00FD21F7">
        <w:t>A</w:t>
      </w:r>
      <w:r w:rsidR="00313F3B" w:rsidRPr="00FD21F7">
        <w:t xml:space="preserve"> comparison of aba</w:t>
      </w:r>
      <w:r w:rsidR="001D1385" w:rsidRPr="00FD21F7">
        <w:t>loparatide and romosozumab in men was provided in the submission</w:t>
      </w:r>
      <w:r w:rsidR="0047673A" w:rsidRPr="00FD21F7">
        <w:t>. Both abaloparatide and romosozumab provided statistically significantly greater improvement from baseline BMD scores versus placebo</w:t>
      </w:r>
      <w:r w:rsidR="00FD5868" w:rsidRPr="00FD21F7">
        <w:t>).</w:t>
      </w:r>
      <w:r w:rsidR="00AD2F2A" w:rsidRPr="00FD21F7">
        <w:t xml:space="preserve"> The </w:t>
      </w:r>
      <w:r w:rsidR="006165A7">
        <w:t>Pre-Sub Committee Response (</w:t>
      </w:r>
      <w:r w:rsidR="00AD2F2A" w:rsidRPr="00FD21F7">
        <w:t>PSCR</w:t>
      </w:r>
      <w:r w:rsidR="006165A7">
        <w:t>)</w:t>
      </w:r>
      <w:r w:rsidR="00AD2F2A" w:rsidRPr="00FD21F7">
        <w:t xml:space="preserve"> stated</w:t>
      </w:r>
      <w:r w:rsidR="00306E37">
        <w:t xml:space="preserve"> </w:t>
      </w:r>
      <w:r w:rsidR="00AD2F2A" w:rsidRPr="00FD21F7">
        <w:t xml:space="preserve">that </w:t>
      </w:r>
      <w:r w:rsidR="000963BF" w:rsidRPr="00FD21F7">
        <w:t xml:space="preserve">a TGA indication in men was not possible </w:t>
      </w:r>
      <w:r w:rsidR="00E26701" w:rsidRPr="00FD21F7">
        <w:t xml:space="preserve">because results from </w:t>
      </w:r>
      <w:r w:rsidR="00F559C4" w:rsidRPr="00FD21F7">
        <w:t xml:space="preserve">the </w:t>
      </w:r>
      <w:r w:rsidR="00A76908" w:rsidRPr="00FD21F7">
        <w:t xml:space="preserve">clinical </w:t>
      </w:r>
      <w:r w:rsidR="00E26701" w:rsidRPr="00FD21F7">
        <w:t xml:space="preserve">trial conducted in men </w:t>
      </w:r>
      <w:r w:rsidR="00F559C4" w:rsidRPr="00FD21F7">
        <w:t xml:space="preserve">(ATOM) </w:t>
      </w:r>
      <w:r w:rsidR="00E26701" w:rsidRPr="00FD21F7">
        <w:t>were not available</w:t>
      </w:r>
      <w:r w:rsidR="006C601E" w:rsidRPr="00FD21F7">
        <w:t xml:space="preserve"> </w:t>
      </w:r>
      <w:r w:rsidR="009A64CD" w:rsidRPr="00FD21F7">
        <w:t>at the</w:t>
      </w:r>
      <w:r w:rsidR="006C601E" w:rsidRPr="00FD21F7">
        <w:t xml:space="preserve"> time </w:t>
      </w:r>
      <w:r w:rsidR="009A64CD" w:rsidRPr="00FD21F7">
        <w:t>of</w:t>
      </w:r>
      <w:r w:rsidR="006C601E" w:rsidRPr="00FD21F7">
        <w:t xml:space="preserve"> TGA registration.</w:t>
      </w:r>
      <w:r w:rsidR="003E02EF" w:rsidRPr="00FD21F7">
        <w:t xml:space="preserve"> The ESC considered that </w:t>
      </w:r>
      <w:r w:rsidR="000F3561" w:rsidRPr="00FD21F7">
        <w:t>if abaloparatide is PBS listed</w:t>
      </w:r>
      <w:r w:rsidR="003C6069" w:rsidRPr="00FD21F7">
        <w:t xml:space="preserve"> for </w:t>
      </w:r>
      <w:r w:rsidR="00FF3F4C" w:rsidRPr="00FD21F7">
        <w:t>os</w:t>
      </w:r>
      <w:r w:rsidR="00164B38" w:rsidRPr="00FD21F7">
        <w:t xml:space="preserve">teoporosis, a gender agnostic listing may be appropriate to counter </w:t>
      </w:r>
      <w:r w:rsidR="00C151EB" w:rsidRPr="00FD21F7">
        <w:t>potential under-treatment</w:t>
      </w:r>
      <w:r w:rsidR="006E5915" w:rsidRPr="00FD21F7">
        <w:t xml:space="preserve"> of osteoporosis</w:t>
      </w:r>
      <w:r w:rsidR="00C151EB" w:rsidRPr="00FD21F7">
        <w:t xml:space="preserve"> in men due to access restrictions.</w:t>
      </w:r>
      <w:r w:rsidR="006E5915" w:rsidRPr="00FD21F7">
        <w:t xml:space="preserve"> </w:t>
      </w:r>
    </w:p>
    <w:p w14:paraId="0DE50940" w14:textId="6D502089" w:rsidR="005A280A" w:rsidRPr="00FD21F7" w:rsidRDefault="00F63B86" w:rsidP="0021790F">
      <w:pPr>
        <w:pStyle w:val="3-BodyText"/>
      </w:pPr>
      <w:bookmarkStart w:id="12" w:name="_Ref196992225"/>
      <w:r w:rsidRPr="004B1583">
        <w:t xml:space="preserve">The requested restriction </w:t>
      </w:r>
      <w:r w:rsidR="00B54A32">
        <w:t xml:space="preserve">would </w:t>
      </w:r>
      <w:r w:rsidR="002C687D" w:rsidRPr="004B1583">
        <w:t>position abaloparatide as</w:t>
      </w:r>
      <w:r w:rsidRPr="004B1583">
        <w:t xml:space="preserve"> first</w:t>
      </w:r>
      <w:r w:rsidR="00B26BBE" w:rsidRPr="004B1583">
        <w:t>-</w:t>
      </w:r>
      <w:r w:rsidRPr="004B1583">
        <w:t xml:space="preserve">line </w:t>
      </w:r>
      <w:r w:rsidR="002C687D" w:rsidRPr="004B1583">
        <w:t>therapy</w:t>
      </w:r>
      <w:r w:rsidRPr="004B1583">
        <w:t xml:space="preserve"> according to the criterion: “Patient must not have received PBS-subsidised treatment with any of: (i)</w:t>
      </w:r>
      <w:r w:rsidR="00C62E50" w:rsidRPr="004B1583">
        <w:t> </w:t>
      </w:r>
      <w:r w:rsidRPr="004B1583">
        <w:t>anti-resorptive therapy, (ii) teriparatide, or (iii) romosozumab, or (iv)</w:t>
      </w:r>
      <w:r w:rsidR="00C62E50" w:rsidRPr="004B1583">
        <w:t> </w:t>
      </w:r>
      <w:r w:rsidRPr="004B1583">
        <w:t>abaloparatide”.</w:t>
      </w:r>
      <w:r w:rsidR="00FC19A1" w:rsidRPr="004B1583">
        <w:t xml:space="preserve"> Th</w:t>
      </w:r>
      <w:r w:rsidR="007B3B41" w:rsidRPr="004B1583">
        <w:t xml:space="preserve">is is narrower than the approved TGA indication, which is for </w:t>
      </w:r>
      <w:r w:rsidR="004F742E" w:rsidRPr="004B1583">
        <w:t>“osteoporosis in postmenopausal women at increased risk of fracture.”</w:t>
      </w:r>
      <w:r w:rsidR="00D108AB" w:rsidRPr="004B1583">
        <w:t xml:space="preserve"> </w:t>
      </w:r>
      <w:r w:rsidR="0080285E" w:rsidRPr="000C09E4">
        <w:rPr>
          <w:bCs/>
        </w:rPr>
        <w:t xml:space="preserve">The evaluation noted that </w:t>
      </w:r>
      <w:r w:rsidR="0080285E">
        <w:rPr>
          <w:bCs/>
        </w:rPr>
        <w:t>r</w:t>
      </w:r>
      <w:r w:rsidR="00116140" w:rsidRPr="004B1583">
        <w:rPr>
          <w:bCs/>
        </w:rPr>
        <w:t xml:space="preserve">estricting PBS-subsidised access to patients who have not had prior ART may incentivise clinicians to prescribe abaloparatide as a first line treatment and hence replace some use of ART. </w:t>
      </w:r>
      <w:bookmarkEnd w:id="12"/>
      <w:r w:rsidR="00DA3EC2" w:rsidRPr="00FD21F7">
        <w:rPr>
          <w:bCs/>
        </w:rPr>
        <w:t xml:space="preserve">The PSCR stated that </w:t>
      </w:r>
      <w:r w:rsidR="009B425A" w:rsidRPr="00FD21F7">
        <w:rPr>
          <w:bCs/>
        </w:rPr>
        <w:t>the</w:t>
      </w:r>
      <w:r w:rsidR="00163F8E" w:rsidRPr="00FD21F7">
        <w:rPr>
          <w:bCs/>
        </w:rPr>
        <w:t xml:space="preserve"> requested listing</w:t>
      </w:r>
      <w:r w:rsidR="00D07561" w:rsidRPr="00FD21F7">
        <w:rPr>
          <w:bCs/>
        </w:rPr>
        <w:t xml:space="preserve"> reflects patients enrolled in the key abaloparatide study (ACTIVE)</w:t>
      </w:r>
      <w:r w:rsidR="00404FE2" w:rsidRPr="00FD21F7">
        <w:rPr>
          <w:bCs/>
        </w:rPr>
        <w:t xml:space="preserve"> and that there is no RCT evidence supporting the use of abaloparatide in the second-line </w:t>
      </w:r>
      <w:r w:rsidR="00391587" w:rsidRPr="00FD21F7">
        <w:rPr>
          <w:bCs/>
        </w:rPr>
        <w:t>setting.</w:t>
      </w:r>
      <w:r w:rsidR="00B52FC9" w:rsidRPr="00FD21F7">
        <w:rPr>
          <w:bCs/>
        </w:rPr>
        <w:t xml:space="preserve"> However, the </w:t>
      </w:r>
      <w:r w:rsidR="00463FE5" w:rsidRPr="00FD21F7">
        <w:rPr>
          <w:bCs/>
        </w:rPr>
        <w:t>ESC</w:t>
      </w:r>
      <w:r w:rsidR="00463FE5">
        <w:rPr>
          <w:bCs/>
        </w:rPr>
        <w:t xml:space="preserve"> </w:t>
      </w:r>
      <w:r w:rsidR="00463FE5" w:rsidRPr="00FD21F7">
        <w:rPr>
          <w:bCs/>
        </w:rPr>
        <w:t>considered</w:t>
      </w:r>
      <w:r w:rsidR="00B52FC9" w:rsidRPr="00FD21F7">
        <w:rPr>
          <w:bCs/>
        </w:rPr>
        <w:t xml:space="preserve"> that restricting </w:t>
      </w:r>
      <w:r w:rsidR="008267B1" w:rsidRPr="00FD21F7">
        <w:rPr>
          <w:bCs/>
        </w:rPr>
        <w:t>abaloparatide to first-line use would not be reasonable</w:t>
      </w:r>
      <w:r w:rsidR="00AC3F5F" w:rsidRPr="00FD21F7">
        <w:rPr>
          <w:bCs/>
        </w:rPr>
        <w:t>.</w:t>
      </w:r>
      <w:r w:rsidR="0058758F" w:rsidRPr="00FD21F7">
        <w:rPr>
          <w:bCs/>
        </w:rPr>
        <w:t xml:space="preserve"> </w:t>
      </w:r>
      <w:r w:rsidR="00761D55" w:rsidRPr="00FD21F7">
        <w:rPr>
          <w:bCs/>
        </w:rPr>
        <w:t xml:space="preserve">With reference to patients </w:t>
      </w:r>
      <w:r w:rsidR="001B2A57" w:rsidRPr="00FD21F7">
        <w:rPr>
          <w:bCs/>
        </w:rPr>
        <w:t>who have received</w:t>
      </w:r>
      <w:r w:rsidR="00761D55" w:rsidRPr="00FD21F7">
        <w:rPr>
          <w:bCs/>
        </w:rPr>
        <w:t xml:space="preserve"> prior therapy with </w:t>
      </w:r>
      <w:r w:rsidR="001B2A57" w:rsidRPr="00FD21F7">
        <w:rPr>
          <w:bCs/>
        </w:rPr>
        <w:t>teriparatide or romosozumab, t</w:t>
      </w:r>
      <w:r w:rsidR="0092563D" w:rsidRPr="00FD21F7">
        <w:rPr>
          <w:bCs/>
        </w:rPr>
        <w:t xml:space="preserve">he ESC noted that </w:t>
      </w:r>
      <w:r w:rsidR="006D2A7D" w:rsidRPr="00FD21F7">
        <w:rPr>
          <w:bCs/>
        </w:rPr>
        <w:t>anabolic treatments for osteoporosis are limited to once per lifetime</w:t>
      </w:r>
      <w:r w:rsidR="00AD1ECE" w:rsidRPr="00FD21F7">
        <w:rPr>
          <w:bCs/>
        </w:rPr>
        <w:t>.</w:t>
      </w:r>
    </w:p>
    <w:p w14:paraId="299DC7CF" w14:textId="77777777" w:rsidR="00627521" w:rsidRPr="004B1583" w:rsidRDefault="00627521" w:rsidP="00627521">
      <w:pPr>
        <w:pStyle w:val="3-BodyText"/>
      </w:pPr>
      <w:r w:rsidRPr="004B1583">
        <w:t xml:space="preserve">The proposed restriction would allow switching between therapies due to intolerance. </w:t>
      </w:r>
    </w:p>
    <w:p w14:paraId="25070C98" w14:textId="505A92CD" w:rsidR="00627521" w:rsidRPr="004B1583" w:rsidRDefault="00627521" w:rsidP="00523719">
      <w:pPr>
        <w:pStyle w:val="3-BodyText"/>
        <w:numPr>
          <w:ilvl w:val="0"/>
          <w:numId w:val="16"/>
        </w:numPr>
      </w:pPr>
      <w:r w:rsidRPr="004B1583">
        <w:t xml:space="preserve">Patients withdrawing from therapy due to severe intolerance </w:t>
      </w:r>
      <w:r w:rsidRPr="004B1583">
        <w:rPr>
          <w:u w:val="single"/>
        </w:rPr>
        <w:t>within</w:t>
      </w:r>
      <w:r w:rsidRPr="004B1583">
        <w:t xml:space="preserve"> the first 6 months of the therapy w</w:t>
      </w:r>
      <w:r w:rsidR="000C56DC">
        <w:t>ould</w:t>
      </w:r>
      <w:r w:rsidRPr="004B1583">
        <w:t xml:space="preserve"> be eligible to switch to abaloparatide, according to the criterion “Patient must have developed intolerance to anti-resorptive treatments or romosozumab of a severity necessitating permanent treatment withdrawal within the first 6 months of therapy”. </w:t>
      </w:r>
    </w:p>
    <w:p w14:paraId="1A7AE622" w14:textId="45BA276A" w:rsidR="00627521" w:rsidRDefault="00627521" w:rsidP="00523719">
      <w:pPr>
        <w:pStyle w:val="3-BodyText"/>
        <w:numPr>
          <w:ilvl w:val="0"/>
          <w:numId w:val="16"/>
        </w:numPr>
      </w:pPr>
      <w:r w:rsidRPr="004B1583">
        <w:t>Patients who develop severe intolerance</w:t>
      </w:r>
      <w:r w:rsidR="00FF0FB8">
        <w:t>,</w:t>
      </w:r>
      <w:r w:rsidRPr="004B1583">
        <w:t xml:space="preserve"> but withdraw from the therapy </w:t>
      </w:r>
      <w:r w:rsidRPr="004B1583">
        <w:rPr>
          <w:u w:val="single"/>
        </w:rPr>
        <w:t>after</w:t>
      </w:r>
      <w:r w:rsidRPr="004B1583">
        <w:t xml:space="preserve"> the first 6 months of treatment, will not be eligible for abaloparatide. This criterion was not reflected in the abaloparatide trial in the submission (ACTIVE trial). </w:t>
      </w:r>
    </w:p>
    <w:p w14:paraId="5793B602" w14:textId="6B719A73" w:rsidR="009F1BA4" w:rsidRPr="004B1583" w:rsidRDefault="009F1BA4" w:rsidP="009F1BA4">
      <w:pPr>
        <w:pStyle w:val="3-BodyText"/>
        <w:numPr>
          <w:ilvl w:val="0"/>
          <w:numId w:val="0"/>
        </w:numPr>
        <w:ind w:left="1440" w:hanging="720"/>
      </w:pPr>
      <w:r w:rsidRPr="00C33D30">
        <w:rPr>
          <w:i/>
        </w:rPr>
        <w:t>For more detail on PBAC’s view, see section 7 PBAC outcome.</w:t>
      </w:r>
    </w:p>
    <w:p w14:paraId="7075B85C" w14:textId="62A47B7B" w:rsidR="00B50DB8" w:rsidRPr="00D86D87" w:rsidDel="00195452" w:rsidRDefault="00203181" w:rsidP="004700D4">
      <w:pPr>
        <w:pStyle w:val="2-SectionHeading"/>
        <w:keepNext w:val="0"/>
      </w:pPr>
      <w:bookmarkStart w:id="13" w:name="_Toc198219101"/>
      <w:r w:rsidRPr="00D86D87" w:rsidDel="00195452">
        <w:t xml:space="preserve">Population and </w:t>
      </w:r>
      <w:r w:rsidR="008E0D3C" w:rsidRPr="00D86D87" w:rsidDel="00195452">
        <w:t>d</w:t>
      </w:r>
      <w:r w:rsidRPr="00D86D87" w:rsidDel="00195452">
        <w:t>isease</w:t>
      </w:r>
      <w:bookmarkEnd w:id="13"/>
    </w:p>
    <w:p w14:paraId="20970FE0" w14:textId="69AF45AE" w:rsidR="003717E9" w:rsidRPr="003717E9" w:rsidRDefault="003717E9" w:rsidP="004700D4">
      <w:pPr>
        <w:pStyle w:val="3-BodyText"/>
        <w:rPr>
          <w:color w:val="0066FF"/>
        </w:rPr>
      </w:pPr>
      <w:r w:rsidRPr="005310ED">
        <w:t xml:space="preserve">Osteoporosis is a common and progressive bone disorder characterised by loss of bone mass, resulting in skeletal fragility and increased risk of fracture. </w:t>
      </w:r>
      <w:r w:rsidR="00343247" w:rsidRPr="00FD21F7">
        <w:t>Women are at higher risk for osteoporosis than men</w:t>
      </w:r>
      <w:r w:rsidR="00343247" w:rsidRPr="00FD21F7">
        <w:rPr>
          <w:rStyle w:val="FootnoteReference"/>
        </w:rPr>
        <w:footnoteReference w:id="2"/>
      </w:r>
      <w:r w:rsidR="00343247" w:rsidRPr="00FD21F7">
        <w:t>.</w:t>
      </w:r>
      <w:r w:rsidR="00343247" w:rsidRPr="00343247">
        <w:rPr>
          <w:i/>
          <w:iCs/>
        </w:rPr>
        <w:t xml:space="preserve"> </w:t>
      </w:r>
      <w:r w:rsidRPr="005310ED">
        <w:t>In post-menopausal women, estrogen deficiency leads to increased osteoclast differentiation and activation, accelerated bone resorption, and bone loss</w:t>
      </w:r>
      <w:r>
        <w:rPr>
          <w:rStyle w:val="FootnoteReference"/>
        </w:rPr>
        <w:footnoteReference w:id="3"/>
      </w:r>
      <w:r>
        <w:t xml:space="preserve">. </w:t>
      </w:r>
      <w:r w:rsidRPr="005310ED">
        <w:t>In men, hypogonadism, glucocorticoid therapy, gastrointestinal disease, vitamin D deficiency, anticonvulsant medications, hypercalciuria, and alcohol abuse are the most common causes of osteoporosis</w:t>
      </w:r>
      <w:r>
        <w:rPr>
          <w:rStyle w:val="FootnoteReference"/>
        </w:rPr>
        <w:footnoteReference w:id="4"/>
      </w:r>
      <w:r>
        <w:t xml:space="preserve">. </w:t>
      </w:r>
      <w:r w:rsidRPr="005904C5">
        <w:t xml:space="preserve">In Australia, around 853,600 (3.4%) </w:t>
      </w:r>
      <w:r w:rsidR="00542733">
        <w:t xml:space="preserve">people </w:t>
      </w:r>
      <w:r w:rsidRPr="005904C5">
        <w:t>were estimated to be living with osteoporosis o</w:t>
      </w:r>
      <w:r w:rsidR="00885DE9">
        <w:t>r</w:t>
      </w:r>
      <w:r w:rsidRPr="005904C5">
        <w:t xml:space="preserve"> osteopenia (decreased bone density) in 2022</w:t>
      </w:r>
      <w:r>
        <w:rPr>
          <w:rStyle w:val="FootnoteReference"/>
        </w:rPr>
        <w:footnoteReference w:id="5"/>
      </w:r>
      <w:r>
        <w:t xml:space="preserve">. </w:t>
      </w:r>
      <w:r w:rsidRPr="00F83E8C">
        <w:t>Evidence has suggested that osteoporosis is underdiagnosed and undertreated in Australia</w:t>
      </w:r>
      <w:r>
        <w:rPr>
          <w:rStyle w:val="FootnoteReference"/>
        </w:rPr>
        <w:footnoteReference w:id="6"/>
      </w:r>
      <w:r w:rsidR="00542733">
        <w:t>, particularly in m</w:t>
      </w:r>
      <w:r>
        <w:t>en</w:t>
      </w:r>
      <w:r>
        <w:rPr>
          <w:rStyle w:val="FootnoteReference"/>
        </w:rPr>
        <w:footnoteReference w:id="7"/>
      </w:r>
      <w:r>
        <w:t xml:space="preserve">. </w:t>
      </w:r>
    </w:p>
    <w:p w14:paraId="0D4DC691" w14:textId="05442772" w:rsidR="003717E9" w:rsidRPr="003717E9" w:rsidRDefault="003717E9" w:rsidP="004700D4">
      <w:pPr>
        <w:pStyle w:val="3-BodyText"/>
        <w:rPr>
          <w:color w:val="0066FF"/>
        </w:rPr>
      </w:pPr>
      <w:r w:rsidRPr="00425144">
        <w:t>Vertebral fractures are the most common osteoporotic fractures</w:t>
      </w:r>
      <w:r w:rsidR="00B73D63">
        <w:t>. They</w:t>
      </w:r>
      <w:r>
        <w:t xml:space="preserve"> </w:t>
      </w:r>
      <w:r w:rsidRPr="00425144">
        <w:t>are associated with an 8-fold increase in age-adjusted mortality</w:t>
      </w:r>
      <w:r>
        <w:t xml:space="preserve"> and symptoms such as </w:t>
      </w:r>
      <w:r w:rsidRPr="005D32C9">
        <w:t xml:space="preserve">back pain, loss of height, spine deformity, immobility, increased number of bed days, and reduced pulmonary function in </w:t>
      </w:r>
      <w:r w:rsidR="00B73D63">
        <w:t>those</w:t>
      </w:r>
      <w:r w:rsidRPr="005D32C9">
        <w:t xml:space="preserve"> with thoracic kyphosis</w:t>
      </w:r>
      <w:r>
        <w:rPr>
          <w:rStyle w:val="FootnoteReference"/>
        </w:rPr>
        <w:footnoteReference w:id="8"/>
      </w:r>
      <w:r w:rsidRPr="005D32C9">
        <w:t>.</w:t>
      </w:r>
      <w:r>
        <w:t xml:space="preserve"> </w:t>
      </w:r>
      <w:r w:rsidRPr="00AD0B7C">
        <w:t xml:space="preserve">Hip fractures are associated with the highest morbidity </w:t>
      </w:r>
      <w:r>
        <w:t>and</w:t>
      </w:r>
      <w:r w:rsidRPr="00AD0B7C">
        <w:t xml:space="preserve"> mortality among all osteoporosis</w:t>
      </w:r>
      <w:r w:rsidR="00726D3D">
        <w:t>-</w:t>
      </w:r>
      <w:r w:rsidRPr="00AD0B7C">
        <w:t>associated clinical fractures</w:t>
      </w:r>
      <w:r>
        <w:t xml:space="preserve">, with </w:t>
      </w:r>
      <w:r w:rsidRPr="00AD0B7C">
        <w:t>mortality rate</w:t>
      </w:r>
      <w:r w:rsidR="00B73D63">
        <w:t>s</w:t>
      </w:r>
      <w:r w:rsidRPr="00AD0B7C">
        <w:t xml:space="preserve"> up to 20-24% in the first year after a hip fracture</w:t>
      </w:r>
      <w:r>
        <w:t>. Evidence suggests that m</w:t>
      </w:r>
      <w:r w:rsidRPr="00AD0B7C">
        <w:t xml:space="preserve">ortality in men </w:t>
      </w:r>
      <w:r>
        <w:t xml:space="preserve">after a hip fracture is </w:t>
      </w:r>
      <w:r w:rsidRPr="00AD0B7C">
        <w:t>consistently higher than in women</w:t>
      </w:r>
      <w:r>
        <w:rPr>
          <w:rStyle w:val="FootnoteReference"/>
        </w:rPr>
        <w:footnoteReference w:id="9"/>
      </w:r>
      <w:r>
        <w:t xml:space="preserve">. Hip fractures can also result in </w:t>
      </w:r>
      <w:r w:rsidRPr="00AD0B7C">
        <w:t xml:space="preserve">profound loss of function and </w:t>
      </w:r>
      <w:r w:rsidR="00B73D63">
        <w:t xml:space="preserve">loss of </w:t>
      </w:r>
      <w:r w:rsidRPr="00AD0B7C">
        <w:t>independence among survivors</w:t>
      </w:r>
      <w:r w:rsidRPr="003717E9">
        <w:rPr>
          <w:vertAlign w:val="superscript"/>
        </w:rPr>
        <w:t>8</w:t>
      </w:r>
      <w:r>
        <w:t xml:space="preserve">. </w:t>
      </w:r>
      <w:r w:rsidRPr="009D072B">
        <w:t>There is an 86% increased risk of a subsequent fracture following an initial osteoporotic fracture, with the highest risk of a subsequent fracture occurring within the first two years after an initial fracture</w:t>
      </w:r>
      <w:r w:rsidRPr="003717E9">
        <w:rPr>
          <w:vertAlign w:val="superscript"/>
        </w:rPr>
        <w:t>6</w:t>
      </w:r>
      <w:r>
        <w:t>.</w:t>
      </w:r>
    </w:p>
    <w:p w14:paraId="06F7C7A8" w14:textId="77777777" w:rsidR="00E0270B" w:rsidRPr="00E0270B" w:rsidRDefault="003717E9" w:rsidP="004700D4">
      <w:pPr>
        <w:pStyle w:val="3-BodyText"/>
        <w:rPr>
          <w:color w:val="0066FF"/>
        </w:rPr>
      </w:pPr>
      <w:r w:rsidRPr="00092489">
        <w:t xml:space="preserve">A diagnosis of osteoporosis </w:t>
      </w:r>
      <w:r>
        <w:t>is</w:t>
      </w:r>
      <w:r w:rsidRPr="00092489">
        <w:t xml:space="preserve"> based on</w:t>
      </w:r>
      <w:r w:rsidR="00B73D63">
        <w:t>:</w:t>
      </w:r>
      <w:r w:rsidRPr="00092489">
        <w:t xml:space="preserve"> </w:t>
      </w:r>
    </w:p>
    <w:p w14:paraId="1281CB50" w14:textId="77777777" w:rsidR="001A60E0" w:rsidRPr="001A60E0" w:rsidRDefault="003717E9" w:rsidP="004700D4">
      <w:pPr>
        <w:pStyle w:val="3-BodyText"/>
        <w:numPr>
          <w:ilvl w:val="0"/>
          <w:numId w:val="17"/>
        </w:numPr>
        <w:rPr>
          <w:color w:val="0066FF"/>
        </w:rPr>
      </w:pPr>
      <w:r w:rsidRPr="00832408">
        <w:rPr>
          <w:color w:val="000000" w:themeColor="text1"/>
        </w:rPr>
        <w:t xml:space="preserve">the measurement of bone mineral density (BMD) of the lumbar spine and </w:t>
      </w:r>
      <w:r w:rsidRPr="00092489">
        <w:t>femoral neck, using the dual-energy X-ray absorptiometry (DXA) scan. A resulting T-score (the level of BMD in comparison to a young adult of the same gender with peak BMD) ≤ -2.5 is consistent with the diagnosis of osteoporosis, even though a fragility fracture has not occurred</w:t>
      </w:r>
      <w:r>
        <w:t xml:space="preserve">, or </w:t>
      </w:r>
    </w:p>
    <w:p w14:paraId="1941BDA7" w14:textId="290A4659" w:rsidR="003717E9" w:rsidRPr="003717E9" w:rsidRDefault="003717E9" w:rsidP="00523719">
      <w:pPr>
        <w:pStyle w:val="3-BodyText"/>
        <w:numPr>
          <w:ilvl w:val="0"/>
          <w:numId w:val="17"/>
        </w:numPr>
        <w:rPr>
          <w:color w:val="0066FF"/>
        </w:rPr>
      </w:pPr>
      <w:r w:rsidRPr="00092489">
        <w:t>the presence of a fragility fracture, particularly at the spine, hip, wrist, humerus, rib, or pelvis, regardless of BMD</w:t>
      </w:r>
      <w:r>
        <w:rPr>
          <w:rStyle w:val="FootnoteReference"/>
        </w:rPr>
        <w:footnoteReference w:id="10"/>
      </w:r>
      <w:r>
        <w:t xml:space="preserve">. </w:t>
      </w:r>
    </w:p>
    <w:p w14:paraId="2CD9C923" w14:textId="32E41F99" w:rsidR="003717E9" w:rsidRPr="00E20F32" w:rsidRDefault="003717E9" w:rsidP="003717E9">
      <w:pPr>
        <w:pStyle w:val="3-BodyText"/>
      </w:pPr>
      <w:r w:rsidRPr="00C63CFD">
        <w:t>The Fracture Risk Assessment Tool (FRAX</w:t>
      </w:r>
      <w:r w:rsidRPr="003717E9">
        <w:rPr>
          <w:rFonts w:cstheme="minorHAnsi"/>
        </w:rPr>
        <w:t>®</w:t>
      </w:r>
      <w:r w:rsidRPr="00C63CFD">
        <w:t>)</w:t>
      </w:r>
      <w:r w:rsidR="00CB717E">
        <w:rPr>
          <w:rStyle w:val="FootnoteReference"/>
        </w:rPr>
        <w:footnoteReference w:id="11"/>
      </w:r>
      <w:r>
        <w:t xml:space="preserve"> is </w:t>
      </w:r>
      <w:r w:rsidRPr="00C63CFD">
        <w:t>a computer-based algorithm</w:t>
      </w:r>
      <w:r>
        <w:t xml:space="preserve"> which </w:t>
      </w:r>
      <w:r w:rsidRPr="00C63CFD">
        <w:t>utilises clinical risk factors for fracture, including (1) age, (2) previous fracture, (3) glucocorticoid therapy, (4) parental history of hip fracture, (5) low body weight, (6) current cigarette smoking, (7) excessive alcohol consumption, (8) rheumatoid arthritis, and (9) secondary osteoporosis (e.g., hypogonadism or premature menopause, malabsorption, chronic liver disease, inflammatory bowel disease), as well as the femoral neck BMD (g/cm</w:t>
      </w:r>
      <w:r w:rsidRPr="003717E9">
        <w:rPr>
          <w:vertAlign w:val="superscript"/>
        </w:rPr>
        <w:t>2</w:t>
      </w:r>
      <w:r w:rsidRPr="00C63CFD">
        <w:t>, using DXA), when available, to estimate a 10-year probability of hip and major osteoporotic fracture (hip, clinical spine, proximal humerus, or forearm) in untreated osteoporotic patients.</w:t>
      </w:r>
      <w:r>
        <w:t xml:space="preserve"> </w:t>
      </w:r>
      <w:r w:rsidR="00B73D63" w:rsidRPr="00E20F32">
        <w:rPr>
          <w:lang w:val="en"/>
        </w:rPr>
        <w:t xml:space="preserve">Currently, The Royal Australian College of General Practitioners (RACGP) </w:t>
      </w:r>
      <w:r w:rsidR="00627521" w:rsidRPr="00E20F32">
        <w:rPr>
          <w:lang w:val="en"/>
        </w:rPr>
        <w:t xml:space="preserve">in their March 2024 Guideline </w:t>
      </w:r>
      <w:r w:rsidR="00B73D63" w:rsidRPr="00E20F32">
        <w:rPr>
          <w:lang w:val="en"/>
        </w:rPr>
        <w:t xml:space="preserve">recommend either the Garvan </w:t>
      </w:r>
      <w:r w:rsidR="00B73D63" w:rsidRPr="00E20F32">
        <w:t>Fracture Risk Calculator</w:t>
      </w:r>
      <w:r w:rsidR="00B73D63" w:rsidRPr="00E20F32">
        <w:rPr>
          <w:lang w:val="en"/>
        </w:rPr>
        <w:t xml:space="preserve"> tool</w:t>
      </w:r>
      <w:r w:rsidR="00CB717E" w:rsidRPr="00E20F32">
        <w:rPr>
          <w:rStyle w:val="FootnoteReference"/>
          <w:lang w:val="en"/>
        </w:rPr>
        <w:footnoteReference w:id="12"/>
      </w:r>
      <w:r w:rsidR="00B73D63" w:rsidRPr="00E20F32">
        <w:rPr>
          <w:lang w:val="en"/>
        </w:rPr>
        <w:t xml:space="preserve"> or FRAX</w:t>
      </w:r>
      <w:r w:rsidR="00C37F45" w:rsidRPr="00E20F32">
        <w:rPr>
          <w:lang w:val="en"/>
        </w:rPr>
        <w:t>®</w:t>
      </w:r>
      <w:r w:rsidR="00B73D63" w:rsidRPr="00E20F32">
        <w:rPr>
          <w:lang w:val="en"/>
        </w:rPr>
        <w:t xml:space="preserve"> for assessing fracture risk for a treatment decision.</w:t>
      </w:r>
    </w:p>
    <w:p w14:paraId="00B6E0F9" w14:textId="7205A4F9" w:rsidR="003717E9" w:rsidRDefault="003717E9" w:rsidP="003717E9">
      <w:pPr>
        <w:pStyle w:val="3-BodyText"/>
      </w:pPr>
      <w:r w:rsidRPr="003717E9">
        <w:t>Individuals with a BMD T-score ≤-3.0, as well as risk factors including concurrent glucocorticoid therapy, low body mass index (BMI), recent acute weight loss, and recurrent falls, are at increased risk of fracture</w:t>
      </w:r>
      <w:r w:rsidRPr="003717E9">
        <w:rPr>
          <w:vertAlign w:val="superscript"/>
        </w:rPr>
        <w:footnoteReference w:id="13"/>
      </w:r>
      <w:r w:rsidRPr="003717E9">
        <w:t xml:space="preserve">. The </w:t>
      </w:r>
      <w:proofErr w:type="gramStart"/>
      <w:r w:rsidRPr="003717E9">
        <w:t>most commonly used</w:t>
      </w:r>
      <w:proofErr w:type="gramEnd"/>
      <w:r w:rsidRPr="003717E9">
        <w:t xml:space="preserve"> criteria for “very high fracture risk” in osteoporotic patients are a recent fracture (within 12 or 24 months), multiple fractures, fractures while on therapy, and a 10-year FRAX</w:t>
      </w:r>
      <w:r w:rsidRPr="003717E9">
        <w:rPr>
          <w:vertAlign w:val="superscript"/>
        </w:rPr>
        <w:t>®</w:t>
      </w:r>
      <w:r w:rsidRPr="003717E9">
        <w:t> major osteoporotic fracture risk of ≥30% or a hip fracture risk of &gt;4.5%</w:t>
      </w:r>
      <w:r w:rsidR="005B2300">
        <w:rPr>
          <w:vertAlign w:val="superscript"/>
        </w:rPr>
        <w:t>11</w:t>
      </w:r>
      <w:r w:rsidRPr="003717E9">
        <w:t xml:space="preserve">. </w:t>
      </w:r>
    </w:p>
    <w:p w14:paraId="02E16882" w14:textId="1FD54A4C" w:rsidR="003717E9" w:rsidRDefault="003717E9" w:rsidP="003717E9">
      <w:pPr>
        <w:pStyle w:val="3-BodyText"/>
      </w:pPr>
      <w:r w:rsidRPr="003717E9">
        <w:t>Abaloparatide is an agonist of the parathyroid hormone receptor 1 (PTHR1). It stimulates new bone formation on trabecular and cortical bone surfaces by stimulation of osteoblastic activity. Abaloparatide causes transient and limited increases in bone resorption and increases bone density</w:t>
      </w:r>
      <w:r w:rsidRPr="003717E9">
        <w:rPr>
          <w:vertAlign w:val="superscript"/>
        </w:rPr>
        <w:footnoteReference w:id="14"/>
      </w:r>
      <w:r w:rsidRPr="003717E9">
        <w:t xml:space="preserve">. </w:t>
      </w:r>
      <w:r w:rsidR="00260C5D" w:rsidRPr="00260C5D">
        <w:t xml:space="preserve">The proposed dosage of abaloparatide was 80 </w:t>
      </w:r>
      <w:r w:rsidR="00DE0BE1">
        <w:t>microgram</w:t>
      </w:r>
      <w:r w:rsidR="008C7AE5">
        <w:t>s</w:t>
      </w:r>
      <w:r w:rsidR="00260C5D" w:rsidRPr="00260C5D">
        <w:t xml:space="preserve"> subcutaneous (SC) self-injection once daily via a pre-fill pen device. The proposed maximum total duration of abaloparatide treatment was 18 months. </w:t>
      </w:r>
      <w:r w:rsidRPr="003717E9">
        <w:t xml:space="preserve">Patients receiving abaloparatide are recommended to receive supplemental calcium and vitamin D if dietary intake </w:t>
      </w:r>
      <w:r w:rsidR="00C37F45">
        <w:t xml:space="preserve">of these </w:t>
      </w:r>
      <w:r w:rsidRPr="003717E9">
        <w:t xml:space="preserve">is inadequate. As per the approved abaloparatide production information (PI), following cessation of the therapy, patients may be continued on an </w:t>
      </w:r>
      <w:r w:rsidR="004F1413">
        <w:t>ART</w:t>
      </w:r>
      <w:r w:rsidRPr="003717E9">
        <w:t xml:space="preserve"> (e.g. bisphosphonates) for ongoing treatment of osteoporosis. </w:t>
      </w:r>
      <w:r w:rsidR="00BC60D9" w:rsidRPr="00BC60D9">
        <w:t xml:space="preserve">Following anabolic treatment, subsequent treatment with an </w:t>
      </w:r>
      <w:r w:rsidR="00E12964">
        <w:t>ART helps</w:t>
      </w:r>
      <w:r w:rsidR="00BC60D9" w:rsidRPr="00BC60D9">
        <w:t xml:space="preserve"> to consolidate gains in bone density and further reduce fracture risk</w:t>
      </w:r>
      <w:r w:rsidR="001240CA">
        <w:rPr>
          <w:rStyle w:val="FootnoteReference"/>
        </w:rPr>
        <w:footnoteReference w:id="15"/>
      </w:r>
      <w:r w:rsidR="00BC60D9" w:rsidRPr="00BC60D9">
        <w:t>.</w:t>
      </w:r>
    </w:p>
    <w:p w14:paraId="583F2E1B" w14:textId="346ACDD6" w:rsidR="00362A12" w:rsidRDefault="00362A12" w:rsidP="00E73F3D">
      <w:pPr>
        <w:pStyle w:val="3-BodyText"/>
      </w:pPr>
      <w:r w:rsidRPr="00E20F32">
        <w:t>In the approved abaloparatide</w:t>
      </w:r>
      <w:r w:rsidR="00F872E9" w:rsidRPr="00E20F32">
        <w:t xml:space="preserve"> PI</w:t>
      </w:r>
      <w:r w:rsidRPr="00E20F32">
        <w:t>, there is</w:t>
      </w:r>
      <w:r w:rsidR="00C37F45" w:rsidRPr="00E20F32">
        <w:t xml:space="preserve"> a</w:t>
      </w:r>
      <w:r w:rsidRPr="00E20F32">
        <w:t xml:space="preserve"> special warning about the long-term use of abaloparatide and its association with the risk of osteosarcoma, based on study results in rats. Given this, the maximum total duration of abaloparatide therapy is recommended to be 18 months</w:t>
      </w:r>
      <w:r w:rsidR="00C37F45" w:rsidRPr="00E20F32">
        <w:t xml:space="preserve"> in a lifetime</w:t>
      </w:r>
      <w:r w:rsidRPr="00E20F32">
        <w:t xml:space="preserve">. There are also special warnings on the drug’s association with orthostatic hypotension, increased heart rate, hypercalcaemia, hypercalciuria/urolithiasis, </w:t>
      </w:r>
      <w:r w:rsidR="00F872E9" w:rsidRPr="00E20F32">
        <w:t>as well as</w:t>
      </w:r>
      <w:r w:rsidRPr="00E20F32">
        <w:t xml:space="preserve"> the precautions for use in patients with renal and hepatic impairment. Patients with certain conditions, including hypersensitivity to the drug, pregnancy, breastfeeding, childbearing potential, pre-existing hypercalcaemia, severe renal impairment, unexplained elevations of serum alkaline phosphatase, known risks for osteosarcoma (e.g. those who have received prior external beam or implant radiation therapy involving the skeleton), and skeletal malignancies or bone metastases, are contraindicated to abaloparatide treatment.</w:t>
      </w:r>
    </w:p>
    <w:p w14:paraId="526539D4" w14:textId="23BCD0C7" w:rsidR="009F1BA4" w:rsidRPr="00E20F32" w:rsidRDefault="009F1BA4" w:rsidP="009F1BA4">
      <w:pPr>
        <w:pStyle w:val="3-BodyText"/>
        <w:numPr>
          <w:ilvl w:val="0"/>
          <w:numId w:val="0"/>
        </w:numPr>
        <w:ind w:left="720"/>
      </w:pPr>
      <w:r w:rsidRPr="00C33D30">
        <w:rPr>
          <w:i/>
        </w:rPr>
        <w:t>For more detail on PBAC’s view, see section 7 PBAC outcome.</w:t>
      </w:r>
    </w:p>
    <w:p w14:paraId="51E5AE96" w14:textId="136A63B1" w:rsidR="00B50DB8" w:rsidRPr="00D86D87" w:rsidRDefault="00B50DB8" w:rsidP="004E18E9">
      <w:pPr>
        <w:pStyle w:val="2-SectionHeading"/>
      </w:pPr>
      <w:bookmarkStart w:id="14" w:name="_Toc198219102"/>
      <w:r w:rsidRPr="00D86D87">
        <w:t>Comparator</w:t>
      </w:r>
      <w:bookmarkEnd w:id="14"/>
    </w:p>
    <w:p w14:paraId="4DA9E4D3" w14:textId="2EF20454" w:rsidR="00C42816" w:rsidRDefault="003717E9" w:rsidP="007B3E62">
      <w:pPr>
        <w:pStyle w:val="3-BodyText"/>
      </w:pPr>
      <w:r>
        <w:t xml:space="preserve">Romosozumab was </w:t>
      </w:r>
      <w:r w:rsidRPr="00CB023A">
        <w:t>nominated as the primary comparator in the submission</w:t>
      </w:r>
      <w:r>
        <w:t xml:space="preserve">. </w:t>
      </w:r>
      <w:r w:rsidR="007B3E62">
        <w:t>The RACGP guideline (</w:t>
      </w:r>
      <w:r w:rsidR="00627521">
        <w:t xml:space="preserve">March </w:t>
      </w:r>
      <w:r w:rsidR="007B3E62">
        <w:t xml:space="preserve">2024) </w:t>
      </w:r>
      <w:r>
        <w:t>recommend</w:t>
      </w:r>
      <w:r w:rsidR="007B3E62">
        <w:t>s romosozumab</w:t>
      </w:r>
      <w:r>
        <w:t xml:space="preserve"> as</w:t>
      </w:r>
      <w:r w:rsidRPr="00CB023A">
        <w:t xml:space="preserve"> </w:t>
      </w:r>
      <w:r>
        <w:t>the first-line pharmacotherapy for</w:t>
      </w:r>
      <w:r w:rsidR="001352F3">
        <w:t xml:space="preserve"> osteoporotic</w:t>
      </w:r>
      <w:r>
        <w:t xml:space="preserve"> </w:t>
      </w:r>
      <w:r w:rsidR="008C7AE5">
        <w:t xml:space="preserve">men and </w:t>
      </w:r>
      <w:r>
        <w:t xml:space="preserve">post-menopausal women with very high </w:t>
      </w:r>
      <w:r w:rsidR="00F872E9">
        <w:t xml:space="preserve">risk of </w:t>
      </w:r>
      <w:r>
        <w:t>fracture.</w:t>
      </w:r>
      <w:r w:rsidR="007B3E62">
        <w:t xml:space="preserve"> </w:t>
      </w:r>
      <w:r w:rsidR="00260C5D" w:rsidRPr="00260C5D">
        <w:t xml:space="preserve">Duration of treatment is 12 months. After completing romosozumab therapy, continued therapy for osteoporosis with an </w:t>
      </w:r>
      <w:r w:rsidR="008972B1">
        <w:t>ART</w:t>
      </w:r>
      <w:r w:rsidR="00260C5D" w:rsidRPr="00260C5D">
        <w:t xml:space="preserve"> is recommended.</w:t>
      </w:r>
    </w:p>
    <w:p w14:paraId="5ABAC34E" w14:textId="78C0D6EA" w:rsidR="00040F45" w:rsidRDefault="007B3E62" w:rsidP="007B3E62">
      <w:pPr>
        <w:pStyle w:val="3-BodyText"/>
      </w:pPr>
      <w:r w:rsidRPr="00362A12">
        <w:t xml:space="preserve">As per the approved romosozumab PI, the drug is contraindicated in patients with previous myocardial infarction (MI) or stroke. There is special warning in the </w:t>
      </w:r>
      <w:r>
        <w:t xml:space="preserve">romosozumab </w:t>
      </w:r>
      <w:r w:rsidRPr="00362A12">
        <w:t>PI about an increase in serious cardiovascular events (MI and stroke) observed in romosozumab treated patients in randomised controlled studies compared to controls. In the section of “Special warnings and precautions for use”</w:t>
      </w:r>
      <w:r w:rsidR="00306E37">
        <w:t xml:space="preserve"> </w:t>
      </w:r>
      <w:r w:rsidRPr="00362A12">
        <w:t>in the romosozumab PI, it is stated that, “When determining whether to use romosozumab for an individual patient, consideration should be given to their fracture risk over the next year and their cardiovascular risk based on risk factors (e.g. established cardiovascular disease, hypertension, hyperlipidaemia, diabetes mellitus, smoking, severe renal impairment, age). Romosozumab should only be used if the prescriber and patient agree that the benefit outweighs the risk</w:t>
      </w:r>
      <w:r>
        <w:t>.”</w:t>
      </w:r>
      <w:bookmarkStart w:id="15" w:name="_Ref107305381"/>
      <w:r w:rsidRPr="00D86D87">
        <w:t xml:space="preserve"> </w:t>
      </w:r>
      <w:bookmarkEnd w:id="15"/>
    </w:p>
    <w:p w14:paraId="353104FB" w14:textId="4B7B1385" w:rsidR="0074282A" w:rsidRDefault="004847D6" w:rsidP="007B3E62">
      <w:pPr>
        <w:pStyle w:val="3-BodyText"/>
      </w:pPr>
      <w:r>
        <w:t xml:space="preserve">The PBAC noted that romosozumab is PBS-listed for first-line and second-line use for patients with severe established osteoporosis. </w:t>
      </w:r>
      <w:r w:rsidR="006A5223">
        <w:t>The</w:t>
      </w:r>
      <w:r w:rsidR="009C4AE0">
        <w:t xml:space="preserve"> PBAC agreed with the</w:t>
      </w:r>
      <w:r w:rsidR="006A5223">
        <w:t xml:space="preserve"> evaluation that r</w:t>
      </w:r>
      <w:r w:rsidR="007B3E62" w:rsidRPr="00E20F32">
        <w:t xml:space="preserve">omosozumab is an appropriate comparator for patients who do not have a history of MI or stroke and those </w:t>
      </w:r>
      <w:r w:rsidR="00355441" w:rsidRPr="00E20F32">
        <w:t xml:space="preserve">in whom the clinician considers </w:t>
      </w:r>
      <w:r w:rsidR="0074282A" w:rsidRPr="00E20F32">
        <w:t xml:space="preserve">romosozumab treatment will outweigh their risk for developing these serious </w:t>
      </w:r>
      <w:r w:rsidR="007B3E62" w:rsidRPr="00E20F32">
        <w:t xml:space="preserve">cardiovascular events. However, for patients who are contraindicated to romosozumab or with risk factors that the safety of romosozumab treatment is of concern, romosozumab may not be an appropriate comparator. </w:t>
      </w:r>
      <w:r w:rsidR="00B3456B" w:rsidRPr="00E20F32">
        <w:t xml:space="preserve">For this </w:t>
      </w:r>
      <w:proofErr w:type="gramStart"/>
      <w:r w:rsidR="00B3456B" w:rsidRPr="00E20F32">
        <w:t>particular population</w:t>
      </w:r>
      <w:proofErr w:type="gramEnd"/>
      <w:r w:rsidR="00B3456B" w:rsidRPr="00E20F32">
        <w:t xml:space="preserve">, </w:t>
      </w:r>
      <w:r w:rsidR="00627521" w:rsidRPr="00E20F32">
        <w:t>ARTs</w:t>
      </w:r>
      <w:r w:rsidR="00B3456B" w:rsidRPr="00E20F32">
        <w:t xml:space="preserve"> may be the appropriate comparator. However, no comparative evidence regarding the efficacy and safety of abaloparatide versus </w:t>
      </w:r>
      <w:r w:rsidR="00D27910">
        <w:t>ART</w:t>
      </w:r>
      <w:r w:rsidR="00B3456B" w:rsidRPr="00E20F32">
        <w:t xml:space="preserve"> was presented in the submission. The size of this population is uncertain.</w:t>
      </w:r>
    </w:p>
    <w:p w14:paraId="072C3F5C" w14:textId="30D75909" w:rsidR="000478AA" w:rsidRPr="009F1BA4" w:rsidRDefault="00C44DFF" w:rsidP="007B3E62">
      <w:pPr>
        <w:pStyle w:val="3-BodyText"/>
      </w:pPr>
      <w:r w:rsidRPr="002B0776">
        <w:rPr>
          <w:bCs/>
        </w:rPr>
        <w:t>T</w:t>
      </w:r>
      <w:r w:rsidR="000478AA" w:rsidRPr="002B0776">
        <w:rPr>
          <w:bCs/>
        </w:rPr>
        <w:t>eriparatide, which has the same mechanism of action as abaloparatide, is PBS listed as a second-line treatment</w:t>
      </w:r>
      <w:r w:rsidR="00325053">
        <w:rPr>
          <w:bCs/>
        </w:rPr>
        <w:t xml:space="preserve"> following ART</w:t>
      </w:r>
      <w:r w:rsidR="000478AA" w:rsidRPr="002B0776">
        <w:rPr>
          <w:bCs/>
        </w:rPr>
        <w:t xml:space="preserve">. The proposed restriction excludes second-line treatment with abaloparatide, and hence the submission did not consider teriparatide as a comparator. The evaluation noted that </w:t>
      </w:r>
      <w:r w:rsidRPr="002B0776">
        <w:rPr>
          <w:bCs/>
        </w:rPr>
        <w:t>t</w:t>
      </w:r>
      <w:r w:rsidR="000478AA" w:rsidRPr="002B0776">
        <w:rPr>
          <w:bCs/>
        </w:rPr>
        <w:t>eriparatide was a comparator to abaloparatide in the randomised controlled trial, ACTIVE, for the secondary outcomes of BMD and for safety.</w:t>
      </w:r>
      <w:r w:rsidR="00926275" w:rsidRPr="002B0776">
        <w:rPr>
          <w:bCs/>
        </w:rPr>
        <w:t xml:space="preserve"> </w:t>
      </w:r>
      <w:r w:rsidR="00B14482">
        <w:rPr>
          <w:bCs/>
        </w:rPr>
        <w:t xml:space="preserve">The PBAC considered that teriparatide should be considered a relevant comparator for second-line use. </w:t>
      </w:r>
    </w:p>
    <w:p w14:paraId="30884946" w14:textId="00B383D4" w:rsidR="009F1BA4" w:rsidRPr="002B0776" w:rsidRDefault="009F1BA4" w:rsidP="009F1BA4">
      <w:pPr>
        <w:pStyle w:val="3-BodyText"/>
        <w:numPr>
          <w:ilvl w:val="0"/>
          <w:numId w:val="0"/>
        </w:numPr>
        <w:ind w:left="720"/>
      </w:pPr>
      <w:r w:rsidRPr="00C33D30">
        <w:rPr>
          <w:i/>
        </w:rPr>
        <w:t>For more detail on PBAC’s view, see section 7 PBAC outcome.</w:t>
      </w:r>
    </w:p>
    <w:p w14:paraId="7F9C27C8" w14:textId="77777777" w:rsidR="00223D5A" w:rsidRDefault="00223D5A" w:rsidP="00223D5A">
      <w:pPr>
        <w:pStyle w:val="2-SectionHeading"/>
        <w:numPr>
          <w:ilvl w:val="0"/>
          <w:numId w:val="1"/>
        </w:numPr>
      </w:pPr>
      <w:bookmarkStart w:id="16" w:name="_Toc198219103"/>
      <w:bookmarkStart w:id="17" w:name="_Toc22897640"/>
      <w:r w:rsidRPr="00D86D87">
        <w:t>Consideration of the evidence</w:t>
      </w:r>
      <w:bookmarkEnd w:id="16"/>
    </w:p>
    <w:p w14:paraId="29342AEE" w14:textId="77777777" w:rsidR="00D27213" w:rsidRPr="006E1229" w:rsidRDefault="00D27213" w:rsidP="00E12170">
      <w:pPr>
        <w:pStyle w:val="4-SubsectionHeading"/>
      </w:pPr>
      <w:bookmarkStart w:id="18" w:name="_Hlk76375935"/>
      <w:r w:rsidRPr="006E1229">
        <w:t>Sponsor hearing</w:t>
      </w:r>
    </w:p>
    <w:p w14:paraId="4B278380" w14:textId="7F0B954A" w:rsidR="00D27213" w:rsidRPr="00F91542" w:rsidRDefault="00222DE2" w:rsidP="00D27213">
      <w:pPr>
        <w:widowControl w:val="0"/>
        <w:numPr>
          <w:ilvl w:val="1"/>
          <w:numId w:val="1"/>
        </w:numPr>
        <w:spacing w:after="120"/>
        <w:rPr>
          <w:rFonts w:cs="Calibri"/>
          <w:bCs/>
          <w:snapToGrid w:val="0"/>
        </w:rPr>
      </w:pPr>
      <w:r w:rsidRPr="00836F75">
        <w:rPr>
          <w:rFonts w:asciiTheme="minorHAnsi" w:hAnsiTheme="minorHAnsi"/>
          <w:bCs/>
          <w:snapToGrid w:val="0"/>
        </w:rPr>
        <w:t>The sponsor requested a hearing for this item.</w:t>
      </w:r>
      <w:r>
        <w:rPr>
          <w:rFonts w:asciiTheme="minorHAnsi" w:hAnsiTheme="minorHAnsi"/>
          <w:bCs/>
          <w:snapToGrid w:val="0"/>
        </w:rPr>
        <w:t xml:space="preserve"> </w:t>
      </w:r>
      <w:r>
        <w:t>The clinician described the global change in approach to treatment in bone fragility in terms of rebuild</w:t>
      </w:r>
      <w:r w:rsidR="00582042">
        <w:t>ing</w:t>
      </w:r>
      <w:r>
        <w:t xml:space="preserve"> bone with anabolic treatment followed by ART to maintain BMD. The clinician discussed the small risk of increase in CV events (stroke and myocardial infarction) with romosozumab, noting that it is not suitable for all patients and the benefit of having another treatment option with abaloparatide. </w:t>
      </w:r>
      <w:r w:rsidRPr="00302395">
        <w:rPr>
          <w:rFonts w:asciiTheme="minorHAnsi" w:hAnsiTheme="minorHAnsi"/>
          <w:bCs/>
          <w:snapToGrid w:val="0"/>
        </w:rPr>
        <w:t>The PBAC considered that the hearing was informative, as it provided a clinical perspective on the place in therapy for abaloparatide and the clinical need for an alternative agent.</w:t>
      </w:r>
    </w:p>
    <w:p w14:paraId="45ECA436" w14:textId="77777777" w:rsidR="00D27213" w:rsidRPr="006E1229" w:rsidRDefault="00D27213" w:rsidP="00E12170">
      <w:pPr>
        <w:pStyle w:val="4-SubsectionHeading"/>
      </w:pPr>
      <w:r w:rsidRPr="006E1229">
        <w:t>Consumer comments</w:t>
      </w:r>
    </w:p>
    <w:bookmarkEnd w:id="18"/>
    <w:p w14:paraId="4BF781E9" w14:textId="08C803A1" w:rsidR="0026395A" w:rsidRPr="0026395A" w:rsidRDefault="0026395A" w:rsidP="0026395A">
      <w:pPr>
        <w:pStyle w:val="3-BodyText"/>
        <w:rPr>
          <w:snapToGrid w:val="0"/>
        </w:rPr>
      </w:pPr>
      <w:r w:rsidRPr="0026395A">
        <w:rPr>
          <w:snapToGrid w:val="0"/>
        </w:rPr>
        <w:t xml:space="preserve">The PBAC noted and welcomed the input from </w:t>
      </w:r>
      <w:r w:rsidR="002D2180">
        <w:rPr>
          <w:snapToGrid w:val="0"/>
        </w:rPr>
        <w:t xml:space="preserve">eight </w:t>
      </w:r>
      <w:r w:rsidR="004410AB" w:rsidRPr="0026395A">
        <w:rPr>
          <w:snapToGrid w:val="0"/>
        </w:rPr>
        <w:t>health care professionals</w:t>
      </w:r>
      <w:r w:rsidRPr="0026395A">
        <w:rPr>
          <w:snapToGrid w:val="0"/>
        </w:rPr>
        <w:t xml:space="preserve"> (</w:t>
      </w:r>
      <w:r w:rsidR="002D2180">
        <w:rPr>
          <w:snapToGrid w:val="0"/>
        </w:rPr>
        <w:t>HCPs</w:t>
      </w:r>
      <w:r w:rsidRPr="0026395A">
        <w:rPr>
          <w:snapToGrid w:val="0"/>
        </w:rPr>
        <w:t xml:space="preserve">) and </w:t>
      </w:r>
      <w:r w:rsidR="002D2180">
        <w:rPr>
          <w:snapToGrid w:val="0"/>
        </w:rPr>
        <w:t>Healthy Bones Australia</w:t>
      </w:r>
      <w:r w:rsidRPr="0026395A">
        <w:rPr>
          <w:snapToGrid w:val="0"/>
        </w:rPr>
        <w:t xml:space="preserve"> via the Consumer Comments facility on the PBS website.</w:t>
      </w:r>
    </w:p>
    <w:p w14:paraId="1FDA24A0" w14:textId="3D451EF6" w:rsidR="0026395A" w:rsidRPr="0026395A" w:rsidRDefault="0026395A" w:rsidP="0026395A">
      <w:pPr>
        <w:pStyle w:val="3-BodyText"/>
        <w:rPr>
          <w:snapToGrid w:val="0"/>
        </w:rPr>
      </w:pPr>
      <w:r w:rsidRPr="0026395A">
        <w:rPr>
          <w:snapToGrid w:val="0"/>
        </w:rPr>
        <w:t>Healthy Bones Australia indicated its support for the application for abaloparatide as a first-line treatment in Australia. It emphasised the increasing evidence to suggest that anabolic agents should be used first-line to build new bone, followed by ART to preserve new bone. The organisation noted the effective clinical trial evidence for abaloparatide versus placebo and noted the absence of adverse cardiovascular events associated with abaloparatide.</w:t>
      </w:r>
    </w:p>
    <w:p w14:paraId="39441033" w14:textId="3FFB0DE0" w:rsidR="00D27213" w:rsidRPr="0026395A" w:rsidRDefault="0026395A" w:rsidP="0026395A">
      <w:pPr>
        <w:pStyle w:val="3-BodyText"/>
        <w:rPr>
          <w:snapToGrid w:val="0"/>
        </w:rPr>
      </w:pPr>
      <w:r w:rsidRPr="0026395A">
        <w:rPr>
          <w:snapToGrid w:val="0"/>
        </w:rPr>
        <w:t>The HCPs commented that abaloparatide is an effective treatment for patients with severe osteoporosis as described by the following points: it is a potent anabolic agent which allows for bone formation and improvement of bone density and quality; it has demonstrated clinical trial evidence for efficacy improving bone density and strength, and reducing fracture risk; and it is easily administered as a daily injection without requirement to refrigerate. The HCPs also commented that the cardiovascular contraindications to the PBS-listed anabolic treatment, romosozumab, may leave many individuals without access to</w:t>
      </w:r>
      <w:r w:rsidR="00B652C4">
        <w:rPr>
          <w:snapToGrid w:val="0"/>
        </w:rPr>
        <w:t xml:space="preserve"> first-line</w:t>
      </w:r>
      <w:r w:rsidRPr="0026395A">
        <w:rPr>
          <w:snapToGrid w:val="0"/>
        </w:rPr>
        <w:t xml:space="preserve"> anabolic treatment.</w:t>
      </w:r>
    </w:p>
    <w:p w14:paraId="609C0765" w14:textId="298C9D22" w:rsidR="00B60939" w:rsidRPr="00D86D87" w:rsidRDefault="00B60939" w:rsidP="002E4F02">
      <w:pPr>
        <w:pStyle w:val="4-SubsectionHeading"/>
      </w:pPr>
      <w:bookmarkStart w:id="19" w:name="_Toc198219104"/>
      <w:r w:rsidRPr="00D86D87">
        <w:t>Clinical trials</w:t>
      </w:r>
      <w:bookmarkEnd w:id="17"/>
      <w:bookmarkEnd w:id="19"/>
    </w:p>
    <w:p w14:paraId="2FA6F122" w14:textId="64186159" w:rsidR="008E7ECE" w:rsidRPr="00684BD8" w:rsidRDefault="00401B97" w:rsidP="0040683D">
      <w:pPr>
        <w:pStyle w:val="3-BodyText"/>
      </w:pPr>
      <w:r w:rsidRPr="003807B9">
        <w:t xml:space="preserve">No head-to-head trials were identified that directly compared </w:t>
      </w:r>
      <w:r>
        <w:t>abaloparatide</w:t>
      </w:r>
      <w:r w:rsidRPr="003807B9">
        <w:t xml:space="preserve"> vs </w:t>
      </w:r>
      <w:r w:rsidRPr="00693BD0">
        <w:t>romosozumab in the proposed PBS target population</w:t>
      </w:r>
      <w:r w:rsidR="00F040B0" w:rsidRPr="00693BD0">
        <w:t xml:space="preserve"> (men and women with severe established osteoporosis and very high risk of fracture</w:t>
      </w:r>
      <w:r w:rsidR="00B62910">
        <w:t xml:space="preserve"> </w:t>
      </w:r>
      <w:r w:rsidR="00B62910" w:rsidRPr="00684BD8">
        <w:t>who have not received prior treatment</w:t>
      </w:r>
      <w:r w:rsidR="00F040B0" w:rsidRPr="00684BD8">
        <w:t>)</w:t>
      </w:r>
      <w:r w:rsidRPr="00684BD8">
        <w:t>. The</w:t>
      </w:r>
      <w:r w:rsidR="004E3C8C" w:rsidRPr="00684BD8">
        <w:t>refore, the</w:t>
      </w:r>
      <w:r w:rsidRPr="00684BD8">
        <w:t xml:space="preserve"> submission was based on</w:t>
      </w:r>
      <w:r w:rsidR="008E7ECE" w:rsidRPr="00684BD8">
        <w:t>:</w:t>
      </w:r>
      <w:r w:rsidRPr="00684BD8">
        <w:t xml:space="preserve"> </w:t>
      </w:r>
    </w:p>
    <w:p w14:paraId="694F1C7A" w14:textId="3DE2F526" w:rsidR="008E7ECE" w:rsidRPr="00693BD0" w:rsidRDefault="00401B97" w:rsidP="00523719">
      <w:pPr>
        <w:pStyle w:val="3-BodyText"/>
        <w:numPr>
          <w:ilvl w:val="0"/>
          <w:numId w:val="18"/>
        </w:numPr>
      </w:pPr>
      <w:r w:rsidRPr="00693BD0">
        <w:t>one randomised controlled trial (RCT)</w:t>
      </w:r>
      <w:r w:rsidR="00452DFD" w:rsidRPr="00693BD0">
        <w:t xml:space="preserve"> (ACTIVE)</w:t>
      </w:r>
      <w:r w:rsidRPr="00693BD0">
        <w:t xml:space="preserve"> which compared abaloparatide to placebo</w:t>
      </w:r>
      <w:r w:rsidR="004A7E2E">
        <w:t xml:space="preserve"> and teriparatide</w:t>
      </w:r>
      <w:r w:rsidRPr="00693BD0">
        <w:t xml:space="preserve"> in postmenopausal women with osteoporosis</w:t>
      </w:r>
      <w:r w:rsidR="00693BD0" w:rsidRPr="00693BD0">
        <w:t>;</w:t>
      </w:r>
      <w:r w:rsidRPr="00693BD0">
        <w:t xml:space="preserve"> </w:t>
      </w:r>
    </w:p>
    <w:p w14:paraId="6DE1BEA6" w14:textId="7AA5F06F" w:rsidR="00D5669B" w:rsidRPr="00693BD0" w:rsidRDefault="00401B97" w:rsidP="00523719">
      <w:pPr>
        <w:pStyle w:val="3-BodyText"/>
        <w:numPr>
          <w:ilvl w:val="0"/>
          <w:numId w:val="18"/>
        </w:numPr>
      </w:pPr>
      <w:r w:rsidRPr="00693BD0">
        <w:t xml:space="preserve">one RCT </w:t>
      </w:r>
      <w:r w:rsidR="00452DFD" w:rsidRPr="00693BD0">
        <w:t xml:space="preserve">(FRAME) </w:t>
      </w:r>
      <w:r w:rsidR="0040683D" w:rsidRPr="00693BD0">
        <w:t>that compared</w:t>
      </w:r>
      <w:r w:rsidRPr="00693BD0">
        <w:t xml:space="preserve"> romosozumab to placebo in postmenopausal women with osteoporosis</w:t>
      </w:r>
      <w:r w:rsidR="008316A2" w:rsidRPr="00693BD0">
        <w:t xml:space="preserve">. </w:t>
      </w:r>
    </w:p>
    <w:p w14:paraId="48B8708D" w14:textId="2ED430C6" w:rsidR="007D1E1D" w:rsidRPr="00693BD0" w:rsidRDefault="008316A2" w:rsidP="00D5669B">
      <w:pPr>
        <w:pStyle w:val="3-BodyText"/>
        <w:numPr>
          <w:ilvl w:val="0"/>
          <w:numId w:val="0"/>
        </w:numPr>
        <w:ind w:left="720" w:hanging="11"/>
      </w:pPr>
      <w:r w:rsidRPr="00693BD0">
        <w:t xml:space="preserve">The trials were indirectly compared </w:t>
      </w:r>
      <w:r w:rsidR="00A839C4">
        <w:t>using</w:t>
      </w:r>
      <w:r w:rsidR="00A839C4" w:rsidRPr="00693BD0">
        <w:t xml:space="preserve"> </w:t>
      </w:r>
      <w:r w:rsidRPr="00693BD0">
        <w:t>placebo as the common reference.</w:t>
      </w:r>
      <w:r w:rsidR="00401B97" w:rsidRPr="00693BD0">
        <w:t xml:space="preserve"> </w:t>
      </w:r>
      <w:r w:rsidRPr="00693BD0">
        <w:t>T</w:t>
      </w:r>
      <w:r w:rsidR="00401B97" w:rsidRPr="00693BD0">
        <w:t xml:space="preserve">he indirect treatment comparison (ITC) between abaloparatide and romosozumab </w:t>
      </w:r>
      <w:r w:rsidRPr="00693BD0">
        <w:t xml:space="preserve">assessed </w:t>
      </w:r>
      <w:r w:rsidR="00401B97" w:rsidRPr="00693BD0">
        <w:t xml:space="preserve">their </w:t>
      </w:r>
      <w:r w:rsidRPr="00693BD0">
        <w:t xml:space="preserve">respective </w:t>
      </w:r>
      <w:r w:rsidR="00401B97" w:rsidRPr="00693BD0">
        <w:t xml:space="preserve">efficacy in reducing new vertebral fractures, nonvertebral fractures, and clinical fractures. The extension studies of the trials also informed an ITC between these two drugs regarding their residual effectiveness in preventing new vertebral fractures, nonvertebral fractures, and clinical fractures. </w:t>
      </w:r>
    </w:p>
    <w:p w14:paraId="17DE34DC" w14:textId="6AA472D3" w:rsidR="007F1017" w:rsidRPr="00E20F32" w:rsidRDefault="00401B97" w:rsidP="003409BD">
      <w:pPr>
        <w:pStyle w:val="3-BodyText"/>
      </w:pPr>
      <w:r w:rsidRPr="00693BD0">
        <w:t>The submission also</w:t>
      </w:r>
      <w:r w:rsidR="00477E79" w:rsidRPr="00693BD0">
        <w:t xml:space="preserve"> </w:t>
      </w:r>
      <w:r w:rsidR="008916A1" w:rsidRPr="00693BD0">
        <w:t>presented</w:t>
      </w:r>
      <w:r w:rsidR="00477E79" w:rsidRPr="00693BD0">
        <w:t xml:space="preserve"> efficacy and safety</w:t>
      </w:r>
      <w:r w:rsidR="00361067" w:rsidRPr="00693BD0">
        <w:t xml:space="preserve"> </w:t>
      </w:r>
      <w:r w:rsidR="00B9320C">
        <w:t xml:space="preserve">data in </w:t>
      </w:r>
      <w:r w:rsidR="005D7D27">
        <w:t xml:space="preserve">osteoporotic men. The ATOM trial compared abaloparatide to placebo and the BRIDGE trial compared romosozumab to placebo. The results from these trials were not presented </w:t>
      </w:r>
      <w:r w:rsidR="005619FF" w:rsidRPr="000A274D">
        <w:t>by the evaluation,</w:t>
      </w:r>
      <w:r w:rsidR="001D1A5A" w:rsidRPr="000A274D">
        <w:t xml:space="preserve"> as</w:t>
      </w:r>
      <w:r w:rsidR="00C235E4" w:rsidRPr="000A274D">
        <w:t xml:space="preserve"> </w:t>
      </w:r>
      <w:r w:rsidR="001D1A5A" w:rsidRPr="000A274D">
        <w:t>abaloparatide</w:t>
      </w:r>
      <w:r w:rsidR="00C235E4" w:rsidRPr="000A274D">
        <w:t xml:space="preserve"> was not TGA approved for use in men</w:t>
      </w:r>
      <w:r w:rsidR="005619FF" w:rsidRPr="000A274D">
        <w:t xml:space="preserve"> at the time of evaluation</w:t>
      </w:r>
      <w:r w:rsidR="001235C1" w:rsidRPr="000A274D">
        <w:t>.</w:t>
      </w:r>
    </w:p>
    <w:p w14:paraId="3D93E15D" w14:textId="151EAF9F" w:rsidR="00BC6A21" w:rsidRPr="00D86D87" w:rsidRDefault="00A73134" w:rsidP="002B0776">
      <w:pPr>
        <w:pStyle w:val="3-BodyText"/>
      </w:pPr>
      <w:r w:rsidRPr="00D86D87">
        <w:t xml:space="preserve">Details of the </w:t>
      </w:r>
      <w:r w:rsidR="0040683D">
        <w:t>key trials</w:t>
      </w:r>
      <w:r w:rsidRPr="00D86D87">
        <w:t xml:space="preserve"> presented in the submission are provided in </w:t>
      </w:r>
      <w:r w:rsidR="00B958AF">
        <w:fldChar w:fldCharType="begin"/>
      </w:r>
      <w:r w:rsidR="00B958AF">
        <w:instrText xml:space="preserve"> REF _Ref201755125 \h </w:instrText>
      </w:r>
      <w:r w:rsidR="00B958AF">
        <w:fldChar w:fldCharType="separate"/>
      </w:r>
      <w:r w:rsidR="005B625A" w:rsidRPr="00D86D87">
        <w:t xml:space="preserve">Table </w:t>
      </w:r>
      <w:r w:rsidR="005B625A">
        <w:rPr>
          <w:noProof/>
        </w:rPr>
        <w:t>2</w:t>
      </w:r>
      <w:r w:rsidR="00B958AF">
        <w:fldChar w:fldCharType="end"/>
      </w:r>
      <w:r w:rsidR="00B958AF">
        <w:t>.</w:t>
      </w:r>
    </w:p>
    <w:p w14:paraId="2B59ABAC" w14:textId="22FA931A" w:rsidR="00862502" w:rsidRPr="00D86D87" w:rsidRDefault="00862502" w:rsidP="00B958AF">
      <w:pPr>
        <w:pStyle w:val="3-BodyText"/>
        <w:numPr>
          <w:ilvl w:val="0"/>
          <w:numId w:val="0"/>
        </w:numPr>
        <w:ind w:left="720" w:hanging="720"/>
      </w:pPr>
    </w:p>
    <w:p w14:paraId="6AD1AA1D" w14:textId="77777777" w:rsidR="009F03C8" w:rsidRDefault="009F03C8">
      <w:pPr>
        <w:jc w:val="left"/>
        <w:rPr>
          <w:rFonts w:ascii="Arial Narrow" w:hAnsi="Arial Narrow"/>
          <w:b/>
          <w:bCs/>
          <w:sz w:val="20"/>
          <w:szCs w:val="18"/>
        </w:rPr>
      </w:pPr>
      <w:bookmarkStart w:id="20" w:name="_Ref195782613"/>
      <w:bookmarkStart w:id="21" w:name="_Ref195284693"/>
      <w:r>
        <w:br w:type="page"/>
      </w:r>
    </w:p>
    <w:p w14:paraId="54A30721" w14:textId="5CE7A74A" w:rsidR="0040683D" w:rsidRDefault="00FE0077" w:rsidP="0040683D">
      <w:pPr>
        <w:pStyle w:val="Caption"/>
        <w:spacing w:before="120"/>
      </w:pPr>
      <w:bookmarkStart w:id="22" w:name="_Ref201755125"/>
      <w:r w:rsidRPr="00D86D87">
        <w:t xml:space="preserve">Table </w:t>
      </w:r>
      <w:r w:rsidR="001C1C72">
        <w:fldChar w:fldCharType="begin"/>
      </w:r>
      <w:r w:rsidR="001C1C72">
        <w:instrText xml:space="preserve"> SEQ Table \* ARABIC </w:instrText>
      </w:r>
      <w:r w:rsidR="001C1C72">
        <w:fldChar w:fldCharType="separate"/>
      </w:r>
      <w:r w:rsidR="005B625A">
        <w:rPr>
          <w:noProof/>
        </w:rPr>
        <w:t>2</w:t>
      </w:r>
      <w:r w:rsidR="001C1C72">
        <w:rPr>
          <w:noProof/>
        </w:rPr>
        <w:fldChar w:fldCharType="end"/>
      </w:r>
      <w:bookmarkEnd w:id="20"/>
      <w:bookmarkEnd w:id="22"/>
      <w:r w:rsidRPr="00D86D87">
        <w:t>:</w:t>
      </w:r>
      <w:r w:rsidRPr="00D86D87">
        <w:rPr>
          <w:rStyle w:val="CommentReference"/>
          <w:b/>
          <w:szCs w:val="24"/>
        </w:rPr>
        <w:t xml:space="preserve"> </w:t>
      </w:r>
      <w:bookmarkEnd w:id="21"/>
      <w:r w:rsidR="0040683D">
        <w:t xml:space="preserve">Trials </w:t>
      </w:r>
      <w:r w:rsidR="0040683D" w:rsidRPr="00D86D87">
        <w:rPr>
          <w:rStyle w:val="CommentReference"/>
          <w:b/>
          <w:szCs w:val="24"/>
        </w:rPr>
        <w:t>and associated reports presented in the submission</w:t>
      </w:r>
    </w:p>
    <w:tbl>
      <w:tblPr>
        <w:tblW w:w="50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61"/>
        <w:gridCol w:w="5562"/>
        <w:gridCol w:w="2164"/>
      </w:tblGrid>
      <w:tr w:rsidR="0040683D" w:rsidRPr="00D86D87" w14:paraId="136C0EEE" w14:textId="77777777" w:rsidTr="0004627B">
        <w:trPr>
          <w:trHeight w:val="226"/>
          <w:tblHeader/>
        </w:trPr>
        <w:tc>
          <w:tcPr>
            <w:tcW w:w="795" w:type="pct"/>
          </w:tcPr>
          <w:p w14:paraId="47312FFC" w14:textId="77777777" w:rsidR="0040683D" w:rsidRPr="00D86D87" w:rsidRDefault="0040683D" w:rsidP="0040683D">
            <w:pPr>
              <w:pStyle w:val="In-tableHeading"/>
              <w:keepNext w:val="0"/>
              <w:keepLines w:val="0"/>
              <w:widowControl w:val="0"/>
              <w:rPr>
                <w:lang w:val="en-AU"/>
              </w:rPr>
            </w:pPr>
            <w:r w:rsidRPr="00D86D87">
              <w:rPr>
                <w:lang w:val="en-AU"/>
              </w:rPr>
              <w:t>Trial ID</w:t>
            </w:r>
          </w:p>
        </w:tc>
        <w:tc>
          <w:tcPr>
            <w:tcW w:w="3027" w:type="pct"/>
          </w:tcPr>
          <w:p w14:paraId="450AC2AB" w14:textId="77777777" w:rsidR="0040683D" w:rsidRPr="00D86D87" w:rsidRDefault="0040683D" w:rsidP="0040683D">
            <w:pPr>
              <w:pStyle w:val="In-tableHeading"/>
              <w:keepNext w:val="0"/>
              <w:keepLines w:val="0"/>
              <w:widowControl w:val="0"/>
              <w:rPr>
                <w:lang w:val="en-AU"/>
              </w:rPr>
            </w:pPr>
            <w:r w:rsidRPr="00D86D87">
              <w:rPr>
                <w:lang w:val="en-AU"/>
              </w:rPr>
              <w:t>Protocol title/ Publication title</w:t>
            </w:r>
          </w:p>
        </w:tc>
        <w:tc>
          <w:tcPr>
            <w:tcW w:w="1178" w:type="pct"/>
          </w:tcPr>
          <w:p w14:paraId="48DAF815" w14:textId="77777777" w:rsidR="0040683D" w:rsidRPr="00D86D87" w:rsidRDefault="0040683D" w:rsidP="0040683D">
            <w:pPr>
              <w:pStyle w:val="In-tableHeading"/>
              <w:keepNext w:val="0"/>
              <w:keepLines w:val="0"/>
              <w:widowControl w:val="0"/>
              <w:rPr>
                <w:lang w:val="en-AU"/>
              </w:rPr>
            </w:pPr>
            <w:r w:rsidRPr="00D86D87">
              <w:rPr>
                <w:lang w:val="en-AU"/>
              </w:rPr>
              <w:t>Publication citation</w:t>
            </w:r>
          </w:p>
        </w:tc>
      </w:tr>
      <w:tr w:rsidR="0040683D" w:rsidRPr="00D86D87" w14:paraId="22336A8F" w14:textId="77777777" w:rsidTr="003C5A30">
        <w:trPr>
          <w:trHeight w:val="236"/>
        </w:trPr>
        <w:tc>
          <w:tcPr>
            <w:tcW w:w="5000" w:type="pct"/>
            <w:gridSpan w:val="3"/>
          </w:tcPr>
          <w:p w14:paraId="33857703" w14:textId="77777777" w:rsidR="0040683D" w:rsidRPr="00B958AF" w:rsidRDefault="0040683D" w:rsidP="0040683D">
            <w:pPr>
              <w:pStyle w:val="In-tableHeading"/>
              <w:keepNext w:val="0"/>
              <w:keepLines w:val="0"/>
              <w:widowControl w:val="0"/>
              <w:rPr>
                <w:lang w:val="en-AU"/>
              </w:rPr>
            </w:pPr>
            <w:r w:rsidRPr="00B958AF">
              <w:rPr>
                <w:lang w:val="en-AU"/>
              </w:rPr>
              <w:t>Abaloparatide trials</w:t>
            </w:r>
          </w:p>
        </w:tc>
      </w:tr>
      <w:tr w:rsidR="0040683D" w:rsidRPr="00D86D87" w14:paraId="54112104" w14:textId="77777777" w:rsidTr="003C5A30">
        <w:trPr>
          <w:trHeight w:val="1141"/>
        </w:trPr>
        <w:tc>
          <w:tcPr>
            <w:tcW w:w="795" w:type="pct"/>
            <w:vMerge w:val="restart"/>
          </w:tcPr>
          <w:p w14:paraId="298BB9D5" w14:textId="77777777" w:rsidR="0040683D" w:rsidRDefault="0040683D" w:rsidP="008E145F">
            <w:pPr>
              <w:pStyle w:val="TableText0"/>
              <w:keepNext w:val="0"/>
              <w:keepLines w:val="0"/>
              <w:widowControl w:val="0"/>
              <w:spacing w:after="120"/>
            </w:pPr>
            <w:r>
              <w:t>ACTIVE</w:t>
            </w:r>
          </w:p>
          <w:p w14:paraId="7064D799" w14:textId="77777777" w:rsidR="0040683D" w:rsidRPr="00D86D87" w:rsidRDefault="0040683D" w:rsidP="008E145F">
            <w:pPr>
              <w:pStyle w:val="TableText0"/>
              <w:keepNext w:val="0"/>
              <w:keepLines w:val="0"/>
              <w:widowControl w:val="0"/>
              <w:spacing w:after="120"/>
            </w:pPr>
            <w:r>
              <w:t>NCT01343004</w:t>
            </w:r>
          </w:p>
        </w:tc>
        <w:tc>
          <w:tcPr>
            <w:tcW w:w="3027" w:type="pct"/>
            <w:tcBorders>
              <w:bottom w:val="nil"/>
            </w:tcBorders>
          </w:tcPr>
          <w:p w14:paraId="67B003C3" w14:textId="77777777" w:rsidR="0040683D" w:rsidRPr="00D86D87" w:rsidRDefault="0040683D" w:rsidP="008E145F">
            <w:pPr>
              <w:pStyle w:val="TableText0"/>
              <w:keepNext w:val="0"/>
              <w:keepLines w:val="0"/>
              <w:widowControl w:val="0"/>
              <w:spacing w:after="120"/>
              <w:rPr>
                <w:szCs w:val="18"/>
              </w:rPr>
            </w:pPr>
            <w:r w:rsidRPr="00761377">
              <w:rPr>
                <w:szCs w:val="18"/>
              </w:rPr>
              <w:t>Radius Health Inc (2015). BA058-05-003: A Randomized, Double-blind, Placebo-controlled, Comparative Phase 3 Multicenter Study to Evaluate the Safety and Efficacy of BA058 for Injection for Prevention of Fracture in Ambulatory Postmenopausal Women with Severe Osteoporosis and at Risk of Fracture</w:t>
            </w:r>
            <w:r>
              <w:rPr>
                <w:szCs w:val="18"/>
              </w:rPr>
              <w:t>. Clinical Study Report</w:t>
            </w:r>
          </w:p>
        </w:tc>
        <w:tc>
          <w:tcPr>
            <w:tcW w:w="1178" w:type="pct"/>
            <w:tcBorders>
              <w:bottom w:val="nil"/>
            </w:tcBorders>
          </w:tcPr>
          <w:p w14:paraId="668D415B" w14:textId="77777777" w:rsidR="0040683D" w:rsidRPr="00145613" w:rsidRDefault="0040683D" w:rsidP="008E145F">
            <w:pPr>
              <w:pStyle w:val="TableText0"/>
              <w:keepNext w:val="0"/>
              <w:keepLines w:val="0"/>
              <w:widowControl w:val="0"/>
              <w:spacing w:after="120"/>
            </w:pPr>
          </w:p>
        </w:tc>
      </w:tr>
      <w:tr w:rsidR="0040683D" w:rsidRPr="00D86D87" w14:paraId="5925E986" w14:textId="77777777" w:rsidTr="003C5A30">
        <w:trPr>
          <w:trHeight w:val="675"/>
        </w:trPr>
        <w:tc>
          <w:tcPr>
            <w:tcW w:w="795" w:type="pct"/>
            <w:vMerge/>
          </w:tcPr>
          <w:p w14:paraId="302C71F1" w14:textId="77777777" w:rsidR="0040683D" w:rsidRPr="00D86D87" w:rsidRDefault="0040683D" w:rsidP="008E145F">
            <w:pPr>
              <w:pStyle w:val="TableText0"/>
              <w:keepNext w:val="0"/>
              <w:keepLines w:val="0"/>
              <w:widowControl w:val="0"/>
              <w:spacing w:after="120"/>
            </w:pPr>
          </w:p>
        </w:tc>
        <w:tc>
          <w:tcPr>
            <w:tcW w:w="3027" w:type="pct"/>
            <w:tcBorders>
              <w:top w:val="nil"/>
              <w:bottom w:val="nil"/>
            </w:tcBorders>
          </w:tcPr>
          <w:p w14:paraId="341BFC13" w14:textId="47C67380" w:rsidR="0040683D" w:rsidRPr="00D86D87" w:rsidRDefault="0040683D" w:rsidP="008E145F">
            <w:pPr>
              <w:pStyle w:val="TableText0"/>
              <w:keepNext w:val="0"/>
              <w:keepLines w:val="0"/>
              <w:widowControl w:val="0"/>
              <w:spacing w:after="120"/>
              <w:rPr>
                <w:szCs w:val="18"/>
              </w:rPr>
            </w:pPr>
            <w:r w:rsidRPr="00761377">
              <w:rPr>
                <w:szCs w:val="18"/>
              </w:rPr>
              <w:t>Radius Health Inc. (2011). NCT01343004: A Randomized, Double-blind, Placebo-Controlled, Comparative Multicenter Phase 3 Study to Evaluate the Safety and Efficacy of BA058 (Abaloparatide) for Injection for Prevention of Fracture in Ambulatory Postmenopausal Women With Severe Osteoporosis and at Risk of Fracture.</w:t>
            </w:r>
          </w:p>
        </w:tc>
        <w:tc>
          <w:tcPr>
            <w:tcW w:w="1178" w:type="pct"/>
            <w:tcBorders>
              <w:top w:val="nil"/>
              <w:bottom w:val="nil"/>
            </w:tcBorders>
          </w:tcPr>
          <w:p w14:paraId="30A2305B" w14:textId="77777777" w:rsidR="0040683D" w:rsidRPr="00145613" w:rsidRDefault="0040683D" w:rsidP="008E145F">
            <w:pPr>
              <w:pStyle w:val="TableText0"/>
              <w:keepNext w:val="0"/>
              <w:keepLines w:val="0"/>
              <w:widowControl w:val="0"/>
              <w:spacing w:after="120"/>
              <w:rPr>
                <w:szCs w:val="18"/>
              </w:rPr>
            </w:pPr>
          </w:p>
        </w:tc>
      </w:tr>
      <w:tr w:rsidR="0040683D" w:rsidRPr="00D86D87" w14:paraId="201564DE" w14:textId="77777777" w:rsidTr="003C5A30">
        <w:trPr>
          <w:trHeight w:val="144"/>
        </w:trPr>
        <w:tc>
          <w:tcPr>
            <w:tcW w:w="795" w:type="pct"/>
            <w:vMerge/>
          </w:tcPr>
          <w:p w14:paraId="1E7CAB0C" w14:textId="77777777" w:rsidR="0040683D" w:rsidRPr="00D86D87" w:rsidRDefault="0040683D" w:rsidP="008E145F">
            <w:pPr>
              <w:pStyle w:val="TableText0"/>
              <w:keepNext w:val="0"/>
              <w:keepLines w:val="0"/>
              <w:widowControl w:val="0"/>
              <w:spacing w:after="120"/>
            </w:pPr>
          </w:p>
        </w:tc>
        <w:tc>
          <w:tcPr>
            <w:tcW w:w="3027" w:type="pct"/>
            <w:tcBorders>
              <w:top w:val="nil"/>
              <w:bottom w:val="nil"/>
            </w:tcBorders>
          </w:tcPr>
          <w:p w14:paraId="2FBABE62" w14:textId="2877DAD3" w:rsidR="0040683D" w:rsidRPr="00D86D87" w:rsidRDefault="0040683D" w:rsidP="008E145F">
            <w:pPr>
              <w:pStyle w:val="TableText0"/>
              <w:keepNext w:val="0"/>
              <w:keepLines w:val="0"/>
              <w:widowControl w:val="0"/>
              <w:spacing w:after="120"/>
              <w:rPr>
                <w:szCs w:val="18"/>
              </w:rPr>
            </w:pPr>
            <w:r w:rsidRPr="00761377">
              <w:rPr>
                <w:szCs w:val="18"/>
              </w:rPr>
              <w:t xml:space="preserve">Miller PD, Hattersley G, Riis BJ, et al. </w:t>
            </w:r>
            <w:r>
              <w:rPr>
                <w:szCs w:val="18"/>
              </w:rPr>
              <w:t>E</w:t>
            </w:r>
            <w:r w:rsidRPr="00761377">
              <w:rPr>
                <w:szCs w:val="18"/>
              </w:rPr>
              <w:t>ffect of abaloparatide vs placebo on new vertebral fractures in postmenopausal women with osteoporosis: a randomized clinical trial.</w:t>
            </w:r>
          </w:p>
        </w:tc>
        <w:tc>
          <w:tcPr>
            <w:tcW w:w="1178" w:type="pct"/>
            <w:tcBorders>
              <w:top w:val="nil"/>
              <w:bottom w:val="nil"/>
            </w:tcBorders>
          </w:tcPr>
          <w:p w14:paraId="2A2672F8" w14:textId="77777777" w:rsidR="0040683D" w:rsidRPr="00145613" w:rsidRDefault="0040683D" w:rsidP="008E145F">
            <w:pPr>
              <w:pStyle w:val="TableText0"/>
              <w:keepNext w:val="0"/>
              <w:keepLines w:val="0"/>
              <w:widowControl w:val="0"/>
              <w:spacing w:after="120"/>
              <w:rPr>
                <w:szCs w:val="18"/>
              </w:rPr>
            </w:pPr>
            <w:r w:rsidRPr="00145613">
              <w:rPr>
                <w:szCs w:val="18"/>
              </w:rPr>
              <w:t>JAMA 2016; 316(7): 722-733.</w:t>
            </w:r>
          </w:p>
        </w:tc>
      </w:tr>
      <w:tr w:rsidR="0040683D" w:rsidRPr="00D86D87" w14:paraId="6C686C2B" w14:textId="77777777" w:rsidTr="003C5A30">
        <w:trPr>
          <w:trHeight w:val="144"/>
        </w:trPr>
        <w:tc>
          <w:tcPr>
            <w:tcW w:w="795" w:type="pct"/>
            <w:vMerge/>
          </w:tcPr>
          <w:p w14:paraId="6FCB6B24" w14:textId="77777777" w:rsidR="0040683D" w:rsidRPr="00D86D87" w:rsidRDefault="0040683D" w:rsidP="008E145F">
            <w:pPr>
              <w:pStyle w:val="TableText0"/>
              <w:keepNext w:val="0"/>
              <w:keepLines w:val="0"/>
              <w:widowControl w:val="0"/>
              <w:spacing w:after="120"/>
            </w:pPr>
          </w:p>
        </w:tc>
        <w:tc>
          <w:tcPr>
            <w:tcW w:w="3027" w:type="pct"/>
            <w:tcBorders>
              <w:top w:val="nil"/>
              <w:bottom w:val="nil"/>
            </w:tcBorders>
          </w:tcPr>
          <w:p w14:paraId="69DA43C1" w14:textId="77777777" w:rsidR="0040683D" w:rsidRPr="00761377" w:rsidRDefault="0040683D" w:rsidP="008E145F">
            <w:pPr>
              <w:pStyle w:val="TableText0"/>
              <w:keepNext w:val="0"/>
              <w:keepLines w:val="0"/>
              <w:widowControl w:val="0"/>
              <w:spacing w:after="120"/>
              <w:rPr>
                <w:szCs w:val="18"/>
              </w:rPr>
            </w:pPr>
            <w:r w:rsidRPr="00761377">
              <w:rPr>
                <w:szCs w:val="18"/>
              </w:rPr>
              <w:t xml:space="preserve">Bilezikian, JP, Hattersley G, Mitlak BH, et al. Abaloparatide in patients with mild or moderate renal impairment: results from the ACTIVE phase 3 trial. </w:t>
            </w:r>
          </w:p>
        </w:tc>
        <w:tc>
          <w:tcPr>
            <w:tcW w:w="1178" w:type="pct"/>
            <w:tcBorders>
              <w:top w:val="nil"/>
              <w:bottom w:val="nil"/>
            </w:tcBorders>
          </w:tcPr>
          <w:p w14:paraId="756630BB" w14:textId="77777777" w:rsidR="0040683D" w:rsidRPr="00145613" w:rsidRDefault="0040683D" w:rsidP="008E145F">
            <w:pPr>
              <w:pStyle w:val="TableText0"/>
              <w:keepNext w:val="0"/>
              <w:keepLines w:val="0"/>
              <w:widowControl w:val="0"/>
              <w:spacing w:after="120"/>
              <w:rPr>
                <w:szCs w:val="18"/>
              </w:rPr>
            </w:pPr>
            <w:r w:rsidRPr="00145613">
              <w:rPr>
                <w:szCs w:val="18"/>
              </w:rPr>
              <w:t>Current Medical Research and Opinion 2019; 35(12): 2097-2102.</w:t>
            </w:r>
          </w:p>
        </w:tc>
      </w:tr>
      <w:tr w:rsidR="0040683D" w:rsidRPr="00D86D87" w14:paraId="4A56DC5D" w14:textId="77777777" w:rsidTr="003C5A30">
        <w:trPr>
          <w:trHeight w:val="144"/>
        </w:trPr>
        <w:tc>
          <w:tcPr>
            <w:tcW w:w="795" w:type="pct"/>
            <w:vMerge/>
          </w:tcPr>
          <w:p w14:paraId="7D0A9FBC" w14:textId="77777777" w:rsidR="0040683D" w:rsidRPr="00D86D87" w:rsidRDefault="0040683D" w:rsidP="008E145F">
            <w:pPr>
              <w:pStyle w:val="TableText0"/>
              <w:keepNext w:val="0"/>
              <w:keepLines w:val="0"/>
              <w:widowControl w:val="0"/>
              <w:spacing w:after="120"/>
            </w:pPr>
          </w:p>
        </w:tc>
        <w:tc>
          <w:tcPr>
            <w:tcW w:w="3027" w:type="pct"/>
            <w:tcBorders>
              <w:top w:val="nil"/>
              <w:bottom w:val="nil"/>
            </w:tcBorders>
          </w:tcPr>
          <w:p w14:paraId="1B9EE1B7" w14:textId="77777777" w:rsidR="0040683D" w:rsidRPr="00761377" w:rsidRDefault="0040683D" w:rsidP="008E145F">
            <w:pPr>
              <w:pStyle w:val="TableText0"/>
              <w:keepNext w:val="0"/>
              <w:keepLines w:val="0"/>
              <w:widowControl w:val="0"/>
              <w:spacing w:after="120"/>
              <w:rPr>
                <w:szCs w:val="18"/>
              </w:rPr>
            </w:pPr>
            <w:r w:rsidRPr="00AE057F">
              <w:rPr>
                <w:szCs w:val="18"/>
              </w:rPr>
              <w:t xml:space="preserve">Cosman, F, Hattersley G, Hu MY, et al. </w:t>
            </w:r>
            <w:r>
              <w:rPr>
                <w:szCs w:val="18"/>
              </w:rPr>
              <w:t>E</w:t>
            </w:r>
            <w:r w:rsidRPr="00AE057F">
              <w:rPr>
                <w:szCs w:val="18"/>
              </w:rPr>
              <w:t>ffects of abaloparatide-</w:t>
            </w:r>
            <w:r>
              <w:rPr>
                <w:szCs w:val="18"/>
              </w:rPr>
              <w:t>SC</w:t>
            </w:r>
            <w:r w:rsidRPr="00AE057F">
              <w:rPr>
                <w:szCs w:val="18"/>
              </w:rPr>
              <w:t xml:space="preserve"> on fractures and bone mineral density in subgroups of postmenopausal women with osteoporosis and varying baseline risk factors. </w:t>
            </w:r>
          </w:p>
        </w:tc>
        <w:tc>
          <w:tcPr>
            <w:tcW w:w="1178" w:type="pct"/>
            <w:tcBorders>
              <w:top w:val="nil"/>
              <w:bottom w:val="nil"/>
            </w:tcBorders>
          </w:tcPr>
          <w:p w14:paraId="3945EB0B" w14:textId="77777777" w:rsidR="0040683D" w:rsidRPr="00145613" w:rsidRDefault="0040683D" w:rsidP="008E145F">
            <w:pPr>
              <w:pStyle w:val="TableText0"/>
              <w:keepNext w:val="0"/>
              <w:keepLines w:val="0"/>
              <w:widowControl w:val="0"/>
              <w:spacing w:after="120"/>
              <w:rPr>
                <w:szCs w:val="18"/>
              </w:rPr>
            </w:pPr>
            <w:r w:rsidRPr="00145613">
              <w:rPr>
                <w:szCs w:val="18"/>
              </w:rPr>
              <w:t>Journal of Bone and Mineral Research 2017; 32(1): 17-23.</w:t>
            </w:r>
          </w:p>
        </w:tc>
      </w:tr>
      <w:tr w:rsidR="0040683D" w:rsidRPr="00D86D87" w14:paraId="3FEC9DBC" w14:textId="77777777" w:rsidTr="003C5A30">
        <w:trPr>
          <w:trHeight w:val="144"/>
        </w:trPr>
        <w:tc>
          <w:tcPr>
            <w:tcW w:w="795" w:type="pct"/>
            <w:vMerge/>
          </w:tcPr>
          <w:p w14:paraId="0150ADB0" w14:textId="77777777" w:rsidR="0040683D" w:rsidRPr="00D86D87" w:rsidRDefault="0040683D" w:rsidP="008E145F">
            <w:pPr>
              <w:pStyle w:val="TableText0"/>
              <w:keepNext w:val="0"/>
              <w:keepLines w:val="0"/>
              <w:widowControl w:val="0"/>
              <w:spacing w:after="120"/>
            </w:pPr>
          </w:p>
        </w:tc>
        <w:tc>
          <w:tcPr>
            <w:tcW w:w="3027" w:type="pct"/>
            <w:tcBorders>
              <w:top w:val="nil"/>
              <w:bottom w:val="nil"/>
            </w:tcBorders>
          </w:tcPr>
          <w:p w14:paraId="0F23DA82" w14:textId="77777777" w:rsidR="0040683D" w:rsidRPr="00AE057F" w:rsidRDefault="0040683D" w:rsidP="008E145F">
            <w:pPr>
              <w:pStyle w:val="TableText0"/>
              <w:keepNext w:val="0"/>
              <w:keepLines w:val="0"/>
              <w:widowControl w:val="0"/>
              <w:spacing w:after="120"/>
              <w:rPr>
                <w:szCs w:val="18"/>
              </w:rPr>
            </w:pPr>
            <w:r w:rsidRPr="00AE057F">
              <w:rPr>
                <w:szCs w:val="18"/>
              </w:rPr>
              <w:t xml:space="preserve">Cosman, F, Peterson LR, Towler DA, et al. </w:t>
            </w:r>
            <w:r>
              <w:rPr>
                <w:szCs w:val="18"/>
              </w:rPr>
              <w:t>C</w:t>
            </w:r>
            <w:r w:rsidRPr="00AE057F">
              <w:rPr>
                <w:szCs w:val="18"/>
              </w:rPr>
              <w:t>ardiovascular safety of abaloparatide in postmenopausal women with osteoporosis: analysis from the active phase 3 trial.</w:t>
            </w:r>
          </w:p>
        </w:tc>
        <w:tc>
          <w:tcPr>
            <w:tcW w:w="1178" w:type="pct"/>
            <w:tcBorders>
              <w:top w:val="nil"/>
              <w:bottom w:val="nil"/>
            </w:tcBorders>
          </w:tcPr>
          <w:p w14:paraId="6D826F16" w14:textId="77777777" w:rsidR="0040683D" w:rsidRPr="00145613" w:rsidRDefault="0040683D" w:rsidP="008E145F">
            <w:pPr>
              <w:pStyle w:val="TableText0"/>
              <w:keepNext w:val="0"/>
              <w:keepLines w:val="0"/>
              <w:widowControl w:val="0"/>
              <w:spacing w:after="120"/>
              <w:rPr>
                <w:szCs w:val="18"/>
              </w:rPr>
            </w:pPr>
            <w:r w:rsidRPr="00145613">
              <w:rPr>
                <w:szCs w:val="18"/>
              </w:rPr>
              <w:t>Journal of Clinical Endocrinology and Metabolism 2020;105(11): 1-12.</w:t>
            </w:r>
          </w:p>
        </w:tc>
      </w:tr>
      <w:tr w:rsidR="0040683D" w:rsidRPr="00D86D87" w14:paraId="743524EC" w14:textId="77777777" w:rsidTr="003C5A30">
        <w:trPr>
          <w:trHeight w:val="144"/>
        </w:trPr>
        <w:tc>
          <w:tcPr>
            <w:tcW w:w="795" w:type="pct"/>
            <w:vMerge/>
          </w:tcPr>
          <w:p w14:paraId="736C0564" w14:textId="77777777" w:rsidR="0040683D" w:rsidRPr="00D86D87" w:rsidRDefault="0040683D" w:rsidP="008E145F">
            <w:pPr>
              <w:pStyle w:val="TableText0"/>
              <w:keepNext w:val="0"/>
              <w:keepLines w:val="0"/>
              <w:widowControl w:val="0"/>
              <w:spacing w:after="120"/>
            </w:pPr>
          </w:p>
        </w:tc>
        <w:tc>
          <w:tcPr>
            <w:tcW w:w="3027" w:type="pct"/>
            <w:tcBorders>
              <w:top w:val="nil"/>
              <w:bottom w:val="nil"/>
            </w:tcBorders>
          </w:tcPr>
          <w:p w14:paraId="1217D434" w14:textId="77777777" w:rsidR="0040683D" w:rsidRPr="00AE057F" w:rsidRDefault="0040683D" w:rsidP="008E145F">
            <w:pPr>
              <w:pStyle w:val="TableText0"/>
              <w:keepNext w:val="0"/>
              <w:keepLines w:val="0"/>
              <w:widowControl w:val="0"/>
              <w:spacing w:after="120"/>
              <w:rPr>
                <w:szCs w:val="18"/>
              </w:rPr>
            </w:pPr>
            <w:r w:rsidRPr="000225BE">
              <w:rPr>
                <w:szCs w:val="18"/>
                <w:lang w:val="de-DE"/>
              </w:rPr>
              <w:t xml:space="preserve">DeSapri, KT, Clarke BL, Kostenuik P, et al. </w:t>
            </w:r>
            <w:r w:rsidRPr="00AE057F">
              <w:rPr>
                <w:szCs w:val="18"/>
              </w:rPr>
              <w:t>Effect of abaloparatide on fracture incidence and bone mineral density in postmenopausal women with osteoporosis at highest risk for fracture.</w:t>
            </w:r>
          </w:p>
        </w:tc>
        <w:tc>
          <w:tcPr>
            <w:tcW w:w="1178" w:type="pct"/>
            <w:tcBorders>
              <w:top w:val="nil"/>
              <w:bottom w:val="nil"/>
            </w:tcBorders>
          </w:tcPr>
          <w:p w14:paraId="37348092" w14:textId="77777777" w:rsidR="0040683D" w:rsidRPr="00145613" w:rsidRDefault="0040683D" w:rsidP="008E145F">
            <w:pPr>
              <w:pStyle w:val="TableText0"/>
              <w:keepNext w:val="0"/>
              <w:keepLines w:val="0"/>
              <w:widowControl w:val="0"/>
              <w:spacing w:after="120"/>
              <w:rPr>
                <w:szCs w:val="18"/>
              </w:rPr>
            </w:pPr>
            <w:r w:rsidRPr="00145613">
              <w:rPr>
                <w:szCs w:val="18"/>
              </w:rPr>
              <w:t>Menopause 2025</w:t>
            </w:r>
          </w:p>
        </w:tc>
      </w:tr>
      <w:tr w:rsidR="0040683D" w:rsidRPr="00D86D87" w14:paraId="2749D22A" w14:textId="77777777" w:rsidTr="003C5A30">
        <w:trPr>
          <w:trHeight w:val="144"/>
        </w:trPr>
        <w:tc>
          <w:tcPr>
            <w:tcW w:w="795" w:type="pct"/>
            <w:vMerge/>
          </w:tcPr>
          <w:p w14:paraId="35D6614E" w14:textId="77777777" w:rsidR="0040683D" w:rsidRPr="00D86D87" w:rsidRDefault="0040683D" w:rsidP="008E145F">
            <w:pPr>
              <w:pStyle w:val="TableText0"/>
              <w:keepNext w:val="0"/>
              <w:keepLines w:val="0"/>
              <w:widowControl w:val="0"/>
              <w:spacing w:after="120"/>
            </w:pPr>
          </w:p>
        </w:tc>
        <w:tc>
          <w:tcPr>
            <w:tcW w:w="3027" w:type="pct"/>
            <w:tcBorders>
              <w:top w:val="nil"/>
              <w:bottom w:val="nil"/>
            </w:tcBorders>
          </w:tcPr>
          <w:p w14:paraId="7C5FB2A4" w14:textId="638CB84A" w:rsidR="0040683D" w:rsidRPr="00AE057F" w:rsidRDefault="0040683D" w:rsidP="008E145F">
            <w:pPr>
              <w:pStyle w:val="TableText0"/>
              <w:keepNext w:val="0"/>
              <w:keepLines w:val="0"/>
              <w:widowControl w:val="0"/>
              <w:spacing w:after="120"/>
              <w:rPr>
                <w:szCs w:val="18"/>
              </w:rPr>
            </w:pPr>
            <w:r w:rsidRPr="00AE057F">
              <w:rPr>
                <w:szCs w:val="18"/>
              </w:rPr>
              <w:t xml:space="preserve">Dhaliwal, R, Hans D, Hattersley G, et al. </w:t>
            </w:r>
            <w:r>
              <w:rPr>
                <w:szCs w:val="18"/>
              </w:rPr>
              <w:t>A</w:t>
            </w:r>
            <w:r w:rsidRPr="00AE057F">
              <w:rPr>
                <w:szCs w:val="18"/>
              </w:rPr>
              <w:t>baloparatide in postmenopausal women with osteoporosis and type 2 diabetes: a post hoc analysis of the active study.</w:t>
            </w:r>
          </w:p>
        </w:tc>
        <w:tc>
          <w:tcPr>
            <w:tcW w:w="1178" w:type="pct"/>
            <w:tcBorders>
              <w:top w:val="nil"/>
              <w:bottom w:val="nil"/>
            </w:tcBorders>
          </w:tcPr>
          <w:p w14:paraId="7E553E74" w14:textId="77777777" w:rsidR="0040683D" w:rsidRPr="00145613" w:rsidRDefault="0040683D" w:rsidP="008E145F">
            <w:pPr>
              <w:pStyle w:val="TableText0"/>
              <w:keepNext w:val="0"/>
              <w:keepLines w:val="0"/>
              <w:widowControl w:val="0"/>
              <w:spacing w:after="120"/>
              <w:rPr>
                <w:szCs w:val="18"/>
              </w:rPr>
            </w:pPr>
            <w:r w:rsidRPr="00145613">
              <w:rPr>
                <w:szCs w:val="18"/>
              </w:rPr>
              <w:t>JBMR Plus 2020; 4(4) (no pagination).</w:t>
            </w:r>
          </w:p>
        </w:tc>
      </w:tr>
      <w:tr w:rsidR="0040683D" w:rsidRPr="00D86D87" w14:paraId="4079B186" w14:textId="77777777" w:rsidTr="003C5A30">
        <w:trPr>
          <w:trHeight w:val="144"/>
        </w:trPr>
        <w:tc>
          <w:tcPr>
            <w:tcW w:w="795" w:type="pct"/>
            <w:vMerge/>
          </w:tcPr>
          <w:p w14:paraId="56106FFF" w14:textId="77777777" w:rsidR="0040683D" w:rsidRPr="00D86D87" w:rsidRDefault="0040683D" w:rsidP="008E145F">
            <w:pPr>
              <w:pStyle w:val="TableText0"/>
              <w:keepNext w:val="0"/>
              <w:keepLines w:val="0"/>
              <w:widowControl w:val="0"/>
              <w:spacing w:after="120"/>
            </w:pPr>
          </w:p>
        </w:tc>
        <w:tc>
          <w:tcPr>
            <w:tcW w:w="3027" w:type="pct"/>
            <w:tcBorders>
              <w:top w:val="nil"/>
              <w:bottom w:val="nil"/>
            </w:tcBorders>
          </w:tcPr>
          <w:p w14:paraId="4FA56234" w14:textId="77777777" w:rsidR="0040683D" w:rsidRPr="00AE057F" w:rsidRDefault="0040683D" w:rsidP="008E145F">
            <w:pPr>
              <w:pStyle w:val="TableText0"/>
              <w:keepNext w:val="0"/>
              <w:keepLines w:val="0"/>
              <w:widowControl w:val="0"/>
              <w:spacing w:after="120"/>
              <w:rPr>
                <w:szCs w:val="18"/>
              </w:rPr>
            </w:pPr>
            <w:r w:rsidRPr="00352AA4">
              <w:rPr>
                <w:szCs w:val="18"/>
              </w:rPr>
              <w:t xml:space="preserve">Leder, BZ, Mitlak B, Hu MY, et al. </w:t>
            </w:r>
            <w:r>
              <w:rPr>
                <w:szCs w:val="18"/>
              </w:rPr>
              <w:t>E</w:t>
            </w:r>
            <w:r w:rsidRPr="00352AA4">
              <w:rPr>
                <w:szCs w:val="18"/>
              </w:rPr>
              <w:t>ffect of abaloparatide vs alendronate on fracture risk reduction in postmenopausal women with osteoporosis.</w:t>
            </w:r>
          </w:p>
        </w:tc>
        <w:tc>
          <w:tcPr>
            <w:tcW w:w="1178" w:type="pct"/>
            <w:tcBorders>
              <w:top w:val="nil"/>
              <w:bottom w:val="nil"/>
            </w:tcBorders>
          </w:tcPr>
          <w:p w14:paraId="16B53332" w14:textId="77777777" w:rsidR="0040683D" w:rsidRPr="00145613" w:rsidRDefault="0040683D" w:rsidP="008E145F">
            <w:pPr>
              <w:pStyle w:val="TableText0"/>
              <w:keepNext w:val="0"/>
              <w:keepLines w:val="0"/>
              <w:widowControl w:val="0"/>
              <w:spacing w:after="120"/>
              <w:rPr>
                <w:szCs w:val="18"/>
              </w:rPr>
            </w:pPr>
            <w:r w:rsidRPr="00145613">
              <w:rPr>
                <w:szCs w:val="18"/>
              </w:rPr>
              <w:t>Journal of Clinical Endocrinology and Metabolism 2020; 105(3) (no pagination).</w:t>
            </w:r>
          </w:p>
        </w:tc>
      </w:tr>
      <w:tr w:rsidR="0040683D" w:rsidRPr="00D86D87" w14:paraId="0DCE1C8A" w14:textId="77777777" w:rsidTr="003C5A30">
        <w:trPr>
          <w:trHeight w:val="144"/>
        </w:trPr>
        <w:tc>
          <w:tcPr>
            <w:tcW w:w="795" w:type="pct"/>
            <w:vMerge/>
          </w:tcPr>
          <w:p w14:paraId="179C298A" w14:textId="77777777" w:rsidR="0040683D" w:rsidRPr="00D86D87" w:rsidRDefault="0040683D" w:rsidP="008E145F">
            <w:pPr>
              <w:pStyle w:val="TableText0"/>
              <w:keepNext w:val="0"/>
              <w:keepLines w:val="0"/>
              <w:widowControl w:val="0"/>
              <w:spacing w:after="120"/>
            </w:pPr>
          </w:p>
        </w:tc>
        <w:tc>
          <w:tcPr>
            <w:tcW w:w="3027" w:type="pct"/>
            <w:tcBorders>
              <w:top w:val="nil"/>
              <w:bottom w:val="nil"/>
            </w:tcBorders>
          </w:tcPr>
          <w:p w14:paraId="5CF24E06" w14:textId="77777777" w:rsidR="0040683D" w:rsidRPr="00AE057F" w:rsidRDefault="0040683D" w:rsidP="008E145F">
            <w:pPr>
              <w:pStyle w:val="TableText0"/>
              <w:keepNext w:val="0"/>
              <w:keepLines w:val="0"/>
              <w:widowControl w:val="0"/>
              <w:spacing w:after="120"/>
              <w:rPr>
                <w:szCs w:val="18"/>
              </w:rPr>
            </w:pPr>
            <w:r w:rsidRPr="00352AA4">
              <w:rPr>
                <w:szCs w:val="18"/>
              </w:rPr>
              <w:t>McCloskey, EV, Fitzpatrick LA, Hu MY, et al. Effect of abaloparatide on vertebral, nonvertebral, major osteoporotic, and clinical fractures in a subset of postmenopausal women at increased risk of fracture by FRAX probability</w:t>
            </w:r>
            <w:r>
              <w:rPr>
                <w:szCs w:val="18"/>
              </w:rPr>
              <w:t>.</w:t>
            </w:r>
            <w:r w:rsidRPr="00352AA4">
              <w:rPr>
                <w:szCs w:val="18"/>
              </w:rPr>
              <w:t xml:space="preserve"> </w:t>
            </w:r>
          </w:p>
        </w:tc>
        <w:tc>
          <w:tcPr>
            <w:tcW w:w="1178" w:type="pct"/>
            <w:tcBorders>
              <w:top w:val="nil"/>
              <w:bottom w:val="nil"/>
            </w:tcBorders>
          </w:tcPr>
          <w:p w14:paraId="56A8338A" w14:textId="77777777" w:rsidR="0040683D" w:rsidRPr="00145613" w:rsidRDefault="0040683D" w:rsidP="008E145F">
            <w:pPr>
              <w:pStyle w:val="TableText0"/>
              <w:keepNext w:val="0"/>
              <w:keepLines w:val="0"/>
              <w:widowControl w:val="0"/>
              <w:spacing w:after="120"/>
              <w:rPr>
                <w:szCs w:val="18"/>
              </w:rPr>
            </w:pPr>
            <w:r w:rsidRPr="00145613">
              <w:rPr>
                <w:szCs w:val="18"/>
              </w:rPr>
              <w:t>Archives of Osteoporosis 2019; 14(1): 15.</w:t>
            </w:r>
          </w:p>
        </w:tc>
      </w:tr>
      <w:tr w:rsidR="0040683D" w:rsidRPr="00D86D87" w14:paraId="30ECFCC6" w14:textId="77777777" w:rsidTr="003C5A30">
        <w:trPr>
          <w:trHeight w:val="144"/>
        </w:trPr>
        <w:tc>
          <w:tcPr>
            <w:tcW w:w="795" w:type="pct"/>
            <w:vMerge/>
          </w:tcPr>
          <w:p w14:paraId="372980B9" w14:textId="77777777" w:rsidR="0040683D" w:rsidRPr="00D86D87" w:rsidRDefault="0040683D" w:rsidP="008E145F">
            <w:pPr>
              <w:pStyle w:val="TableText0"/>
              <w:keepNext w:val="0"/>
              <w:keepLines w:val="0"/>
              <w:widowControl w:val="0"/>
              <w:spacing w:after="120"/>
            </w:pPr>
          </w:p>
        </w:tc>
        <w:tc>
          <w:tcPr>
            <w:tcW w:w="3027" w:type="pct"/>
            <w:tcBorders>
              <w:top w:val="nil"/>
              <w:bottom w:val="nil"/>
            </w:tcBorders>
          </w:tcPr>
          <w:p w14:paraId="4E3C0196" w14:textId="0F3252A5" w:rsidR="0040683D" w:rsidRPr="00AE057F" w:rsidRDefault="0040683D" w:rsidP="008E145F">
            <w:pPr>
              <w:pStyle w:val="TableText0"/>
              <w:keepNext w:val="0"/>
              <w:keepLines w:val="0"/>
              <w:widowControl w:val="0"/>
              <w:spacing w:after="120"/>
              <w:rPr>
                <w:szCs w:val="18"/>
              </w:rPr>
            </w:pPr>
            <w:r w:rsidRPr="003060E4">
              <w:rPr>
                <w:szCs w:val="18"/>
              </w:rPr>
              <w:t xml:space="preserve">McCloskey, EV, Johansson H, Oden A, et al. The Effect of Abaloparatide-SC on Fracture Risk Is Independent of Baseline FRAX Fracture Probability: A Post Hoc Analysis of the ACTIVE Study. </w:t>
            </w:r>
          </w:p>
        </w:tc>
        <w:tc>
          <w:tcPr>
            <w:tcW w:w="1178" w:type="pct"/>
            <w:tcBorders>
              <w:top w:val="nil"/>
              <w:bottom w:val="nil"/>
            </w:tcBorders>
          </w:tcPr>
          <w:p w14:paraId="6F15C329" w14:textId="77777777" w:rsidR="0040683D" w:rsidRPr="00145613" w:rsidRDefault="0040683D" w:rsidP="008E145F">
            <w:pPr>
              <w:pStyle w:val="TableText0"/>
              <w:keepNext w:val="0"/>
              <w:keepLines w:val="0"/>
              <w:widowControl w:val="0"/>
              <w:spacing w:after="120"/>
              <w:rPr>
                <w:szCs w:val="18"/>
              </w:rPr>
            </w:pPr>
            <w:r w:rsidRPr="00145613">
              <w:rPr>
                <w:szCs w:val="18"/>
              </w:rPr>
              <w:t>Journal of Bone &amp; Mineral Research 2017; 32(8): 1625-1631.</w:t>
            </w:r>
          </w:p>
        </w:tc>
      </w:tr>
      <w:tr w:rsidR="0040683D" w:rsidRPr="00D86D87" w14:paraId="0E83C06F" w14:textId="77777777" w:rsidTr="00B958AF">
        <w:trPr>
          <w:trHeight w:val="144"/>
        </w:trPr>
        <w:tc>
          <w:tcPr>
            <w:tcW w:w="795" w:type="pct"/>
            <w:vMerge/>
          </w:tcPr>
          <w:p w14:paraId="0EA9FB98" w14:textId="77777777" w:rsidR="0040683D" w:rsidRPr="00D86D87" w:rsidRDefault="0040683D" w:rsidP="008E145F">
            <w:pPr>
              <w:pStyle w:val="TableText0"/>
              <w:keepNext w:val="0"/>
              <w:keepLines w:val="0"/>
              <w:widowControl w:val="0"/>
              <w:spacing w:after="120"/>
            </w:pPr>
          </w:p>
        </w:tc>
        <w:tc>
          <w:tcPr>
            <w:tcW w:w="3027" w:type="pct"/>
            <w:tcBorders>
              <w:top w:val="nil"/>
              <w:bottom w:val="single" w:sz="4" w:space="0" w:color="auto"/>
            </w:tcBorders>
          </w:tcPr>
          <w:p w14:paraId="2A25AA85" w14:textId="382E4D19" w:rsidR="0040683D" w:rsidRPr="003060E4" w:rsidRDefault="0040683D" w:rsidP="008E145F">
            <w:pPr>
              <w:pStyle w:val="TableText0"/>
              <w:keepNext w:val="0"/>
              <w:keepLines w:val="0"/>
              <w:widowControl w:val="0"/>
              <w:spacing w:after="120"/>
              <w:rPr>
                <w:szCs w:val="18"/>
              </w:rPr>
            </w:pPr>
            <w:r w:rsidRPr="003060E4">
              <w:rPr>
                <w:szCs w:val="18"/>
              </w:rPr>
              <w:t xml:space="preserve">McClung, MR, Harvey NC, Fitzpatrick LA, et al. Effects of abaloparatide on bone mineral density and risk of fracture in postmenopausal women aged 80 years or older with osteoporosis. </w:t>
            </w:r>
          </w:p>
        </w:tc>
        <w:tc>
          <w:tcPr>
            <w:tcW w:w="1178" w:type="pct"/>
            <w:tcBorders>
              <w:top w:val="nil"/>
              <w:bottom w:val="single" w:sz="4" w:space="0" w:color="auto"/>
            </w:tcBorders>
          </w:tcPr>
          <w:p w14:paraId="020B81EB" w14:textId="77777777" w:rsidR="0040683D" w:rsidRPr="00145613" w:rsidRDefault="0040683D" w:rsidP="008E145F">
            <w:pPr>
              <w:pStyle w:val="TableText0"/>
              <w:keepNext w:val="0"/>
              <w:keepLines w:val="0"/>
              <w:widowControl w:val="0"/>
              <w:spacing w:after="120"/>
              <w:rPr>
                <w:szCs w:val="18"/>
              </w:rPr>
            </w:pPr>
            <w:r w:rsidRPr="00145613">
              <w:rPr>
                <w:szCs w:val="18"/>
              </w:rPr>
              <w:t>Menopause 2018; 25(7): 767-771.</w:t>
            </w:r>
          </w:p>
        </w:tc>
      </w:tr>
      <w:tr w:rsidR="0040683D" w:rsidRPr="00D86D87" w14:paraId="6D3358A1" w14:textId="77777777" w:rsidTr="00B958AF">
        <w:trPr>
          <w:trHeight w:val="144"/>
        </w:trPr>
        <w:tc>
          <w:tcPr>
            <w:tcW w:w="795" w:type="pct"/>
            <w:vMerge/>
          </w:tcPr>
          <w:p w14:paraId="6F7A0E4F" w14:textId="77777777" w:rsidR="0040683D" w:rsidRPr="00D86D87" w:rsidRDefault="0040683D" w:rsidP="008E145F">
            <w:pPr>
              <w:pStyle w:val="TableText0"/>
              <w:keepNext w:val="0"/>
              <w:keepLines w:val="0"/>
              <w:widowControl w:val="0"/>
              <w:spacing w:after="120"/>
            </w:pPr>
          </w:p>
        </w:tc>
        <w:tc>
          <w:tcPr>
            <w:tcW w:w="3027" w:type="pct"/>
            <w:tcBorders>
              <w:top w:val="single" w:sz="4" w:space="0" w:color="auto"/>
              <w:bottom w:val="single" w:sz="4" w:space="0" w:color="auto"/>
            </w:tcBorders>
          </w:tcPr>
          <w:p w14:paraId="3883CF15" w14:textId="4852FFA5" w:rsidR="0040683D" w:rsidRPr="003060E4" w:rsidRDefault="0040683D" w:rsidP="008E145F">
            <w:pPr>
              <w:pStyle w:val="TableText0"/>
              <w:keepNext w:val="0"/>
              <w:keepLines w:val="0"/>
              <w:widowControl w:val="0"/>
              <w:spacing w:after="120"/>
              <w:rPr>
                <w:szCs w:val="18"/>
              </w:rPr>
            </w:pPr>
            <w:r w:rsidRPr="00D12884">
              <w:rPr>
                <w:szCs w:val="18"/>
              </w:rPr>
              <w:t xml:space="preserve">McClung, MR, Williams GC, Hattersley G, et al. </w:t>
            </w:r>
            <w:r>
              <w:rPr>
                <w:szCs w:val="18"/>
              </w:rPr>
              <w:t>G</w:t>
            </w:r>
            <w:r w:rsidRPr="00D12884">
              <w:rPr>
                <w:szCs w:val="18"/>
              </w:rPr>
              <w:t xml:space="preserve">eography of fracture incidence in postmenopausal women with osteoporosis treated with abaloparatide. </w:t>
            </w:r>
          </w:p>
        </w:tc>
        <w:tc>
          <w:tcPr>
            <w:tcW w:w="1178" w:type="pct"/>
            <w:tcBorders>
              <w:top w:val="single" w:sz="4" w:space="0" w:color="auto"/>
              <w:bottom w:val="single" w:sz="4" w:space="0" w:color="auto"/>
            </w:tcBorders>
          </w:tcPr>
          <w:p w14:paraId="33AC1F23" w14:textId="77777777" w:rsidR="0040683D" w:rsidRPr="00145613" w:rsidRDefault="0040683D" w:rsidP="008E145F">
            <w:pPr>
              <w:pStyle w:val="TableText0"/>
              <w:keepNext w:val="0"/>
              <w:keepLines w:val="0"/>
              <w:widowControl w:val="0"/>
              <w:spacing w:after="120"/>
              <w:rPr>
                <w:szCs w:val="18"/>
              </w:rPr>
            </w:pPr>
            <w:r w:rsidRPr="00145613">
              <w:rPr>
                <w:szCs w:val="18"/>
              </w:rPr>
              <w:t>Calcified Tissue International 2018; 102(6): 627-633.</w:t>
            </w:r>
          </w:p>
        </w:tc>
      </w:tr>
      <w:tr w:rsidR="0040683D" w:rsidRPr="00D86D87" w14:paraId="659DCA20" w14:textId="77777777" w:rsidTr="00B958AF">
        <w:trPr>
          <w:trHeight w:val="144"/>
        </w:trPr>
        <w:tc>
          <w:tcPr>
            <w:tcW w:w="795" w:type="pct"/>
            <w:vMerge/>
          </w:tcPr>
          <w:p w14:paraId="65DC0D4D" w14:textId="77777777" w:rsidR="0040683D" w:rsidRPr="00D86D87" w:rsidRDefault="0040683D" w:rsidP="008E145F">
            <w:pPr>
              <w:pStyle w:val="TableText0"/>
              <w:keepNext w:val="0"/>
              <w:keepLines w:val="0"/>
              <w:widowControl w:val="0"/>
              <w:spacing w:after="120"/>
            </w:pPr>
          </w:p>
        </w:tc>
        <w:tc>
          <w:tcPr>
            <w:tcW w:w="3027" w:type="pct"/>
            <w:tcBorders>
              <w:top w:val="single" w:sz="4" w:space="0" w:color="auto"/>
              <w:bottom w:val="nil"/>
            </w:tcBorders>
          </w:tcPr>
          <w:p w14:paraId="45F723B4" w14:textId="25759D11" w:rsidR="0040683D" w:rsidRPr="003060E4" w:rsidRDefault="0040683D" w:rsidP="008E145F">
            <w:pPr>
              <w:pStyle w:val="TableText0"/>
              <w:keepNext w:val="0"/>
              <w:keepLines w:val="0"/>
              <w:widowControl w:val="0"/>
              <w:spacing w:after="120"/>
              <w:rPr>
                <w:szCs w:val="18"/>
              </w:rPr>
            </w:pPr>
            <w:r w:rsidRPr="000225BE">
              <w:rPr>
                <w:szCs w:val="18"/>
                <w:lang w:val="de-DE"/>
              </w:rPr>
              <w:t xml:space="preserve">Miller, PD, Hattersley G, Lau E, et al. </w:t>
            </w:r>
            <w:r w:rsidRPr="009C6D84">
              <w:rPr>
                <w:szCs w:val="18"/>
              </w:rPr>
              <w:t xml:space="preserve">Bone mineral density response rates are greater in patients treated with abaloparatide compared with those treated with placebo or teriparatide: Results from the ACTIVE phase 3 trial. </w:t>
            </w:r>
          </w:p>
        </w:tc>
        <w:tc>
          <w:tcPr>
            <w:tcW w:w="1178" w:type="pct"/>
            <w:tcBorders>
              <w:top w:val="single" w:sz="4" w:space="0" w:color="auto"/>
              <w:bottom w:val="nil"/>
            </w:tcBorders>
          </w:tcPr>
          <w:p w14:paraId="35219D56" w14:textId="77777777" w:rsidR="0040683D" w:rsidRPr="00145613" w:rsidRDefault="0040683D" w:rsidP="008E145F">
            <w:pPr>
              <w:pStyle w:val="TableText0"/>
              <w:keepNext w:val="0"/>
              <w:keepLines w:val="0"/>
              <w:widowControl w:val="0"/>
              <w:spacing w:after="120"/>
              <w:rPr>
                <w:szCs w:val="18"/>
              </w:rPr>
            </w:pPr>
            <w:r w:rsidRPr="00145613">
              <w:rPr>
                <w:szCs w:val="18"/>
              </w:rPr>
              <w:t>Bone 2019; 120: 137-140.</w:t>
            </w:r>
          </w:p>
        </w:tc>
      </w:tr>
      <w:tr w:rsidR="0040683D" w:rsidRPr="00D86D87" w14:paraId="3BE5C6A4" w14:textId="77777777" w:rsidTr="003C5A30">
        <w:trPr>
          <w:trHeight w:val="144"/>
        </w:trPr>
        <w:tc>
          <w:tcPr>
            <w:tcW w:w="795" w:type="pct"/>
            <w:vMerge/>
          </w:tcPr>
          <w:p w14:paraId="71601E51" w14:textId="77777777" w:rsidR="0040683D" w:rsidRPr="00D86D87" w:rsidRDefault="0040683D" w:rsidP="008E145F">
            <w:pPr>
              <w:pStyle w:val="TableText0"/>
              <w:keepNext w:val="0"/>
              <w:keepLines w:val="0"/>
              <w:widowControl w:val="0"/>
              <w:spacing w:after="120"/>
            </w:pPr>
          </w:p>
        </w:tc>
        <w:tc>
          <w:tcPr>
            <w:tcW w:w="3027" w:type="pct"/>
            <w:tcBorders>
              <w:top w:val="nil"/>
              <w:bottom w:val="nil"/>
            </w:tcBorders>
          </w:tcPr>
          <w:p w14:paraId="0F77EA76" w14:textId="7A6E8FE9" w:rsidR="0040683D" w:rsidRPr="003060E4" w:rsidRDefault="0040683D" w:rsidP="008E145F">
            <w:pPr>
              <w:pStyle w:val="TableText0"/>
              <w:keepNext w:val="0"/>
              <w:keepLines w:val="0"/>
              <w:widowControl w:val="0"/>
              <w:spacing w:after="120"/>
              <w:rPr>
                <w:szCs w:val="18"/>
              </w:rPr>
            </w:pPr>
            <w:r w:rsidRPr="00641F4D">
              <w:rPr>
                <w:szCs w:val="18"/>
              </w:rPr>
              <w:t xml:space="preserve">Moreira, CA, Fitzpatrick LA, Wang Y, et al. Effects of abaloparatide-SC (BA058) on bone histology and histomorphometry: The ACTIVE phase 3 trial." </w:t>
            </w:r>
          </w:p>
        </w:tc>
        <w:tc>
          <w:tcPr>
            <w:tcW w:w="1178" w:type="pct"/>
            <w:tcBorders>
              <w:top w:val="nil"/>
              <w:bottom w:val="nil"/>
            </w:tcBorders>
          </w:tcPr>
          <w:p w14:paraId="066A6D0A" w14:textId="77777777" w:rsidR="0040683D" w:rsidRPr="00145613" w:rsidRDefault="0040683D" w:rsidP="008E145F">
            <w:pPr>
              <w:pStyle w:val="TableText0"/>
              <w:keepNext w:val="0"/>
              <w:keepLines w:val="0"/>
              <w:widowControl w:val="0"/>
              <w:spacing w:after="120"/>
              <w:rPr>
                <w:szCs w:val="18"/>
              </w:rPr>
            </w:pPr>
            <w:r w:rsidRPr="00145613">
              <w:rPr>
                <w:szCs w:val="18"/>
              </w:rPr>
              <w:t>Bone 2017; 97: 314-319.</w:t>
            </w:r>
          </w:p>
        </w:tc>
      </w:tr>
      <w:tr w:rsidR="0040683D" w:rsidRPr="00D86D87" w14:paraId="49B1CB9F" w14:textId="77777777" w:rsidTr="003C5A30">
        <w:trPr>
          <w:trHeight w:val="144"/>
        </w:trPr>
        <w:tc>
          <w:tcPr>
            <w:tcW w:w="795" w:type="pct"/>
            <w:vMerge/>
          </w:tcPr>
          <w:p w14:paraId="79024948" w14:textId="77777777" w:rsidR="0040683D" w:rsidRPr="00D86D87" w:rsidRDefault="0040683D" w:rsidP="008E145F">
            <w:pPr>
              <w:pStyle w:val="TableText0"/>
              <w:keepNext w:val="0"/>
              <w:keepLines w:val="0"/>
              <w:widowControl w:val="0"/>
              <w:spacing w:after="120"/>
            </w:pPr>
          </w:p>
        </w:tc>
        <w:tc>
          <w:tcPr>
            <w:tcW w:w="3027" w:type="pct"/>
            <w:tcBorders>
              <w:top w:val="nil"/>
              <w:bottom w:val="nil"/>
            </w:tcBorders>
          </w:tcPr>
          <w:p w14:paraId="67C248D6" w14:textId="2AE19F86" w:rsidR="0040683D" w:rsidRPr="00641F4D" w:rsidRDefault="0040683D" w:rsidP="008E145F">
            <w:pPr>
              <w:pStyle w:val="TableText0"/>
              <w:keepNext w:val="0"/>
              <w:keepLines w:val="0"/>
              <w:widowControl w:val="0"/>
              <w:spacing w:after="120"/>
              <w:rPr>
                <w:szCs w:val="18"/>
              </w:rPr>
            </w:pPr>
            <w:r w:rsidRPr="00641F4D">
              <w:rPr>
                <w:szCs w:val="18"/>
              </w:rPr>
              <w:t xml:space="preserve">Reginster, JY, Hattersley G, Williams GC, et al. </w:t>
            </w:r>
            <w:r>
              <w:rPr>
                <w:szCs w:val="18"/>
              </w:rPr>
              <w:t>A</w:t>
            </w:r>
            <w:r w:rsidRPr="00641F4D">
              <w:rPr>
                <w:szCs w:val="18"/>
              </w:rPr>
              <w:t xml:space="preserve">baloparatide is an effective treatment option for postmenopausal osteoporosis: </w:t>
            </w:r>
            <w:r>
              <w:rPr>
                <w:szCs w:val="18"/>
              </w:rPr>
              <w:t>R</w:t>
            </w:r>
            <w:r w:rsidRPr="00641F4D">
              <w:rPr>
                <w:szCs w:val="18"/>
              </w:rPr>
              <w:t xml:space="preserve">eview of the number needed to treat compared with teriparatide. </w:t>
            </w:r>
          </w:p>
        </w:tc>
        <w:tc>
          <w:tcPr>
            <w:tcW w:w="1178" w:type="pct"/>
            <w:tcBorders>
              <w:top w:val="nil"/>
              <w:bottom w:val="nil"/>
            </w:tcBorders>
          </w:tcPr>
          <w:p w14:paraId="23713959" w14:textId="77777777" w:rsidR="0040683D" w:rsidRPr="00145613" w:rsidRDefault="0040683D" w:rsidP="008E145F">
            <w:pPr>
              <w:pStyle w:val="TableText0"/>
              <w:keepNext w:val="0"/>
              <w:keepLines w:val="0"/>
              <w:widowControl w:val="0"/>
              <w:spacing w:after="120"/>
              <w:rPr>
                <w:szCs w:val="18"/>
              </w:rPr>
            </w:pPr>
            <w:r w:rsidRPr="00145613">
              <w:rPr>
                <w:szCs w:val="18"/>
              </w:rPr>
              <w:t>Calcified Tissue International 2018; 103(5): 540-545.</w:t>
            </w:r>
          </w:p>
        </w:tc>
      </w:tr>
      <w:tr w:rsidR="0040683D" w:rsidRPr="00D86D87" w14:paraId="65063ADD" w14:textId="77777777" w:rsidTr="003C5A30">
        <w:trPr>
          <w:trHeight w:val="144"/>
        </w:trPr>
        <w:tc>
          <w:tcPr>
            <w:tcW w:w="795" w:type="pct"/>
            <w:vMerge/>
          </w:tcPr>
          <w:p w14:paraId="44DD66C2" w14:textId="77777777" w:rsidR="0040683D" w:rsidRPr="00D86D87" w:rsidRDefault="0040683D" w:rsidP="008E145F">
            <w:pPr>
              <w:pStyle w:val="TableText0"/>
              <w:keepNext w:val="0"/>
              <w:keepLines w:val="0"/>
              <w:widowControl w:val="0"/>
              <w:spacing w:after="120"/>
            </w:pPr>
          </w:p>
        </w:tc>
        <w:tc>
          <w:tcPr>
            <w:tcW w:w="3027" w:type="pct"/>
            <w:tcBorders>
              <w:top w:val="nil"/>
              <w:bottom w:val="nil"/>
            </w:tcBorders>
          </w:tcPr>
          <w:p w14:paraId="7CBBEBB4" w14:textId="14463A57" w:rsidR="0040683D" w:rsidRPr="00641F4D" w:rsidRDefault="0040683D" w:rsidP="008E145F">
            <w:pPr>
              <w:pStyle w:val="TableText0"/>
              <w:keepNext w:val="0"/>
              <w:keepLines w:val="0"/>
              <w:widowControl w:val="0"/>
              <w:spacing w:after="120"/>
              <w:rPr>
                <w:szCs w:val="18"/>
              </w:rPr>
            </w:pPr>
            <w:r w:rsidRPr="005A7ED3">
              <w:rPr>
                <w:szCs w:val="18"/>
              </w:rPr>
              <w:t xml:space="preserve">Saag, KG, Williams SA, Wang Y, et al. </w:t>
            </w:r>
            <w:r>
              <w:rPr>
                <w:szCs w:val="18"/>
              </w:rPr>
              <w:t>E</w:t>
            </w:r>
            <w:r w:rsidRPr="005A7ED3">
              <w:rPr>
                <w:szCs w:val="18"/>
              </w:rPr>
              <w:t xml:space="preserve">ffect of abaloparatide on bone mineral density and fracture incidence in a subset of younger postmenopausal women with osteoporosis at high risk for fracture. </w:t>
            </w:r>
          </w:p>
        </w:tc>
        <w:tc>
          <w:tcPr>
            <w:tcW w:w="1178" w:type="pct"/>
            <w:tcBorders>
              <w:top w:val="nil"/>
              <w:bottom w:val="nil"/>
            </w:tcBorders>
          </w:tcPr>
          <w:p w14:paraId="504E4051" w14:textId="77777777" w:rsidR="0040683D" w:rsidRPr="00145613" w:rsidRDefault="0040683D" w:rsidP="008E145F">
            <w:pPr>
              <w:pStyle w:val="TableText0"/>
              <w:keepNext w:val="0"/>
              <w:keepLines w:val="0"/>
              <w:widowControl w:val="0"/>
              <w:spacing w:after="120"/>
              <w:rPr>
                <w:szCs w:val="18"/>
              </w:rPr>
            </w:pPr>
            <w:r w:rsidRPr="00145613">
              <w:rPr>
                <w:szCs w:val="18"/>
              </w:rPr>
              <w:t>Clinical Therapeutics 2020; 42(6): 1099-1107.e1091.</w:t>
            </w:r>
          </w:p>
        </w:tc>
      </w:tr>
      <w:tr w:rsidR="0040683D" w:rsidRPr="00D86D87" w14:paraId="7377C367" w14:textId="77777777" w:rsidTr="003C5A30">
        <w:trPr>
          <w:trHeight w:val="144"/>
        </w:trPr>
        <w:tc>
          <w:tcPr>
            <w:tcW w:w="795" w:type="pct"/>
            <w:vMerge/>
            <w:tcBorders>
              <w:bottom w:val="nil"/>
            </w:tcBorders>
          </w:tcPr>
          <w:p w14:paraId="3B0D2F84" w14:textId="77777777" w:rsidR="0040683D" w:rsidRPr="00D86D87" w:rsidRDefault="0040683D" w:rsidP="008E145F">
            <w:pPr>
              <w:pStyle w:val="TableText0"/>
              <w:keepNext w:val="0"/>
              <w:keepLines w:val="0"/>
              <w:widowControl w:val="0"/>
              <w:spacing w:after="120"/>
            </w:pPr>
          </w:p>
        </w:tc>
        <w:tc>
          <w:tcPr>
            <w:tcW w:w="3027" w:type="pct"/>
            <w:tcBorders>
              <w:top w:val="nil"/>
              <w:bottom w:val="nil"/>
            </w:tcBorders>
          </w:tcPr>
          <w:p w14:paraId="03E49EC4" w14:textId="3EDC17A1" w:rsidR="0040683D" w:rsidRPr="00641F4D" w:rsidRDefault="0040683D" w:rsidP="008E145F">
            <w:pPr>
              <w:pStyle w:val="TableText0"/>
              <w:keepNext w:val="0"/>
              <w:keepLines w:val="0"/>
              <w:widowControl w:val="0"/>
              <w:spacing w:after="120"/>
              <w:rPr>
                <w:szCs w:val="18"/>
              </w:rPr>
            </w:pPr>
            <w:r w:rsidRPr="0021422D">
              <w:rPr>
                <w:szCs w:val="18"/>
              </w:rPr>
              <w:t>Watts, NB, Hattersley G, Fitzpatrick LA, et al. Abaloparatide effect on forearm bone mineral density and wrist fracture risk in postmenopausal women with osteoporosis.</w:t>
            </w:r>
          </w:p>
        </w:tc>
        <w:tc>
          <w:tcPr>
            <w:tcW w:w="1178" w:type="pct"/>
            <w:tcBorders>
              <w:top w:val="nil"/>
              <w:bottom w:val="nil"/>
            </w:tcBorders>
          </w:tcPr>
          <w:p w14:paraId="74AB8770" w14:textId="77777777" w:rsidR="0040683D" w:rsidRPr="00145613" w:rsidRDefault="0040683D" w:rsidP="008E145F">
            <w:pPr>
              <w:pStyle w:val="TableText0"/>
              <w:keepNext w:val="0"/>
              <w:keepLines w:val="0"/>
              <w:widowControl w:val="0"/>
              <w:spacing w:after="120"/>
              <w:rPr>
                <w:szCs w:val="18"/>
              </w:rPr>
            </w:pPr>
            <w:r w:rsidRPr="00145613">
              <w:rPr>
                <w:szCs w:val="18"/>
              </w:rPr>
              <w:t>Osteoporosis International 2019; 30(6): 1187-1194.</w:t>
            </w:r>
          </w:p>
        </w:tc>
      </w:tr>
      <w:tr w:rsidR="0040683D" w:rsidRPr="00D86D87" w14:paraId="052A532A" w14:textId="77777777" w:rsidTr="003C5A30">
        <w:trPr>
          <w:trHeight w:val="915"/>
        </w:trPr>
        <w:tc>
          <w:tcPr>
            <w:tcW w:w="795" w:type="pct"/>
            <w:vMerge w:val="restart"/>
          </w:tcPr>
          <w:p w14:paraId="54904007" w14:textId="77777777" w:rsidR="0040683D" w:rsidRDefault="0040683D" w:rsidP="008E145F">
            <w:pPr>
              <w:pStyle w:val="TableText0"/>
              <w:keepNext w:val="0"/>
              <w:keepLines w:val="0"/>
              <w:widowControl w:val="0"/>
              <w:spacing w:after="120"/>
            </w:pPr>
            <w:r>
              <w:t>ACTIVExtend</w:t>
            </w:r>
          </w:p>
          <w:p w14:paraId="3CF51EE4" w14:textId="77777777" w:rsidR="0040683D" w:rsidRPr="00D86D87" w:rsidRDefault="0040683D" w:rsidP="008E145F">
            <w:pPr>
              <w:pStyle w:val="TableText0"/>
              <w:keepNext w:val="0"/>
              <w:keepLines w:val="0"/>
              <w:widowControl w:val="0"/>
              <w:spacing w:after="120"/>
            </w:pPr>
            <w:r>
              <w:t>NCT01657162</w:t>
            </w:r>
          </w:p>
          <w:p w14:paraId="22AEDC35" w14:textId="77777777" w:rsidR="0040683D" w:rsidRDefault="0040683D" w:rsidP="008E145F">
            <w:pPr>
              <w:pStyle w:val="TableText0"/>
              <w:keepNext w:val="0"/>
              <w:keepLines w:val="0"/>
              <w:widowControl w:val="0"/>
              <w:spacing w:after="120"/>
            </w:pPr>
          </w:p>
          <w:p w14:paraId="2942ACC1" w14:textId="77777777" w:rsidR="0040683D" w:rsidRPr="00D86D87" w:rsidRDefault="0040683D" w:rsidP="008E145F">
            <w:pPr>
              <w:pStyle w:val="TableText0"/>
              <w:keepNext w:val="0"/>
              <w:keepLines w:val="0"/>
              <w:widowControl w:val="0"/>
              <w:spacing w:after="120"/>
            </w:pPr>
          </w:p>
        </w:tc>
        <w:tc>
          <w:tcPr>
            <w:tcW w:w="3027" w:type="pct"/>
            <w:tcBorders>
              <w:bottom w:val="nil"/>
            </w:tcBorders>
          </w:tcPr>
          <w:p w14:paraId="7DEA373C" w14:textId="77777777" w:rsidR="0040683D" w:rsidRPr="00D86D87" w:rsidRDefault="0040683D" w:rsidP="008E145F">
            <w:pPr>
              <w:pStyle w:val="TableText0"/>
              <w:keepNext w:val="0"/>
              <w:keepLines w:val="0"/>
              <w:widowControl w:val="0"/>
              <w:spacing w:after="120"/>
            </w:pPr>
            <w:r>
              <w:t>Radius Health Inc (2017). BA058-05-005: An extension study to evaluate 24 months of standard-of-care osteoporosis management following completion of 18 months of ba058 or placebo treatment in protocol ba058-05-003. Clinical Study Report</w:t>
            </w:r>
          </w:p>
        </w:tc>
        <w:tc>
          <w:tcPr>
            <w:tcW w:w="1178" w:type="pct"/>
            <w:tcBorders>
              <w:bottom w:val="nil"/>
            </w:tcBorders>
          </w:tcPr>
          <w:p w14:paraId="1D55F1CF" w14:textId="77777777" w:rsidR="0040683D" w:rsidRPr="00145613" w:rsidRDefault="0040683D" w:rsidP="008E145F">
            <w:pPr>
              <w:pStyle w:val="TableText0"/>
              <w:keepNext w:val="0"/>
              <w:keepLines w:val="0"/>
              <w:widowControl w:val="0"/>
              <w:spacing w:after="120"/>
            </w:pPr>
          </w:p>
        </w:tc>
      </w:tr>
      <w:tr w:rsidR="0040683D" w:rsidRPr="00D86D87" w14:paraId="47173A5B" w14:textId="77777777" w:rsidTr="003C5A30">
        <w:trPr>
          <w:trHeight w:val="144"/>
        </w:trPr>
        <w:tc>
          <w:tcPr>
            <w:tcW w:w="795" w:type="pct"/>
            <w:vMerge/>
          </w:tcPr>
          <w:p w14:paraId="43C5383E" w14:textId="77777777" w:rsidR="0040683D" w:rsidRPr="00D86D87" w:rsidRDefault="0040683D" w:rsidP="008E145F">
            <w:pPr>
              <w:pStyle w:val="TableText0"/>
              <w:keepNext w:val="0"/>
              <w:keepLines w:val="0"/>
              <w:widowControl w:val="0"/>
              <w:spacing w:after="120"/>
            </w:pPr>
          </w:p>
        </w:tc>
        <w:tc>
          <w:tcPr>
            <w:tcW w:w="3027" w:type="pct"/>
            <w:tcBorders>
              <w:top w:val="nil"/>
              <w:bottom w:val="nil"/>
            </w:tcBorders>
          </w:tcPr>
          <w:p w14:paraId="000B6F08" w14:textId="6DD1F175" w:rsidR="0040683D" w:rsidRPr="00D86D87" w:rsidRDefault="0040683D" w:rsidP="008E145F">
            <w:pPr>
              <w:pStyle w:val="TableText0"/>
              <w:keepNext w:val="0"/>
              <w:keepLines w:val="0"/>
              <w:widowControl w:val="0"/>
              <w:spacing w:after="120"/>
              <w:rPr>
                <w:szCs w:val="18"/>
              </w:rPr>
            </w:pPr>
            <w:r w:rsidRPr="00EF4A63">
              <w:rPr>
                <w:szCs w:val="18"/>
              </w:rPr>
              <w:t xml:space="preserve">Radius Health Inc. (2012). NCT01657162: </w:t>
            </w:r>
            <w:r>
              <w:rPr>
                <w:szCs w:val="18"/>
              </w:rPr>
              <w:t>A</w:t>
            </w:r>
            <w:r w:rsidRPr="00EF4A63">
              <w:rPr>
                <w:szCs w:val="18"/>
              </w:rPr>
              <w:t>n extension study to evaluate 24 months of standard-of-care osteoporosis management following completion of 18 months of ba058 or placebo treatment in protocol ba058-05-003</w:t>
            </w:r>
          </w:p>
        </w:tc>
        <w:tc>
          <w:tcPr>
            <w:tcW w:w="1178" w:type="pct"/>
            <w:tcBorders>
              <w:top w:val="nil"/>
              <w:bottom w:val="nil"/>
            </w:tcBorders>
          </w:tcPr>
          <w:p w14:paraId="51AF247A" w14:textId="77777777" w:rsidR="0040683D" w:rsidRPr="00145613" w:rsidRDefault="0040683D" w:rsidP="008E145F">
            <w:pPr>
              <w:pStyle w:val="TableText0"/>
              <w:keepNext w:val="0"/>
              <w:keepLines w:val="0"/>
              <w:widowControl w:val="0"/>
              <w:spacing w:after="120"/>
            </w:pPr>
          </w:p>
        </w:tc>
      </w:tr>
      <w:tr w:rsidR="0040683D" w:rsidRPr="00D86D87" w14:paraId="7E2226BC" w14:textId="77777777" w:rsidTr="003C5A30">
        <w:trPr>
          <w:trHeight w:val="144"/>
        </w:trPr>
        <w:tc>
          <w:tcPr>
            <w:tcW w:w="795" w:type="pct"/>
            <w:vMerge/>
          </w:tcPr>
          <w:p w14:paraId="61269AF6" w14:textId="77777777" w:rsidR="0040683D" w:rsidRPr="00D86D87" w:rsidRDefault="0040683D" w:rsidP="008E145F">
            <w:pPr>
              <w:pStyle w:val="TableText0"/>
              <w:keepNext w:val="0"/>
              <w:keepLines w:val="0"/>
              <w:widowControl w:val="0"/>
              <w:spacing w:after="120"/>
            </w:pPr>
          </w:p>
        </w:tc>
        <w:tc>
          <w:tcPr>
            <w:tcW w:w="3027" w:type="pct"/>
            <w:tcBorders>
              <w:top w:val="nil"/>
              <w:bottom w:val="nil"/>
            </w:tcBorders>
          </w:tcPr>
          <w:p w14:paraId="2113AA68" w14:textId="1FF43E6C" w:rsidR="0040683D" w:rsidRPr="00D86D87" w:rsidRDefault="0040683D" w:rsidP="008E145F">
            <w:pPr>
              <w:pStyle w:val="TableText0"/>
              <w:keepNext w:val="0"/>
              <w:keepLines w:val="0"/>
              <w:widowControl w:val="0"/>
              <w:spacing w:after="120"/>
              <w:rPr>
                <w:szCs w:val="18"/>
              </w:rPr>
            </w:pPr>
            <w:r w:rsidRPr="00EF4A63">
              <w:rPr>
                <w:szCs w:val="18"/>
              </w:rPr>
              <w:t>Bone, HG, Cosman F, Miller PD, et al.</w:t>
            </w:r>
            <w:r>
              <w:rPr>
                <w:szCs w:val="18"/>
              </w:rPr>
              <w:t xml:space="preserve"> ACTIVE</w:t>
            </w:r>
            <w:r w:rsidRPr="00EF4A63">
              <w:rPr>
                <w:szCs w:val="18"/>
              </w:rPr>
              <w:t xml:space="preserve">xtend: 24 months of alendronate after 18 months of abaloparatide or placebo for postmenopausal osteoporosis. </w:t>
            </w:r>
          </w:p>
        </w:tc>
        <w:tc>
          <w:tcPr>
            <w:tcW w:w="1178" w:type="pct"/>
            <w:tcBorders>
              <w:top w:val="nil"/>
              <w:bottom w:val="nil"/>
            </w:tcBorders>
          </w:tcPr>
          <w:p w14:paraId="0A7D25DC" w14:textId="77777777" w:rsidR="0040683D" w:rsidRPr="00145613" w:rsidRDefault="0040683D" w:rsidP="008E145F">
            <w:pPr>
              <w:pStyle w:val="TableText0"/>
              <w:keepNext w:val="0"/>
              <w:keepLines w:val="0"/>
              <w:widowControl w:val="0"/>
              <w:spacing w:after="120"/>
            </w:pPr>
            <w:r w:rsidRPr="00145613">
              <w:rPr>
                <w:szCs w:val="18"/>
              </w:rPr>
              <w:t>Journal of Clinical Endocrinology &amp; Metabolism 2018; 103(8): 2949-2957.</w:t>
            </w:r>
          </w:p>
        </w:tc>
      </w:tr>
      <w:tr w:rsidR="0040683D" w:rsidRPr="00D86D87" w14:paraId="361180C4" w14:textId="77777777" w:rsidTr="003C5A30">
        <w:trPr>
          <w:trHeight w:val="144"/>
        </w:trPr>
        <w:tc>
          <w:tcPr>
            <w:tcW w:w="795" w:type="pct"/>
            <w:vMerge/>
          </w:tcPr>
          <w:p w14:paraId="7F34F4E0" w14:textId="77777777" w:rsidR="0040683D" w:rsidRPr="00D86D87" w:rsidRDefault="0040683D" w:rsidP="008E145F">
            <w:pPr>
              <w:pStyle w:val="TableText0"/>
              <w:keepNext w:val="0"/>
              <w:keepLines w:val="0"/>
              <w:widowControl w:val="0"/>
              <w:spacing w:after="120"/>
            </w:pPr>
          </w:p>
        </w:tc>
        <w:tc>
          <w:tcPr>
            <w:tcW w:w="3027" w:type="pct"/>
            <w:tcBorders>
              <w:top w:val="nil"/>
              <w:bottom w:val="nil"/>
            </w:tcBorders>
          </w:tcPr>
          <w:p w14:paraId="2DA33BDF" w14:textId="1DA925FB" w:rsidR="0040683D" w:rsidRPr="00EF4A63" w:rsidRDefault="0040683D" w:rsidP="008E145F">
            <w:pPr>
              <w:pStyle w:val="TableText0"/>
              <w:keepNext w:val="0"/>
              <w:keepLines w:val="0"/>
              <w:widowControl w:val="0"/>
              <w:spacing w:after="120"/>
              <w:rPr>
                <w:szCs w:val="18"/>
              </w:rPr>
            </w:pPr>
            <w:r w:rsidRPr="00EF4A63">
              <w:rPr>
                <w:szCs w:val="18"/>
              </w:rPr>
              <w:t xml:space="preserve">Cosman, F, Miller PD, Williams GC, et al. </w:t>
            </w:r>
            <w:r>
              <w:rPr>
                <w:szCs w:val="18"/>
              </w:rPr>
              <w:t>E</w:t>
            </w:r>
            <w:r w:rsidRPr="00EF4A63">
              <w:rPr>
                <w:szCs w:val="18"/>
              </w:rPr>
              <w:t xml:space="preserve">ighteen months of treatment with subcutaneous abaloparatide followed by 6 months of treatment with alendronate in postmenopausal women with osteoporosis: results of the </w:t>
            </w:r>
            <w:r w:rsidR="00790E8C">
              <w:rPr>
                <w:szCs w:val="18"/>
              </w:rPr>
              <w:t>ACTIVE</w:t>
            </w:r>
            <w:r w:rsidRPr="00EF4A63">
              <w:rPr>
                <w:szCs w:val="18"/>
              </w:rPr>
              <w:t>xtend trial.</w:t>
            </w:r>
          </w:p>
        </w:tc>
        <w:tc>
          <w:tcPr>
            <w:tcW w:w="1178" w:type="pct"/>
            <w:tcBorders>
              <w:top w:val="nil"/>
              <w:bottom w:val="nil"/>
            </w:tcBorders>
          </w:tcPr>
          <w:p w14:paraId="6A3CB5A6" w14:textId="77777777" w:rsidR="0040683D" w:rsidRPr="00145613" w:rsidRDefault="0040683D" w:rsidP="008E145F">
            <w:pPr>
              <w:pStyle w:val="TableText0"/>
              <w:keepNext w:val="0"/>
              <w:keepLines w:val="0"/>
              <w:widowControl w:val="0"/>
              <w:spacing w:after="120"/>
              <w:rPr>
                <w:szCs w:val="18"/>
              </w:rPr>
            </w:pPr>
            <w:r w:rsidRPr="00145613">
              <w:rPr>
                <w:szCs w:val="18"/>
              </w:rPr>
              <w:t>Mayo Clinic Proceedings 2017; 92(2): 200-210.</w:t>
            </w:r>
          </w:p>
        </w:tc>
      </w:tr>
      <w:tr w:rsidR="0040683D" w:rsidRPr="00D86D87" w14:paraId="2D64D395" w14:textId="77777777" w:rsidTr="003C5A30">
        <w:trPr>
          <w:trHeight w:val="144"/>
        </w:trPr>
        <w:tc>
          <w:tcPr>
            <w:tcW w:w="795" w:type="pct"/>
            <w:vMerge/>
            <w:tcBorders>
              <w:bottom w:val="nil"/>
            </w:tcBorders>
          </w:tcPr>
          <w:p w14:paraId="5885A26A" w14:textId="77777777" w:rsidR="0040683D" w:rsidRPr="00D86D87" w:rsidRDefault="0040683D" w:rsidP="008E145F">
            <w:pPr>
              <w:pStyle w:val="TableText0"/>
              <w:keepNext w:val="0"/>
              <w:keepLines w:val="0"/>
              <w:widowControl w:val="0"/>
              <w:spacing w:after="120"/>
            </w:pPr>
          </w:p>
        </w:tc>
        <w:tc>
          <w:tcPr>
            <w:tcW w:w="3027" w:type="pct"/>
            <w:tcBorders>
              <w:top w:val="nil"/>
              <w:bottom w:val="nil"/>
            </w:tcBorders>
          </w:tcPr>
          <w:p w14:paraId="19B493BA" w14:textId="7493ADC2" w:rsidR="0040683D" w:rsidRPr="00EF4A63" w:rsidRDefault="0040683D" w:rsidP="008E145F">
            <w:pPr>
              <w:pStyle w:val="TableText0"/>
              <w:keepNext w:val="0"/>
              <w:keepLines w:val="0"/>
              <w:widowControl w:val="0"/>
              <w:spacing w:after="120"/>
              <w:rPr>
                <w:szCs w:val="18"/>
              </w:rPr>
            </w:pPr>
            <w:r w:rsidRPr="00D65CA5">
              <w:rPr>
                <w:szCs w:val="18"/>
              </w:rPr>
              <w:t>Leder, BZ, Zapalowski C, Hu MY, et al</w:t>
            </w:r>
            <w:r>
              <w:rPr>
                <w:szCs w:val="18"/>
              </w:rPr>
              <w:t>. F</w:t>
            </w:r>
            <w:r w:rsidRPr="00D65CA5">
              <w:rPr>
                <w:szCs w:val="18"/>
              </w:rPr>
              <w:t xml:space="preserve">racture and bone mineral density response by baseline risk in patients treated with abaloparatide followed by alendronate: results from the phase 3 </w:t>
            </w:r>
            <w:r w:rsidR="00790E8C">
              <w:rPr>
                <w:szCs w:val="18"/>
              </w:rPr>
              <w:t>ACTIVE</w:t>
            </w:r>
            <w:r w:rsidRPr="00D65CA5">
              <w:rPr>
                <w:szCs w:val="18"/>
              </w:rPr>
              <w:t xml:space="preserve">xtend trial. </w:t>
            </w:r>
          </w:p>
        </w:tc>
        <w:tc>
          <w:tcPr>
            <w:tcW w:w="1178" w:type="pct"/>
            <w:tcBorders>
              <w:top w:val="nil"/>
              <w:bottom w:val="nil"/>
            </w:tcBorders>
          </w:tcPr>
          <w:p w14:paraId="3F940A88" w14:textId="77777777" w:rsidR="0040683D" w:rsidRPr="00145613" w:rsidRDefault="0040683D" w:rsidP="008E145F">
            <w:pPr>
              <w:pStyle w:val="TableText0"/>
              <w:keepNext w:val="0"/>
              <w:keepLines w:val="0"/>
              <w:widowControl w:val="0"/>
              <w:spacing w:after="120"/>
              <w:rPr>
                <w:szCs w:val="18"/>
              </w:rPr>
            </w:pPr>
            <w:r w:rsidRPr="00145613">
              <w:rPr>
                <w:szCs w:val="18"/>
              </w:rPr>
              <w:t>Journal of Bone and Mineral Research 2019; 34(12): 2213-2219.</w:t>
            </w:r>
          </w:p>
        </w:tc>
      </w:tr>
      <w:tr w:rsidR="0040683D" w:rsidRPr="00D86D87" w14:paraId="5A815566" w14:textId="77777777" w:rsidTr="003C5A30">
        <w:trPr>
          <w:trHeight w:val="688"/>
        </w:trPr>
        <w:tc>
          <w:tcPr>
            <w:tcW w:w="795" w:type="pct"/>
            <w:vMerge w:val="restart"/>
          </w:tcPr>
          <w:p w14:paraId="1015BC3F" w14:textId="77777777" w:rsidR="0040683D" w:rsidRDefault="0040683D" w:rsidP="008E145F">
            <w:pPr>
              <w:pStyle w:val="TableText0"/>
              <w:keepNext w:val="0"/>
              <w:keepLines w:val="0"/>
              <w:widowControl w:val="0"/>
              <w:spacing w:after="120"/>
            </w:pPr>
            <w:r>
              <w:t>ATOM (abaloparatide study in men)</w:t>
            </w:r>
          </w:p>
          <w:p w14:paraId="2CE36A72" w14:textId="77777777" w:rsidR="0040683D" w:rsidRPr="00D86D87" w:rsidRDefault="0040683D" w:rsidP="008E145F">
            <w:pPr>
              <w:pStyle w:val="TableText0"/>
              <w:keepNext w:val="0"/>
              <w:keepLines w:val="0"/>
              <w:widowControl w:val="0"/>
              <w:spacing w:after="120"/>
            </w:pPr>
            <w:r>
              <w:t>NCT03512262</w:t>
            </w:r>
          </w:p>
        </w:tc>
        <w:tc>
          <w:tcPr>
            <w:tcW w:w="3027" w:type="pct"/>
            <w:tcBorders>
              <w:bottom w:val="nil"/>
            </w:tcBorders>
          </w:tcPr>
          <w:p w14:paraId="2B775BAD" w14:textId="77777777" w:rsidR="0040683D" w:rsidRPr="00D86D87" w:rsidRDefault="0040683D" w:rsidP="008E145F">
            <w:pPr>
              <w:pStyle w:val="TableText0"/>
              <w:keepNext w:val="0"/>
              <w:keepLines w:val="0"/>
              <w:widowControl w:val="0"/>
              <w:spacing w:after="120"/>
            </w:pPr>
            <w:r w:rsidRPr="006F0593">
              <w:t>Radius Health Inc. (2018). NCT03512262: A Randomized, Double-blind, Placebo-controlled, Phase 3 Multicenter Study to Evaluate the Safety and Efficacy of Abaloparatide-SC for the Treatment of Men With Osteoporosis.</w:t>
            </w:r>
          </w:p>
        </w:tc>
        <w:tc>
          <w:tcPr>
            <w:tcW w:w="1178" w:type="pct"/>
            <w:tcBorders>
              <w:bottom w:val="nil"/>
            </w:tcBorders>
          </w:tcPr>
          <w:p w14:paraId="1D04C189" w14:textId="77777777" w:rsidR="0040683D" w:rsidRPr="00145613" w:rsidRDefault="0040683D" w:rsidP="008E145F">
            <w:pPr>
              <w:pStyle w:val="TableText0"/>
              <w:keepNext w:val="0"/>
              <w:keepLines w:val="0"/>
              <w:widowControl w:val="0"/>
              <w:spacing w:after="120"/>
            </w:pPr>
          </w:p>
        </w:tc>
      </w:tr>
      <w:tr w:rsidR="0040683D" w:rsidRPr="00D86D87" w14:paraId="21EEBB1D" w14:textId="77777777" w:rsidTr="003C5A30">
        <w:trPr>
          <w:trHeight w:val="144"/>
        </w:trPr>
        <w:tc>
          <w:tcPr>
            <w:tcW w:w="795" w:type="pct"/>
            <w:vMerge/>
          </w:tcPr>
          <w:p w14:paraId="2EB5FF79" w14:textId="77777777" w:rsidR="0040683D" w:rsidRPr="00D86D87" w:rsidRDefault="0040683D" w:rsidP="008E145F">
            <w:pPr>
              <w:pStyle w:val="TableText0"/>
              <w:keepNext w:val="0"/>
              <w:keepLines w:val="0"/>
              <w:widowControl w:val="0"/>
              <w:spacing w:after="120"/>
            </w:pPr>
          </w:p>
        </w:tc>
        <w:tc>
          <w:tcPr>
            <w:tcW w:w="3027" w:type="pct"/>
            <w:tcBorders>
              <w:top w:val="nil"/>
              <w:bottom w:val="nil"/>
            </w:tcBorders>
          </w:tcPr>
          <w:p w14:paraId="1716A17F" w14:textId="03011A58" w:rsidR="0040683D" w:rsidRPr="00D86D87" w:rsidRDefault="0040683D" w:rsidP="008E145F">
            <w:pPr>
              <w:pStyle w:val="TableText0"/>
              <w:keepNext w:val="0"/>
              <w:keepLines w:val="0"/>
              <w:widowControl w:val="0"/>
              <w:spacing w:after="120"/>
              <w:rPr>
                <w:szCs w:val="18"/>
              </w:rPr>
            </w:pPr>
            <w:r w:rsidRPr="000225BE">
              <w:rPr>
                <w:szCs w:val="18"/>
                <w:lang w:val="de-DE"/>
              </w:rPr>
              <w:t xml:space="preserve">Dhaliwal, R, Kendler D, Saag K, et al. </w:t>
            </w:r>
            <w:r w:rsidRPr="006F0593">
              <w:rPr>
                <w:szCs w:val="18"/>
              </w:rPr>
              <w:t>Response rates for lumbar spine, total hip, and femoral neck bone mineral density in men treated with abaloparatide: results from the ATOM study.</w:t>
            </w:r>
          </w:p>
        </w:tc>
        <w:tc>
          <w:tcPr>
            <w:tcW w:w="1178" w:type="pct"/>
            <w:tcBorders>
              <w:top w:val="nil"/>
              <w:bottom w:val="nil"/>
            </w:tcBorders>
          </w:tcPr>
          <w:p w14:paraId="5A3E4520" w14:textId="77777777" w:rsidR="0040683D" w:rsidRPr="00145613" w:rsidRDefault="0040683D" w:rsidP="008E145F">
            <w:pPr>
              <w:pStyle w:val="TableText0"/>
              <w:keepNext w:val="0"/>
              <w:keepLines w:val="0"/>
              <w:widowControl w:val="0"/>
              <w:spacing w:after="120"/>
            </w:pPr>
            <w:r w:rsidRPr="00145613">
              <w:rPr>
                <w:szCs w:val="18"/>
              </w:rPr>
              <w:t>JBMR Plus 2024; 8(2) (no pagination).</w:t>
            </w:r>
          </w:p>
        </w:tc>
      </w:tr>
      <w:tr w:rsidR="0040683D" w:rsidRPr="00D86D87" w14:paraId="2CF54FBB" w14:textId="77777777" w:rsidTr="003C5A30">
        <w:trPr>
          <w:trHeight w:val="144"/>
        </w:trPr>
        <w:tc>
          <w:tcPr>
            <w:tcW w:w="795" w:type="pct"/>
            <w:vMerge/>
            <w:tcBorders>
              <w:bottom w:val="single" w:sz="4" w:space="0" w:color="auto"/>
            </w:tcBorders>
          </w:tcPr>
          <w:p w14:paraId="5E8CFCE2" w14:textId="77777777" w:rsidR="0040683D" w:rsidRDefault="0040683D" w:rsidP="008E145F">
            <w:pPr>
              <w:pStyle w:val="TableText0"/>
              <w:keepNext w:val="0"/>
              <w:keepLines w:val="0"/>
              <w:widowControl w:val="0"/>
              <w:spacing w:after="120"/>
            </w:pPr>
          </w:p>
        </w:tc>
        <w:tc>
          <w:tcPr>
            <w:tcW w:w="3027" w:type="pct"/>
            <w:tcBorders>
              <w:top w:val="nil"/>
              <w:bottom w:val="single" w:sz="4" w:space="0" w:color="auto"/>
            </w:tcBorders>
          </w:tcPr>
          <w:p w14:paraId="61CE5087" w14:textId="022329A0" w:rsidR="0040683D" w:rsidRPr="006F0593" w:rsidRDefault="0040683D" w:rsidP="008E145F">
            <w:pPr>
              <w:pStyle w:val="TableText0"/>
              <w:keepNext w:val="0"/>
              <w:keepLines w:val="0"/>
              <w:widowControl w:val="0"/>
              <w:spacing w:after="120"/>
              <w:rPr>
                <w:szCs w:val="18"/>
              </w:rPr>
            </w:pPr>
            <w:r w:rsidRPr="006F0593">
              <w:rPr>
                <w:szCs w:val="18"/>
              </w:rPr>
              <w:t xml:space="preserve">Eastell, R, Brown JP, Adler RA, et al. </w:t>
            </w:r>
            <w:r>
              <w:rPr>
                <w:szCs w:val="18"/>
              </w:rPr>
              <w:t>B</w:t>
            </w:r>
            <w:r w:rsidRPr="006F0593">
              <w:rPr>
                <w:szCs w:val="18"/>
              </w:rPr>
              <w:t xml:space="preserve">one turnover markers predict changes in bone mineral density in men treated with abaloparatide: results from </w:t>
            </w:r>
            <w:r>
              <w:rPr>
                <w:szCs w:val="18"/>
              </w:rPr>
              <w:t>ATOM.</w:t>
            </w:r>
          </w:p>
        </w:tc>
        <w:tc>
          <w:tcPr>
            <w:tcW w:w="1178" w:type="pct"/>
            <w:tcBorders>
              <w:top w:val="nil"/>
              <w:bottom w:val="single" w:sz="4" w:space="0" w:color="auto"/>
            </w:tcBorders>
          </w:tcPr>
          <w:p w14:paraId="42F4307F" w14:textId="77777777" w:rsidR="0040683D" w:rsidRPr="00145613" w:rsidRDefault="0040683D" w:rsidP="008E145F">
            <w:pPr>
              <w:pStyle w:val="TableText0"/>
              <w:keepNext w:val="0"/>
              <w:keepLines w:val="0"/>
              <w:widowControl w:val="0"/>
              <w:spacing w:after="120"/>
              <w:rPr>
                <w:szCs w:val="18"/>
              </w:rPr>
            </w:pPr>
            <w:r w:rsidRPr="00145613">
              <w:rPr>
                <w:szCs w:val="18"/>
              </w:rPr>
              <w:t>Journal of Bone &amp; Mineral Research 2025; 10.</w:t>
            </w:r>
          </w:p>
        </w:tc>
      </w:tr>
      <w:tr w:rsidR="0040683D" w:rsidRPr="00D86D87" w14:paraId="5F3D1371" w14:textId="77777777" w:rsidTr="003C5A30">
        <w:trPr>
          <w:trHeight w:val="236"/>
        </w:trPr>
        <w:tc>
          <w:tcPr>
            <w:tcW w:w="5000" w:type="pct"/>
            <w:gridSpan w:val="3"/>
            <w:tcBorders>
              <w:top w:val="single" w:sz="4" w:space="0" w:color="auto"/>
              <w:bottom w:val="single" w:sz="4" w:space="0" w:color="auto"/>
            </w:tcBorders>
          </w:tcPr>
          <w:p w14:paraId="5A00795F" w14:textId="77777777" w:rsidR="0040683D" w:rsidRPr="00145613" w:rsidRDefault="0040683D" w:rsidP="00B958AF">
            <w:pPr>
              <w:pStyle w:val="TableText0"/>
              <w:widowControl w:val="0"/>
              <w:rPr>
                <w:b/>
                <w:bCs w:val="0"/>
                <w:szCs w:val="18"/>
              </w:rPr>
            </w:pPr>
            <w:r w:rsidRPr="00145613">
              <w:rPr>
                <w:b/>
                <w:bCs w:val="0"/>
              </w:rPr>
              <w:t>Abaloparatide RWE</w:t>
            </w:r>
          </w:p>
        </w:tc>
      </w:tr>
      <w:tr w:rsidR="0035147A" w:rsidRPr="00D86D87" w14:paraId="44D6A507" w14:textId="77777777" w:rsidTr="003C5A30">
        <w:trPr>
          <w:trHeight w:val="688"/>
        </w:trPr>
        <w:tc>
          <w:tcPr>
            <w:tcW w:w="795" w:type="pct"/>
            <w:vMerge w:val="restart"/>
            <w:tcBorders>
              <w:top w:val="single" w:sz="4" w:space="0" w:color="auto"/>
            </w:tcBorders>
          </w:tcPr>
          <w:p w14:paraId="451FBF66" w14:textId="3EAA5B40" w:rsidR="0035147A" w:rsidRPr="00D86D87" w:rsidRDefault="0035147A" w:rsidP="00B958AF">
            <w:pPr>
              <w:pStyle w:val="TableText0"/>
              <w:widowControl w:val="0"/>
            </w:pPr>
            <w:r>
              <w:t>NCT04974723</w:t>
            </w:r>
          </w:p>
        </w:tc>
        <w:tc>
          <w:tcPr>
            <w:tcW w:w="3027" w:type="pct"/>
            <w:tcBorders>
              <w:top w:val="single" w:sz="4" w:space="0" w:color="auto"/>
              <w:bottom w:val="nil"/>
            </w:tcBorders>
          </w:tcPr>
          <w:p w14:paraId="6DFE94BA" w14:textId="77777777" w:rsidR="0035147A" w:rsidRPr="00D86D87" w:rsidRDefault="0035147A" w:rsidP="00B958AF">
            <w:pPr>
              <w:pStyle w:val="TableText0"/>
              <w:widowControl w:val="0"/>
              <w:spacing w:after="120"/>
            </w:pPr>
            <w:r w:rsidRPr="000F6618">
              <w:t xml:space="preserve">Tabatabai, L, Cosman F, Curtis JR, et al. </w:t>
            </w:r>
            <w:r>
              <w:t>C</w:t>
            </w:r>
            <w:r w:rsidRPr="000F6618">
              <w:t xml:space="preserve">omparative effectiveness of abaloparatide and teriparatide in women 50 years of age and older: update of a real-world retrospective analysis. </w:t>
            </w:r>
          </w:p>
        </w:tc>
        <w:tc>
          <w:tcPr>
            <w:tcW w:w="1178" w:type="pct"/>
            <w:tcBorders>
              <w:top w:val="single" w:sz="4" w:space="0" w:color="auto"/>
              <w:bottom w:val="nil"/>
            </w:tcBorders>
          </w:tcPr>
          <w:p w14:paraId="5A9C9A41" w14:textId="162B4EFA" w:rsidR="0035147A" w:rsidRPr="00145613" w:rsidRDefault="0035147A" w:rsidP="00B958AF">
            <w:pPr>
              <w:pStyle w:val="TableText0"/>
              <w:widowControl w:val="0"/>
              <w:spacing w:after="120"/>
            </w:pPr>
            <w:r w:rsidRPr="00145613">
              <w:t xml:space="preserve">Endocrine Practice </w:t>
            </w:r>
            <w:r w:rsidR="00926EB1" w:rsidRPr="00145613">
              <w:t>2025; 31</w:t>
            </w:r>
            <w:r w:rsidRPr="00145613">
              <w:t>(2): 159-168.</w:t>
            </w:r>
          </w:p>
        </w:tc>
      </w:tr>
      <w:tr w:rsidR="0035147A" w:rsidRPr="00D86D87" w14:paraId="7480AA0F" w14:textId="77777777" w:rsidTr="003C5A30">
        <w:trPr>
          <w:trHeight w:val="915"/>
        </w:trPr>
        <w:tc>
          <w:tcPr>
            <w:tcW w:w="795" w:type="pct"/>
            <w:vMerge/>
          </w:tcPr>
          <w:p w14:paraId="7985C938" w14:textId="513A2500" w:rsidR="0035147A" w:rsidRDefault="0035147A" w:rsidP="0040683D">
            <w:pPr>
              <w:pStyle w:val="TableText0"/>
              <w:keepNext w:val="0"/>
              <w:keepLines w:val="0"/>
              <w:widowControl w:val="0"/>
            </w:pPr>
            <w:bookmarkStart w:id="23" w:name="_Hlk195369902"/>
          </w:p>
        </w:tc>
        <w:tc>
          <w:tcPr>
            <w:tcW w:w="3027" w:type="pct"/>
            <w:tcBorders>
              <w:top w:val="nil"/>
              <w:bottom w:val="nil"/>
            </w:tcBorders>
          </w:tcPr>
          <w:p w14:paraId="1C8554B8" w14:textId="66DC3DD8" w:rsidR="0035147A" w:rsidRPr="00275796" w:rsidRDefault="0035147A" w:rsidP="008E145F">
            <w:pPr>
              <w:pStyle w:val="TableText0"/>
              <w:keepNext w:val="0"/>
              <w:keepLines w:val="0"/>
              <w:widowControl w:val="0"/>
              <w:spacing w:after="120"/>
              <w:rPr>
                <w:szCs w:val="18"/>
              </w:rPr>
            </w:pPr>
            <w:r w:rsidRPr="00275796">
              <w:rPr>
                <w:szCs w:val="18"/>
              </w:rPr>
              <w:t xml:space="preserve">Radius Health Inc (2021). BA058-05-028: </w:t>
            </w:r>
            <w:r>
              <w:rPr>
                <w:szCs w:val="18"/>
              </w:rPr>
              <w:t>A</w:t>
            </w:r>
            <w:r w:rsidRPr="00275796">
              <w:rPr>
                <w:szCs w:val="18"/>
              </w:rPr>
              <w:t xml:space="preserve"> retrospective, observational cohort study evaluating the effectiveness and cardiovascular safety of abaloparatide in postmenopausal women new to anabolic therapies</w:t>
            </w:r>
            <w:r>
              <w:rPr>
                <w:szCs w:val="18"/>
              </w:rPr>
              <w:t>. Clinical Study Report</w:t>
            </w:r>
          </w:p>
        </w:tc>
        <w:tc>
          <w:tcPr>
            <w:tcW w:w="1178" w:type="pct"/>
            <w:tcBorders>
              <w:top w:val="nil"/>
              <w:bottom w:val="nil"/>
            </w:tcBorders>
          </w:tcPr>
          <w:p w14:paraId="420FD58F" w14:textId="77777777" w:rsidR="0035147A" w:rsidRPr="00145613" w:rsidRDefault="0035147A" w:rsidP="008E145F">
            <w:pPr>
              <w:pStyle w:val="TableText0"/>
              <w:keepNext w:val="0"/>
              <w:keepLines w:val="0"/>
              <w:widowControl w:val="0"/>
              <w:spacing w:after="120"/>
            </w:pPr>
          </w:p>
        </w:tc>
      </w:tr>
      <w:tr w:rsidR="0035147A" w:rsidRPr="00D86D87" w14:paraId="4E7C18ED" w14:textId="77777777" w:rsidTr="003C5A30">
        <w:trPr>
          <w:trHeight w:val="926"/>
        </w:trPr>
        <w:tc>
          <w:tcPr>
            <w:tcW w:w="795" w:type="pct"/>
            <w:vMerge/>
          </w:tcPr>
          <w:p w14:paraId="0708FCDC" w14:textId="0FFCA772" w:rsidR="0035147A" w:rsidRDefault="0035147A" w:rsidP="0040683D">
            <w:pPr>
              <w:pStyle w:val="TableText0"/>
              <w:keepNext w:val="0"/>
              <w:keepLines w:val="0"/>
              <w:widowControl w:val="0"/>
            </w:pPr>
          </w:p>
        </w:tc>
        <w:tc>
          <w:tcPr>
            <w:tcW w:w="3027" w:type="pct"/>
            <w:tcBorders>
              <w:top w:val="nil"/>
              <w:bottom w:val="nil"/>
            </w:tcBorders>
          </w:tcPr>
          <w:p w14:paraId="7ED93DB0" w14:textId="50379801" w:rsidR="0035147A" w:rsidRPr="00275796" w:rsidRDefault="0035147A" w:rsidP="008E145F">
            <w:pPr>
              <w:pStyle w:val="TableText0"/>
              <w:keepNext w:val="0"/>
              <w:keepLines w:val="0"/>
              <w:widowControl w:val="0"/>
              <w:spacing w:after="120"/>
              <w:rPr>
                <w:szCs w:val="18"/>
              </w:rPr>
            </w:pPr>
            <w:r w:rsidRPr="0055469D">
              <w:rPr>
                <w:szCs w:val="18"/>
              </w:rPr>
              <w:t xml:space="preserve">Cosman, F, Cooper C, Wang Y, et al. Comparative effectiveness and cardiovascular safety of abaloparatide and teriparatide in postmenopausal women new to anabolic therapy: A US administrative claims database study. </w:t>
            </w:r>
          </w:p>
        </w:tc>
        <w:tc>
          <w:tcPr>
            <w:tcW w:w="1178" w:type="pct"/>
            <w:tcBorders>
              <w:top w:val="nil"/>
              <w:bottom w:val="nil"/>
            </w:tcBorders>
          </w:tcPr>
          <w:p w14:paraId="6F208ADC" w14:textId="77777777" w:rsidR="0035147A" w:rsidRPr="00145613" w:rsidRDefault="0035147A" w:rsidP="008E145F">
            <w:pPr>
              <w:pStyle w:val="TableText0"/>
              <w:keepNext w:val="0"/>
              <w:keepLines w:val="0"/>
              <w:widowControl w:val="0"/>
              <w:spacing w:after="120"/>
            </w:pPr>
            <w:r w:rsidRPr="00145613">
              <w:rPr>
                <w:szCs w:val="18"/>
              </w:rPr>
              <w:t>Osteoporos Int 2022; 33(8): 1703-1714.</w:t>
            </w:r>
          </w:p>
        </w:tc>
      </w:tr>
      <w:bookmarkEnd w:id="23"/>
      <w:tr w:rsidR="0035147A" w:rsidRPr="00D86D87" w14:paraId="0F675D20" w14:textId="77777777" w:rsidTr="003C5A30">
        <w:trPr>
          <w:trHeight w:val="688"/>
        </w:trPr>
        <w:tc>
          <w:tcPr>
            <w:tcW w:w="795" w:type="pct"/>
            <w:vMerge/>
            <w:tcBorders>
              <w:bottom w:val="single" w:sz="4" w:space="0" w:color="auto"/>
            </w:tcBorders>
          </w:tcPr>
          <w:p w14:paraId="09D51172" w14:textId="4F4A6F4F" w:rsidR="0035147A" w:rsidRPr="00D86D87" w:rsidRDefault="0035147A" w:rsidP="0040683D">
            <w:pPr>
              <w:pStyle w:val="TableText0"/>
              <w:keepNext w:val="0"/>
              <w:keepLines w:val="0"/>
              <w:widowControl w:val="0"/>
            </w:pPr>
          </w:p>
        </w:tc>
        <w:tc>
          <w:tcPr>
            <w:tcW w:w="3027" w:type="pct"/>
            <w:tcBorders>
              <w:top w:val="nil"/>
              <w:bottom w:val="single" w:sz="4" w:space="0" w:color="auto"/>
            </w:tcBorders>
          </w:tcPr>
          <w:p w14:paraId="4E0AF19E" w14:textId="77777777" w:rsidR="0035147A" w:rsidRPr="00D86D87" w:rsidRDefault="0035147A" w:rsidP="008E145F">
            <w:pPr>
              <w:pStyle w:val="TableText0"/>
              <w:keepNext w:val="0"/>
              <w:keepLines w:val="0"/>
              <w:widowControl w:val="0"/>
              <w:spacing w:after="120"/>
              <w:rPr>
                <w:szCs w:val="18"/>
              </w:rPr>
            </w:pPr>
            <w:r w:rsidRPr="00275796">
              <w:rPr>
                <w:szCs w:val="18"/>
              </w:rPr>
              <w:t>Radius Health Inc (2021): A Retrospective, Observational Cohort Study Evaluating the Effectiveness and Cardiovascular Safety of Abaloparatide in Postmenopausal Women New to Anabolic Therapies.</w:t>
            </w:r>
          </w:p>
        </w:tc>
        <w:tc>
          <w:tcPr>
            <w:tcW w:w="1178" w:type="pct"/>
            <w:tcBorders>
              <w:top w:val="nil"/>
              <w:bottom w:val="single" w:sz="4" w:space="0" w:color="auto"/>
            </w:tcBorders>
          </w:tcPr>
          <w:p w14:paraId="14E424E0" w14:textId="77777777" w:rsidR="0035147A" w:rsidRPr="00145613" w:rsidRDefault="0035147A" w:rsidP="008E145F">
            <w:pPr>
              <w:pStyle w:val="TableText0"/>
              <w:keepNext w:val="0"/>
              <w:keepLines w:val="0"/>
              <w:widowControl w:val="0"/>
              <w:spacing w:after="120"/>
            </w:pPr>
          </w:p>
        </w:tc>
      </w:tr>
      <w:tr w:rsidR="0040683D" w:rsidRPr="00D86D87" w14:paraId="54E5D5CE" w14:textId="77777777" w:rsidTr="003C5A30">
        <w:trPr>
          <w:trHeight w:val="226"/>
        </w:trPr>
        <w:tc>
          <w:tcPr>
            <w:tcW w:w="5000" w:type="pct"/>
            <w:gridSpan w:val="3"/>
            <w:tcBorders>
              <w:top w:val="single" w:sz="4" w:space="0" w:color="auto"/>
              <w:bottom w:val="single" w:sz="4" w:space="0" w:color="auto"/>
            </w:tcBorders>
          </w:tcPr>
          <w:p w14:paraId="0B6C4D80" w14:textId="77777777" w:rsidR="0040683D" w:rsidRPr="00145613" w:rsidRDefault="0040683D" w:rsidP="0040683D">
            <w:pPr>
              <w:pStyle w:val="TableText0"/>
              <w:keepNext w:val="0"/>
              <w:keepLines w:val="0"/>
              <w:widowControl w:val="0"/>
              <w:rPr>
                <w:szCs w:val="18"/>
              </w:rPr>
            </w:pPr>
            <w:r w:rsidRPr="00145613">
              <w:t>Romosozumab trials</w:t>
            </w:r>
          </w:p>
        </w:tc>
      </w:tr>
      <w:tr w:rsidR="0040683D" w:rsidRPr="00D86D87" w14:paraId="0F533DE9" w14:textId="77777777" w:rsidTr="003C5A30">
        <w:trPr>
          <w:trHeight w:val="688"/>
        </w:trPr>
        <w:tc>
          <w:tcPr>
            <w:tcW w:w="795" w:type="pct"/>
            <w:vMerge w:val="restart"/>
            <w:tcBorders>
              <w:top w:val="single" w:sz="4" w:space="0" w:color="auto"/>
            </w:tcBorders>
          </w:tcPr>
          <w:p w14:paraId="1048236B" w14:textId="77777777" w:rsidR="0040683D" w:rsidRDefault="0040683D" w:rsidP="0040683D">
            <w:pPr>
              <w:pStyle w:val="TableText0"/>
              <w:keepNext w:val="0"/>
              <w:keepLines w:val="0"/>
              <w:widowControl w:val="0"/>
            </w:pPr>
            <w:r>
              <w:t>FRAME</w:t>
            </w:r>
          </w:p>
          <w:p w14:paraId="3A8382B5" w14:textId="77777777" w:rsidR="0040683D" w:rsidRDefault="0040683D" w:rsidP="0040683D">
            <w:pPr>
              <w:pStyle w:val="TableText0"/>
              <w:keepNext w:val="0"/>
              <w:keepLines w:val="0"/>
              <w:widowControl w:val="0"/>
            </w:pPr>
            <w:r>
              <w:t>NCT01575834</w:t>
            </w:r>
          </w:p>
        </w:tc>
        <w:tc>
          <w:tcPr>
            <w:tcW w:w="3027" w:type="pct"/>
            <w:tcBorders>
              <w:top w:val="single" w:sz="4" w:space="0" w:color="auto"/>
              <w:bottom w:val="nil"/>
            </w:tcBorders>
          </w:tcPr>
          <w:p w14:paraId="623A347E" w14:textId="77777777" w:rsidR="0040683D" w:rsidRPr="006F0593" w:rsidRDefault="0040683D" w:rsidP="00B76668">
            <w:pPr>
              <w:pStyle w:val="TableText0"/>
              <w:keepNext w:val="0"/>
              <w:keepLines w:val="0"/>
              <w:widowControl w:val="0"/>
              <w:spacing w:after="120"/>
              <w:rPr>
                <w:szCs w:val="18"/>
              </w:rPr>
            </w:pPr>
            <w:r w:rsidRPr="000225BE">
              <w:t xml:space="preserve">Cosman, F, Crittenden DB, Adachi JD, et al. </w:t>
            </w:r>
            <w:r w:rsidRPr="000560E6">
              <w:t xml:space="preserve">Romosozumab treatment in postmenopausal women with osteoporosis. </w:t>
            </w:r>
          </w:p>
        </w:tc>
        <w:tc>
          <w:tcPr>
            <w:tcW w:w="1178" w:type="pct"/>
            <w:tcBorders>
              <w:top w:val="single" w:sz="4" w:space="0" w:color="auto"/>
              <w:bottom w:val="nil"/>
            </w:tcBorders>
          </w:tcPr>
          <w:p w14:paraId="6DFC9E56" w14:textId="77777777" w:rsidR="0040683D" w:rsidRPr="00145613" w:rsidRDefault="0040683D" w:rsidP="00B76668">
            <w:pPr>
              <w:pStyle w:val="TableText0"/>
              <w:keepNext w:val="0"/>
              <w:keepLines w:val="0"/>
              <w:widowControl w:val="0"/>
              <w:spacing w:after="120"/>
              <w:rPr>
                <w:szCs w:val="18"/>
              </w:rPr>
            </w:pPr>
            <w:r w:rsidRPr="00145613">
              <w:t>New England Journal of Medicine 2016; 375(16): 1532-1543.</w:t>
            </w:r>
          </w:p>
        </w:tc>
      </w:tr>
      <w:tr w:rsidR="0040683D" w:rsidRPr="00D86D87" w14:paraId="43AAE425" w14:textId="77777777" w:rsidTr="003C5A30">
        <w:trPr>
          <w:trHeight w:val="144"/>
        </w:trPr>
        <w:tc>
          <w:tcPr>
            <w:tcW w:w="795" w:type="pct"/>
            <w:vMerge/>
          </w:tcPr>
          <w:p w14:paraId="077AC015" w14:textId="77777777" w:rsidR="0040683D" w:rsidRDefault="0040683D" w:rsidP="0040683D">
            <w:pPr>
              <w:pStyle w:val="TableText0"/>
              <w:keepNext w:val="0"/>
              <w:keepLines w:val="0"/>
              <w:widowControl w:val="0"/>
            </w:pPr>
          </w:p>
        </w:tc>
        <w:tc>
          <w:tcPr>
            <w:tcW w:w="3027" w:type="pct"/>
            <w:tcBorders>
              <w:top w:val="nil"/>
              <w:bottom w:val="nil"/>
            </w:tcBorders>
          </w:tcPr>
          <w:p w14:paraId="0B278E18" w14:textId="77777777" w:rsidR="0040683D" w:rsidRPr="006F0593" w:rsidRDefault="0040683D" w:rsidP="00B76668">
            <w:pPr>
              <w:pStyle w:val="TableText0"/>
              <w:keepNext w:val="0"/>
              <w:keepLines w:val="0"/>
              <w:widowControl w:val="0"/>
              <w:spacing w:after="120"/>
              <w:rPr>
                <w:szCs w:val="18"/>
              </w:rPr>
            </w:pPr>
            <w:r w:rsidRPr="00544A5F">
              <w:rPr>
                <w:szCs w:val="18"/>
              </w:rPr>
              <w:t xml:space="preserve">Cosman, F, Cooper C, Wang Y, et al. Comparative effectiveness and cardiovascular safety of abaloparatide and teriparatide in postmenopausal women new to anabolic therapy: A US administrative claims database study. </w:t>
            </w:r>
          </w:p>
        </w:tc>
        <w:tc>
          <w:tcPr>
            <w:tcW w:w="1178" w:type="pct"/>
            <w:tcBorders>
              <w:top w:val="nil"/>
              <w:bottom w:val="nil"/>
            </w:tcBorders>
          </w:tcPr>
          <w:p w14:paraId="0782E57F" w14:textId="77777777" w:rsidR="0040683D" w:rsidRPr="00145613" w:rsidRDefault="0040683D" w:rsidP="00B76668">
            <w:pPr>
              <w:pStyle w:val="TableText0"/>
              <w:keepNext w:val="0"/>
              <w:keepLines w:val="0"/>
              <w:widowControl w:val="0"/>
              <w:spacing w:after="120"/>
              <w:rPr>
                <w:szCs w:val="18"/>
              </w:rPr>
            </w:pPr>
            <w:r w:rsidRPr="00145613">
              <w:rPr>
                <w:szCs w:val="18"/>
              </w:rPr>
              <w:t>Osteoporos Int 2022; 33(8): 1703-1714.</w:t>
            </w:r>
          </w:p>
        </w:tc>
      </w:tr>
      <w:tr w:rsidR="0040683D" w:rsidRPr="00D86D87" w14:paraId="5133952D" w14:textId="77777777" w:rsidTr="003C5A30">
        <w:trPr>
          <w:trHeight w:val="144"/>
        </w:trPr>
        <w:tc>
          <w:tcPr>
            <w:tcW w:w="795" w:type="pct"/>
            <w:vMerge/>
          </w:tcPr>
          <w:p w14:paraId="0DFF4353" w14:textId="77777777" w:rsidR="0040683D" w:rsidRDefault="0040683D" w:rsidP="0040683D">
            <w:pPr>
              <w:pStyle w:val="TableText0"/>
              <w:keepNext w:val="0"/>
              <w:keepLines w:val="0"/>
              <w:widowControl w:val="0"/>
            </w:pPr>
          </w:p>
        </w:tc>
        <w:tc>
          <w:tcPr>
            <w:tcW w:w="3027" w:type="pct"/>
            <w:tcBorders>
              <w:top w:val="nil"/>
              <w:bottom w:val="nil"/>
            </w:tcBorders>
          </w:tcPr>
          <w:p w14:paraId="14C67F80" w14:textId="77777777" w:rsidR="0040683D" w:rsidRPr="006F0593" w:rsidRDefault="0040683D" w:rsidP="00B76668">
            <w:pPr>
              <w:pStyle w:val="TableText0"/>
              <w:keepNext w:val="0"/>
              <w:keepLines w:val="0"/>
              <w:widowControl w:val="0"/>
              <w:spacing w:after="120"/>
              <w:rPr>
                <w:szCs w:val="18"/>
              </w:rPr>
            </w:pPr>
            <w:r w:rsidRPr="00544A5F">
              <w:rPr>
                <w:szCs w:val="18"/>
              </w:rPr>
              <w:t xml:space="preserve">Chavassieux, P, Chapurlat R, Portero-Muzy N, et al. </w:t>
            </w:r>
            <w:r>
              <w:rPr>
                <w:szCs w:val="18"/>
              </w:rPr>
              <w:t>B</w:t>
            </w:r>
            <w:r w:rsidRPr="00544A5F">
              <w:rPr>
                <w:szCs w:val="18"/>
              </w:rPr>
              <w:t xml:space="preserve">one-forming and antiresorptive effects of romosozumab in postmenopausal women with osteoporosis: bone histomorphometry and microcomputed tomography analysis after 2 and 12 months of treatment. </w:t>
            </w:r>
          </w:p>
        </w:tc>
        <w:tc>
          <w:tcPr>
            <w:tcW w:w="1178" w:type="pct"/>
            <w:tcBorders>
              <w:top w:val="nil"/>
              <w:bottom w:val="nil"/>
            </w:tcBorders>
          </w:tcPr>
          <w:p w14:paraId="1E161BC2" w14:textId="77777777" w:rsidR="0040683D" w:rsidRPr="00145613" w:rsidRDefault="0040683D" w:rsidP="00B76668">
            <w:pPr>
              <w:pStyle w:val="TableText0"/>
              <w:keepNext w:val="0"/>
              <w:keepLines w:val="0"/>
              <w:widowControl w:val="0"/>
              <w:spacing w:after="120"/>
              <w:rPr>
                <w:szCs w:val="18"/>
              </w:rPr>
            </w:pPr>
            <w:r w:rsidRPr="00145613">
              <w:rPr>
                <w:szCs w:val="18"/>
              </w:rPr>
              <w:t>Journal of Bone and Mineral Research 2019; 34(9): 1597-1608.</w:t>
            </w:r>
          </w:p>
        </w:tc>
      </w:tr>
      <w:tr w:rsidR="0040683D" w:rsidRPr="00D86D87" w14:paraId="38C19C02" w14:textId="77777777" w:rsidTr="003C5A30">
        <w:trPr>
          <w:trHeight w:val="144"/>
        </w:trPr>
        <w:tc>
          <w:tcPr>
            <w:tcW w:w="795" w:type="pct"/>
            <w:vMerge/>
          </w:tcPr>
          <w:p w14:paraId="42EEC5ED" w14:textId="77777777" w:rsidR="0040683D" w:rsidRDefault="0040683D" w:rsidP="0040683D">
            <w:pPr>
              <w:pStyle w:val="TableText0"/>
              <w:keepNext w:val="0"/>
              <w:keepLines w:val="0"/>
              <w:widowControl w:val="0"/>
            </w:pPr>
          </w:p>
        </w:tc>
        <w:tc>
          <w:tcPr>
            <w:tcW w:w="3027" w:type="pct"/>
            <w:tcBorders>
              <w:top w:val="nil"/>
              <w:bottom w:val="nil"/>
            </w:tcBorders>
          </w:tcPr>
          <w:p w14:paraId="5D2BE21F" w14:textId="77777777" w:rsidR="0040683D" w:rsidRPr="00544A5F" w:rsidRDefault="0040683D" w:rsidP="00B76668">
            <w:pPr>
              <w:pStyle w:val="TableText0"/>
              <w:keepNext w:val="0"/>
              <w:keepLines w:val="0"/>
              <w:widowControl w:val="0"/>
              <w:spacing w:after="120"/>
              <w:rPr>
                <w:szCs w:val="18"/>
              </w:rPr>
            </w:pPr>
            <w:r w:rsidRPr="00544A5F">
              <w:rPr>
                <w:szCs w:val="18"/>
              </w:rPr>
              <w:t xml:space="preserve">Cosman, F, Crittenden DB, Ferrari S, et al. Romosozumab FRAME </w:t>
            </w:r>
            <w:r>
              <w:rPr>
                <w:szCs w:val="18"/>
              </w:rPr>
              <w:t>s</w:t>
            </w:r>
            <w:r w:rsidRPr="00544A5F">
              <w:rPr>
                <w:szCs w:val="18"/>
              </w:rPr>
              <w:t xml:space="preserve">tudy: a post hoc analysis of the role of regional background fracture risk on nonvertebral fracture outcome. </w:t>
            </w:r>
          </w:p>
        </w:tc>
        <w:tc>
          <w:tcPr>
            <w:tcW w:w="1178" w:type="pct"/>
            <w:tcBorders>
              <w:top w:val="nil"/>
              <w:bottom w:val="nil"/>
            </w:tcBorders>
          </w:tcPr>
          <w:p w14:paraId="778EB4F9" w14:textId="77777777" w:rsidR="0040683D" w:rsidRPr="00145613" w:rsidRDefault="0040683D" w:rsidP="00B76668">
            <w:pPr>
              <w:pStyle w:val="TableText0"/>
              <w:keepNext w:val="0"/>
              <w:keepLines w:val="0"/>
              <w:widowControl w:val="0"/>
              <w:spacing w:after="120"/>
              <w:rPr>
                <w:szCs w:val="18"/>
              </w:rPr>
            </w:pPr>
            <w:r w:rsidRPr="00145613">
              <w:rPr>
                <w:szCs w:val="18"/>
              </w:rPr>
              <w:t>Journal of Bone and Mineral Research 2018; 33(8): 1407-1416.</w:t>
            </w:r>
          </w:p>
        </w:tc>
      </w:tr>
      <w:tr w:rsidR="0040683D" w:rsidRPr="00D86D87" w14:paraId="29B2636B" w14:textId="77777777" w:rsidTr="003C5A30">
        <w:trPr>
          <w:trHeight w:val="144"/>
        </w:trPr>
        <w:tc>
          <w:tcPr>
            <w:tcW w:w="795" w:type="pct"/>
            <w:vMerge/>
          </w:tcPr>
          <w:p w14:paraId="768AD3C3" w14:textId="77777777" w:rsidR="0040683D" w:rsidRDefault="0040683D" w:rsidP="0040683D">
            <w:pPr>
              <w:pStyle w:val="TableText0"/>
              <w:keepNext w:val="0"/>
              <w:keepLines w:val="0"/>
              <w:widowControl w:val="0"/>
            </w:pPr>
          </w:p>
        </w:tc>
        <w:tc>
          <w:tcPr>
            <w:tcW w:w="3027" w:type="pct"/>
            <w:tcBorders>
              <w:top w:val="nil"/>
              <w:bottom w:val="nil"/>
            </w:tcBorders>
          </w:tcPr>
          <w:p w14:paraId="46EAD447" w14:textId="77777777" w:rsidR="0040683D" w:rsidRPr="00544A5F" w:rsidRDefault="0040683D" w:rsidP="00B76668">
            <w:pPr>
              <w:pStyle w:val="TableText0"/>
              <w:keepNext w:val="0"/>
              <w:keepLines w:val="0"/>
              <w:widowControl w:val="0"/>
              <w:spacing w:after="120"/>
              <w:rPr>
                <w:szCs w:val="18"/>
              </w:rPr>
            </w:pPr>
            <w:r w:rsidRPr="00B16408">
              <w:rPr>
                <w:szCs w:val="18"/>
                <w:lang w:val="de-DE"/>
              </w:rPr>
              <w:t xml:space="preserve">Langdahl, B, Hofbauer LC, Ferrari S, et al. </w:t>
            </w:r>
            <w:r w:rsidRPr="00B16408">
              <w:rPr>
                <w:szCs w:val="18"/>
              </w:rPr>
              <w:t>Romosozumab efficacy and safety in European patients enrolled in the FRAME trial.</w:t>
            </w:r>
          </w:p>
        </w:tc>
        <w:tc>
          <w:tcPr>
            <w:tcW w:w="1178" w:type="pct"/>
            <w:tcBorders>
              <w:top w:val="nil"/>
              <w:bottom w:val="nil"/>
            </w:tcBorders>
          </w:tcPr>
          <w:p w14:paraId="39DE8C1F" w14:textId="77777777" w:rsidR="0040683D" w:rsidRPr="00145613" w:rsidRDefault="0040683D" w:rsidP="00B76668">
            <w:pPr>
              <w:pStyle w:val="TableText0"/>
              <w:keepNext w:val="0"/>
              <w:keepLines w:val="0"/>
              <w:widowControl w:val="0"/>
              <w:spacing w:after="120"/>
              <w:rPr>
                <w:szCs w:val="18"/>
              </w:rPr>
            </w:pPr>
            <w:r w:rsidRPr="00145613">
              <w:rPr>
                <w:szCs w:val="18"/>
              </w:rPr>
              <w:t>Osteoporosis International 2022; 33(12): 2527-2536.</w:t>
            </w:r>
          </w:p>
        </w:tc>
      </w:tr>
      <w:tr w:rsidR="0040683D" w:rsidRPr="00D86D87" w14:paraId="2D9586E2" w14:textId="77777777" w:rsidTr="003C5A30">
        <w:trPr>
          <w:trHeight w:val="144"/>
        </w:trPr>
        <w:tc>
          <w:tcPr>
            <w:tcW w:w="795" w:type="pct"/>
            <w:vMerge/>
          </w:tcPr>
          <w:p w14:paraId="3B9CD7C3" w14:textId="77777777" w:rsidR="0040683D" w:rsidRDefault="0040683D" w:rsidP="0040683D">
            <w:pPr>
              <w:pStyle w:val="TableText0"/>
              <w:keepNext w:val="0"/>
              <w:keepLines w:val="0"/>
              <w:widowControl w:val="0"/>
            </w:pPr>
          </w:p>
        </w:tc>
        <w:tc>
          <w:tcPr>
            <w:tcW w:w="3027" w:type="pct"/>
            <w:tcBorders>
              <w:top w:val="nil"/>
              <w:bottom w:val="nil"/>
            </w:tcBorders>
          </w:tcPr>
          <w:p w14:paraId="0B0E3028" w14:textId="77777777" w:rsidR="0040683D" w:rsidRPr="00544A5F" w:rsidRDefault="0040683D" w:rsidP="00B76668">
            <w:pPr>
              <w:pStyle w:val="TableText0"/>
              <w:keepNext w:val="0"/>
              <w:keepLines w:val="0"/>
              <w:widowControl w:val="0"/>
              <w:spacing w:after="120"/>
              <w:rPr>
                <w:szCs w:val="18"/>
              </w:rPr>
            </w:pPr>
            <w:r w:rsidRPr="00B16408">
              <w:rPr>
                <w:szCs w:val="18"/>
              </w:rPr>
              <w:t>McCloskey, EV, Johansson H, Harvey NC, et al.</w:t>
            </w:r>
            <w:r>
              <w:rPr>
                <w:szCs w:val="18"/>
              </w:rPr>
              <w:t xml:space="preserve"> </w:t>
            </w:r>
            <w:r w:rsidRPr="00B16408">
              <w:rPr>
                <w:szCs w:val="18"/>
              </w:rPr>
              <w:t xml:space="preserve">Romosozumab efficacy on fracture outcomes is greater in patients at high baseline fracture risk: a post hoc analysis of the first year of the frame study. </w:t>
            </w:r>
          </w:p>
        </w:tc>
        <w:tc>
          <w:tcPr>
            <w:tcW w:w="1178" w:type="pct"/>
            <w:tcBorders>
              <w:top w:val="nil"/>
              <w:bottom w:val="nil"/>
            </w:tcBorders>
          </w:tcPr>
          <w:p w14:paraId="3A5A199E" w14:textId="77777777" w:rsidR="0040683D" w:rsidRPr="00145613" w:rsidRDefault="0040683D" w:rsidP="00B76668">
            <w:pPr>
              <w:pStyle w:val="TableText0"/>
              <w:keepNext w:val="0"/>
              <w:keepLines w:val="0"/>
              <w:widowControl w:val="0"/>
              <w:spacing w:after="120"/>
              <w:rPr>
                <w:szCs w:val="18"/>
              </w:rPr>
            </w:pPr>
            <w:r w:rsidRPr="00145613">
              <w:rPr>
                <w:szCs w:val="18"/>
              </w:rPr>
              <w:t>Osteoporosis International 2021; 32(8): 1601-1608.</w:t>
            </w:r>
          </w:p>
        </w:tc>
      </w:tr>
      <w:tr w:rsidR="0040683D" w:rsidRPr="00D86D87" w14:paraId="0665A357" w14:textId="77777777" w:rsidTr="003C5A30">
        <w:trPr>
          <w:trHeight w:val="144"/>
        </w:trPr>
        <w:tc>
          <w:tcPr>
            <w:tcW w:w="795" w:type="pct"/>
            <w:vMerge/>
          </w:tcPr>
          <w:p w14:paraId="5C6466B0" w14:textId="77777777" w:rsidR="0040683D" w:rsidRDefault="0040683D" w:rsidP="0040683D">
            <w:pPr>
              <w:pStyle w:val="TableText0"/>
              <w:keepNext w:val="0"/>
              <w:keepLines w:val="0"/>
              <w:widowControl w:val="0"/>
            </w:pPr>
          </w:p>
        </w:tc>
        <w:tc>
          <w:tcPr>
            <w:tcW w:w="3027" w:type="pct"/>
            <w:tcBorders>
              <w:top w:val="nil"/>
              <w:bottom w:val="nil"/>
            </w:tcBorders>
          </w:tcPr>
          <w:p w14:paraId="12C45EEF" w14:textId="77777777" w:rsidR="0040683D" w:rsidRPr="00B16408" w:rsidRDefault="0040683D" w:rsidP="00B76668">
            <w:pPr>
              <w:pStyle w:val="TableText0"/>
              <w:keepNext w:val="0"/>
              <w:keepLines w:val="0"/>
              <w:widowControl w:val="0"/>
              <w:spacing w:after="120"/>
              <w:rPr>
                <w:szCs w:val="18"/>
              </w:rPr>
            </w:pPr>
            <w:r w:rsidRPr="000560E6">
              <w:rPr>
                <w:lang w:val="de-DE"/>
              </w:rPr>
              <w:t xml:space="preserve">Miller, PD, Adachi JD, Albergaria BH, et al. </w:t>
            </w:r>
            <w:r w:rsidRPr="000225BE">
              <w:t>E</w:t>
            </w:r>
            <w:r w:rsidRPr="000560E6">
              <w:t xml:space="preserve">fficacy and safety of romosozumab among postmenopausal women with osteoporosis and mild-to-moderate chronic kidney disease. </w:t>
            </w:r>
          </w:p>
        </w:tc>
        <w:tc>
          <w:tcPr>
            <w:tcW w:w="1178" w:type="pct"/>
            <w:tcBorders>
              <w:top w:val="nil"/>
              <w:bottom w:val="nil"/>
            </w:tcBorders>
          </w:tcPr>
          <w:p w14:paraId="127AA702" w14:textId="77777777" w:rsidR="0040683D" w:rsidRPr="00145613" w:rsidRDefault="0040683D" w:rsidP="00B76668">
            <w:pPr>
              <w:pStyle w:val="TableText0"/>
              <w:keepNext w:val="0"/>
              <w:keepLines w:val="0"/>
              <w:widowControl w:val="0"/>
              <w:spacing w:after="120"/>
              <w:rPr>
                <w:szCs w:val="18"/>
              </w:rPr>
            </w:pPr>
            <w:r w:rsidRPr="00145613">
              <w:t>Journal of Bone &amp; Mineral Research 2022; 37(8): 1437-1445.</w:t>
            </w:r>
          </w:p>
        </w:tc>
      </w:tr>
      <w:tr w:rsidR="0040683D" w:rsidRPr="00D86D87" w14:paraId="69BEAA7B" w14:textId="77777777" w:rsidTr="003C5A30">
        <w:trPr>
          <w:trHeight w:val="144"/>
        </w:trPr>
        <w:tc>
          <w:tcPr>
            <w:tcW w:w="795" w:type="pct"/>
            <w:vMerge/>
          </w:tcPr>
          <w:p w14:paraId="0437E925" w14:textId="77777777" w:rsidR="0040683D" w:rsidRDefault="0040683D" w:rsidP="0040683D">
            <w:pPr>
              <w:pStyle w:val="TableText0"/>
              <w:keepNext w:val="0"/>
              <w:keepLines w:val="0"/>
              <w:widowControl w:val="0"/>
            </w:pPr>
          </w:p>
        </w:tc>
        <w:tc>
          <w:tcPr>
            <w:tcW w:w="3027" w:type="pct"/>
            <w:tcBorders>
              <w:top w:val="nil"/>
              <w:bottom w:val="nil"/>
            </w:tcBorders>
          </w:tcPr>
          <w:p w14:paraId="6FF7EE2E" w14:textId="77777777" w:rsidR="0040683D" w:rsidRPr="00B16408" w:rsidRDefault="0040683D" w:rsidP="00B76668">
            <w:pPr>
              <w:pStyle w:val="TableText0"/>
              <w:keepNext w:val="0"/>
              <w:keepLines w:val="0"/>
              <w:widowControl w:val="0"/>
              <w:spacing w:after="120"/>
              <w:rPr>
                <w:szCs w:val="18"/>
              </w:rPr>
            </w:pPr>
            <w:r w:rsidRPr="00B16408">
              <w:rPr>
                <w:szCs w:val="18"/>
              </w:rPr>
              <w:t xml:space="preserve">Miyauchi, A, Dinavahi RV, Crittenden DB, et al. Increased bone mineral density for 1 year of romosozumab, vs placebo, followed by 2 years of denosumab in the Japanese subgroup of the pivotal FRAME trial and extension. </w:t>
            </w:r>
          </w:p>
        </w:tc>
        <w:tc>
          <w:tcPr>
            <w:tcW w:w="1178" w:type="pct"/>
            <w:tcBorders>
              <w:top w:val="nil"/>
              <w:bottom w:val="nil"/>
            </w:tcBorders>
          </w:tcPr>
          <w:p w14:paraId="15794E54" w14:textId="7C83884E" w:rsidR="0040683D" w:rsidRPr="00145613" w:rsidRDefault="0040683D" w:rsidP="00B76668">
            <w:pPr>
              <w:pStyle w:val="TableText0"/>
              <w:keepNext w:val="0"/>
              <w:keepLines w:val="0"/>
              <w:widowControl w:val="0"/>
              <w:spacing w:after="120"/>
              <w:rPr>
                <w:szCs w:val="18"/>
              </w:rPr>
            </w:pPr>
            <w:r w:rsidRPr="00145613">
              <w:rPr>
                <w:szCs w:val="18"/>
              </w:rPr>
              <w:t>Archives of Osteoporosi</w:t>
            </w:r>
            <w:r w:rsidR="000C5BEE" w:rsidRPr="00145613">
              <w:rPr>
                <w:szCs w:val="18"/>
              </w:rPr>
              <w:t>s</w:t>
            </w:r>
            <w:r w:rsidRPr="00145613">
              <w:rPr>
                <w:szCs w:val="18"/>
              </w:rPr>
              <w:t>. 2019; s14(1) (no pagination).</w:t>
            </w:r>
          </w:p>
        </w:tc>
      </w:tr>
      <w:tr w:rsidR="0040683D" w:rsidRPr="00D86D87" w14:paraId="1609E6BA" w14:textId="77777777" w:rsidTr="008134FE">
        <w:trPr>
          <w:trHeight w:val="144"/>
        </w:trPr>
        <w:tc>
          <w:tcPr>
            <w:tcW w:w="795" w:type="pct"/>
            <w:vMerge/>
          </w:tcPr>
          <w:p w14:paraId="529F12D7" w14:textId="77777777" w:rsidR="0040683D" w:rsidRDefault="0040683D" w:rsidP="0040683D">
            <w:pPr>
              <w:pStyle w:val="TableText0"/>
              <w:keepNext w:val="0"/>
              <w:keepLines w:val="0"/>
              <w:widowControl w:val="0"/>
            </w:pPr>
          </w:p>
        </w:tc>
        <w:tc>
          <w:tcPr>
            <w:tcW w:w="3027" w:type="pct"/>
            <w:tcBorders>
              <w:top w:val="nil"/>
              <w:bottom w:val="single" w:sz="4" w:space="0" w:color="auto"/>
            </w:tcBorders>
          </w:tcPr>
          <w:p w14:paraId="3BA299FF" w14:textId="77777777" w:rsidR="0040683D" w:rsidRPr="00B16408" w:rsidRDefault="0040683D" w:rsidP="00B76668">
            <w:pPr>
              <w:pStyle w:val="TableText0"/>
              <w:keepNext w:val="0"/>
              <w:keepLines w:val="0"/>
              <w:widowControl w:val="0"/>
              <w:spacing w:after="120"/>
              <w:rPr>
                <w:szCs w:val="18"/>
              </w:rPr>
            </w:pPr>
            <w:r w:rsidRPr="00B77725">
              <w:rPr>
                <w:szCs w:val="18"/>
                <w:lang w:val="es-ES"/>
              </w:rPr>
              <w:t xml:space="preserve">Miyauchi, A, Hamaya E, Yang W, et al. </w:t>
            </w:r>
            <w:r w:rsidRPr="00B77725">
              <w:rPr>
                <w:szCs w:val="18"/>
              </w:rPr>
              <w:t xml:space="preserve">Romosozumab followed by denosumab in Japanese women with high fracture risk in the </w:t>
            </w:r>
            <w:proofErr w:type="gramStart"/>
            <w:r w:rsidRPr="00B77725">
              <w:rPr>
                <w:szCs w:val="18"/>
              </w:rPr>
              <w:t>FRAME</w:t>
            </w:r>
            <w:proofErr w:type="gramEnd"/>
            <w:r w:rsidRPr="00B77725">
              <w:rPr>
                <w:szCs w:val="18"/>
              </w:rPr>
              <w:t xml:space="preserve"> trial. </w:t>
            </w:r>
          </w:p>
        </w:tc>
        <w:tc>
          <w:tcPr>
            <w:tcW w:w="1178" w:type="pct"/>
            <w:tcBorders>
              <w:top w:val="nil"/>
              <w:bottom w:val="single" w:sz="4" w:space="0" w:color="auto"/>
            </w:tcBorders>
          </w:tcPr>
          <w:p w14:paraId="67FAA7F2" w14:textId="77777777" w:rsidR="0040683D" w:rsidRPr="00145613" w:rsidRDefault="0040683D" w:rsidP="00B76668">
            <w:pPr>
              <w:pStyle w:val="TableText0"/>
              <w:keepNext w:val="0"/>
              <w:keepLines w:val="0"/>
              <w:widowControl w:val="0"/>
              <w:spacing w:after="120"/>
              <w:rPr>
                <w:szCs w:val="18"/>
              </w:rPr>
            </w:pPr>
            <w:r w:rsidRPr="00145613">
              <w:rPr>
                <w:szCs w:val="18"/>
              </w:rPr>
              <w:t>Journal of Bone and Mineral Metabolism 2021; 39(2): 278-288.</w:t>
            </w:r>
          </w:p>
        </w:tc>
      </w:tr>
      <w:tr w:rsidR="0040683D" w:rsidRPr="00D86D87" w14:paraId="7A075EDC" w14:textId="77777777" w:rsidTr="008134FE">
        <w:trPr>
          <w:trHeight w:val="144"/>
        </w:trPr>
        <w:tc>
          <w:tcPr>
            <w:tcW w:w="795" w:type="pct"/>
            <w:vMerge/>
          </w:tcPr>
          <w:p w14:paraId="14E5320F" w14:textId="77777777" w:rsidR="0040683D" w:rsidRDefault="0040683D" w:rsidP="0040683D">
            <w:pPr>
              <w:pStyle w:val="TableText0"/>
              <w:keepNext w:val="0"/>
              <w:keepLines w:val="0"/>
              <w:widowControl w:val="0"/>
            </w:pPr>
          </w:p>
        </w:tc>
        <w:tc>
          <w:tcPr>
            <w:tcW w:w="3027" w:type="pct"/>
            <w:tcBorders>
              <w:top w:val="single" w:sz="4" w:space="0" w:color="auto"/>
              <w:bottom w:val="single" w:sz="4" w:space="0" w:color="auto"/>
            </w:tcBorders>
          </w:tcPr>
          <w:p w14:paraId="37BE1DAD" w14:textId="77777777" w:rsidR="0040683D" w:rsidRPr="006F0593" w:rsidRDefault="0040683D" w:rsidP="00B76668">
            <w:pPr>
              <w:pStyle w:val="TableText0"/>
              <w:keepNext w:val="0"/>
              <w:keepLines w:val="0"/>
              <w:widowControl w:val="0"/>
              <w:spacing w:after="120"/>
              <w:rPr>
                <w:szCs w:val="18"/>
              </w:rPr>
            </w:pPr>
            <w:r w:rsidRPr="00B77725">
              <w:rPr>
                <w:szCs w:val="18"/>
              </w:rPr>
              <w:t xml:space="preserve">Cosman, F, Crittenden DB, Ferrari S, et al. FRAME Study: the foundation effect of building bone with 1 year of romosozumab leads to continued lower fracture risk after transition to denosumab. </w:t>
            </w:r>
          </w:p>
        </w:tc>
        <w:tc>
          <w:tcPr>
            <w:tcW w:w="1178" w:type="pct"/>
            <w:tcBorders>
              <w:top w:val="single" w:sz="4" w:space="0" w:color="auto"/>
              <w:bottom w:val="single" w:sz="4" w:space="0" w:color="auto"/>
            </w:tcBorders>
          </w:tcPr>
          <w:p w14:paraId="1385407B" w14:textId="77777777" w:rsidR="0040683D" w:rsidRPr="00145613" w:rsidRDefault="0040683D" w:rsidP="00B76668">
            <w:pPr>
              <w:pStyle w:val="TableText0"/>
              <w:keepNext w:val="0"/>
              <w:keepLines w:val="0"/>
              <w:widowControl w:val="0"/>
              <w:spacing w:after="120"/>
              <w:rPr>
                <w:szCs w:val="18"/>
              </w:rPr>
            </w:pPr>
            <w:r w:rsidRPr="00145613">
              <w:rPr>
                <w:szCs w:val="18"/>
              </w:rPr>
              <w:t>Journal of Bone and Mineral Research 2018; 33(7): 1219-1226.</w:t>
            </w:r>
          </w:p>
        </w:tc>
      </w:tr>
      <w:tr w:rsidR="0040683D" w:rsidRPr="00D86D87" w14:paraId="2361C0B8" w14:textId="77777777" w:rsidTr="00B958AF">
        <w:trPr>
          <w:trHeight w:val="144"/>
        </w:trPr>
        <w:tc>
          <w:tcPr>
            <w:tcW w:w="795" w:type="pct"/>
            <w:vMerge/>
          </w:tcPr>
          <w:p w14:paraId="07CF1643" w14:textId="77777777" w:rsidR="0040683D" w:rsidRDefault="0040683D" w:rsidP="0040683D">
            <w:pPr>
              <w:pStyle w:val="TableText0"/>
              <w:keepNext w:val="0"/>
              <w:keepLines w:val="0"/>
              <w:widowControl w:val="0"/>
            </w:pPr>
          </w:p>
        </w:tc>
        <w:tc>
          <w:tcPr>
            <w:tcW w:w="3027" w:type="pct"/>
            <w:tcBorders>
              <w:top w:val="single" w:sz="4" w:space="0" w:color="auto"/>
              <w:bottom w:val="nil"/>
            </w:tcBorders>
          </w:tcPr>
          <w:p w14:paraId="2E95B107" w14:textId="77777777" w:rsidR="0040683D" w:rsidRPr="00B77725" w:rsidRDefault="0040683D" w:rsidP="00B76668">
            <w:pPr>
              <w:pStyle w:val="TableText0"/>
              <w:keepNext w:val="0"/>
              <w:keepLines w:val="0"/>
              <w:widowControl w:val="0"/>
              <w:spacing w:after="120"/>
              <w:rPr>
                <w:szCs w:val="18"/>
              </w:rPr>
            </w:pPr>
            <w:r w:rsidRPr="000560E6">
              <w:t>Lewiecki, EM, Dinavahi RV, Lazaretti-Castro M, et al. One year of romosozumab followed by two years of denosumab maintains fracture risk reductions: results of the frame extension study.</w:t>
            </w:r>
          </w:p>
        </w:tc>
        <w:tc>
          <w:tcPr>
            <w:tcW w:w="1178" w:type="pct"/>
            <w:tcBorders>
              <w:top w:val="single" w:sz="4" w:space="0" w:color="auto"/>
              <w:bottom w:val="nil"/>
            </w:tcBorders>
          </w:tcPr>
          <w:p w14:paraId="3FB52539" w14:textId="77777777" w:rsidR="0040683D" w:rsidRPr="00145613" w:rsidRDefault="0040683D" w:rsidP="00B76668">
            <w:pPr>
              <w:pStyle w:val="TableText0"/>
              <w:keepNext w:val="0"/>
              <w:keepLines w:val="0"/>
              <w:widowControl w:val="0"/>
              <w:spacing w:after="120"/>
              <w:rPr>
                <w:szCs w:val="18"/>
              </w:rPr>
            </w:pPr>
            <w:r w:rsidRPr="00145613">
              <w:t>Journal of Bone and Mineral Research 2019; 34(3): 419-428.</w:t>
            </w:r>
          </w:p>
        </w:tc>
      </w:tr>
      <w:tr w:rsidR="0040683D" w:rsidRPr="00D86D87" w14:paraId="44F7F949" w14:textId="77777777" w:rsidTr="003C5A30">
        <w:trPr>
          <w:trHeight w:val="144"/>
        </w:trPr>
        <w:tc>
          <w:tcPr>
            <w:tcW w:w="795" w:type="pct"/>
            <w:vMerge/>
          </w:tcPr>
          <w:p w14:paraId="782B117B" w14:textId="77777777" w:rsidR="0040683D" w:rsidRDefault="0040683D" w:rsidP="0040683D">
            <w:pPr>
              <w:pStyle w:val="TableText0"/>
              <w:keepNext w:val="0"/>
              <w:keepLines w:val="0"/>
              <w:widowControl w:val="0"/>
            </w:pPr>
          </w:p>
        </w:tc>
        <w:tc>
          <w:tcPr>
            <w:tcW w:w="3027" w:type="pct"/>
            <w:tcBorders>
              <w:top w:val="nil"/>
              <w:bottom w:val="nil"/>
            </w:tcBorders>
          </w:tcPr>
          <w:p w14:paraId="274A9631" w14:textId="77777777" w:rsidR="0040683D" w:rsidRPr="00B77725" w:rsidRDefault="0040683D" w:rsidP="00B76668">
            <w:pPr>
              <w:pStyle w:val="TableText0"/>
              <w:keepNext w:val="0"/>
              <w:keepLines w:val="0"/>
              <w:widowControl w:val="0"/>
              <w:spacing w:after="120"/>
              <w:rPr>
                <w:szCs w:val="18"/>
              </w:rPr>
            </w:pPr>
            <w:r w:rsidRPr="00B77725">
              <w:rPr>
                <w:szCs w:val="18"/>
              </w:rPr>
              <w:t xml:space="preserve">Cosman, F, Oates M, Betah D, et al. Romosozumab followed by denosumab vs. denosumab only: a post hoc analysis of FRAME and FRAME extension. </w:t>
            </w:r>
          </w:p>
        </w:tc>
        <w:tc>
          <w:tcPr>
            <w:tcW w:w="1178" w:type="pct"/>
            <w:tcBorders>
              <w:top w:val="nil"/>
              <w:bottom w:val="nil"/>
            </w:tcBorders>
          </w:tcPr>
          <w:p w14:paraId="7370AF0A" w14:textId="77777777" w:rsidR="0040683D" w:rsidRPr="00145613" w:rsidRDefault="0040683D" w:rsidP="00B76668">
            <w:pPr>
              <w:pStyle w:val="TableText0"/>
              <w:keepNext w:val="0"/>
              <w:keepLines w:val="0"/>
              <w:widowControl w:val="0"/>
              <w:spacing w:after="120"/>
              <w:rPr>
                <w:szCs w:val="18"/>
              </w:rPr>
            </w:pPr>
            <w:r w:rsidRPr="00145613">
              <w:rPr>
                <w:szCs w:val="18"/>
              </w:rPr>
              <w:t>Journal of Bone &amp; Mineral Research 2024; 39(9): 1268-1277.</w:t>
            </w:r>
          </w:p>
        </w:tc>
      </w:tr>
      <w:tr w:rsidR="0040683D" w:rsidRPr="00D86D87" w14:paraId="468F48CE" w14:textId="77777777" w:rsidTr="003C5A30">
        <w:trPr>
          <w:trHeight w:val="144"/>
        </w:trPr>
        <w:tc>
          <w:tcPr>
            <w:tcW w:w="795" w:type="pct"/>
            <w:vMerge/>
            <w:tcBorders>
              <w:bottom w:val="single" w:sz="4" w:space="0" w:color="auto"/>
            </w:tcBorders>
          </w:tcPr>
          <w:p w14:paraId="782339A9" w14:textId="77777777" w:rsidR="0040683D" w:rsidRDefault="0040683D" w:rsidP="0040683D">
            <w:pPr>
              <w:pStyle w:val="TableText0"/>
              <w:keepNext w:val="0"/>
              <w:keepLines w:val="0"/>
              <w:widowControl w:val="0"/>
            </w:pPr>
          </w:p>
        </w:tc>
        <w:tc>
          <w:tcPr>
            <w:tcW w:w="3027" w:type="pct"/>
            <w:tcBorders>
              <w:top w:val="nil"/>
              <w:bottom w:val="single" w:sz="4" w:space="0" w:color="auto"/>
            </w:tcBorders>
          </w:tcPr>
          <w:p w14:paraId="7A6807EB" w14:textId="77777777" w:rsidR="0040683D" w:rsidRPr="00B77725" w:rsidRDefault="0040683D" w:rsidP="00B76668">
            <w:pPr>
              <w:pStyle w:val="TableText0"/>
              <w:keepNext w:val="0"/>
              <w:keepLines w:val="0"/>
              <w:widowControl w:val="0"/>
              <w:spacing w:after="120"/>
              <w:rPr>
                <w:szCs w:val="18"/>
              </w:rPr>
            </w:pPr>
            <w:r w:rsidRPr="000225BE">
              <w:t xml:space="preserve">Geusens, P, Feldman R, Oates M, et al. </w:t>
            </w:r>
            <w:r w:rsidRPr="000560E6">
              <w:t xml:space="preserve">Romosozumab reduces incidence of new vertebral fractures across severity grades among postmenopausal women with osteoporosis. </w:t>
            </w:r>
          </w:p>
        </w:tc>
        <w:tc>
          <w:tcPr>
            <w:tcW w:w="1178" w:type="pct"/>
            <w:tcBorders>
              <w:top w:val="nil"/>
              <w:bottom w:val="single" w:sz="4" w:space="0" w:color="auto"/>
            </w:tcBorders>
          </w:tcPr>
          <w:p w14:paraId="0404C892" w14:textId="77777777" w:rsidR="0040683D" w:rsidRPr="00145613" w:rsidRDefault="0040683D" w:rsidP="00B76668">
            <w:pPr>
              <w:pStyle w:val="TableText0"/>
              <w:keepNext w:val="0"/>
              <w:keepLines w:val="0"/>
              <w:widowControl w:val="0"/>
              <w:spacing w:after="120"/>
              <w:rPr>
                <w:szCs w:val="18"/>
              </w:rPr>
            </w:pPr>
            <w:r w:rsidRPr="00145613">
              <w:t>Bone 2022;154 (no pagination)</w:t>
            </w:r>
          </w:p>
        </w:tc>
      </w:tr>
      <w:tr w:rsidR="0040683D" w:rsidRPr="00D86D87" w14:paraId="6B154029" w14:textId="77777777" w:rsidTr="003C5A30">
        <w:trPr>
          <w:trHeight w:val="915"/>
        </w:trPr>
        <w:tc>
          <w:tcPr>
            <w:tcW w:w="795" w:type="pct"/>
            <w:vMerge w:val="restart"/>
            <w:tcBorders>
              <w:top w:val="single" w:sz="4" w:space="0" w:color="auto"/>
            </w:tcBorders>
          </w:tcPr>
          <w:p w14:paraId="01E8D06B" w14:textId="77777777" w:rsidR="0040683D" w:rsidRDefault="0040683D" w:rsidP="0040683D">
            <w:pPr>
              <w:pStyle w:val="TableText0"/>
              <w:keepNext w:val="0"/>
              <w:keepLines w:val="0"/>
              <w:widowControl w:val="0"/>
            </w:pPr>
            <w:r>
              <w:t>BRIDGE (romosozumab study in men)</w:t>
            </w:r>
          </w:p>
          <w:p w14:paraId="5B905A95" w14:textId="77777777" w:rsidR="0040683D" w:rsidRDefault="0040683D" w:rsidP="0040683D">
            <w:pPr>
              <w:pStyle w:val="TableText0"/>
              <w:keepNext w:val="0"/>
              <w:keepLines w:val="0"/>
              <w:widowControl w:val="0"/>
            </w:pPr>
            <w:r>
              <w:t>NCT02186171</w:t>
            </w:r>
          </w:p>
        </w:tc>
        <w:tc>
          <w:tcPr>
            <w:tcW w:w="3027" w:type="pct"/>
            <w:tcBorders>
              <w:top w:val="single" w:sz="4" w:space="0" w:color="auto"/>
              <w:bottom w:val="nil"/>
            </w:tcBorders>
          </w:tcPr>
          <w:p w14:paraId="4BEFEB6F" w14:textId="77777777" w:rsidR="0040683D" w:rsidRPr="000225BE" w:rsidRDefault="0040683D" w:rsidP="00B76668">
            <w:pPr>
              <w:pStyle w:val="TableText0"/>
              <w:keepNext w:val="0"/>
              <w:keepLines w:val="0"/>
              <w:widowControl w:val="0"/>
              <w:spacing w:after="120"/>
            </w:pPr>
            <w:r w:rsidRPr="005C7361">
              <w:rPr>
                <w:lang w:val="de-DE"/>
              </w:rPr>
              <w:t>Lewiecki, EM, Blicharski T, Goemaere S</w:t>
            </w:r>
            <w:r w:rsidRPr="005C7361">
              <w:rPr>
                <w:i/>
                <w:iCs/>
                <w:lang w:val="de-DE"/>
              </w:rPr>
              <w:t>, et al.</w:t>
            </w:r>
            <w:r w:rsidRPr="005C7361">
              <w:rPr>
                <w:lang w:val="de-DE"/>
              </w:rPr>
              <w:t xml:space="preserve"> </w:t>
            </w:r>
            <w:r w:rsidRPr="000225BE">
              <w:t>A</w:t>
            </w:r>
            <w:r w:rsidRPr="005C7361">
              <w:t xml:space="preserve"> phase </w:t>
            </w:r>
            <w:r>
              <w:t>III</w:t>
            </w:r>
            <w:r w:rsidRPr="005C7361">
              <w:t xml:space="preserve"> randomized placebo-controlled trial to evaluate efficacy and safety of romosozumab in men with osteoporosis. </w:t>
            </w:r>
          </w:p>
        </w:tc>
        <w:tc>
          <w:tcPr>
            <w:tcW w:w="1178" w:type="pct"/>
            <w:tcBorders>
              <w:top w:val="single" w:sz="4" w:space="0" w:color="auto"/>
              <w:bottom w:val="nil"/>
            </w:tcBorders>
          </w:tcPr>
          <w:p w14:paraId="4E27E1FB" w14:textId="77777777" w:rsidR="0040683D" w:rsidRPr="00145613" w:rsidRDefault="0040683D" w:rsidP="00B76668">
            <w:pPr>
              <w:pStyle w:val="TableText0"/>
              <w:keepNext w:val="0"/>
              <w:keepLines w:val="0"/>
              <w:widowControl w:val="0"/>
              <w:spacing w:after="120"/>
            </w:pPr>
            <w:r w:rsidRPr="00145613">
              <w:t xml:space="preserve">The Journal of Clinical Endocrinology &amp; Metabolism 2018; </w:t>
            </w:r>
            <w:r w:rsidRPr="00145613">
              <w:rPr>
                <w:bCs w:val="0"/>
              </w:rPr>
              <w:t>103</w:t>
            </w:r>
            <w:r w:rsidRPr="00145613">
              <w:t>(9): 3183-3193.</w:t>
            </w:r>
          </w:p>
        </w:tc>
      </w:tr>
      <w:tr w:rsidR="0040683D" w:rsidRPr="00D86D87" w14:paraId="5A1A7B5F" w14:textId="77777777" w:rsidTr="003C5A30">
        <w:trPr>
          <w:trHeight w:val="144"/>
        </w:trPr>
        <w:tc>
          <w:tcPr>
            <w:tcW w:w="795" w:type="pct"/>
            <w:vMerge/>
            <w:tcBorders>
              <w:bottom w:val="single" w:sz="4" w:space="0" w:color="auto"/>
            </w:tcBorders>
          </w:tcPr>
          <w:p w14:paraId="294B46E7" w14:textId="77777777" w:rsidR="0040683D" w:rsidRDefault="0040683D" w:rsidP="0040683D">
            <w:pPr>
              <w:pStyle w:val="TableText0"/>
              <w:keepNext w:val="0"/>
              <w:keepLines w:val="0"/>
              <w:widowControl w:val="0"/>
            </w:pPr>
          </w:p>
        </w:tc>
        <w:tc>
          <w:tcPr>
            <w:tcW w:w="3027" w:type="pct"/>
            <w:tcBorders>
              <w:top w:val="nil"/>
              <w:bottom w:val="single" w:sz="4" w:space="0" w:color="auto"/>
            </w:tcBorders>
          </w:tcPr>
          <w:p w14:paraId="47EBD5DF" w14:textId="77777777" w:rsidR="0040683D" w:rsidRPr="00B77725" w:rsidRDefault="0040683D" w:rsidP="00B76668">
            <w:pPr>
              <w:pStyle w:val="TableText0"/>
              <w:keepNext w:val="0"/>
              <w:keepLines w:val="0"/>
              <w:widowControl w:val="0"/>
              <w:spacing w:after="120"/>
              <w:rPr>
                <w:szCs w:val="18"/>
              </w:rPr>
            </w:pPr>
            <w:r w:rsidRPr="005C7361">
              <w:rPr>
                <w:szCs w:val="18"/>
              </w:rPr>
              <w:t>Amgen (2014). NCT02186171: A multicenter, randomized, double-blind, placebo-controlled study to compare the efficacy and safety of romosozumab with placebo in men with osteoporosis.</w:t>
            </w:r>
          </w:p>
        </w:tc>
        <w:tc>
          <w:tcPr>
            <w:tcW w:w="1178" w:type="pct"/>
            <w:tcBorders>
              <w:top w:val="nil"/>
              <w:bottom w:val="single" w:sz="4" w:space="0" w:color="auto"/>
            </w:tcBorders>
          </w:tcPr>
          <w:p w14:paraId="3D78B091" w14:textId="77777777" w:rsidR="0040683D" w:rsidRPr="00145613" w:rsidRDefault="0040683D" w:rsidP="00B76668">
            <w:pPr>
              <w:pStyle w:val="TableText0"/>
              <w:keepNext w:val="0"/>
              <w:keepLines w:val="0"/>
              <w:widowControl w:val="0"/>
              <w:spacing w:after="120"/>
              <w:rPr>
                <w:szCs w:val="18"/>
              </w:rPr>
            </w:pPr>
          </w:p>
        </w:tc>
      </w:tr>
    </w:tbl>
    <w:p w14:paraId="44FBDD67" w14:textId="77777777" w:rsidR="0040683D" w:rsidRDefault="0040683D" w:rsidP="0040683D">
      <w:pPr>
        <w:pStyle w:val="TableFigureFooter"/>
      </w:pPr>
      <w:r w:rsidRPr="00D86D87">
        <w:t xml:space="preserve">Source: </w:t>
      </w:r>
      <w:r>
        <w:t>Table 2-5, pp40-45 of the submission</w:t>
      </w:r>
    </w:p>
    <w:p w14:paraId="0D6995DB" w14:textId="77777777" w:rsidR="0040683D" w:rsidRPr="00D86D87" w:rsidRDefault="0040683D" w:rsidP="0040683D">
      <w:pPr>
        <w:pStyle w:val="TableFigureFooter"/>
        <w:rPr>
          <w:sz w:val="20"/>
        </w:rPr>
      </w:pPr>
      <w:r>
        <w:t>RWE = real world evidence</w:t>
      </w:r>
    </w:p>
    <w:p w14:paraId="1DD06D7D" w14:textId="449E3D5B" w:rsidR="007F1017" w:rsidRPr="00690AC4" w:rsidRDefault="007F5E21" w:rsidP="00EC5836">
      <w:pPr>
        <w:pStyle w:val="3-BodyText"/>
        <w:rPr>
          <w:color w:val="0066FF"/>
        </w:rPr>
      </w:pPr>
      <w:r w:rsidRPr="009C46CF">
        <w:t>The key features of the included evidence</w:t>
      </w:r>
      <w:r w:rsidR="006D3038">
        <w:t xml:space="preserve"> in postmenopausal women</w:t>
      </w:r>
      <w:r w:rsidRPr="009C46CF">
        <w:t xml:space="preserve"> for the </w:t>
      </w:r>
      <w:r>
        <w:t>indirect comparison</w:t>
      </w:r>
      <w:r w:rsidRPr="009C46CF">
        <w:t xml:space="preserve"> are summarised in</w:t>
      </w:r>
      <w:r>
        <w:t xml:space="preserve"> </w:t>
      </w:r>
      <w:r w:rsidR="00FE0077" w:rsidRPr="00B958AF">
        <w:rPr>
          <w:rFonts w:cstheme="minorHAnsi"/>
          <w:szCs w:val="24"/>
        </w:rPr>
        <w:fldChar w:fldCharType="begin"/>
      </w:r>
      <w:r w:rsidR="00FE0077" w:rsidRPr="00B958AF">
        <w:rPr>
          <w:rFonts w:cstheme="minorHAnsi"/>
          <w:szCs w:val="24"/>
        </w:rPr>
        <w:instrText xml:space="preserve"> REF _Ref195782630 \h </w:instrText>
      </w:r>
      <w:r w:rsidR="00B958AF" w:rsidRPr="00B958AF">
        <w:rPr>
          <w:rFonts w:cstheme="minorHAnsi"/>
          <w:szCs w:val="24"/>
        </w:rPr>
        <w:instrText xml:space="preserve"> \* MERGEFORMAT </w:instrText>
      </w:r>
      <w:r w:rsidR="00FE0077" w:rsidRPr="00B958AF">
        <w:rPr>
          <w:rFonts w:cstheme="minorHAnsi"/>
          <w:szCs w:val="24"/>
        </w:rPr>
      </w:r>
      <w:r w:rsidR="00FE0077" w:rsidRPr="00B958AF">
        <w:rPr>
          <w:rFonts w:cstheme="minorHAnsi"/>
          <w:szCs w:val="24"/>
        </w:rPr>
        <w:fldChar w:fldCharType="separate"/>
      </w:r>
      <w:r w:rsidR="005B625A" w:rsidRPr="005B625A">
        <w:rPr>
          <w:rFonts w:cstheme="minorHAnsi"/>
          <w:szCs w:val="24"/>
        </w:rPr>
        <w:t xml:space="preserve">Table </w:t>
      </w:r>
      <w:r w:rsidR="005B625A" w:rsidRPr="005B625A">
        <w:rPr>
          <w:rFonts w:cstheme="minorHAnsi"/>
          <w:noProof/>
          <w:szCs w:val="24"/>
        </w:rPr>
        <w:t>3</w:t>
      </w:r>
      <w:r w:rsidR="00FE0077" w:rsidRPr="00B958AF">
        <w:rPr>
          <w:rFonts w:cstheme="minorHAnsi"/>
          <w:szCs w:val="24"/>
        </w:rPr>
        <w:fldChar w:fldCharType="end"/>
      </w:r>
      <w:r w:rsidR="00D743E3">
        <w:t>.</w:t>
      </w:r>
    </w:p>
    <w:p w14:paraId="188982C0" w14:textId="07E254B6" w:rsidR="00D743E3" w:rsidRDefault="00FE0077" w:rsidP="00172625">
      <w:pPr>
        <w:keepNext/>
        <w:keepLines/>
        <w:jc w:val="left"/>
      </w:pPr>
      <w:bookmarkStart w:id="24" w:name="_Ref195782630"/>
      <w:bookmarkStart w:id="25" w:name="_Ref195296824"/>
      <w:r w:rsidRPr="00172625">
        <w:rPr>
          <w:rFonts w:ascii="Arial Narrow" w:hAnsi="Arial Narrow"/>
          <w:b/>
          <w:bCs/>
          <w:sz w:val="20"/>
          <w:szCs w:val="20"/>
        </w:rPr>
        <w:t xml:space="preserve">Table </w:t>
      </w:r>
      <w:r w:rsidRPr="00172625">
        <w:rPr>
          <w:rFonts w:ascii="Arial Narrow" w:hAnsi="Arial Narrow"/>
          <w:b/>
          <w:bCs/>
          <w:sz w:val="20"/>
          <w:szCs w:val="20"/>
        </w:rPr>
        <w:fldChar w:fldCharType="begin"/>
      </w:r>
      <w:r w:rsidRPr="00172625">
        <w:rPr>
          <w:rFonts w:ascii="Arial Narrow" w:hAnsi="Arial Narrow"/>
          <w:b/>
          <w:bCs/>
          <w:sz w:val="20"/>
          <w:szCs w:val="20"/>
        </w:rPr>
        <w:instrText xml:space="preserve"> SEQ Table \* ARABIC </w:instrText>
      </w:r>
      <w:r w:rsidRPr="00172625">
        <w:rPr>
          <w:rFonts w:ascii="Arial Narrow" w:hAnsi="Arial Narrow"/>
          <w:b/>
          <w:bCs/>
          <w:sz w:val="20"/>
          <w:szCs w:val="20"/>
        </w:rPr>
        <w:fldChar w:fldCharType="separate"/>
      </w:r>
      <w:r w:rsidR="005B625A">
        <w:rPr>
          <w:rFonts w:ascii="Arial Narrow" w:hAnsi="Arial Narrow"/>
          <w:b/>
          <w:bCs/>
          <w:noProof/>
          <w:sz w:val="20"/>
          <w:szCs w:val="20"/>
        </w:rPr>
        <w:t>3</w:t>
      </w:r>
      <w:r w:rsidRPr="00172625">
        <w:rPr>
          <w:rFonts w:ascii="Arial Narrow" w:hAnsi="Arial Narrow"/>
          <w:b/>
          <w:bCs/>
          <w:noProof/>
          <w:sz w:val="20"/>
          <w:szCs w:val="20"/>
        </w:rPr>
        <w:fldChar w:fldCharType="end"/>
      </w:r>
      <w:bookmarkEnd w:id="24"/>
      <w:r w:rsidRPr="00172625">
        <w:rPr>
          <w:rFonts w:ascii="Arial Narrow" w:hAnsi="Arial Narrow"/>
          <w:b/>
          <w:bCs/>
          <w:sz w:val="20"/>
          <w:szCs w:val="20"/>
        </w:rPr>
        <w:t>:</w:t>
      </w:r>
      <w:r w:rsidRPr="00D86D87">
        <w:rPr>
          <w:rStyle w:val="CommentReference"/>
          <w:szCs w:val="24"/>
        </w:rPr>
        <w:t xml:space="preserve"> </w:t>
      </w:r>
      <w:bookmarkEnd w:id="25"/>
      <w:r w:rsidR="00D743E3" w:rsidRPr="00D86D87">
        <w:rPr>
          <w:rStyle w:val="CommentReference"/>
          <w:szCs w:val="24"/>
        </w:rPr>
        <w:t>Key features of the included evidence</w:t>
      </w:r>
      <w:r w:rsidR="00B76668">
        <w:rPr>
          <w:rStyle w:val="CommentReference"/>
          <w:szCs w:val="24"/>
        </w:rPr>
        <w:t xml:space="preserve"> for postmenopausal women</w:t>
      </w:r>
      <w:r w:rsidR="00C22627">
        <w:rPr>
          <w:rStyle w:val="CommentReference"/>
          <w:szCs w:val="24"/>
        </w:rPr>
        <w:t xml:space="preserve"> (main studies and extension studies)</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3: Key features of the included evidence for postmenopausal women (main studies and extension studies)"/>
      </w:tblPr>
      <w:tblGrid>
        <w:gridCol w:w="1130"/>
        <w:gridCol w:w="713"/>
        <w:gridCol w:w="852"/>
        <w:gridCol w:w="1137"/>
        <w:gridCol w:w="1418"/>
        <w:gridCol w:w="3817"/>
      </w:tblGrid>
      <w:tr w:rsidR="007F5E21" w:rsidRPr="00812B51" w14:paraId="203983EA" w14:textId="77777777" w:rsidTr="00172625">
        <w:trPr>
          <w:cantSplit/>
          <w:trHeight w:val="284"/>
          <w:tblHeader/>
        </w:trPr>
        <w:tc>
          <w:tcPr>
            <w:tcW w:w="623" w:type="pct"/>
            <w:vAlign w:val="center"/>
          </w:tcPr>
          <w:p w14:paraId="6020C3B8" w14:textId="77777777" w:rsidR="007F5E21" w:rsidRPr="00812B51" w:rsidRDefault="007F5E21" w:rsidP="00172625">
            <w:pPr>
              <w:keepNext/>
              <w:keepLines/>
              <w:jc w:val="center"/>
              <w:rPr>
                <w:rFonts w:ascii="Arial Narrow" w:hAnsi="Arial Narrow" w:cs="Times New Roman"/>
                <w:b/>
                <w:kern w:val="2"/>
                <w:sz w:val="20"/>
                <w:szCs w:val="22"/>
                <w:lang w:val="en-US" w:eastAsia="en-US"/>
                <w14:ligatures w14:val="standardContextual"/>
              </w:rPr>
            </w:pPr>
            <w:r w:rsidRPr="00812B51">
              <w:rPr>
                <w:rFonts w:ascii="Arial Narrow" w:hAnsi="Arial Narrow" w:cs="Times New Roman"/>
                <w:b/>
                <w:kern w:val="2"/>
                <w:sz w:val="20"/>
                <w:szCs w:val="22"/>
                <w:lang w:val="en-US" w:eastAsia="en-US"/>
                <w14:ligatures w14:val="standardContextual"/>
              </w:rPr>
              <w:t>Trial</w:t>
            </w:r>
          </w:p>
        </w:tc>
        <w:tc>
          <w:tcPr>
            <w:tcW w:w="393" w:type="pct"/>
            <w:vAlign w:val="center"/>
          </w:tcPr>
          <w:p w14:paraId="640144A8" w14:textId="77777777" w:rsidR="007F5E21" w:rsidRPr="00812B51" w:rsidRDefault="007F5E21" w:rsidP="00172625">
            <w:pPr>
              <w:keepNext/>
              <w:keepLines/>
              <w:jc w:val="center"/>
              <w:rPr>
                <w:rFonts w:ascii="Arial Narrow" w:hAnsi="Arial Narrow" w:cs="Times New Roman"/>
                <w:b/>
                <w:kern w:val="2"/>
                <w:sz w:val="20"/>
                <w:szCs w:val="22"/>
                <w:lang w:val="en-US" w:eastAsia="en-US"/>
                <w14:ligatures w14:val="standardContextual"/>
              </w:rPr>
            </w:pPr>
            <w:r w:rsidRPr="00812B51">
              <w:rPr>
                <w:rFonts w:ascii="Arial Narrow" w:hAnsi="Arial Narrow" w:cs="Times New Roman"/>
                <w:b/>
                <w:kern w:val="2"/>
                <w:sz w:val="20"/>
                <w:szCs w:val="22"/>
                <w:lang w:val="en-US" w:eastAsia="en-US"/>
                <w14:ligatures w14:val="standardContextual"/>
              </w:rPr>
              <w:t>N</w:t>
            </w:r>
          </w:p>
        </w:tc>
        <w:tc>
          <w:tcPr>
            <w:tcW w:w="470" w:type="pct"/>
            <w:vAlign w:val="center"/>
          </w:tcPr>
          <w:p w14:paraId="1FB3C091" w14:textId="77777777" w:rsidR="007F5E21" w:rsidRPr="00812B51" w:rsidRDefault="007F5E21" w:rsidP="00172625">
            <w:pPr>
              <w:keepNext/>
              <w:keepLines/>
              <w:jc w:val="center"/>
              <w:rPr>
                <w:rFonts w:ascii="Arial Narrow" w:hAnsi="Arial Narrow" w:cs="Times New Roman"/>
                <w:b/>
                <w:kern w:val="2"/>
                <w:sz w:val="20"/>
                <w:szCs w:val="22"/>
                <w:lang w:val="en-US" w:eastAsia="en-US"/>
                <w14:ligatures w14:val="standardContextual"/>
              </w:rPr>
            </w:pPr>
            <w:r w:rsidRPr="00812B51">
              <w:rPr>
                <w:rFonts w:ascii="Arial Narrow" w:hAnsi="Arial Narrow" w:cs="Times New Roman"/>
                <w:b/>
                <w:kern w:val="2"/>
                <w:sz w:val="20"/>
                <w:szCs w:val="22"/>
                <w:lang w:val="en-US" w:eastAsia="en-US"/>
                <w14:ligatures w14:val="standardContextual"/>
              </w:rPr>
              <w:t>Design/</w:t>
            </w:r>
            <w:r w:rsidRPr="00812B51">
              <w:rPr>
                <w:rFonts w:ascii="Arial Narrow" w:hAnsi="Arial Narrow" w:cs="Times New Roman"/>
                <w:b/>
                <w:kern w:val="2"/>
                <w:sz w:val="20"/>
                <w:szCs w:val="22"/>
                <w:lang w:val="en-US" w:eastAsia="en-US"/>
                <w14:ligatures w14:val="standardContextual"/>
              </w:rPr>
              <w:br/>
              <w:t>duration</w:t>
            </w:r>
          </w:p>
        </w:tc>
        <w:tc>
          <w:tcPr>
            <w:tcW w:w="627" w:type="pct"/>
            <w:vAlign w:val="center"/>
          </w:tcPr>
          <w:p w14:paraId="4DEF44DB" w14:textId="77777777" w:rsidR="007F5E21" w:rsidRPr="00812B51" w:rsidRDefault="007F5E21" w:rsidP="00172625">
            <w:pPr>
              <w:keepNext/>
              <w:keepLines/>
              <w:jc w:val="center"/>
              <w:rPr>
                <w:rFonts w:ascii="Arial Narrow" w:hAnsi="Arial Narrow" w:cs="Times New Roman"/>
                <w:b/>
                <w:kern w:val="2"/>
                <w:sz w:val="20"/>
                <w:szCs w:val="22"/>
                <w:lang w:val="en-US" w:eastAsia="en-US"/>
                <w14:ligatures w14:val="standardContextual"/>
              </w:rPr>
            </w:pPr>
            <w:r w:rsidRPr="00812B51">
              <w:rPr>
                <w:rFonts w:ascii="Arial Narrow" w:hAnsi="Arial Narrow" w:cs="Times New Roman"/>
                <w:b/>
                <w:kern w:val="2"/>
                <w:sz w:val="20"/>
                <w:szCs w:val="22"/>
                <w:lang w:val="en-US" w:eastAsia="en-US"/>
                <w14:ligatures w14:val="standardContextual"/>
              </w:rPr>
              <w:t>Risk of bias</w:t>
            </w:r>
          </w:p>
        </w:tc>
        <w:tc>
          <w:tcPr>
            <w:tcW w:w="782" w:type="pct"/>
            <w:vAlign w:val="center"/>
          </w:tcPr>
          <w:p w14:paraId="6F3158A7" w14:textId="77777777" w:rsidR="007F5E21" w:rsidRPr="00812B51" w:rsidRDefault="007F5E21" w:rsidP="00172625">
            <w:pPr>
              <w:keepNext/>
              <w:keepLines/>
              <w:jc w:val="center"/>
              <w:rPr>
                <w:rFonts w:ascii="Arial Narrow" w:hAnsi="Arial Narrow" w:cs="Times New Roman"/>
                <w:b/>
                <w:kern w:val="2"/>
                <w:sz w:val="20"/>
                <w:szCs w:val="22"/>
                <w:lang w:val="en-US" w:eastAsia="en-US"/>
                <w14:ligatures w14:val="standardContextual"/>
              </w:rPr>
            </w:pPr>
            <w:r w:rsidRPr="00812B51">
              <w:rPr>
                <w:rFonts w:ascii="Arial Narrow" w:hAnsi="Arial Narrow" w:cs="Times New Roman"/>
                <w:b/>
                <w:kern w:val="2"/>
                <w:sz w:val="20"/>
                <w:szCs w:val="22"/>
                <w:lang w:val="en-US" w:eastAsia="en-US"/>
                <w14:ligatures w14:val="standardContextual"/>
              </w:rPr>
              <w:t>Patient</w:t>
            </w:r>
          </w:p>
          <w:p w14:paraId="5322E95D" w14:textId="77777777" w:rsidR="007F5E21" w:rsidRPr="00812B51" w:rsidRDefault="007F5E21" w:rsidP="00172625">
            <w:pPr>
              <w:keepNext/>
              <w:keepLines/>
              <w:jc w:val="center"/>
              <w:rPr>
                <w:rFonts w:ascii="Arial Narrow" w:hAnsi="Arial Narrow" w:cs="Times New Roman"/>
                <w:b/>
                <w:kern w:val="2"/>
                <w:sz w:val="20"/>
                <w:szCs w:val="22"/>
                <w:lang w:val="en-US" w:eastAsia="en-US"/>
                <w14:ligatures w14:val="standardContextual"/>
              </w:rPr>
            </w:pPr>
            <w:r w:rsidRPr="00812B51">
              <w:rPr>
                <w:rFonts w:ascii="Arial Narrow" w:hAnsi="Arial Narrow" w:cs="Times New Roman"/>
                <w:b/>
                <w:kern w:val="2"/>
                <w:sz w:val="20"/>
                <w:szCs w:val="22"/>
                <w:lang w:val="en-US" w:eastAsia="en-US"/>
                <w14:ligatures w14:val="standardContextual"/>
              </w:rPr>
              <w:t>population</w:t>
            </w:r>
          </w:p>
        </w:tc>
        <w:tc>
          <w:tcPr>
            <w:tcW w:w="2105" w:type="pct"/>
            <w:vAlign w:val="center"/>
          </w:tcPr>
          <w:p w14:paraId="54E99658" w14:textId="604AD88B" w:rsidR="007F5E21" w:rsidRPr="00812B51" w:rsidRDefault="007F5E21" w:rsidP="00172625">
            <w:pPr>
              <w:keepNext/>
              <w:keepLines/>
              <w:jc w:val="center"/>
              <w:rPr>
                <w:rFonts w:ascii="Arial Narrow" w:hAnsi="Arial Narrow" w:cs="Times New Roman"/>
                <w:b/>
                <w:kern w:val="2"/>
                <w:sz w:val="20"/>
                <w:szCs w:val="22"/>
                <w:lang w:val="en-US" w:eastAsia="en-US"/>
                <w14:ligatures w14:val="standardContextual"/>
              </w:rPr>
            </w:pPr>
            <w:r w:rsidRPr="00812B51">
              <w:rPr>
                <w:rFonts w:ascii="Arial Narrow" w:hAnsi="Arial Narrow" w:cs="Times New Roman"/>
                <w:b/>
                <w:kern w:val="2"/>
                <w:sz w:val="20"/>
                <w:szCs w:val="22"/>
                <w:lang w:val="en-US" w:eastAsia="en-US"/>
                <w14:ligatures w14:val="standardContextual"/>
              </w:rPr>
              <w:t>Outcome(s)</w:t>
            </w:r>
          </w:p>
        </w:tc>
      </w:tr>
      <w:tr w:rsidR="007F5E21" w:rsidRPr="00812B51" w14:paraId="14677F17" w14:textId="77777777" w:rsidTr="00172625">
        <w:trPr>
          <w:cantSplit/>
          <w:trHeight w:val="284"/>
        </w:trPr>
        <w:tc>
          <w:tcPr>
            <w:tcW w:w="5000" w:type="pct"/>
            <w:gridSpan w:val="6"/>
          </w:tcPr>
          <w:p w14:paraId="59866898" w14:textId="33FD35AD" w:rsidR="007F5E21" w:rsidRPr="00812B51" w:rsidRDefault="007F5E21" w:rsidP="00172625">
            <w:pPr>
              <w:keepNext/>
              <w:keepLines/>
              <w:jc w:val="left"/>
              <w:rPr>
                <w:rFonts w:ascii="Arial Narrow" w:hAnsi="Arial Narrow" w:cs="Times New Roman"/>
                <w:b/>
                <w:kern w:val="2"/>
                <w:sz w:val="20"/>
                <w:szCs w:val="22"/>
                <w:lang w:val="en-US" w:eastAsia="en-US"/>
                <w14:ligatures w14:val="standardContextual"/>
              </w:rPr>
            </w:pPr>
            <w:r>
              <w:rPr>
                <w:rFonts w:ascii="Arial Narrow" w:hAnsi="Arial Narrow" w:cs="Times New Roman"/>
                <w:b/>
                <w:bCs/>
                <w:kern w:val="2"/>
                <w:sz w:val="20"/>
                <w:szCs w:val="22"/>
                <w:lang w:val="en-US" w:eastAsia="en-US"/>
                <w14:ligatures w14:val="standardContextual"/>
              </w:rPr>
              <w:t>Abaloparatide vs placebo</w:t>
            </w:r>
            <w:r w:rsidRPr="00812B51">
              <w:rPr>
                <w:rFonts w:ascii="Arial Narrow" w:hAnsi="Arial Narrow" w:cs="Times New Roman"/>
                <w:b/>
                <w:kern w:val="2"/>
                <w:sz w:val="20"/>
                <w:szCs w:val="22"/>
                <w:lang w:val="en-US" w:eastAsia="en-US"/>
                <w14:ligatures w14:val="standardContextual"/>
              </w:rPr>
              <w:t xml:space="preserve"> </w:t>
            </w:r>
          </w:p>
        </w:tc>
      </w:tr>
      <w:tr w:rsidR="00D743E3" w:rsidRPr="00812B51" w14:paraId="5F09805B" w14:textId="77777777" w:rsidTr="00172625">
        <w:trPr>
          <w:cantSplit/>
          <w:trHeight w:val="284"/>
        </w:trPr>
        <w:tc>
          <w:tcPr>
            <w:tcW w:w="623" w:type="pct"/>
            <w:vAlign w:val="center"/>
          </w:tcPr>
          <w:p w14:paraId="61835019" w14:textId="425AD878" w:rsidR="007F5E21" w:rsidRPr="00812B51" w:rsidRDefault="007F5E21" w:rsidP="00172625">
            <w:pPr>
              <w:keepNext/>
              <w:keepLines/>
              <w:widowControl w:val="0"/>
              <w:jc w:val="left"/>
              <w:rPr>
                <w:rFonts w:ascii="Arial Narrow" w:hAnsi="Arial Narrow" w:cs="Times New Roman"/>
                <w:kern w:val="2"/>
                <w:sz w:val="20"/>
                <w:szCs w:val="22"/>
                <w:lang w:eastAsia="en-US"/>
                <w14:ligatures w14:val="standardContextual"/>
              </w:rPr>
            </w:pPr>
            <w:r>
              <w:rPr>
                <w:rFonts w:ascii="Arial Narrow" w:hAnsi="Arial Narrow" w:cs="Times New Roman"/>
                <w:kern w:val="2"/>
                <w:sz w:val="20"/>
                <w:szCs w:val="22"/>
                <w:lang w:eastAsia="en-US"/>
                <w14:ligatures w14:val="standardContextual"/>
              </w:rPr>
              <w:t>ACTIVE</w:t>
            </w:r>
          </w:p>
        </w:tc>
        <w:tc>
          <w:tcPr>
            <w:tcW w:w="393" w:type="pct"/>
            <w:vAlign w:val="center"/>
          </w:tcPr>
          <w:p w14:paraId="05A4B883" w14:textId="1BBFCDA8" w:rsidR="007F5E21" w:rsidRPr="00812B51" w:rsidRDefault="007F5E21" w:rsidP="00172625">
            <w:pPr>
              <w:keepNext/>
              <w:keepLines/>
              <w:widowControl w:val="0"/>
              <w:jc w:val="center"/>
              <w:rPr>
                <w:rFonts w:ascii="Arial Narrow" w:hAnsi="Arial Narrow" w:cs="Times New Roman"/>
                <w:kern w:val="2"/>
                <w:sz w:val="20"/>
                <w:szCs w:val="22"/>
                <w:lang w:eastAsia="en-US"/>
                <w14:ligatures w14:val="standardContextual"/>
              </w:rPr>
            </w:pPr>
            <w:r>
              <w:rPr>
                <w:rFonts w:ascii="Arial Narrow" w:hAnsi="Arial Narrow" w:cs="Times New Roman"/>
                <w:kern w:val="2"/>
                <w:sz w:val="20"/>
                <w:szCs w:val="22"/>
                <w:lang w:eastAsia="en-US"/>
                <w14:ligatures w14:val="standardContextual"/>
              </w:rPr>
              <w:t>2,070</w:t>
            </w:r>
            <w:r w:rsidRPr="007F5E21">
              <w:rPr>
                <w:rFonts w:ascii="Arial Narrow" w:hAnsi="Arial Narrow" w:cs="Times New Roman"/>
                <w:kern w:val="2"/>
                <w:sz w:val="20"/>
                <w:szCs w:val="22"/>
                <w:vertAlign w:val="superscript"/>
                <w:lang w:eastAsia="en-US"/>
                <w14:ligatures w14:val="standardContextual"/>
              </w:rPr>
              <w:t>a</w:t>
            </w:r>
          </w:p>
        </w:tc>
        <w:tc>
          <w:tcPr>
            <w:tcW w:w="470" w:type="pct"/>
            <w:vAlign w:val="center"/>
          </w:tcPr>
          <w:p w14:paraId="1B471C82" w14:textId="370F7292" w:rsidR="007F5E21" w:rsidRPr="00812B51" w:rsidRDefault="007F5E21" w:rsidP="00172625">
            <w:pPr>
              <w:keepNext/>
              <w:keepLines/>
              <w:widowControl w:val="0"/>
              <w:jc w:val="center"/>
              <w:rPr>
                <w:rFonts w:ascii="Arial Narrow" w:hAnsi="Arial Narrow" w:cs="Times New Roman"/>
                <w:kern w:val="2"/>
                <w:sz w:val="20"/>
                <w:szCs w:val="22"/>
                <w:lang w:eastAsia="en-US"/>
                <w14:ligatures w14:val="standardContextual"/>
              </w:rPr>
            </w:pPr>
            <w:r w:rsidRPr="00812B51">
              <w:rPr>
                <w:rFonts w:ascii="Arial Narrow" w:hAnsi="Arial Narrow" w:cs="Times New Roman"/>
                <w:kern w:val="2"/>
                <w:sz w:val="20"/>
                <w:szCs w:val="22"/>
                <w:lang w:eastAsia="en-US"/>
                <w14:ligatures w14:val="standardContextual"/>
              </w:rPr>
              <w:t>R,</w:t>
            </w:r>
            <w:r w:rsidR="00A77E99">
              <w:rPr>
                <w:rFonts w:ascii="Arial Narrow" w:hAnsi="Arial Narrow" w:cs="Times New Roman"/>
                <w:kern w:val="2"/>
                <w:sz w:val="20"/>
                <w:szCs w:val="22"/>
                <w:lang w:eastAsia="en-US"/>
                <w14:ligatures w14:val="standardContextual"/>
              </w:rPr>
              <w:t xml:space="preserve"> MC,</w:t>
            </w:r>
            <w:r w:rsidRPr="00812B51">
              <w:rPr>
                <w:rFonts w:ascii="Arial Narrow" w:hAnsi="Arial Narrow" w:cs="Times New Roman"/>
                <w:kern w:val="2"/>
                <w:sz w:val="20"/>
                <w:szCs w:val="22"/>
                <w:lang w:eastAsia="en-US"/>
                <w14:ligatures w14:val="standardContextual"/>
              </w:rPr>
              <w:t xml:space="preserve"> </w:t>
            </w:r>
            <w:r>
              <w:rPr>
                <w:rFonts w:ascii="Arial Narrow" w:hAnsi="Arial Narrow" w:cs="Times New Roman"/>
                <w:kern w:val="2"/>
                <w:sz w:val="20"/>
                <w:szCs w:val="22"/>
                <w:lang w:eastAsia="en-US"/>
                <w14:ligatures w14:val="standardContextual"/>
              </w:rPr>
              <w:t>DB</w:t>
            </w:r>
          </w:p>
          <w:p w14:paraId="121D736F" w14:textId="3541391A" w:rsidR="007F5E21" w:rsidRPr="00812B51" w:rsidRDefault="007F5E21" w:rsidP="00172625">
            <w:pPr>
              <w:keepNext/>
              <w:keepLines/>
              <w:widowControl w:val="0"/>
              <w:jc w:val="center"/>
              <w:rPr>
                <w:rFonts w:ascii="Arial Narrow" w:hAnsi="Arial Narrow" w:cs="Times New Roman"/>
                <w:kern w:val="2"/>
                <w:sz w:val="20"/>
                <w:szCs w:val="22"/>
                <w:lang w:eastAsia="en-US"/>
                <w14:ligatures w14:val="standardContextual"/>
              </w:rPr>
            </w:pPr>
            <w:r>
              <w:rPr>
                <w:rFonts w:ascii="Arial Narrow" w:hAnsi="Arial Narrow" w:cs="Times New Roman"/>
                <w:kern w:val="2"/>
                <w:sz w:val="20"/>
                <w:szCs w:val="22"/>
                <w:lang w:eastAsia="en-US"/>
                <w14:ligatures w14:val="standardContextual"/>
              </w:rPr>
              <w:t>18 mths</w:t>
            </w:r>
          </w:p>
        </w:tc>
        <w:tc>
          <w:tcPr>
            <w:tcW w:w="627" w:type="pct"/>
            <w:vAlign w:val="center"/>
          </w:tcPr>
          <w:p w14:paraId="0EE21263" w14:textId="0DCA142C" w:rsidR="007F5E21" w:rsidRPr="00812B51" w:rsidRDefault="007F5E21" w:rsidP="00172625">
            <w:pPr>
              <w:keepNext/>
              <w:keepLines/>
              <w:widowControl w:val="0"/>
              <w:jc w:val="center"/>
              <w:rPr>
                <w:rFonts w:ascii="Arial Narrow" w:hAnsi="Arial Narrow" w:cs="Times New Roman"/>
                <w:kern w:val="2"/>
                <w:sz w:val="20"/>
                <w:szCs w:val="22"/>
                <w:vertAlign w:val="superscript"/>
                <w:lang w:eastAsia="en-US"/>
                <w14:ligatures w14:val="standardContextual"/>
              </w:rPr>
            </w:pPr>
            <w:r w:rsidRPr="00812B51">
              <w:rPr>
                <w:rFonts w:ascii="Arial Narrow" w:hAnsi="Arial Narrow" w:cs="Times New Roman"/>
                <w:kern w:val="2"/>
                <w:sz w:val="20"/>
                <w:szCs w:val="22"/>
                <w:lang w:eastAsia="en-US"/>
                <w14:ligatures w14:val="standardContextual"/>
              </w:rPr>
              <w:t>Low</w:t>
            </w:r>
          </w:p>
        </w:tc>
        <w:tc>
          <w:tcPr>
            <w:tcW w:w="782" w:type="pct"/>
            <w:vAlign w:val="center"/>
          </w:tcPr>
          <w:p w14:paraId="11E82820" w14:textId="187C6F6D" w:rsidR="007F5E21" w:rsidRPr="00812B51" w:rsidRDefault="007F5E21" w:rsidP="00172625">
            <w:pPr>
              <w:keepNext/>
              <w:keepLines/>
              <w:widowControl w:val="0"/>
              <w:jc w:val="left"/>
              <w:rPr>
                <w:rFonts w:ascii="Arial Narrow" w:hAnsi="Arial Narrow" w:cs="Times New Roman"/>
                <w:kern w:val="2"/>
                <w:sz w:val="20"/>
                <w:szCs w:val="22"/>
                <w:lang w:eastAsia="en-US"/>
                <w14:ligatures w14:val="standardContextual"/>
              </w:rPr>
            </w:pPr>
            <w:r>
              <w:rPr>
                <w:rFonts w:ascii="Arial Narrow" w:hAnsi="Arial Narrow" w:cs="Times New Roman"/>
                <w:kern w:val="2"/>
                <w:sz w:val="20"/>
                <w:szCs w:val="22"/>
                <w:lang w:eastAsia="en-US"/>
                <w14:ligatures w14:val="standardContextual"/>
              </w:rPr>
              <w:t>Postmenopausal women with osteoporosis</w:t>
            </w:r>
            <w:r w:rsidRPr="00812B51">
              <w:rPr>
                <w:rFonts w:ascii="Arial Narrow" w:hAnsi="Arial Narrow" w:cs="Times New Roman"/>
                <w:kern w:val="2"/>
                <w:sz w:val="20"/>
                <w:szCs w:val="22"/>
                <w:lang w:eastAsia="en-US"/>
                <w14:ligatures w14:val="standardContextual"/>
              </w:rPr>
              <w:t xml:space="preserve"> </w:t>
            </w:r>
          </w:p>
        </w:tc>
        <w:tc>
          <w:tcPr>
            <w:tcW w:w="2105" w:type="pct"/>
          </w:tcPr>
          <w:p w14:paraId="5931C46C" w14:textId="2ACBB9EE" w:rsidR="007F5E21" w:rsidRPr="00130A1D" w:rsidRDefault="00130A1D" w:rsidP="00172625">
            <w:pPr>
              <w:pStyle w:val="ListParagraph"/>
              <w:keepNext/>
              <w:keepLines/>
              <w:widowControl w:val="0"/>
              <w:numPr>
                <w:ilvl w:val="0"/>
                <w:numId w:val="12"/>
              </w:numPr>
              <w:spacing w:after="0"/>
              <w:ind w:left="240" w:hanging="197"/>
              <w:rPr>
                <w:rFonts w:ascii="Arial Narrow" w:hAnsi="Arial Narrow" w:cs="Times New Roman"/>
                <w:kern w:val="2"/>
                <w:sz w:val="20"/>
                <w:szCs w:val="22"/>
                <w:lang w:eastAsia="en-US"/>
                <w14:ligatures w14:val="standardContextual"/>
              </w:rPr>
            </w:pPr>
            <w:r w:rsidRPr="00130A1D">
              <w:rPr>
                <w:rFonts w:ascii="Arial Narrow" w:hAnsi="Arial Narrow" w:cs="Times New Roman"/>
                <w:kern w:val="2"/>
                <w:sz w:val="20"/>
                <w:szCs w:val="22"/>
                <w:lang w:eastAsia="en-US"/>
                <w14:ligatures w14:val="standardContextual"/>
              </w:rPr>
              <w:t>Incidence of new vertebral fractures</w:t>
            </w:r>
            <w:r w:rsidR="00ED77DC">
              <w:rPr>
                <w:rFonts w:ascii="Arial Narrow" w:hAnsi="Arial Narrow" w:cs="Times New Roman"/>
                <w:kern w:val="2"/>
                <w:sz w:val="20"/>
                <w:szCs w:val="22"/>
                <w:lang w:eastAsia="en-US"/>
                <w14:ligatures w14:val="standardContextual"/>
              </w:rPr>
              <w:t> </w:t>
            </w:r>
            <w:r w:rsidR="000F5ED3">
              <w:rPr>
                <w:rFonts w:ascii="Arial Narrow" w:hAnsi="Arial Narrow" w:cs="Times New Roman"/>
                <w:kern w:val="2"/>
                <w:sz w:val="20"/>
                <w:szCs w:val="22"/>
                <w:vertAlign w:val="superscript"/>
                <w:lang w:eastAsia="en-US"/>
                <w14:ligatures w14:val="standardContextual"/>
              </w:rPr>
              <w:t>d</w:t>
            </w:r>
          </w:p>
          <w:p w14:paraId="5277F547" w14:textId="433784F2" w:rsidR="00130A1D" w:rsidRPr="00130A1D" w:rsidRDefault="00130A1D" w:rsidP="00172625">
            <w:pPr>
              <w:pStyle w:val="ListParagraph"/>
              <w:keepNext/>
              <w:keepLines/>
              <w:widowControl w:val="0"/>
              <w:numPr>
                <w:ilvl w:val="0"/>
                <w:numId w:val="12"/>
              </w:numPr>
              <w:spacing w:after="0"/>
              <w:ind w:left="240" w:hanging="197"/>
              <w:rPr>
                <w:rFonts w:ascii="Arial Narrow" w:hAnsi="Arial Narrow" w:cs="Times New Roman"/>
                <w:kern w:val="2"/>
                <w:sz w:val="20"/>
                <w:szCs w:val="22"/>
                <w:lang w:eastAsia="en-US"/>
                <w14:ligatures w14:val="standardContextual"/>
              </w:rPr>
            </w:pPr>
            <w:r w:rsidRPr="00130A1D">
              <w:rPr>
                <w:rFonts w:ascii="Arial Narrow" w:hAnsi="Arial Narrow" w:cs="Times New Roman"/>
                <w:kern w:val="2"/>
                <w:sz w:val="20"/>
                <w:szCs w:val="22"/>
                <w:lang w:eastAsia="en-US"/>
                <w14:ligatures w14:val="standardContextual"/>
              </w:rPr>
              <w:t>Risk of nonvertebral fracture and clinical fractures</w:t>
            </w:r>
          </w:p>
        </w:tc>
      </w:tr>
      <w:tr w:rsidR="007F5E21" w:rsidRPr="00812B51" w14:paraId="03F8178F" w14:textId="77777777" w:rsidTr="00172625">
        <w:trPr>
          <w:cantSplit/>
          <w:trHeight w:val="284"/>
        </w:trPr>
        <w:tc>
          <w:tcPr>
            <w:tcW w:w="5000" w:type="pct"/>
            <w:gridSpan w:val="6"/>
            <w:tcBorders>
              <w:bottom w:val="single" w:sz="4" w:space="0" w:color="auto"/>
            </w:tcBorders>
            <w:vAlign w:val="center"/>
          </w:tcPr>
          <w:p w14:paraId="0A8DFB8D" w14:textId="1E99C7B0" w:rsidR="007F5E21" w:rsidRPr="007F5E21" w:rsidRDefault="007F5E21" w:rsidP="00172625">
            <w:pPr>
              <w:keepNext/>
              <w:keepLines/>
              <w:widowControl w:val="0"/>
              <w:jc w:val="left"/>
              <w:rPr>
                <w:rFonts w:ascii="Arial Narrow" w:hAnsi="Arial Narrow" w:cs="Times New Roman"/>
                <w:b/>
                <w:bCs/>
                <w:kern w:val="2"/>
                <w:sz w:val="20"/>
                <w:szCs w:val="22"/>
                <w:lang w:eastAsia="en-US"/>
                <w14:ligatures w14:val="standardContextual"/>
              </w:rPr>
            </w:pPr>
            <w:r>
              <w:rPr>
                <w:rFonts w:ascii="Arial Narrow" w:hAnsi="Arial Narrow" w:cs="Times New Roman"/>
                <w:b/>
                <w:bCs/>
                <w:kern w:val="2"/>
                <w:sz w:val="20"/>
                <w:szCs w:val="22"/>
                <w:lang w:eastAsia="en-US"/>
                <w14:ligatures w14:val="standardContextual"/>
              </w:rPr>
              <w:t>Abaloparatide</w:t>
            </w:r>
            <w:r w:rsidRPr="007F5E21">
              <w:rPr>
                <w:rFonts w:ascii="Arial Narrow" w:hAnsi="Arial Narrow" w:cs="Times New Roman"/>
                <w:b/>
                <w:bCs/>
                <w:kern w:val="2"/>
                <w:sz w:val="20"/>
                <w:szCs w:val="22"/>
                <w:lang w:eastAsia="en-US"/>
                <w14:ligatures w14:val="standardContextual"/>
              </w:rPr>
              <w:t xml:space="preserve"> vs placebo</w:t>
            </w:r>
            <w:r w:rsidR="001A5400" w:rsidRPr="001A5400">
              <w:rPr>
                <w:rFonts w:ascii="Arial Narrow" w:hAnsi="Arial Narrow" w:cs="Times New Roman"/>
                <w:b/>
                <w:bCs/>
                <w:kern w:val="2"/>
                <w:sz w:val="20"/>
                <w:szCs w:val="20"/>
                <w:lang w:eastAsia="en-US"/>
                <w14:ligatures w14:val="standardContextual"/>
              </w:rPr>
              <w:t xml:space="preserve"> (extension stud</w:t>
            </w:r>
            <w:r w:rsidR="001A5400">
              <w:rPr>
                <w:rFonts w:ascii="Arial Narrow" w:hAnsi="Arial Narrow" w:cs="Times New Roman"/>
                <w:b/>
                <w:bCs/>
                <w:kern w:val="2"/>
                <w:sz w:val="20"/>
                <w:szCs w:val="20"/>
                <w:lang w:eastAsia="en-US"/>
                <w14:ligatures w14:val="standardContextual"/>
              </w:rPr>
              <w:t>y</w:t>
            </w:r>
            <w:r w:rsidR="006B5DD7">
              <w:rPr>
                <w:rFonts w:ascii="Arial Narrow" w:hAnsi="Arial Narrow" w:cs="Times New Roman"/>
                <w:b/>
                <w:bCs/>
                <w:kern w:val="2"/>
                <w:sz w:val="20"/>
                <w:szCs w:val="20"/>
                <w:lang w:eastAsia="en-US"/>
                <w14:ligatures w14:val="standardContextual"/>
              </w:rPr>
              <w:t xml:space="preserve"> using subsequent open label alendronate</w:t>
            </w:r>
            <w:r w:rsidR="001A5400" w:rsidRPr="001A5400">
              <w:rPr>
                <w:rFonts w:ascii="Arial Narrow" w:hAnsi="Arial Narrow" w:cs="Times New Roman"/>
                <w:b/>
                <w:bCs/>
                <w:kern w:val="2"/>
                <w:sz w:val="20"/>
                <w:szCs w:val="20"/>
                <w:lang w:eastAsia="en-US"/>
                <w14:ligatures w14:val="standardContextual"/>
              </w:rPr>
              <w:t>)</w:t>
            </w:r>
          </w:p>
        </w:tc>
      </w:tr>
      <w:tr w:rsidR="00D743E3" w:rsidRPr="00812B51" w14:paraId="42306C72" w14:textId="77777777" w:rsidTr="00172625">
        <w:trPr>
          <w:cantSplit/>
          <w:trHeight w:val="284"/>
        </w:trPr>
        <w:tc>
          <w:tcPr>
            <w:tcW w:w="623" w:type="pct"/>
            <w:vAlign w:val="center"/>
          </w:tcPr>
          <w:p w14:paraId="5FAC796D" w14:textId="21A5C8D0" w:rsidR="007F5E21" w:rsidRPr="00812B51" w:rsidRDefault="007F5E21" w:rsidP="00172625">
            <w:pPr>
              <w:keepNext/>
              <w:keepLines/>
              <w:widowControl w:val="0"/>
              <w:jc w:val="left"/>
              <w:rPr>
                <w:rFonts w:ascii="Arial Narrow" w:hAnsi="Arial Narrow" w:cs="Times New Roman"/>
                <w:kern w:val="2"/>
                <w:sz w:val="20"/>
                <w:szCs w:val="22"/>
                <w:lang w:eastAsia="en-US"/>
                <w14:ligatures w14:val="standardContextual"/>
              </w:rPr>
            </w:pPr>
            <w:r>
              <w:rPr>
                <w:rFonts w:ascii="Arial Narrow" w:hAnsi="Arial Narrow" w:cs="Times New Roman"/>
                <w:kern w:val="2"/>
                <w:sz w:val="20"/>
                <w:szCs w:val="22"/>
                <w:lang w:eastAsia="en-US"/>
                <w14:ligatures w14:val="standardContextual"/>
              </w:rPr>
              <w:t>ACTIVExtend</w:t>
            </w:r>
          </w:p>
        </w:tc>
        <w:tc>
          <w:tcPr>
            <w:tcW w:w="393" w:type="pct"/>
            <w:vAlign w:val="center"/>
          </w:tcPr>
          <w:p w14:paraId="76BB3871" w14:textId="1316BF4A" w:rsidR="007F5E21" w:rsidRPr="000945BC" w:rsidRDefault="000945BC" w:rsidP="00172625">
            <w:pPr>
              <w:keepNext/>
              <w:keepLines/>
              <w:widowControl w:val="0"/>
              <w:jc w:val="center"/>
              <w:rPr>
                <w:rFonts w:ascii="Arial Narrow" w:hAnsi="Arial Narrow" w:cs="Times New Roman"/>
                <w:kern w:val="2"/>
                <w:sz w:val="20"/>
                <w:szCs w:val="22"/>
                <w:lang w:eastAsia="en-US"/>
                <w14:ligatures w14:val="standardContextual"/>
              </w:rPr>
            </w:pPr>
            <w:r>
              <w:rPr>
                <w:rFonts w:ascii="Arial Narrow" w:hAnsi="Arial Narrow" w:cs="Times New Roman"/>
                <w:kern w:val="2"/>
                <w:sz w:val="20"/>
                <w:szCs w:val="22"/>
                <w:lang w:eastAsia="en-US"/>
                <w14:ligatures w14:val="standardContextual"/>
              </w:rPr>
              <w:t>963</w:t>
            </w:r>
            <w:r w:rsidRPr="000945BC">
              <w:rPr>
                <w:rFonts w:ascii="Arial Narrow" w:hAnsi="Arial Narrow" w:cs="Times New Roman"/>
                <w:kern w:val="2"/>
                <w:sz w:val="20"/>
                <w:szCs w:val="22"/>
                <w:vertAlign w:val="superscript"/>
                <w:lang w:eastAsia="en-US"/>
                <w14:ligatures w14:val="standardContextual"/>
              </w:rPr>
              <w:t>b</w:t>
            </w:r>
          </w:p>
        </w:tc>
        <w:tc>
          <w:tcPr>
            <w:tcW w:w="470" w:type="pct"/>
            <w:vAlign w:val="center"/>
          </w:tcPr>
          <w:p w14:paraId="367B297F" w14:textId="270DCBA9" w:rsidR="007F5E21" w:rsidRDefault="00A77E99" w:rsidP="00172625">
            <w:pPr>
              <w:keepNext/>
              <w:keepLines/>
              <w:widowControl w:val="0"/>
              <w:jc w:val="center"/>
              <w:rPr>
                <w:rFonts w:ascii="Arial Narrow" w:hAnsi="Arial Narrow" w:cs="Times New Roman"/>
                <w:kern w:val="2"/>
                <w:sz w:val="20"/>
                <w:szCs w:val="22"/>
                <w:lang w:eastAsia="en-US"/>
                <w14:ligatures w14:val="standardContextual"/>
              </w:rPr>
            </w:pPr>
            <w:r>
              <w:rPr>
                <w:rFonts w:ascii="Arial Narrow" w:hAnsi="Arial Narrow" w:cs="Times New Roman"/>
                <w:kern w:val="2"/>
                <w:sz w:val="20"/>
                <w:szCs w:val="22"/>
                <w:lang w:eastAsia="en-US"/>
                <w14:ligatures w14:val="standardContextual"/>
              </w:rPr>
              <w:t xml:space="preserve">MC, </w:t>
            </w:r>
            <w:r w:rsidR="000F5ED3">
              <w:rPr>
                <w:rFonts w:ascii="Arial Narrow" w:hAnsi="Arial Narrow" w:cs="Times New Roman"/>
                <w:kern w:val="2"/>
                <w:sz w:val="20"/>
                <w:szCs w:val="22"/>
                <w:lang w:eastAsia="en-US"/>
                <w14:ligatures w14:val="standardContextual"/>
              </w:rPr>
              <w:t>OL</w:t>
            </w:r>
            <w:r w:rsidR="000F5ED3" w:rsidRPr="000F5ED3">
              <w:rPr>
                <w:rFonts w:ascii="Arial Narrow" w:hAnsi="Arial Narrow" w:cs="Times New Roman"/>
                <w:kern w:val="2"/>
                <w:sz w:val="20"/>
                <w:szCs w:val="22"/>
                <w:vertAlign w:val="superscript"/>
                <w:lang w:eastAsia="en-US"/>
                <w14:ligatures w14:val="standardContextual"/>
              </w:rPr>
              <w:t>c</w:t>
            </w:r>
            <w:r w:rsidR="007F5E21">
              <w:rPr>
                <w:rFonts w:ascii="Arial Narrow" w:hAnsi="Arial Narrow" w:cs="Times New Roman"/>
                <w:kern w:val="2"/>
                <w:sz w:val="20"/>
                <w:szCs w:val="22"/>
                <w:lang w:eastAsia="en-US"/>
                <w14:ligatures w14:val="standardContextual"/>
              </w:rPr>
              <w:t xml:space="preserve">, </w:t>
            </w:r>
          </w:p>
          <w:p w14:paraId="1BAB49B2" w14:textId="6D9634F9" w:rsidR="007F5E21" w:rsidRPr="00812B51" w:rsidRDefault="007F5E21" w:rsidP="00172625">
            <w:pPr>
              <w:keepNext/>
              <w:keepLines/>
              <w:widowControl w:val="0"/>
              <w:jc w:val="center"/>
              <w:rPr>
                <w:rFonts w:ascii="Arial Narrow" w:hAnsi="Arial Narrow" w:cs="Times New Roman"/>
                <w:kern w:val="2"/>
                <w:sz w:val="20"/>
                <w:szCs w:val="22"/>
                <w:lang w:eastAsia="en-US"/>
                <w14:ligatures w14:val="standardContextual"/>
              </w:rPr>
            </w:pPr>
            <w:r>
              <w:rPr>
                <w:rFonts w:ascii="Arial Narrow" w:hAnsi="Arial Narrow" w:cs="Times New Roman"/>
                <w:kern w:val="2"/>
                <w:sz w:val="20"/>
                <w:szCs w:val="22"/>
                <w:lang w:eastAsia="en-US"/>
                <w14:ligatures w14:val="standardContextual"/>
              </w:rPr>
              <w:t>24 mths</w:t>
            </w:r>
          </w:p>
        </w:tc>
        <w:tc>
          <w:tcPr>
            <w:tcW w:w="627" w:type="pct"/>
            <w:vAlign w:val="center"/>
          </w:tcPr>
          <w:p w14:paraId="1536F7CD" w14:textId="0091F76F" w:rsidR="007F5E21" w:rsidRPr="00812B51" w:rsidRDefault="007F5E21" w:rsidP="00172625">
            <w:pPr>
              <w:keepNext/>
              <w:keepLines/>
              <w:widowControl w:val="0"/>
              <w:jc w:val="center"/>
              <w:rPr>
                <w:rFonts w:ascii="Arial Narrow" w:hAnsi="Arial Narrow" w:cs="Times New Roman"/>
                <w:kern w:val="2"/>
                <w:sz w:val="20"/>
                <w:szCs w:val="22"/>
                <w:vertAlign w:val="superscript"/>
                <w:lang w:eastAsia="en-US"/>
                <w14:ligatures w14:val="standardContextual"/>
              </w:rPr>
            </w:pPr>
          </w:p>
        </w:tc>
        <w:tc>
          <w:tcPr>
            <w:tcW w:w="782" w:type="pct"/>
            <w:vAlign w:val="center"/>
          </w:tcPr>
          <w:p w14:paraId="78CD278B" w14:textId="7A92C898" w:rsidR="007F5E21" w:rsidRPr="00812B51" w:rsidRDefault="007F5E21" w:rsidP="00172625">
            <w:pPr>
              <w:keepNext/>
              <w:keepLines/>
              <w:widowControl w:val="0"/>
              <w:jc w:val="left"/>
              <w:rPr>
                <w:rFonts w:ascii="Arial Narrow" w:hAnsi="Arial Narrow" w:cs="Times New Roman"/>
                <w:kern w:val="2"/>
                <w:sz w:val="20"/>
                <w:szCs w:val="22"/>
                <w:lang w:eastAsia="en-US"/>
                <w14:ligatures w14:val="standardContextual"/>
              </w:rPr>
            </w:pPr>
            <w:r>
              <w:rPr>
                <w:rFonts w:ascii="Arial Narrow" w:hAnsi="Arial Narrow" w:cs="Times New Roman"/>
                <w:kern w:val="2"/>
                <w:sz w:val="20"/>
                <w:szCs w:val="22"/>
                <w:lang w:eastAsia="en-US"/>
                <w14:ligatures w14:val="standardContextual"/>
              </w:rPr>
              <w:t>Postmenopausal women with osteoporosis</w:t>
            </w:r>
          </w:p>
        </w:tc>
        <w:tc>
          <w:tcPr>
            <w:tcW w:w="2105" w:type="pct"/>
            <w:vAlign w:val="center"/>
          </w:tcPr>
          <w:p w14:paraId="0927C82E" w14:textId="64A8A465" w:rsidR="00130A1D" w:rsidRDefault="00130A1D" w:rsidP="00172625">
            <w:pPr>
              <w:pStyle w:val="ListParagraph"/>
              <w:keepNext/>
              <w:keepLines/>
              <w:widowControl w:val="0"/>
              <w:numPr>
                <w:ilvl w:val="0"/>
                <w:numId w:val="12"/>
              </w:numPr>
              <w:spacing w:after="0"/>
              <w:ind w:left="240" w:hanging="197"/>
              <w:rPr>
                <w:rFonts w:ascii="Arial Narrow" w:hAnsi="Arial Narrow" w:cs="Times New Roman"/>
                <w:kern w:val="2"/>
                <w:sz w:val="20"/>
                <w:szCs w:val="22"/>
                <w:lang w:eastAsia="en-US"/>
                <w14:ligatures w14:val="standardContextual"/>
              </w:rPr>
            </w:pPr>
            <w:r w:rsidRPr="00130A1D">
              <w:rPr>
                <w:rFonts w:ascii="Arial Narrow" w:hAnsi="Arial Narrow" w:cs="Times New Roman"/>
                <w:kern w:val="2"/>
                <w:sz w:val="20"/>
                <w:szCs w:val="22"/>
                <w:lang w:eastAsia="en-US"/>
                <w14:ligatures w14:val="standardContextual"/>
              </w:rPr>
              <w:t>Incidence of new vertebral fractures</w:t>
            </w:r>
            <w:r w:rsidR="00ED77DC">
              <w:rPr>
                <w:rFonts w:ascii="Arial Narrow" w:hAnsi="Arial Narrow" w:cs="Times New Roman"/>
                <w:kern w:val="2"/>
                <w:sz w:val="20"/>
                <w:szCs w:val="22"/>
                <w:lang w:eastAsia="en-US"/>
                <w14:ligatures w14:val="standardContextual"/>
              </w:rPr>
              <w:t> </w:t>
            </w:r>
            <w:r w:rsidR="000F5ED3" w:rsidRPr="000F5ED3">
              <w:rPr>
                <w:rFonts w:ascii="Arial Narrow" w:hAnsi="Arial Narrow" w:cs="Times New Roman"/>
                <w:kern w:val="2"/>
                <w:sz w:val="20"/>
                <w:szCs w:val="22"/>
                <w:vertAlign w:val="superscript"/>
                <w:lang w:eastAsia="en-US"/>
                <w14:ligatures w14:val="standardContextual"/>
              </w:rPr>
              <w:t>e</w:t>
            </w:r>
          </w:p>
          <w:p w14:paraId="49FE7738" w14:textId="7AD64526" w:rsidR="007F5E21" w:rsidRPr="00812B51" w:rsidRDefault="00130A1D" w:rsidP="00172625">
            <w:pPr>
              <w:pStyle w:val="ListParagraph"/>
              <w:keepNext/>
              <w:keepLines/>
              <w:widowControl w:val="0"/>
              <w:numPr>
                <w:ilvl w:val="0"/>
                <w:numId w:val="12"/>
              </w:numPr>
              <w:spacing w:after="0"/>
              <w:ind w:left="240" w:hanging="197"/>
              <w:rPr>
                <w:rFonts w:ascii="Arial Narrow" w:hAnsi="Arial Narrow" w:cs="Times New Roman"/>
                <w:kern w:val="2"/>
                <w:sz w:val="20"/>
                <w:szCs w:val="22"/>
                <w:lang w:eastAsia="en-US"/>
                <w14:ligatures w14:val="standardContextual"/>
              </w:rPr>
            </w:pPr>
            <w:r w:rsidRPr="00130A1D">
              <w:rPr>
                <w:rFonts w:ascii="Arial Narrow" w:hAnsi="Arial Narrow" w:cs="Times New Roman"/>
                <w:kern w:val="2"/>
                <w:sz w:val="20"/>
                <w:szCs w:val="22"/>
                <w:lang w:eastAsia="en-US"/>
                <w14:ligatures w14:val="standardContextual"/>
              </w:rPr>
              <w:t>Risk of nonvertebral fracture and clinical fractures</w:t>
            </w:r>
          </w:p>
        </w:tc>
      </w:tr>
      <w:tr w:rsidR="007F5E21" w:rsidRPr="00812B51" w14:paraId="6A58514C" w14:textId="77777777" w:rsidTr="00172625">
        <w:trPr>
          <w:cantSplit/>
          <w:trHeight w:val="284"/>
        </w:trPr>
        <w:tc>
          <w:tcPr>
            <w:tcW w:w="5000" w:type="pct"/>
            <w:gridSpan w:val="6"/>
            <w:tcBorders>
              <w:bottom w:val="single" w:sz="4" w:space="0" w:color="auto"/>
            </w:tcBorders>
            <w:vAlign w:val="center"/>
          </w:tcPr>
          <w:p w14:paraId="7B3CE634" w14:textId="77777777" w:rsidR="007F5E21" w:rsidRPr="007F5E21" w:rsidRDefault="007F5E21" w:rsidP="00172625">
            <w:pPr>
              <w:keepNext/>
              <w:keepLines/>
              <w:widowControl w:val="0"/>
              <w:jc w:val="left"/>
              <w:rPr>
                <w:rFonts w:ascii="Arial Narrow" w:hAnsi="Arial Narrow" w:cs="Times New Roman"/>
                <w:b/>
                <w:bCs/>
                <w:kern w:val="2"/>
                <w:sz w:val="20"/>
                <w:szCs w:val="22"/>
                <w:lang w:eastAsia="en-US"/>
                <w14:ligatures w14:val="standardContextual"/>
              </w:rPr>
            </w:pPr>
            <w:r w:rsidRPr="007F5E21">
              <w:rPr>
                <w:rFonts w:ascii="Arial Narrow" w:hAnsi="Arial Narrow" w:cs="Times New Roman"/>
                <w:b/>
                <w:bCs/>
                <w:kern w:val="2"/>
                <w:sz w:val="20"/>
                <w:szCs w:val="22"/>
                <w:lang w:eastAsia="en-US"/>
                <w14:ligatures w14:val="standardContextual"/>
              </w:rPr>
              <w:t>Romosozumab vs placebo</w:t>
            </w:r>
          </w:p>
        </w:tc>
      </w:tr>
      <w:tr w:rsidR="007F5E21" w:rsidRPr="00812B51" w14:paraId="21771E36" w14:textId="77777777" w:rsidTr="00172625">
        <w:trPr>
          <w:cantSplit/>
          <w:trHeight w:val="284"/>
        </w:trPr>
        <w:tc>
          <w:tcPr>
            <w:tcW w:w="623" w:type="pct"/>
            <w:vAlign w:val="center"/>
          </w:tcPr>
          <w:p w14:paraId="5933CCEA" w14:textId="77777777" w:rsidR="007F5E21" w:rsidRPr="00812B51" w:rsidRDefault="007F5E21" w:rsidP="00172625">
            <w:pPr>
              <w:keepNext/>
              <w:keepLines/>
              <w:widowControl w:val="0"/>
              <w:jc w:val="left"/>
              <w:rPr>
                <w:rFonts w:ascii="Arial Narrow" w:hAnsi="Arial Narrow" w:cs="Times New Roman"/>
                <w:kern w:val="2"/>
                <w:sz w:val="20"/>
                <w:szCs w:val="22"/>
                <w:lang w:eastAsia="en-US"/>
                <w14:ligatures w14:val="standardContextual"/>
              </w:rPr>
            </w:pPr>
            <w:r>
              <w:rPr>
                <w:rFonts w:ascii="Arial Narrow" w:hAnsi="Arial Narrow" w:cs="Times New Roman"/>
                <w:kern w:val="2"/>
                <w:sz w:val="20"/>
                <w:szCs w:val="22"/>
                <w:lang w:eastAsia="en-US"/>
                <w14:ligatures w14:val="standardContextual"/>
              </w:rPr>
              <w:t>FRAME</w:t>
            </w:r>
          </w:p>
        </w:tc>
        <w:tc>
          <w:tcPr>
            <w:tcW w:w="393" w:type="pct"/>
            <w:vAlign w:val="center"/>
          </w:tcPr>
          <w:p w14:paraId="334913F6" w14:textId="1B4CFE67" w:rsidR="007F5E21" w:rsidRPr="00130A1D" w:rsidRDefault="00130A1D" w:rsidP="00172625">
            <w:pPr>
              <w:keepNext/>
              <w:keepLines/>
              <w:widowControl w:val="0"/>
              <w:jc w:val="center"/>
              <w:rPr>
                <w:rFonts w:ascii="Arial Narrow" w:hAnsi="Arial Narrow" w:cs="Times New Roman"/>
                <w:kern w:val="2"/>
                <w:sz w:val="20"/>
                <w:szCs w:val="22"/>
                <w:lang w:eastAsia="en-US"/>
                <w14:ligatures w14:val="standardContextual"/>
              </w:rPr>
            </w:pPr>
            <w:r w:rsidRPr="00130A1D">
              <w:rPr>
                <w:rFonts w:ascii="Arial Narrow" w:hAnsi="Arial Narrow" w:cs="Times New Roman"/>
                <w:kern w:val="2"/>
                <w:sz w:val="20"/>
                <w:szCs w:val="22"/>
                <w:lang w:eastAsia="en-US"/>
                <w14:ligatures w14:val="standardContextual"/>
              </w:rPr>
              <w:t>7,180</w:t>
            </w:r>
          </w:p>
        </w:tc>
        <w:tc>
          <w:tcPr>
            <w:tcW w:w="470" w:type="pct"/>
            <w:vAlign w:val="center"/>
          </w:tcPr>
          <w:p w14:paraId="158F8DE0" w14:textId="23A73867" w:rsidR="007F5E21" w:rsidRPr="00812B51" w:rsidRDefault="007F5E21" w:rsidP="00172625">
            <w:pPr>
              <w:keepNext/>
              <w:keepLines/>
              <w:widowControl w:val="0"/>
              <w:jc w:val="center"/>
              <w:rPr>
                <w:rFonts w:ascii="Arial Narrow" w:hAnsi="Arial Narrow" w:cs="Times New Roman"/>
                <w:kern w:val="2"/>
                <w:sz w:val="20"/>
                <w:szCs w:val="22"/>
                <w:lang w:eastAsia="en-US"/>
                <w14:ligatures w14:val="standardContextual"/>
              </w:rPr>
            </w:pPr>
            <w:r w:rsidRPr="00812B51">
              <w:rPr>
                <w:rFonts w:ascii="Arial Narrow" w:hAnsi="Arial Narrow" w:cs="Times New Roman"/>
                <w:kern w:val="2"/>
                <w:sz w:val="20"/>
                <w:szCs w:val="22"/>
                <w:lang w:eastAsia="en-US"/>
                <w14:ligatures w14:val="standardContextual"/>
              </w:rPr>
              <w:t xml:space="preserve">R, </w:t>
            </w:r>
            <w:r w:rsidR="00A77E99">
              <w:rPr>
                <w:rFonts w:ascii="Arial Narrow" w:hAnsi="Arial Narrow" w:cs="Times New Roman"/>
                <w:kern w:val="2"/>
                <w:sz w:val="20"/>
                <w:szCs w:val="22"/>
                <w:lang w:eastAsia="en-US"/>
                <w14:ligatures w14:val="standardContextual"/>
              </w:rPr>
              <w:t xml:space="preserve">MC, </w:t>
            </w:r>
            <w:r>
              <w:rPr>
                <w:rFonts w:ascii="Arial Narrow" w:hAnsi="Arial Narrow" w:cs="Times New Roman"/>
                <w:kern w:val="2"/>
                <w:sz w:val="20"/>
                <w:szCs w:val="22"/>
                <w:lang w:eastAsia="en-US"/>
                <w14:ligatures w14:val="standardContextual"/>
              </w:rPr>
              <w:t>DB</w:t>
            </w:r>
          </w:p>
          <w:p w14:paraId="3F42851F" w14:textId="77777777" w:rsidR="007F5E21" w:rsidRPr="00812B51" w:rsidRDefault="007F5E21" w:rsidP="00172625">
            <w:pPr>
              <w:keepNext/>
              <w:keepLines/>
              <w:widowControl w:val="0"/>
              <w:jc w:val="center"/>
              <w:rPr>
                <w:rFonts w:ascii="Arial Narrow" w:hAnsi="Arial Narrow" w:cs="Times New Roman"/>
                <w:kern w:val="2"/>
                <w:sz w:val="20"/>
                <w:szCs w:val="22"/>
                <w:lang w:eastAsia="en-US"/>
                <w14:ligatures w14:val="standardContextual"/>
              </w:rPr>
            </w:pPr>
            <w:r>
              <w:rPr>
                <w:rFonts w:ascii="Arial Narrow" w:hAnsi="Arial Narrow" w:cs="Times New Roman"/>
                <w:kern w:val="2"/>
                <w:sz w:val="20"/>
                <w:szCs w:val="22"/>
                <w:lang w:eastAsia="en-US"/>
                <w14:ligatures w14:val="standardContextual"/>
              </w:rPr>
              <w:t>12 mths</w:t>
            </w:r>
          </w:p>
        </w:tc>
        <w:tc>
          <w:tcPr>
            <w:tcW w:w="627" w:type="pct"/>
            <w:vAlign w:val="center"/>
          </w:tcPr>
          <w:p w14:paraId="75F9B952" w14:textId="77777777" w:rsidR="007F5E21" w:rsidRPr="00812B51" w:rsidRDefault="007F5E21" w:rsidP="00172625">
            <w:pPr>
              <w:keepNext/>
              <w:keepLines/>
              <w:widowControl w:val="0"/>
              <w:jc w:val="center"/>
              <w:rPr>
                <w:rFonts w:ascii="Arial Narrow" w:hAnsi="Arial Narrow" w:cs="Times New Roman"/>
                <w:kern w:val="2"/>
                <w:sz w:val="20"/>
                <w:szCs w:val="22"/>
                <w:vertAlign w:val="superscript"/>
                <w:lang w:eastAsia="en-US"/>
                <w14:ligatures w14:val="standardContextual"/>
              </w:rPr>
            </w:pPr>
            <w:r w:rsidRPr="00812B51">
              <w:rPr>
                <w:rFonts w:ascii="Arial Narrow" w:hAnsi="Arial Narrow" w:cs="Times New Roman"/>
                <w:kern w:val="2"/>
                <w:sz w:val="20"/>
                <w:szCs w:val="22"/>
                <w:lang w:eastAsia="en-US"/>
                <w14:ligatures w14:val="standardContextual"/>
              </w:rPr>
              <w:t>Low</w:t>
            </w:r>
          </w:p>
        </w:tc>
        <w:tc>
          <w:tcPr>
            <w:tcW w:w="782" w:type="pct"/>
            <w:vAlign w:val="center"/>
          </w:tcPr>
          <w:p w14:paraId="08476E70" w14:textId="77777777" w:rsidR="007F5E21" w:rsidRPr="00812B51" w:rsidRDefault="007F5E21" w:rsidP="00172625">
            <w:pPr>
              <w:keepNext/>
              <w:keepLines/>
              <w:widowControl w:val="0"/>
              <w:jc w:val="left"/>
              <w:rPr>
                <w:rFonts w:ascii="Arial Narrow" w:hAnsi="Arial Narrow" w:cs="Times New Roman"/>
                <w:kern w:val="2"/>
                <w:sz w:val="20"/>
                <w:szCs w:val="22"/>
                <w:lang w:eastAsia="en-US"/>
                <w14:ligatures w14:val="standardContextual"/>
              </w:rPr>
            </w:pPr>
            <w:r>
              <w:rPr>
                <w:rFonts w:ascii="Arial Narrow" w:hAnsi="Arial Narrow" w:cs="Times New Roman"/>
                <w:kern w:val="2"/>
                <w:sz w:val="20"/>
                <w:szCs w:val="22"/>
                <w:lang w:eastAsia="en-US"/>
                <w14:ligatures w14:val="standardContextual"/>
              </w:rPr>
              <w:t>Postmenopausal women with osteoporosis</w:t>
            </w:r>
          </w:p>
        </w:tc>
        <w:tc>
          <w:tcPr>
            <w:tcW w:w="2105" w:type="pct"/>
            <w:vAlign w:val="center"/>
          </w:tcPr>
          <w:p w14:paraId="675A92F5" w14:textId="77777777" w:rsidR="008E1A6D" w:rsidRDefault="008E1A6D" w:rsidP="00172625">
            <w:pPr>
              <w:pStyle w:val="ListParagraph"/>
              <w:keepNext/>
              <w:keepLines/>
              <w:widowControl w:val="0"/>
              <w:numPr>
                <w:ilvl w:val="0"/>
                <w:numId w:val="12"/>
              </w:numPr>
              <w:spacing w:after="0"/>
              <w:ind w:left="240" w:hanging="197"/>
              <w:rPr>
                <w:rFonts w:ascii="Arial Narrow" w:hAnsi="Arial Narrow" w:cs="Times New Roman"/>
                <w:kern w:val="2"/>
                <w:sz w:val="20"/>
                <w:szCs w:val="22"/>
                <w:lang w:eastAsia="en-US"/>
                <w14:ligatures w14:val="standardContextual"/>
              </w:rPr>
            </w:pPr>
            <w:r w:rsidRPr="00130A1D">
              <w:rPr>
                <w:rFonts w:ascii="Arial Narrow" w:hAnsi="Arial Narrow" w:cs="Times New Roman"/>
                <w:kern w:val="2"/>
                <w:sz w:val="20"/>
                <w:szCs w:val="22"/>
                <w:lang w:eastAsia="en-US"/>
                <w14:ligatures w14:val="standardContextual"/>
              </w:rPr>
              <w:t>Incidence of new vertebral fractures</w:t>
            </w:r>
          </w:p>
          <w:p w14:paraId="376464AD" w14:textId="26C4CF89" w:rsidR="007F5E21" w:rsidRPr="00812B51" w:rsidRDefault="008E1A6D" w:rsidP="00172625">
            <w:pPr>
              <w:pStyle w:val="ListParagraph"/>
              <w:keepNext/>
              <w:keepLines/>
              <w:widowControl w:val="0"/>
              <w:numPr>
                <w:ilvl w:val="0"/>
                <w:numId w:val="12"/>
              </w:numPr>
              <w:spacing w:after="0"/>
              <w:ind w:left="240" w:hanging="197"/>
              <w:rPr>
                <w:rFonts w:ascii="Arial Narrow" w:hAnsi="Arial Narrow" w:cs="Times New Roman"/>
                <w:kern w:val="2"/>
                <w:sz w:val="20"/>
                <w:szCs w:val="22"/>
                <w:lang w:eastAsia="en-US"/>
                <w14:ligatures w14:val="standardContextual"/>
              </w:rPr>
            </w:pPr>
            <w:r w:rsidRPr="00130A1D">
              <w:rPr>
                <w:rFonts w:ascii="Arial Narrow" w:hAnsi="Arial Narrow" w:cs="Times New Roman"/>
                <w:kern w:val="2"/>
                <w:sz w:val="20"/>
                <w:szCs w:val="22"/>
                <w:lang w:eastAsia="en-US"/>
                <w14:ligatures w14:val="standardContextual"/>
              </w:rPr>
              <w:t>Risk of nonvertebral fracture and clinical fractures</w:t>
            </w:r>
          </w:p>
        </w:tc>
      </w:tr>
      <w:tr w:rsidR="007F5E21" w:rsidRPr="00812B51" w14:paraId="2349E1ED" w14:textId="77777777" w:rsidTr="00172625">
        <w:trPr>
          <w:cantSplit/>
          <w:trHeight w:val="284"/>
        </w:trPr>
        <w:tc>
          <w:tcPr>
            <w:tcW w:w="5000" w:type="pct"/>
            <w:gridSpan w:val="6"/>
            <w:tcBorders>
              <w:bottom w:val="single" w:sz="4" w:space="0" w:color="auto"/>
            </w:tcBorders>
            <w:vAlign w:val="center"/>
          </w:tcPr>
          <w:p w14:paraId="71CEBD87" w14:textId="62344F9E" w:rsidR="007F5E21" w:rsidRPr="007F5E21" w:rsidRDefault="007F5E21" w:rsidP="00172625">
            <w:pPr>
              <w:keepNext/>
              <w:keepLines/>
              <w:widowControl w:val="0"/>
              <w:jc w:val="left"/>
              <w:rPr>
                <w:rFonts w:ascii="Arial Narrow" w:hAnsi="Arial Narrow" w:cs="Times New Roman"/>
                <w:b/>
                <w:bCs/>
                <w:kern w:val="2"/>
                <w:sz w:val="20"/>
                <w:szCs w:val="22"/>
                <w:lang w:eastAsia="en-US"/>
                <w14:ligatures w14:val="standardContextual"/>
              </w:rPr>
            </w:pPr>
            <w:r w:rsidRPr="007F5E21">
              <w:rPr>
                <w:rFonts w:ascii="Arial Narrow" w:hAnsi="Arial Narrow" w:cs="Times New Roman"/>
                <w:b/>
                <w:bCs/>
                <w:kern w:val="2"/>
                <w:sz w:val="20"/>
                <w:szCs w:val="22"/>
                <w:lang w:eastAsia="en-US"/>
                <w14:ligatures w14:val="standardContextual"/>
              </w:rPr>
              <w:t>Romosozumab vs placebo</w:t>
            </w:r>
            <w:r w:rsidR="001A5400">
              <w:rPr>
                <w:rFonts w:ascii="Arial Narrow" w:hAnsi="Arial Narrow" w:cs="Times New Roman"/>
                <w:b/>
                <w:bCs/>
                <w:kern w:val="2"/>
                <w:sz w:val="20"/>
                <w:szCs w:val="22"/>
                <w:lang w:eastAsia="en-US"/>
                <w14:ligatures w14:val="standardContextual"/>
              </w:rPr>
              <w:t xml:space="preserve"> (extension study</w:t>
            </w:r>
            <w:r w:rsidR="007356E1">
              <w:rPr>
                <w:rFonts w:ascii="Arial Narrow" w:hAnsi="Arial Narrow" w:cs="Times New Roman"/>
                <w:b/>
                <w:bCs/>
                <w:kern w:val="2"/>
                <w:sz w:val="20"/>
                <w:szCs w:val="22"/>
                <w:lang w:eastAsia="en-US"/>
                <w14:ligatures w14:val="standardContextual"/>
              </w:rPr>
              <w:t xml:space="preserve"> using subsequent </w:t>
            </w:r>
            <w:r w:rsidR="006B5DD7">
              <w:rPr>
                <w:rFonts w:ascii="Arial Narrow" w:hAnsi="Arial Narrow" w:cs="Times New Roman"/>
                <w:b/>
                <w:bCs/>
                <w:kern w:val="2"/>
                <w:sz w:val="20"/>
                <w:szCs w:val="22"/>
                <w:lang w:eastAsia="en-US"/>
                <w14:ligatures w14:val="standardContextual"/>
              </w:rPr>
              <w:t xml:space="preserve">open label </w:t>
            </w:r>
            <w:r w:rsidR="007356E1">
              <w:rPr>
                <w:rFonts w:ascii="Arial Narrow" w:hAnsi="Arial Narrow" w:cs="Times New Roman"/>
                <w:b/>
                <w:bCs/>
                <w:kern w:val="2"/>
                <w:sz w:val="20"/>
                <w:szCs w:val="22"/>
                <w:lang w:eastAsia="en-US"/>
                <w14:ligatures w14:val="standardContextual"/>
              </w:rPr>
              <w:t>denosum</w:t>
            </w:r>
            <w:r w:rsidR="009A61B3">
              <w:rPr>
                <w:rFonts w:ascii="Arial Narrow" w:hAnsi="Arial Narrow" w:cs="Times New Roman"/>
                <w:b/>
                <w:bCs/>
                <w:kern w:val="2"/>
                <w:sz w:val="20"/>
                <w:szCs w:val="22"/>
                <w:lang w:eastAsia="en-US"/>
                <w14:ligatures w14:val="standardContextual"/>
              </w:rPr>
              <w:t>ab</w:t>
            </w:r>
            <w:r w:rsidR="001A5400">
              <w:rPr>
                <w:rFonts w:ascii="Arial Narrow" w:hAnsi="Arial Narrow" w:cs="Times New Roman"/>
                <w:b/>
                <w:bCs/>
                <w:kern w:val="2"/>
                <w:sz w:val="20"/>
                <w:szCs w:val="22"/>
                <w:lang w:eastAsia="en-US"/>
                <w14:ligatures w14:val="standardContextual"/>
              </w:rPr>
              <w:t>)</w:t>
            </w:r>
          </w:p>
        </w:tc>
      </w:tr>
      <w:tr w:rsidR="007F5E21" w:rsidRPr="00812B51" w14:paraId="6E060E33" w14:textId="77777777" w:rsidTr="00172625">
        <w:trPr>
          <w:cantSplit/>
          <w:trHeight w:val="284"/>
        </w:trPr>
        <w:tc>
          <w:tcPr>
            <w:tcW w:w="623" w:type="pct"/>
            <w:vAlign w:val="center"/>
          </w:tcPr>
          <w:p w14:paraId="646CFA91" w14:textId="490F81FA" w:rsidR="007F5E21" w:rsidRPr="00812B51" w:rsidRDefault="007F5E21" w:rsidP="00172625">
            <w:pPr>
              <w:keepNext/>
              <w:keepLines/>
              <w:widowControl w:val="0"/>
              <w:jc w:val="left"/>
              <w:rPr>
                <w:rFonts w:ascii="Arial Narrow" w:hAnsi="Arial Narrow" w:cs="Times New Roman"/>
                <w:kern w:val="2"/>
                <w:sz w:val="20"/>
                <w:szCs w:val="22"/>
                <w:lang w:eastAsia="en-US"/>
                <w14:ligatures w14:val="standardContextual"/>
              </w:rPr>
            </w:pPr>
            <w:r>
              <w:rPr>
                <w:rFonts w:ascii="Arial Narrow" w:hAnsi="Arial Narrow" w:cs="Times New Roman"/>
                <w:kern w:val="2"/>
                <w:sz w:val="20"/>
                <w:szCs w:val="22"/>
                <w:lang w:eastAsia="en-US"/>
                <w14:ligatures w14:val="standardContextual"/>
              </w:rPr>
              <w:t>FRAME extension study</w:t>
            </w:r>
          </w:p>
        </w:tc>
        <w:tc>
          <w:tcPr>
            <w:tcW w:w="393" w:type="pct"/>
            <w:vAlign w:val="center"/>
          </w:tcPr>
          <w:p w14:paraId="43D572BA" w14:textId="5980494C" w:rsidR="007F5E21" w:rsidRPr="00130A1D" w:rsidRDefault="000F5ED3" w:rsidP="00172625">
            <w:pPr>
              <w:keepNext/>
              <w:keepLines/>
              <w:widowControl w:val="0"/>
              <w:jc w:val="center"/>
              <w:rPr>
                <w:rFonts w:ascii="Arial Narrow" w:hAnsi="Arial Narrow" w:cs="Times New Roman"/>
                <w:kern w:val="2"/>
                <w:sz w:val="20"/>
                <w:szCs w:val="22"/>
                <w:lang w:eastAsia="en-US"/>
                <w14:ligatures w14:val="standardContextual"/>
              </w:rPr>
            </w:pPr>
            <w:r>
              <w:rPr>
                <w:rFonts w:ascii="Arial Narrow" w:hAnsi="Arial Narrow" w:cs="Times New Roman"/>
                <w:kern w:val="2"/>
                <w:sz w:val="20"/>
                <w:szCs w:val="22"/>
                <w:lang w:eastAsia="en-US"/>
                <w14:ligatures w14:val="standardContextual"/>
              </w:rPr>
              <w:t>6,390</w:t>
            </w:r>
          </w:p>
        </w:tc>
        <w:tc>
          <w:tcPr>
            <w:tcW w:w="470" w:type="pct"/>
            <w:vAlign w:val="center"/>
          </w:tcPr>
          <w:p w14:paraId="6E9F328B" w14:textId="34B794BA" w:rsidR="007F5E21" w:rsidRPr="00812B51" w:rsidRDefault="00A77E99" w:rsidP="00172625">
            <w:pPr>
              <w:keepNext/>
              <w:keepLines/>
              <w:widowControl w:val="0"/>
              <w:jc w:val="center"/>
              <w:rPr>
                <w:rFonts w:ascii="Arial Narrow" w:hAnsi="Arial Narrow" w:cs="Times New Roman"/>
                <w:kern w:val="2"/>
                <w:sz w:val="20"/>
                <w:szCs w:val="22"/>
                <w:lang w:eastAsia="en-US"/>
                <w14:ligatures w14:val="standardContextual"/>
              </w:rPr>
            </w:pPr>
            <w:r>
              <w:rPr>
                <w:rFonts w:ascii="Arial Narrow" w:hAnsi="Arial Narrow" w:cs="Times New Roman"/>
                <w:kern w:val="2"/>
                <w:sz w:val="20"/>
                <w:szCs w:val="22"/>
                <w:lang w:eastAsia="en-US"/>
                <w14:ligatures w14:val="standardContextual"/>
              </w:rPr>
              <w:t xml:space="preserve">MC, </w:t>
            </w:r>
            <w:r w:rsidR="000F5ED3">
              <w:rPr>
                <w:rFonts w:ascii="Arial Narrow" w:hAnsi="Arial Narrow" w:cs="Times New Roman"/>
                <w:kern w:val="2"/>
                <w:sz w:val="20"/>
                <w:szCs w:val="22"/>
                <w:lang w:eastAsia="en-US"/>
                <w14:ligatures w14:val="standardContextual"/>
              </w:rPr>
              <w:t>OL</w:t>
            </w:r>
            <w:r w:rsidR="00ED77DC">
              <w:rPr>
                <w:rFonts w:ascii="Arial Narrow" w:hAnsi="Arial Narrow" w:cs="Times New Roman"/>
                <w:kern w:val="2"/>
                <w:sz w:val="20"/>
                <w:szCs w:val="22"/>
                <w:lang w:eastAsia="en-US"/>
                <w14:ligatures w14:val="standardContextual"/>
              </w:rPr>
              <w:t> </w:t>
            </w:r>
            <w:r w:rsidR="000F5ED3" w:rsidRPr="000F5ED3">
              <w:rPr>
                <w:rFonts w:ascii="Arial Narrow" w:hAnsi="Arial Narrow" w:cs="Times New Roman"/>
                <w:kern w:val="2"/>
                <w:sz w:val="20"/>
                <w:szCs w:val="22"/>
                <w:vertAlign w:val="superscript"/>
                <w:lang w:eastAsia="en-US"/>
                <w14:ligatures w14:val="standardContextual"/>
              </w:rPr>
              <w:t>c</w:t>
            </w:r>
          </w:p>
          <w:p w14:paraId="6C62EAB1" w14:textId="07AFE0B2" w:rsidR="007F5E21" w:rsidRPr="00812B51" w:rsidRDefault="007F5E21" w:rsidP="00172625">
            <w:pPr>
              <w:keepNext/>
              <w:keepLines/>
              <w:widowControl w:val="0"/>
              <w:jc w:val="center"/>
              <w:rPr>
                <w:rFonts w:ascii="Arial Narrow" w:hAnsi="Arial Narrow" w:cs="Times New Roman"/>
                <w:kern w:val="2"/>
                <w:sz w:val="20"/>
                <w:szCs w:val="22"/>
                <w:lang w:eastAsia="en-US"/>
                <w14:ligatures w14:val="standardContextual"/>
              </w:rPr>
            </w:pPr>
            <w:r>
              <w:rPr>
                <w:rFonts w:ascii="Arial Narrow" w:hAnsi="Arial Narrow" w:cs="Times New Roman"/>
                <w:kern w:val="2"/>
                <w:sz w:val="20"/>
                <w:szCs w:val="22"/>
                <w:lang w:eastAsia="en-US"/>
                <w14:ligatures w14:val="standardContextual"/>
              </w:rPr>
              <w:t>24 mths</w:t>
            </w:r>
          </w:p>
        </w:tc>
        <w:tc>
          <w:tcPr>
            <w:tcW w:w="627" w:type="pct"/>
            <w:vAlign w:val="center"/>
          </w:tcPr>
          <w:p w14:paraId="29D26D3B" w14:textId="7C2278C5" w:rsidR="007F5E21" w:rsidRPr="00812B51" w:rsidRDefault="007F5E21" w:rsidP="00172625">
            <w:pPr>
              <w:keepNext/>
              <w:keepLines/>
              <w:widowControl w:val="0"/>
              <w:jc w:val="center"/>
              <w:rPr>
                <w:rFonts w:ascii="Arial Narrow" w:hAnsi="Arial Narrow" w:cs="Times New Roman"/>
                <w:kern w:val="2"/>
                <w:sz w:val="20"/>
                <w:szCs w:val="22"/>
                <w:vertAlign w:val="superscript"/>
                <w:lang w:eastAsia="en-US"/>
                <w14:ligatures w14:val="standardContextual"/>
              </w:rPr>
            </w:pPr>
          </w:p>
        </w:tc>
        <w:tc>
          <w:tcPr>
            <w:tcW w:w="782" w:type="pct"/>
            <w:vAlign w:val="center"/>
          </w:tcPr>
          <w:p w14:paraId="08B53DB0" w14:textId="77777777" w:rsidR="007F5E21" w:rsidRPr="00812B51" w:rsidRDefault="007F5E21" w:rsidP="00172625">
            <w:pPr>
              <w:keepNext/>
              <w:keepLines/>
              <w:widowControl w:val="0"/>
              <w:jc w:val="left"/>
              <w:rPr>
                <w:rFonts w:ascii="Arial Narrow" w:hAnsi="Arial Narrow" w:cs="Times New Roman"/>
                <w:kern w:val="2"/>
                <w:sz w:val="20"/>
                <w:szCs w:val="22"/>
                <w:lang w:eastAsia="en-US"/>
                <w14:ligatures w14:val="standardContextual"/>
              </w:rPr>
            </w:pPr>
            <w:r>
              <w:rPr>
                <w:rFonts w:ascii="Arial Narrow" w:hAnsi="Arial Narrow" w:cs="Times New Roman"/>
                <w:kern w:val="2"/>
                <w:sz w:val="20"/>
                <w:szCs w:val="22"/>
                <w:lang w:eastAsia="en-US"/>
                <w14:ligatures w14:val="standardContextual"/>
              </w:rPr>
              <w:t>Postmenopausal women with osteoporosis</w:t>
            </w:r>
          </w:p>
        </w:tc>
        <w:tc>
          <w:tcPr>
            <w:tcW w:w="2105" w:type="pct"/>
            <w:vAlign w:val="center"/>
          </w:tcPr>
          <w:p w14:paraId="4DADC815" w14:textId="77777777" w:rsidR="008E1A6D" w:rsidRDefault="008E1A6D" w:rsidP="00172625">
            <w:pPr>
              <w:pStyle w:val="ListParagraph"/>
              <w:keepNext/>
              <w:keepLines/>
              <w:widowControl w:val="0"/>
              <w:numPr>
                <w:ilvl w:val="0"/>
                <w:numId w:val="12"/>
              </w:numPr>
              <w:spacing w:after="0"/>
              <w:ind w:left="240" w:hanging="197"/>
              <w:rPr>
                <w:rFonts w:ascii="Arial Narrow" w:hAnsi="Arial Narrow" w:cs="Times New Roman"/>
                <w:kern w:val="2"/>
                <w:sz w:val="20"/>
                <w:szCs w:val="22"/>
                <w:lang w:eastAsia="en-US"/>
                <w14:ligatures w14:val="standardContextual"/>
              </w:rPr>
            </w:pPr>
            <w:r w:rsidRPr="00130A1D">
              <w:rPr>
                <w:rFonts w:ascii="Arial Narrow" w:hAnsi="Arial Narrow" w:cs="Times New Roman"/>
                <w:kern w:val="2"/>
                <w:sz w:val="20"/>
                <w:szCs w:val="22"/>
                <w:lang w:eastAsia="en-US"/>
                <w14:ligatures w14:val="standardContextual"/>
              </w:rPr>
              <w:t>Incidence of new vertebral fractures</w:t>
            </w:r>
          </w:p>
          <w:p w14:paraId="2C0C46D4" w14:textId="7698597B" w:rsidR="007F5E21" w:rsidRPr="00812B51" w:rsidRDefault="008E1A6D" w:rsidP="00172625">
            <w:pPr>
              <w:pStyle w:val="ListParagraph"/>
              <w:keepNext/>
              <w:keepLines/>
              <w:widowControl w:val="0"/>
              <w:numPr>
                <w:ilvl w:val="0"/>
                <w:numId w:val="12"/>
              </w:numPr>
              <w:spacing w:after="0"/>
              <w:ind w:left="240" w:hanging="197"/>
              <w:rPr>
                <w:rFonts w:ascii="Arial Narrow" w:hAnsi="Arial Narrow" w:cs="Times New Roman"/>
                <w:kern w:val="2"/>
                <w:sz w:val="20"/>
                <w:szCs w:val="22"/>
                <w:lang w:eastAsia="en-US"/>
                <w14:ligatures w14:val="standardContextual"/>
              </w:rPr>
            </w:pPr>
            <w:r w:rsidRPr="00130A1D">
              <w:rPr>
                <w:rFonts w:ascii="Arial Narrow" w:hAnsi="Arial Narrow" w:cs="Times New Roman"/>
                <w:kern w:val="2"/>
                <w:sz w:val="20"/>
                <w:szCs w:val="22"/>
                <w:lang w:eastAsia="en-US"/>
                <w14:ligatures w14:val="standardContextual"/>
              </w:rPr>
              <w:t>Risk of nonvertebral fracture and clinical fractures</w:t>
            </w:r>
          </w:p>
        </w:tc>
      </w:tr>
    </w:tbl>
    <w:p w14:paraId="3CFB128A" w14:textId="76BB3502" w:rsidR="00A77E99" w:rsidRPr="00596248" w:rsidRDefault="00045017" w:rsidP="00172625">
      <w:pPr>
        <w:pStyle w:val="TableFigureFooter"/>
        <w:keepNext/>
      </w:pPr>
      <w:r w:rsidRPr="00596248">
        <w:t xml:space="preserve">Source: </w:t>
      </w:r>
      <w:r w:rsidR="00A77E99" w:rsidRPr="00596248">
        <w:t>Comp</w:t>
      </w:r>
      <w:r w:rsidR="00B76668" w:rsidRPr="00596248">
        <w:t>i</w:t>
      </w:r>
      <w:r w:rsidR="00A77E99" w:rsidRPr="00596248">
        <w:t xml:space="preserve">led during the evaluation based on information provided in Section 2.2-2.3 of the submission </w:t>
      </w:r>
    </w:p>
    <w:p w14:paraId="1095487C" w14:textId="1C314B4E" w:rsidR="00620C25" w:rsidRDefault="00620C25" w:rsidP="00172625">
      <w:pPr>
        <w:pStyle w:val="TableFigureFooter"/>
        <w:keepNext/>
      </w:pPr>
      <w:r w:rsidRPr="00D86D87">
        <w:t>DB = double blind;</w:t>
      </w:r>
      <w:r w:rsidR="00130A1D">
        <w:t xml:space="preserve"> ITT = intent</w:t>
      </w:r>
      <w:r w:rsidR="00790E8C">
        <w:t>ion</w:t>
      </w:r>
      <w:r w:rsidR="00130A1D">
        <w:t>-to-treat;</w:t>
      </w:r>
      <w:r w:rsidRPr="00D86D87">
        <w:t xml:space="preserve"> MC = multi-centre;</w:t>
      </w:r>
      <w:r w:rsidR="000F5ED3">
        <w:t xml:space="preserve"> OL = open-label;</w:t>
      </w:r>
      <w:r w:rsidRPr="00D86D87">
        <w:t xml:space="preserve"> R = randomised</w:t>
      </w:r>
    </w:p>
    <w:p w14:paraId="14CFC7AB" w14:textId="19AA5BF9" w:rsidR="00A77E99" w:rsidRDefault="00A77E99" w:rsidP="00172625">
      <w:pPr>
        <w:pStyle w:val="TableFigureFooter"/>
        <w:keepNext/>
      </w:pPr>
      <w:r w:rsidRPr="000945BC">
        <w:rPr>
          <w:vertAlign w:val="superscript"/>
        </w:rPr>
        <w:t>a</w:t>
      </w:r>
      <w:r>
        <w:t xml:space="preserve"> The ITT excluding 652 patients from two non-Good Clinical Practice study sites by the request of the </w:t>
      </w:r>
      <w:r w:rsidRPr="00A77E99">
        <w:t>Committee on Human Medicinal Products</w:t>
      </w:r>
      <w:r>
        <w:t>.</w:t>
      </w:r>
    </w:p>
    <w:p w14:paraId="42ACCEC3" w14:textId="77ED3B0C" w:rsidR="000945BC" w:rsidRDefault="000945BC" w:rsidP="00172625">
      <w:pPr>
        <w:pStyle w:val="TableFigureFooter"/>
        <w:keepNext/>
      </w:pPr>
      <w:r w:rsidRPr="000945BC">
        <w:rPr>
          <w:vertAlign w:val="superscript"/>
        </w:rPr>
        <w:t>b</w:t>
      </w:r>
      <w:r>
        <w:t xml:space="preserve"> Excluding patients from the two non-Good Clinical Practice study sites</w:t>
      </w:r>
      <w:r w:rsidR="00B335BF">
        <w:t>.</w:t>
      </w:r>
    </w:p>
    <w:p w14:paraId="660B31E3" w14:textId="40D2982B" w:rsidR="000F5ED3" w:rsidRDefault="00130A1D" w:rsidP="00172625">
      <w:pPr>
        <w:pStyle w:val="TableFigureFooter"/>
        <w:keepNext/>
        <w:ind w:left="142" w:hanging="142"/>
      </w:pPr>
      <w:r w:rsidRPr="00130A1D">
        <w:rPr>
          <w:vertAlign w:val="superscript"/>
        </w:rPr>
        <w:t>c</w:t>
      </w:r>
      <w:r>
        <w:t xml:space="preserve"> </w:t>
      </w:r>
      <w:r w:rsidR="000F5ED3">
        <w:t>Patients received open-label alendronate in ACTIVExtend (or open-label denosumab in FRAME extension study). However, patients and investigators were still blinded to the previous allocated treatment (abaloparatide or romosozumab)</w:t>
      </w:r>
      <w:r w:rsidR="00B335BF">
        <w:t>.</w:t>
      </w:r>
    </w:p>
    <w:p w14:paraId="4FD1A63E" w14:textId="1273C27B" w:rsidR="00130A1D" w:rsidRDefault="000F5ED3" w:rsidP="00172625">
      <w:pPr>
        <w:pStyle w:val="TableFigureFooter"/>
        <w:keepNext/>
        <w:ind w:left="142" w:hanging="142"/>
      </w:pPr>
      <w:r w:rsidRPr="000F5ED3">
        <w:rPr>
          <w:vertAlign w:val="superscript"/>
        </w:rPr>
        <w:t>d</w:t>
      </w:r>
      <w:r>
        <w:t xml:space="preserve"> </w:t>
      </w:r>
      <w:r w:rsidR="00130A1D">
        <w:t>O</w:t>
      </w:r>
      <w:r w:rsidR="00130A1D" w:rsidRPr="00130A1D">
        <w:t>nly patients who had the pre-treatment and the post-baseline evaluable radiologic assessment</w:t>
      </w:r>
      <w:r w:rsidR="00130A1D">
        <w:t xml:space="preserve">, </w:t>
      </w:r>
      <w:r w:rsidR="00130A1D" w:rsidRPr="00130A1D">
        <w:t>i.e., the m</w:t>
      </w:r>
      <w:r w:rsidR="00130A1D">
        <w:t xml:space="preserve">odified </w:t>
      </w:r>
      <w:r w:rsidR="00130A1D" w:rsidRPr="00130A1D">
        <w:t xml:space="preserve">ITT </w:t>
      </w:r>
      <w:r w:rsidR="00130A1D">
        <w:t>(</w:t>
      </w:r>
      <w:r w:rsidR="00130A1D" w:rsidRPr="00130A1D">
        <w:t>N = 1783</w:t>
      </w:r>
      <w:r w:rsidR="00130A1D">
        <w:t xml:space="preserve">) </w:t>
      </w:r>
      <w:r w:rsidR="00130A1D" w:rsidRPr="00130A1D">
        <w:t xml:space="preserve">were included for the analysis of </w:t>
      </w:r>
      <w:r w:rsidR="00130A1D">
        <w:t>this outcome</w:t>
      </w:r>
      <w:r w:rsidR="00B335BF">
        <w:t>.</w:t>
      </w:r>
    </w:p>
    <w:p w14:paraId="5CB1BDAF" w14:textId="5082236A" w:rsidR="000F5ED3" w:rsidRPr="00B335BF" w:rsidRDefault="000F5ED3" w:rsidP="00172625">
      <w:pPr>
        <w:pStyle w:val="TableFigureFooter"/>
        <w:keepNext/>
        <w:ind w:left="142" w:hanging="142"/>
        <w:rPr>
          <w:szCs w:val="18"/>
        </w:rPr>
      </w:pPr>
      <w:r w:rsidRPr="00B335BF">
        <w:rPr>
          <w:szCs w:val="18"/>
          <w:vertAlign w:val="superscript"/>
        </w:rPr>
        <w:t>e</w:t>
      </w:r>
      <w:r w:rsidRPr="00B335BF">
        <w:rPr>
          <w:szCs w:val="18"/>
        </w:rPr>
        <w:t xml:space="preserve"> Includes all ACTIVE modified ITT patients who had a ACTIVExtend post baseline evaluable radiologic assessment (spine x-ray)</w:t>
      </w:r>
      <w:r w:rsidR="00B335BF">
        <w:rPr>
          <w:szCs w:val="18"/>
        </w:rPr>
        <w:t>.</w:t>
      </w:r>
    </w:p>
    <w:p w14:paraId="2B26E0A8" w14:textId="710C2EE9" w:rsidR="00A7564B" w:rsidRDefault="00315739" w:rsidP="00EC5836">
      <w:pPr>
        <w:pStyle w:val="3-BodyText"/>
      </w:pPr>
      <w:r>
        <w:t xml:space="preserve">The </w:t>
      </w:r>
      <w:r w:rsidR="000347E0" w:rsidRPr="000347E0">
        <w:t>ACTIVE</w:t>
      </w:r>
      <w:r>
        <w:t xml:space="preserve"> study</w:t>
      </w:r>
      <w:r w:rsidR="000347E0" w:rsidRPr="000347E0">
        <w:t xml:space="preserve"> was a Phase 3, multi-centre RCT comparing abaloparatide 80 </w:t>
      </w:r>
      <w:r w:rsidR="00810DEA">
        <w:t>microgram</w:t>
      </w:r>
      <w:r w:rsidR="008C7AE5">
        <w:t>s</w:t>
      </w:r>
      <w:r w:rsidR="00810DEA">
        <w:t xml:space="preserve"> </w:t>
      </w:r>
      <w:r w:rsidR="00130BC7" w:rsidRPr="002B0776">
        <w:t>subcutaneous</w:t>
      </w:r>
      <w:r w:rsidR="000347E0" w:rsidRPr="000347E0">
        <w:t xml:space="preserve"> </w:t>
      </w:r>
      <w:r w:rsidR="00130BC7">
        <w:t>(</w:t>
      </w:r>
      <w:r w:rsidR="000347E0" w:rsidRPr="000347E0">
        <w:t>SC</w:t>
      </w:r>
      <w:r w:rsidR="00130BC7">
        <w:t>)</w:t>
      </w:r>
      <w:r w:rsidR="000347E0" w:rsidRPr="000347E0">
        <w:t xml:space="preserve"> injection once daily with placebo and with teriparatide 20</w:t>
      </w:r>
      <w:r w:rsidR="00130BC7">
        <w:t> </w:t>
      </w:r>
      <w:r w:rsidR="00810DEA">
        <w:t>microgram</w:t>
      </w:r>
      <w:r w:rsidR="008C7AE5">
        <w:t>s</w:t>
      </w:r>
      <w:r w:rsidR="00810DEA" w:rsidRPr="000347E0">
        <w:t xml:space="preserve"> </w:t>
      </w:r>
      <w:r w:rsidR="000347E0" w:rsidRPr="000347E0">
        <w:t>in postmenopausal women with osteoporosis for a</w:t>
      </w:r>
      <w:r w:rsidR="00B76668">
        <w:t>n</w:t>
      </w:r>
      <w:r w:rsidR="000347E0" w:rsidRPr="000347E0">
        <w:t xml:space="preserve"> 18</w:t>
      </w:r>
      <w:r w:rsidR="002B2FF6">
        <w:t>-</w:t>
      </w:r>
      <w:r w:rsidR="000347E0" w:rsidRPr="000347E0">
        <w:t xml:space="preserve">month treatment period. In ACTIVE, originally 2,463 patients were randomised </w:t>
      </w:r>
      <w:r w:rsidR="00B76668">
        <w:t>to</w:t>
      </w:r>
      <w:r w:rsidR="00B76668" w:rsidRPr="000347E0">
        <w:t xml:space="preserve"> </w:t>
      </w:r>
      <w:r w:rsidR="000347E0" w:rsidRPr="000347E0">
        <w:t xml:space="preserve">one of the three treatments. Patients randomised to the </w:t>
      </w:r>
      <w:r w:rsidR="00477664" w:rsidRPr="000347E0">
        <w:t>abaloparatide,</w:t>
      </w:r>
      <w:r w:rsidR="000347E0" w:rsidRPr="000347E0">
        <w:t xml:space="preserve"> and placebo arms received double-blind allocated treatment. Patients randomised to the teriparatide arm received open-label teriparatide treatment. By the request of the Committee on Human Medicinal Products (CHMP), patients from two study sites in ACTIVE were removed from outcome analyses due to Good Clinical Practice (GCP) related issues. As a result, 2,070 patients were included in the intent</w:t>
      </w:r>
      <w:r w:rsidR="00B76668">
        <w:t>ion</w:t>
      </w:r>
      <w:r w:rsidR="000347E0" w:rsidRPr="000347E0">
        <w:t xml:space="preserve">-to-treat (ITT) population, with 696 patients in the abaloparatide arm and 688 patients in the placebo arm. </w:t>
      </w:r>
    </w:p>
    <w:p w14:paraId="7DCFAB2C" w14:textId="77777777" w:rsidR="000229B9" w:rsidRDefault="000347E0" w:rsidP="00EC5836">
      <w:pPr>
        <w:pStyle w:val="3-BodyText"/>
      </w:pPr>
      <w:r w:rsidRPr="000347E0">
        <w:t>All patients who were randomised to the abaloparatide and placebo arm (but not the teriparatide arm)</w:t>
      </w:r>
      <w:r w:rsidR="00B76668">
        <w:t>,</w:t>
      </w:r>
      <w:r w:rsidRPr="000347E0">
        <w:t xml:space="preserve"> and completed 18 months of allocated treatment</w:t>
      </w:r>
      <w:r w:rsidR="00B76668">
        <w:t>,</w:t>
      </w:r>
      <w:r w:rsidRPr="000347E0">
        <w:t xml:space="preserve"> were offered the opportunity to participate in the extension phase of the study (ACTIVExtend). In ACTIVExtend, all enrolled patients received open-label oral alendronate 70 mg once per week for 24 months (patients and investigators were blinded to the previous allocated treatment</w:t>
      </w:r>
      <w:r w:rsidR="00790E8C">
        <w:t xml:space="preserve"> within the first 6 months in ACTIVExtend</w:t>
      </w:r>
      <w:r w:rsidRPr="000347E0">
        <w:t xml:space="preserve">). There were 963 patients entered into ACTIVExtend, with 469 patients in the abaloparatide/alendronate arm and 494 patients in the placebo/alendronate arm. </w:t>
      </w:r>
    </w:p>
    <w:p w14:paraId="685D3376" w14:textId="631720F6" w:rsidR="000347E0" w:rsidRPr="00E20F32" w:rsidRDefault="000347E0" w:rsidP="00EC5836">
      <w:pPr>
        <w:pStyle w:val="3-BodyText"/>
      </w:pPr>
      <w:r w:rsidRPr="00E20F32">
        <w:t xml:space="preserve">The risk of bias was considered low for ACTIVE and </w:t>
      </w:r>
      <w:r w:rsidR="00B76668" w:rsidRPr="00E20F32">
        <w:t>ACTIVExtend for the abaloparatide and placebo arms. T</w:t>
      </w:r>
      <w:r w:rsidRPr="00E20F32">
        <w:t>he risk of bias for ACTIVE was previously assessed as “unclear” in a romosozumab PSD</w:t>
      </w:r>
      <w:r w:rsidR="00790E8C" w:rsidRPr="00E20F32">
        <w:t xml:space="preserve"> </w:t>
      </w:r>
      <w:r w:rsidRPr="00E20F32">
        <w:t>(Table 4, romosozumab PSD, July 2019)</w:t>
      </w:r>
      <w:r w:rsidR="00B76668" w:rsidRPr="00E20F32">
        <w:t xml:space="preserve"> because p</w:t>
      </w:r>
      <w:r w:rsidRPr="00E20F32">
        <w:t>atients randomised to the teriparatide arm in the study received open-label teriparatide treatment</w:t>
      </w:r>
      <w:r w:rsidR="00B76668" w:rsidRPr="00E20F32">
        <w:t>. However</w:t>
      </w:r>
      <w:r w:rsidRPr="00E20F32">
        <w:t>, the efficacy outcomes from this study arm were not included in the ITC in the submission.</w:t>
      </w:r>
    </w:p>
    <w:p w14:paraId="636EFE4B" w14:textId="4D09AC89" w:rsidR="00971598" w:rsidRPr="00E20F32" w:rsidRDefault="00CA74A8" w:rsidP="00EC5836">
      <w:pPr>
        <w:pStyle w:val="3-BodyText"/>
        <w:rPr>
          <w:color w:val="0066FF"/>
        </w:rPr>
      </w:pPr>
      <w:r>
        <w:t xml:space="preserve">The </w:t>
      </w:r>
      <w:r w:rsidR="00971598">
        <w:t>FRAME</w:t>
      </w:r>
      <w:r>
        <w:t xml:space="preserve"> study</w:t>
      </w:r>
      <w:r w:rsidR="00971598">
        <w:t xml:space="preserve"> was a Phase 3, double-blind, multicentre RCT comparing romosozumab vs placebo in postmenopausal women with osteoporosis. There were 3,589 patients randomised to receive romosozumab and 3,591 to placebo. In FRAME, patients received 12 months of double-blinded, randomised treatment, followed by 24 months of open-label denos</w:t>
      </w:r>
      <w:r w:rsidR="00364119">
        <w:t>u</w:t>
      </w:r>
      <w:r w:rsidR="00971598">
        <w:t>mab 60 mg SC every 6 months (</w:t>
      </w:r>
      <w:r w:rsidR="00971598" w:rsidRPr="000347E0">
        <w:t xml:space="preserve">patients and investigators were still blinded to the previous allocated </w:t>
      </w:r>
      <w:r w:rsidR="00971598" w:rsidRPr="002D1311">
        <w:t>treatment)</w:t>
      </w:r>
      <w:r w:rsidR="007F5D28" w:rsidRPr="002D1311">
        <w:t xml:space="preserve"> in the FRAME extension study</w:t>
      </w:r>
      <w:r w:rsidR="00971598" w:rsidRPr="002D1311">
        <w:t xml:space="preserve">. </w:t>
      </w:r>
      <w:r w:rsidR="00971598" w:rsidRPr="00E20F32">
        <w:t>Risk of bias of FRAME was considered low previously by PBAC (Table 3, romosozumab PSD, November 2018).</w:t>
      </w:r>
    </w:p>
    <w:p w14:paraId="4B83BBF3" w14:textId="41C26913" w:rsidR="00045017" w:rsidRPr="00E20F32" w:rsidRDefault="00971598" w:rsidP="00EC5836">
      <w:pPr>
        <w:pStyle w:val="3-BodyText"/>
        <w:rPr>
          <w:color w:val="0066FF"/>
        </w:rPr>
      </w:pPr>
      <w:r w:rsidRPr="00E20F32">
        <w:t>Key differences identified across</w:t>
      </w:r>
      <w:r w:rsidR="00476026">
        <w:t xml:space="preserve"> </w:t>
      </w:r>
      <w:r w:rsidR="00476026" w:rsidRPr="00613E82">
        <w:t>the</w:t>
      </w:r>
      <w:r w:rsidRPr="00E20F32">
        <w:t xml:space="preserve"> ACTIVE and FRAME</w:t>
      </w:r>
      <w:r w:rsidR="00476026">
        <w:t xml:space="preserve"> </w:t>
      </w:r>
      <w:r w:rsidR="00476026" w:rsidRPr="002D1311">
        <w:t>studies</w:t>
      </w:r>
      <w:r w:rsidRPr="00E20F32">
        <w:t xml:space="preserve"> include:</w:t>
      </w:r>
    </w:p>
    <w:p w14:paraId="75FFBA19" w14:textId="269478AF" w:rsidR="005E3F27" w:rsidRPr="00E20F32" w:rsidRDefault="005E3F27" w:rsidP="00523719">
      <w:pPr>
        <w:pStyle w:val="3-BodyText"/>
        <w:numPr>
          <w:ilvl w:val="0"/>
          <w:numId w:val="13"/>
        </w:numPr>
        <w:ind w:left="1134"/>
      </w:pPr>
      <w:r w:rsidRPr="00CF1158">
        <w:t>A higher risk of fracture in ACTIVE compared to FRAME</w:t>
      </w:r>
      <w:r w:rsidRPr="00E20F32">
        <w:t xml:space="preserve"> due to differences in history of fracture, risk of further fractures, and BMD T-score:</w:t>
      </w:r>
    </w:p>
    <w:p w14:paraId="1351C30E" w14:textId="70DB07E8" w:rsidR="000E55F4" w:rsidRPr="00E20F32" w:rsidRDefault="009435F2" w:rsidP="00523719">
      <w:pPr>
        <w:pStyle w:val="3-BodyText"/>
        <w:numPr>
          <w:ilvl w:val="1"/>
          <w:numId w:val="13"/>
        </w:numPr>
        <w:ind w:left="1560"/>
        <w:rPr>
          <w:u w:val="single"/>
        </w:rPr>
      </w:pPr>
      <w:r w:rsidRPr="00E20F32">
        <w:rPr>
          <w:u w:val="single"/>
        </w:rPr>
        <w:t>History of fracture</w:t>
      </w:r>
    </w:p>
    <w:p w14:paraId="6BDF419D" w14:textId="0E2DB2C2" w:rsidR="000E55F4" w:rsidRPr="00E20F32" w:rsidRDefault="000E55F4" w:rsidP="005E0B60">
      <w:pPr>
        <w:pStyle w:val="3-BodyText"/>
        <w:numPr>
          <w:ilvl w:val="0"/>
          <w:numId w:val="0"/>
        </w:numPr>
        <w:ind w:left="1560"/>
      </w:pPr>
      <w:r w:rsidRPr="00E20F32">
        <w:t xml:space="preserve">In ACTIVE, </w:t>
      </w:r>
      <w:r w:rsidR="009435F2" w:rsidRPr="00E20F32">
        <w:t xml:space="preserve">eligible </w:t>
      </w:r>
      <w:r w:rsidRPr="00E20F32">
        <w:t xml:space="preserve">patients had to have radiological evidence of at least two mild or at least one moderate lumbar or thoracic vertebral fracture, or history of low trauma forearm, humerus, sacral, pelvic, hip, femoral, or tibial fracture within the past 5 years. In FRAME, however, there was no such requirement and patients who had a history of hip fracture, any severe or &gt;2 moderate vertebral fractures were excluded from the trial. As a result, comparing the placebo arms in the two trials, </w:t>
      </w:r>
      <w:r w:rsidR="00975D04" w:rsidRPr="00E20F32">
        <w:t xml:space="preserve">43.9% in ACTIVE had </w:t>
      </w:r>
      <w:r w:rsidR="00975D04" w:rsidRPr="00E20F32">
        <w:rPr>
          <w:rFonts w:cstheme="minorHAnsi"/>
        </w:rPr>
        <w:t>≥</w:t>
      </w:r>
      <w:r w:rsidR="00975D04" w:rsidRPr="00E20F32">
        <w:t>1 previous nonvertebral fracture vs 21.8%</w:t>
      </w:r>
      <w:r w:rsidR="00975D04" w:rsidRPr="00E20F32">
        <w:rPr>
          <w:rStyle w:val="FootnoteReference"/>
        </w:rPr>
        <w:footnoteReference w:id="16"/>
      </w:r>
      <w:r w:rsidR="00975D04" w:rsidRPr="00E20F32">
        <w:t xml:space="preserve"> in FRAME</w:t>
      </w:r>
      <w:r w:rsidR="009435F2" w:rsidRPr="00E20F32">
        <w:t xml:space="preserve">; and 21.7% of patients in ACTIVE had </w:t>
      </w:r>
      <w:r w:rsidR="009435F2" w:rsidRPr="00E20F32">
        <w:rPr>
          <w:rFonts w:cstheme="minorHAnsi"/>
        </w:rPr>
        <w:t>≥</w:t>
      </w:r>
      <w:r w:rsidR="009435F2" w:rsidRPr="00E20F32">
        <w:t>1 prevalent vertebral fracture at baseline vs 17.9% in FRAME</w:t>
      </w:r>
      <w:r w:rsidR="00975D04" w:rsidRPr="00E20F32">
        <w:t>.</w:t>
      </w:r>
    </w:p>
    <w:p w14:paraId="27A8B4D7" w14:textId="77777777" w:rsidR="000E55F4" w:rsidRPr="00E20F32" w:rsidRDefault="000E55F4" w:rsidP="00523719">
      <w:pPr>
        <w:pStyle w:val="3-BodyText"/>
        <w:numPr>
          <w:ilvl w:val="1"/>
          <w:numId w:val="13"/>
        </w:numPr>
        <w:ind w:left="1560"/>
        <w:rPr>
          <w:u w:val="single"/>
        </w:rPr>
      </w:pPr>
      <w:r w:rsidRPr="00E20F32">
        <w:rPr>
          <w:u w:val="single"/>
        </w:rPr>
        <w:t>Study population’s risk for further fractures at baseline</w:t>
      </w:r>
    </w:p>
    <w:p w14:paraId="0E2E580D" w14:textId="2A3E6A41" w:rsidR="000E55F4" w:rsidRPr="00E20F32" w:rsidRDefault="000E55F4" w:rsidP="005E0B60">
      <w:pPr>
        <w:pStyle w:val="3-BodyText"/>
        <w:numPr>
          <w:ilvl w:val="0"/>
          <w:numId w:val="0"/>
        </w:numPr>
        <w:ind w:left="1560"/>
      </w:pPr>
      <w:r w:rsidRPr="00E20F32">
        <w:t xml:space="preserve">Even though the 10-year FRAX® major osteoporotic fracture risk of the two study populations </w:t>
      </w:r>
      <w:r w:rsidR="009435F2" w:rsidRPr="00E20F32">
        <w:t xml:space="preserve">was </w:t>
      </w:r>
      <w:r w:rsidRPr="00E20F32">
        <w:t xml:space="preserve">similar (13.1% for the ACTIVE population and 13.4% for the FRAME population), ACTIVE may have a study population with a </w:t>
      </w:r>
      <w:r w:rsidR="009435F2" w:rsidRPr="00E20F32">
        <w:t xml:space="preserve">slightly </w:t>
      </w:r>
      <w:r w:rsidRPr="00E20F32">
        <w:t xml:space="preserve">higher risk for further fracture at baseline compared to FRAME. Comparing the outcome of the placebo arms in the two trials at the end of study treatment, there were 25 patients (4.2%) in ACTIVE who had new vertebral fractures vs 59 patients (1.8%) in FRAME; </w:t>
      </w:r>
      <w:r w:rsidR="009435F2" w:rsidRPr="00E20F32">
        <w:t xml:space="preserve">similarly, there were </w:t>
      </w:r>
      <w:r w:rsidRPr="00E20F32">
        <w:t xml:space="preserve">21 (3.1%) and 35 (5.1%) in ACTIVE who reported nonvertebral fractures and clinical fractures respectively, compared to 75 (2.1%) and 90 (2.5%) in FRAME. </w:t>
      </w:r>
    </w:p>
    <w:p w14:paraId="6BB8BFD7" w14:textId="77777777" w:rsidR="000E55F4" w:rsidRPr="00E20F32" w:rsidRDefault="000E55F4" w:rsidP="00523719">
      <w:pPr>
        <w:pStyle w:val="3-BodyText"/>
        <w:numPr>
          <w:ilvl w:val="1"/>
          <w:numId w:val="13"/>
        </w:numPr>
        <w:ind w:left="1560"/>
        <w:rPr>
          <w:u w:val="single"/>
        </w:rPr>
      </w:pPr>
      <w:r w:rsidRPr="00E20F32">
        <w:rPr>
          <w:u w:val="single"/>
        </w:rPr>
        <w:t>Difference in BMD T-score requirement for inclusion</w:t>
      </w:r>
    </w:p>
    <w:p w14:paraId="006E505A" w14:textId="4000BB48" w:rsidR="00DA5FF2" w:rsidRPr="00E20F32" w:rsidRDefault="00DA5FF2" w:rsidP="005E0B60">
      <w:pPr>
        <w:pStyle w:val="3-BodyText"/>
        <w:numPr>
          <w:ilvl w:val="0"/>
          <w:numId w:val="0"/>
        </w:numPr>
        <w:ind w:left="1560"/>
      </w:pPr>
      <w:r w:rsidRPr="00E20F32">
        <w:t xml:space="preserve">In ACTIVE, patients with a wider range of BMD T-score (between ≤ </w:t>
      </w:r>
      <w:r w:rsidR="0027579C" w:rsidRPr="00E20F32">
        <w:t>-</w:t>
      </w:r>
      <w:r w:rsidRPr="00E20F32">
        <w:t xml:space="preserve">2.5 and &gt; -5.0) were eligible </w:t>
      </w:r>
      <w:r w:rsidR="009435F2" w:rsidRPr="00E20F32">
        <w:t xml:space="preserve">for </w:t>
      </w:r>
      <w:r w:rsidRPr="00E20F32">
        <w:t>the trial while FRAME only included patients with a BMD T-score between -2.5 and -3.5</w:t>
      </w:r>
      <w:r w:rsidR="00254D43" w:rsidRPr="00E20F32">
        <w:t>.</w:t>
      </w:r>
    </w:p>
    <w:p w14:paraId="37D85969" w14:textId="77777777" w:rsidR="00DA5FF2" w:rsidRPr="00E20F32" w:rsidRDefault="00DA5FF2" w:rsidP="00523719">
      <w:pPr>
        <w:pStyle w:val="3-BodyText"/>
        <w:numPr>
          <w:ilvl w:val="0"/>
          <w:numId w:val="13"/>
        </w:numPr>
        <w:ind w:left="1134"/>
        <w:rPr>
          <w:b/>
          <w:bCs/>
        </w:rPr>
      </w:pPr>
      <w:r w:rsidRPr="00E20F32">
        <w:rPr>
          <w:b/>
          <w:bCs/>
        </w:rPr>
        <w:t>Treatment period</w:t>
      </w:r>
    </w:p>
    <w:p w14:paraId="51E245F7" w14:textId="684C7FFE" w:rsidR="00DA5FF2" w:rsidRPr="00E20F32" w:rsidRDefault="00245EEA" w:rsidP="00DA5FF2">
      <w:pPr>
        <w:pStyle w:val="3-BodyText"/>
        <w:numPr>
          <w:ilvl w:val="0"/>
          <w:numId w:val="0"/>
        </w:numPr>
        <w:ind w:left="1134"/>
      </w:pPr>
      <w:r w:rsidRPr="00E20F32">
        <w:t>The</w:t>
      </w:r>
      <w:r w:rsidR="00DA5FF2" w:rsidRPr="00E20F32">
        <w:t xml:space="preserve"> treatment period</w:t>
      </w:r>
      <w:r w:rsidRPr="00E20F32">
        <w:t>s</w:t>
      </w:r>
      <w:r w:rsidR="00DA5FF2" w:rsidRPr="00E20F32">
        <w:t xml:space="preserve"> </w:t>
      </w:r>
      <w:r w:rsidRPr="00E20F32">
        <w:t>in ACTIVE vs FRAME were 18 months vs 12 months</w:t>
      </w:r>
      <w:r w:rsidR="00482CC6" w:rsidRPr="00E20F32">
        <w:t>, respectively</w:t>
      </w:r>
      <w:r w:rsidR="00DD6DB9" w:rsidRPr="00E20F32">
        <w:t xml:space="preserve">, in line with the treatment period recommended in the </w:t>
      </w:r>
      <w:r w:rsidR="00927437" w:rsidRPr="00E20F32">
        <w:t xml:space="preserve">Approved </w:t>
      </w:r>
      <w:r w:rsidR="00301F1F">
        <w:t>PIs</w:t>
      </w:r>
      <w:r w:rsidR="00927437" w:rsidRPr="00E20F32">
        <w:t xml:space="preserve"> for abaloparatide and romosozumab</w:t>
      </w:r>
      <w:r w:rsidR="00301F1F">
        <w:t>,</w:t>
      </w:r>
      <w:r w:rsidR="00927437" w:rsidRPr="00E20F32">
        <w:t xml:space="preserve"> respectively</w:t>
      </w:r>
      <w:r w:rsidRPr="00E20F32">
        <w:t>.</w:t>
      </w:r>
      <w:r w:rsidR="00DA5FF2" w:rsidRPr="00E20F32">
        <w:t xml:space="preserve"> </w:t>
      </w:r>
      <w:r w:rsidR="003C2A8D" w:rsidRPr="00E20F32">
        <w:t>It was unclear h</w:t>
      </w:r>
      <w:r w:rsidR="00DA5FF2" w:rsidRPr="00E20F32">
        <w:t>ow</w:t>
      </w:r>
      <w:r w:rsidR="008A6831" w:rsidRPr="00E20F32">
        <w:t xml:space="preserve"> the</w:t>
      </w:r>
      <w:r w:rsidR="00DA5FF2" w:rsidRPr="00E20F32">
        <w:t xml:space="preserve"> </w:t>
      </w:r>
      <w:r w:rsidRPr="00E20F32">
        <w:t>different treatment durations</w:t>
      </w:r>
      <w:r w:rsidR="00DA5FF2" w:rsidRPr="00E20F32">
        <w:t xml:space="preserve"> in the two trials ha</w:t>
      </w:r>
      <w:r w:rsidRPr="00E20F32">
        <w:t>ve</w:t>
      </w:r>
      <w:r w:rsidR="00DA5FF2" w:rsidRPr="00E20F32">
        <w:t xml:space="preserve"> impacted the occurrence of fractures </w:t>
      </w:r>
      <w:r w:rsidR="00E3622D" w:rsidRPr="00E20F32">
        <w:t>in study patient</w:t>
      </w:r>
      <w:r w:rsidRPr="00E20F32">
        <w:t>s</w:t>
      </w:r>
      <w:r w:rsidR="00AE7AF3" w:rsidRPr="00E20F32">
        <w:t>, given the difference in fracture risk</w:t>
      </w:r>
      <w:r w:rsidR="00DA5FF2" w:rsidRPr="00E20F32">
        <w:t>.</w:t>
      </w:r>
    </w:p>
    <w:p w14:paraId="00D2ADE4" w14:textId="77777777" w:rsidR="005E0B60" w:rsidRPr="00E20F32" w:rsidRDefault="005E0B60" w:rsidP="00523719">
      <w:pPr>
        <w:pStyle w:val="TableFigureFooter"/>
        <w:numPr>
          <w:ilvl w:val="0"/>
          <w:numId w:val="10"/>
        </w:numPr>
        <w:spacing w:after="0"/>
        <w:ind w:left="1134" w:hanging="357"/>
        <w:rPr>
          <w:rFonts w:asciiTheme="minorHAnsi" w:hAnsiTheme="minorHAnsi" w:cstheme="minorHAnsi"/>
          <w:b/>
          <w:bCs/>
          <w:sz w:val="24"/>
          <w:szCs w:val="24"/>
        </w:rPr>
      </w:pPr>
      <w:r w:rsidRPr="00E20F32">
        <w:rPr>
          <w:rFonts w:asciiTheme="minorHAnsi" w:hAnsiTheme="minorHAnsi" w:cstheme="minorHAnsi"/>
          <w:b/>
          <w:bCs/>
          <w:sz w:val="24"/>
          <w:szCs w:val="24"/>
        </w:rPr>
        <w:t>Treatment sequence</w:t>
      </w:r>
    </w:p>
    <w:p w14:paraId="5E8F8911" w14:textId="4CBD3F44" w:rsidR="005E0B60" w:rsidRPr="00E20F32" w:rsidRDefault="005E0B60" w:rsidP="005E0B60">
      <w:pPr>
        <w:spacing w:before="60" w:after="120"/>
        <w:ind w:left="1134"/>
      </w:pPr>
      <w:r w:rsidRPr="00E20F32">
        <w:t xml:space="preserve">In ACTIVExtend, the subsequent treatment after cessation of abaloparatide was alendronate, while in </w:t>
      </w:r>
      <w:r w:rsidR="00D85651" w:rsidRPr="00E20F32">
        <w:t xml:space="preserve">the </w:t>
      </w:r>
      <w:r w:rsidRPr="00E20F32">
        <w:t>FRAME extension study, the subsequent treatment was denosumab after romosozumab. The PBAC previously considered that denosumab was associated with a small but statistically significant increase in BMD compared to alendronate (p6, denosumab PSD, July 2010). In a recent retrospective cohort study, Curtis et al</w:t>
      </w:r>
      <w:r w:rsidRPr="00E20F32">
        <w:rPr>
          <w:rStyle w:val="FootnoteReference"/>
        </w:rPr>
        <w:footnoteReference w:id="17"/>
      </w:r>
      <w:r w:rsidRPr="00E20F32">
        <w:t xml:space="preserve"> demonstrated the efficacy of denosumab (n = 89,115) in reducing the risk of fractures </w:t>
      </w:r>
      <w:r w:rsidR="00BA7E23" w:rsidRPr="00E20F32">
        <w:t>of</w:t>
      </w:r>
      <w:r w:rsidRPr="00E20F32">
        <w:t xml:space="preserve"> different categories compared with alendronate (n = 389,536). </w:t>
      </w:r>
    </w:p>
    <w:p w14:paraId="4719AFEA" w14:textId="33211424" w:rsidR="003E25AE" w:rsidRPr="00E20F32" w:rsidRDefault="003E25AE" w:rsidP="00523719">
      <w:pPr>
        <w:pStyle w:val="3-BodyText"/>
        <w:keepNext/>
        <w:keepLines/>
        <w:numPr>
          <w:ilvl w:val="0"/>
          <w:numId w:val="13"/>
        </w:numPr>
        <w:ind w:left="1134"/>
        <w:rPr>
          <w:b/>
          <w:bCs/>
        </w:rPr>
      </w:pPr>
      <w:r w:rsidRPr="00E20F32">
        <w:rPr>
          <w:b/>
          <w:bCs/>
        </w:rPr>
        <w:t>Definition of clinical fractures</w:t>
      </w:r>
    </w:p>
    <w:p w14:paraId="452F4D65" w14:textId="1374A47E" w:rsidR="003E25AE" w:rsidRPr="00E20F32" w:rsidRDefault="003E25AE" w:rsidP="00712C48">
      <w:pPr>
        <w:pStyle w:val="3-BodyText"/>
        <w:keepNext/>
        <w:keepLines/>
        <w:numPr>
          <w:ilvl w:val="0"/>
          <w:numId w:val="0"/>
        </w:numPr>
        <w:ind w:left="1134"/>
      </w:pPr>
      <w:r w:rsidRPr="00E20F32">
        <w:t xml:space="preserve">In ACTIVE, </w:t>
      </w:r>
      <w:r w:rsidR="0043167E" w:rsidRPr="00E20F32">
        <w:t>clinical fractures</w:t>
      </w:r>
      <w:r w:rsidRPr="00E20F32">
        <w:t xml:space="preserve"> included all fractures and all levels of trauma causing the fractures. In FRAME, however, clinical fractures included only clinical</w:t>
      </w:r>
      <w:r w:rsidR="005E3F27" w:rsidRPr="00E20F32">
        <w:t xml:space="preserve"> (symptomatic)</w:t>
      </w:r>
      <w:r w:rsidRPr="00E20F32">
        <w:t xml:space="preserve"> vertebral fractures and nonvertebral fractures not associated with severe trauma. Hence, more fractures, particularly nonvertebral fractures associated with severe trauma, may have been reported as clinical fractures in ACTIVE compared to FRAME. </w:t>
      </w:r>
    </w:p>
    <w:p w14:paraId="28C9A9BB" w14:textId="51C99ED3" w:rsidR="003E25AE" w:rsidRPr="00E20F32" w:rsidRDefault="003E25AE" w:rsidP="00523719">
      <w:pPr>
        <w:pStyle w:val="3-BodyText"/>
        <w:numPr>
          <w:ilvl w:val="0"/>
          <w:numId w:val="13"/>
        </w:numPr>
        <w:ind w:left="1134"/>
        <w:rPr>
          <w:b/>
          <w:bCs/>
        </w:rPr>
      </w:pPr>
      <w:r w:rsidRPr="00E20F32">
        <w:rPr>
          <w:b/>
          <w:bCs/>
        </w:rPr>
        <w:t>Timing</w:t>
      </w:r>
      <w:r w:rsidR="007E11F9" w:rsidRPr="00E20F32">
        <w:rPr>
          <w:b/>
          <w:bCs/>
        </w:rPr>
        <w:t xml:space="preserve"> and frequency</w:t>
      </w:r>
      <w:r w:rsidRPr="00E20F32">
        <w:rPr>
          <w:b/>
          <w:bCs/>
        </w:rPr>
        <w:t xml:space="preserve"> of fracture assessment</w:t>
      </w:r>
    </w:p>
    <w:p w14:paraId="7BE595FD" w14:textId="58928FF4" w:rsidR="00DA5FF2" w:rsidRPr="00E20F32" w:rsidRDefault="003E25AE" w:rsidP="0043167E">
      <w:pPr>
        <w:pStyle w:val="3-BodyText"/>
        <w:numPr>
          <w:ilvl w:val="0"/>
          <w:numId w:val="0"/>
        </w:numPr>
        <w:ind w:left="1134"/>
      </w:pPr>
      <w:r w:rsidRPr="00E20F32">
        <w:t xml:space="preserve">In ACTIVE, patients received clinical and radiological assessment at Screening and at the end of treatment (Visit 9, Month 18). In ACTIVExtend, patients received </w:t>
      </w:r>
      <w:r w:rsidR="0043167E" w:rsidRPr="00E20F32">
        <w:t xml:space="preserve">clinical and radiological </w:t>
      </w:r>
      <w:r w:rsidRPr="00E20F32">
        <w:t>assessment</w:t>
      </w:r>
      <w:r w:rsidR="0043167E" w:rsidRPr="00E20F32">
        <w:t xml:space="preserve"> in Month 6 and Month </w:t>
      </w:r>
      <w:r w:rsidR="002644E1" w:rsidRPr="00E20F32">
        <w:t>24 and</w:t>
      </w:r>
      <w:r w:rsidR="0043167E" w:rsidRPr="00E20F32">
        <w:t xml:space="preserve"> received clinical assessment of de novo fractures in Mont</w:t>
      </w:r>
      <w:r w:rsidR="003C6AF4" w:rsidRPr="00E20F32">
        <w:t>h</w:t>
      </w:r>
      <w:r w:rsidR="0043167E" w:rsidRPr="00E20F32">
        <w:t xml:space="preserve"> 12 and Month 18. I</w:t>
      </w:r>
      <w:r w:rsidRPr="00E20F32">
        <w:t>n FRAME</w:t>
      </w:r>
      <w:r w:rsidR="0043167E" w:rsidRPr="00E20F32">
        <w:t xml:space="preserve">, patients </w:t>
      </w:r>
      <w:r w:rsidRPr="00E20F32">
        <w:t xml:space="preserve">received baseline radiological assessment and were then scheduled for reporting nonvertebral and suspected clinical vertebral fracture during the scheduled monthly visits. </w:t>
      </w:r>
      <w:r w:rsidR="0043167E" w:rsidRPr="00E20F32">
        <w:t>FRAME p</w:t>
      </w:r>
      <w:r w:rsidRPr="00E20F32">
        <w:t>atients present</w:t>
      </w:r>
      <w:r w:rsidR="0043167E" w:rsidRPr="00E20F32">
        <w:t>ing</w:t>
      </w:r>
      <w:r w:rsidRPr="00E20F32">
        <w:t xml:space="preserve"> with symptom</w:t>
      </w:r>
      <w:r w:rsidR="00AE7AF3" w:rsidRPr="00E20F32">
        <w:t>s</w:t>
      </w:r>
      <w:r w:rsidRPr="00E20F32">
        <w:t xml:space="preserve"> </w:t>
      </w:r>
      <w:r w:rsidR="00AE7AF3" w:rsidRPr="00E20F32">
        <w:t xml:space="preserve">could </w:t>
      </w:r>
      <w:r w:rsidRPr="00E20F32">
        <w:t xml:space="preserve">also receive radiological assessment outside of the scheduled timepoints for assessment. </w:t>
      </w:r>
      <w:r w:rsidR="0043167E" w:rsidRPr="00E20F32">
        <w:t>T</w:t>
      </w:r>
      <w:r w:rsidRPr="00E20F32">
        <w:t xml:space="preserve">here is the possibility </w:t>
      </w:r>
      <w:r w:rsidR="00AE7AF3" w:rsidRPr="00E20F32">
        <w:t xml:space="preserve">that </w:t>
      </w:r>
      <w:r w:rsidRPr="00E20F32">
        <w:t xml:space="preserve">the incidence of fractures, both vertebral and nonvertebral, </w:t>
      </w:r>
      <w:r w:rsidR="00AE7AF3" w:rsidRPr="00E20F32">
        <w:t xml:space="preserve">was </w:t>
      </w:r>
      <w:r w:rsidRPr="00E20F32">
        <w:t>underestimated and underreported in ACTIVE compared to FRAME.</w:t>
      </w:r>
    </w:p>
    <w:p w14:paraId="4899E35E" w14:textId="60961B3B" w:rsidR="007F1017" w:rsidRPr="00E20F32" w:rsidRDefault="00291520" w:rsidP="00121834">
      <w:pPr>
        <w:pStyle w:val="3-BodyText"/>
        <w:spacing w:after="240"/>
        <w:rPr>
          <w:color w:val="0066FF"/>
        </w:rPr>
      </w:pPr>
      <w:r w:rsidRPr="00E20F32">
        <w:t xml:space="preserve">Overall, the </w:t>
      </w:r>
      <w:r w:rsidR="00AE7AF3" w:rsidRPr="00E20F32">
        <w:t xml:space="preserve">differences </w:t>
      </w:r>
      <w:r w:rsidRPr="00E20F32">
        <w:t>in patients’ prevalence of vertebra</w:t>
      </w:r>
      <w:r w:rsidR="003C6AF4" w:rsidRPr="00E20F32">
        <w:t>l</w:t>
      </w:r>
      <w:r w:rsidRPr="00E20F32">
        <w:t xml:space="preserve"> fracture and history of past fractures at baseline, risk for further fractures at baseline, </w:t>
      </w:r>
      <w:r w:rsidR="0009548E" w:rsidRPr="00E20F32">
        <w:t xml:space="preserve">BMD T-score requirements for trial inclusion, </w:t>
      </w:r>
      <w:r w:rsidRPr="00E20F32">
        <w:t xml:space="preserve">treatment period, </w:t>
      </w:r>
      <w:r w:rsidR="00BA7E23" w:rsidRPr="00E20F32">
        <w:t xml:space="preserve">treatment sequence, </w:t>
      </w:r>
      <w:r w:rsidRPr="00E20F32">
        <w:t xml:space="preserve">definition of the clinical fracture endpoint, </w:t>
      </w:r>
      <w:r w:rsidR="007E11F9" w:rsidRPr="00E20F32">
        <w:t>and timing and frequency of fracture assessment</w:t>
      </w:r>
      <w:r w:rsidR="00AE7AF3" w:rsidRPr="00E20F32">
        <w:t>,</w:t>
      </w:r>
      <w:r w:rsidR="007E11F9" w:rsidRPr="00E20F32">
        <w:t xml:space="preserve"> </w:t>
      </w:r>
      <w:r w:rsidR="00947F1C" w:rsidRPr="00E20F32">
        <w:t xml:space="preserve">all </w:t>
      </w:r>
      <w:r w:rsidRPr="00E20F32">
        <w:t>raise concern</w:t>
      </w:r>
      <w:r w:rsidR="00AE7AF3" w:rsidRPr="00E20F32">
        <w:t>s</w:t>
      </w:r>
      <w:r w:rsidRPr="00E20F32">
        <w:t xml:space="preserve"> about the transitivity of the two </w:t>
      </w:r>
      <w:r w:rsidR="003C6AF4" w:rsidRPr="00E20F32">
        <w:t>trials</w:t>
      </w:r>
      <w:r w:rsidRPr="00E20F32">
        <w:t xml:space="preserve"> included in the indirect comparison. Caution should be taken when interpreting the results of the indirect comparison in this contex</w:t>
      </w:r>
      <w:r w:rsidR="003C6AF4" w:rsidRPr="00E20F32">
        <w:t>t.</w:t>
      </w:r>
    </w:p>
    <w:p w14:paraId="4A4FE085" w14:textId="1C5613CC" w:rsidR="00B60939" w:rsidRPr="00D86D87" w:rsidRDefault="00B60939" w:rsidP="00EC5836">
      <w:pPr>
        <w:pStyle w:val="4-SubsectionHeading"/>
      </w:pPr>
      <w:bookmarkStart w:id="26" w:name="_Toc22897641"/>
      <w:bookmarkStart w:id="27" w:name="_Toc198219105"/>
      <w:r w:rsidRPr="00D86D87">
        <w:t>Comparative effectiveness</w:t>
      </w:r>
      <w:bookmarkEnd w:id="26"/>
      <w:bookmarkEnd w:id="27"/>
    </w:p>
    <w:p w14:paraId="4BEBE598" w14:textId="4E46A296" w:rsidR="00F0440F" w:rsidRDefault="00F0440F" w:rsidP="00F0440F">
      <w:pPr>
        <w:pStyle w:val="5-SubsectionSubheading"/>
      </w:pPr>
      <w:r>
        <w:t>Abaloparatide effectiveness</w:t>
      </w:r>
    </w:p>
    <w:p w14:paraId="0ACEA793" w14:textId="4EEE1E27" w:rsidR="00D743E3" w:rsidRPr="00D21782" w:rsidRDefault="00780E8E" w:rsidP="00EC5836">
      <w:pPr>
        <w:pStyle w:val="3-BodyText"/>
      </w:pPr>
      <w:r>
        <w:t>S</w:t>
      </w:r>
      <w:r w:rsidR="00D743E3">
        <w:t>ummar</w:t>
      </w:r>
      <w:r>
        <w:t>ies</w:t>
      </w:r>
      <w:r w:rsidR="00D743E3">
        <w:t xml:space="preserve"> of the </w:t>
      </w:r>
      <w:r w:rsidR="001F593C">
        <w:t xml:space="preserve">primary and key secondary </w:t>
      </w:r>
      <w:r w:rsidR="00D743E3">
        <w:t>efficacy results of ACTIVE</w:t>
      </w:r>
      <w:r>
        <w:t xml:space="preserve"> are</w:t>
      </w:r>
      <w:r w:rsidR="00D743E3">
        <w:t xml:space="preserve"> provided in</w:t>
      </w:r>
      <w:r w:rsidR="00D743E3" w:rsidRPr="00D86D87">
        <w:rPr>
          <w:color w:val="0066FF"/>
        </w:rPr>
        <w:t xml:space="preserve"> </w:t>
      </w:r>
      <w:r w:rsidR="00FE0077">
        <w:rPr>
          <w:color w:val="0066FF"/>
        </w:rPr>
        <w:fldChar w:fldCharType="begin"/>
      </w:r>
      <w:r w:rsidR="00FE0077">
        <w:rPr>
          <w:color w:val="0066FF"/>
        </w:rPr>
        <w:instrText xml:space="preserve"> REF _Ref195782649 \h </w:instrText>
      </w:r>
      <w:r w:rsidR="00FE0077">
        <w:rPr>
          <w:color w:val="0066FF"/>
        </w:rPr>
      </w:r>
      <w:r w:rsidR="00FE0077">
        <w:rPr>
          <w:color w:val="0066FF"/>
        </w:rPr>
        <w:fldChar w:fldCharType="separate"/>
      </w:r>
      <w:r w:rsidR="005B625A" w:rsidRPr="00D86D87">
        <w:t xml:space="preserve">Table </w:t>
      </w:r>
      <w:r w:rsidR="005B625A">
        <w:rPr>
          <w:noProof/>
        </w:rPr>
        <w:t>4</w:t>
      </w:r>
      <w:r w:rsidR="00FE0077">
        <w:rPr>
          <w:color w:val="0066FF"/>
        </w:rPr>
        <w:fldChar w:fldCharType="end"/>
      </w:r>
      <w:r w:rsidR="00F915BD">
        <w:t xml:space="preserve">, </w:t>
      </w:r>
      <w:r w:rsidR="00F915BD">
        <w:fldChar w:fldCharType="begin"/>
      </w:r>
      <w:r w:rsidR="00F915BD">
        <w:instrText xml:space="preserve"> REF _Ref195358064 \h </w:instrText>
      </w:r>
      <w:r w:rsidR="00F915BD">
        <w:fldChar w:fldCharType="separate"/>
      </w:r>
      <w:r w:rsidR="005B625A">
        <w:t xml:space="preserve">Figure </w:t>
      </w:r>
      <w:r w:rsidR="005B625A">
        <w:rPr>
          <w:noProof/>
        </w:rPr>
        <w:t>1</w:t>
      </w:r>
      <w:r w:rsidR="00F915BD">
        <w:fldChar w:fldCharType="end"/>
      </w:r>
      <w:r w:rsidR="00F915BD">
        <w:t xml:space="preserve">, and </w:t>
      </w:r>
      <w:r w:rsidR="00F915BD">
        <w:fldChar w:fldCharType="begin"/>
      </w:r>
      <w:r w:rsidR="00F915BD">
        <w:instrText xml:space="preserve"> REF _Ref195358065 \h </w:instrText>
      </w:r>
      <w:r w:rsidR="00F915BD">
        <w:fldChar w:fldCharType="separate"/>
      </w:r>
      <w:r w:rsidR="005B625A">
        <w:t xml:space="preserve">Figure </w:t>
      </w:r>
      <w:r w:rsidR="005B625A">
        <w:rPr>
          <w:noProof/>
        </w:rPr>
        <w:t>2</w:t>
      </w:r>
      <w:r w:rsidR="00F915BD">
        <w:fldChar w:fldCharType="end"/>
      </w:r>
      <w:r w:rsidR="00F915BD">
        <w:t>.</w:t>
      </w:r>
    </w:p>
    <w:p w14:paraId="0E71157D" w14:textId="5351CEE9" w:rsidR="00D743E3" w:rsidRDefault="00FE0077" w:rsidP="00D743E3">
      <w:pPr>
        <w:pStyle w:val="Caption"/>
      </w:pPr>
      <w:bookmarkStart w:id="28" w:name="_Ref195782649"/>
      <w:bookmarkStart w:id="29" w:name="_Ref195297288"/>
      <w:r w:rsidRPr="00D86D87">
        <w:t xml:space="preserve">Table </w:t>
      </w:r>
      <w:r w:rsidR="001C1C72">
        <w:fldChar w:fldCharType="begin"/>
      </w:r>
      <w:r w:rsidR="001C1C72">
        <w:instrText xml:space="preserve"> SEQ Table \* ARABIC </w:instrText>
      </w:r>
      <w:r w:rsidR="001C1C72">
        <w:fldChar w:fldCharType="separate"/>
      </w:r>
      <w:r w:rsidR="005B625A">
        <w:rPr>
          <w:noProof/>
        </w:rPr>
        <w:t>4</w:t>
      </w:r>
      <w:r w:rsidR="001C1C72">
        <w:rPr>
          <w:noProof/>
        </w:rPr>
        <w:fldChar w:fldCharType="end"/>
      </w:r>
      <w:bookmarkEnd w:id="28"/>
      <w:r w:rsidRPr="00D86D87">
        <w:t>:</w:t>
      </w:r>
      <w:r w:rsidRPr="00D86D87">
        <w:rPr>
          <w:rStyle w:val="CommentReference"/>
          <w:b/>
          <w:szCs w:val="24"/>
        </w:rPr>
        <w:t xml:space="preserve"> </w:t>
      </w:r>
      <w:bookmarkEnd w:id="29"/>
      <w:r w:rsidR="00D743E3">
        <w:t>Summary of the primary and secondary efficacy endpoints of ACTIVE</w:t>
      </w:r>
      <w:r w:rsidR="00BA7E23">
        <w:t xml:space="preserve"> (excluding 2 non-GCP sites)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Summary of the primary and secondary efficacy endpoints of ACTIVE (excluding 2 non-GCP sites)"/>
      </w:tblPr>
      <w:tblGrid>
        <w:gridCol w:w="2835"/>
        <w:gridCol w:w="3120"/>
        <w:gridCol w:w="3062"/>
      </w:tblGrid>
      <w:tr w:rsidR="00D743E3" w:rsidRPr="00DC7B06" w14:paraId="48CA07C4" w14:textId="77777777" w:rsidTr="006D0B8C">
        <w:tc>
          <w:tcPr>
            <w:tcW w:w="1572" w:type="pct"/>
            <w:vAlign w:val="center"/>
          </w:tcPr>
          <w:p w14:paraId="5A6E294F" w14:textId="77777777" w:rsidR="00D743E3" w:rsidRPr="00DC7B06" w:rsidRDefault="00D743E3" w:rsidP="00685D83">
            <w:pPr>
              <w:keepNext/>
              <w:keepLines/>
              <w:jc w:val="left"/>
              <w:rPr>
                <w:rFonts w:ascii="Arial Narrow" w:eastAsiaTheme="majorEastAsia" w:hAnsi="Arial Narrow" w:cs="Times New Roman"/>
                <w:b/>
                <w:iCs/>
                <w:sz w:val="20"/>
                <w:lang w:val="en-US"/>
              </w:rPr>
            </w:pPr>
          </w:p>
        </w:tc>
        <w:tc>
          <w:tcPr>
            <w:tcW w:w="1730" w:type="pct"/>
            <w:vAlign w:val="center"/>
          </w:tcPr>
          <w:p w14:paraId="4F33A7E5" w14:textId="77777777" w:rsidR="00D743E3" w:rsidRDefault="00D743E3" w:rsidP="00685D83">
            <w:pPr>
              <w:keepNext/>
              <w:keepLines/>
              <w:jc w:val="center"/>
              <w:rPr>
                <w:rFonts w:ascii="Arial Narrow" w:eastAsiaTheme="majorEastAsia" w:hAnsi="Arial Narrow" w:cs="Times New Roman"/>
                <w:b/>
                <w:iCs/>
                <w:sz w:val="20"/>
                <w:lang w:val="en-US"/>
              </w:rPr>
            </w:pPr>
            <w:r>
              <w:rPr>
                <w:rFonts w:ascii="Arial Narrow" w:eastAsiaTheme="majorEastAsia" w:hAnsi="Arial Narrow" w:cs="Times New Roman"/>
                <w:b/>
                <w:iCs/>
                <w:sz w:val="20"/>
                <w:lang w:val="en-US"/>
              </w:rPr>
              <w:t>Abaloparatide</w:t>
            </w:r>
          </w:p>
          <w:p w14:paraId="0BBCE120" w14:textId="5BB3C31E" w:rsidR="00D743E3" w:rsidRPr="00DC7B06" w:rsidRDefault="00D743E3" w:rsidP="00685D83">
            <w:pPr>
              <w:keepNext/>
              <w:keepLines/>
              <w:jc w:val="center"/>
              <w:rPr>
                <w:rFonts w:ascii="Arial Narrow" w:eastAsiaTheme="majorEastAsia" w:hAnsi="Arial Narrow" w:cs="Times New Roman"/>
                <w:b/>
                <w:iCs/>
                <w:sz w:val="20"/>
                <w:lang w:val="en-US"/>
              </w:rPr>
            </w:pPr>
            <w:r w:rsidRPr="00DC7B06">
              <w:rPr>
                <w:rFonts w:ascii="Arial Narrow" w:eastAsiaTheme="majorEastAsia" w:hAnsi="Arial Narrow" w:cs="Times New Roman"/>
                <w:b/>
                <w:iCs/>
                <w:sz w:val="20"/>
                <w:lang w:val="en-US"/>
              </w:rPr>
              <w:t xml:space="preserve">(N = </w:t>
            </w:r>
            <w:r>
              <w:rPr>
                <w:rFonts w:ascii="Arial Narrow" w:eastAsiaTheme="majorEastAsia" w:hAnsi="Arial Narrow" w:cs="Times New Roman"/>
                <w:b/>
                <w:iCs/>
                <w:sz w:val="20"/>
                <w:lang w:val="en-US"/>
              </w:rPr>
              <w:t>583</w:t>
            </w:r>
            <w:r w:rsidR="004039A7" w:rsidRPr="004039A7">
              <w:rPr>
                <w:rFonts w:ascii="Arial Narrow" w:eastAsiaTheme="majorEastAsia" w:hAnsi="Arial Narrow" w:cs="Times New Roman"/>
                <w:b/>
                <w:iCs/>
                <w:sz w:val="20"/>
                <w:vertAlign w:val="superscript"/>
                <w:lang w:val="en-US"/>
              </w:rPr>
              <w:t>a</w:t>
            </w:r>
            <w:r w:rsidRPr="00DC7B06">
              <w:rPr>
                <w:rFonts w:ascii="Arial Narrow" w:eastAsiaTheme="majorEastAsia" w:hAnsi="Arial Narrow" w:cs="Times New Roman"/>
                <w:b/>
                <w:iCs/>
                <w:sz w:val="20"/>
                <w:lang w:val="en-US"/>
              </w:rPr>
              <w:t>)</w:t>
            </w:r>
          </w:p>
        </w:tc>
        <w:tc>
          <w:tcPr>
            <w:tcW w:w="1698" w:type="pct"/>
            <w:vAlign w:val="center"/>
          </w:tcPr>
          <w:p w14:paraId="68152F70" w14:textId="7335566E" w:rsidR="00D743E3" w:rsidRDefault="00D743E3" w:rsidP="00685D83">
            <w:pPr>
              <w:keepNext/>
              <w:keepLines/>
              <w:jc w:val="center"/>
              <w:rPr>
                <w:rFonts w:ascii="Arial Narrow" w:eastAsiaTheme="majorEastAsia" w:hAnsi="Arial Narrow" w:cs="Times New Roman"/>
                <w:b/>
                <w:iCs/>
                <w:sz w:val="20"/>
                <w:lang w:val="en-US"/>
              </w:rPr>
            </w:pPr>
            <w:r>
              <w:rPr>
                <w:rFonts w:ascii="Arial Narrow" w:eastAsiaTheme="majorEastAsia" w:hAnsi="Arial Narrow" w:cs="Times New Roman"/>
                <w:b/>
                <w:iCs/>
                <w:sz w:val="20"/>
                <w:lang w:val="en-US"/>
              </w:rPr>
              <w:t>Placebo</w:t>
            </w:r>
            <w:r w:rsidR="00306E37">
              <w:rPr>
                <w:rFonts w:ascii="Arial Narrow" w:eastAsiaTheme="majorEastAsia" w:hAnsi="Arial Narrow" w:cs="Times New Roman"/>
                <w:b/>
                <w:iCs/>
                <w:sz w:val="20"/>
                <w:lang w:val="en-US"/>
              </w:rPr>
              <w:t xml:space="preserve"> </w:t>
            </w:r>
          </w:p>
          <w:p w14:paraId="0FC9B8FA" w14:textId="0CF024ED" w:rsidR="00D743E3" w:rsidRPr="00DC7B06" w:rsidRDefault="00D743E3" w:rsidP="00685D83">
            <w:pPr>
              <w:keepNext/>
              <w:keepLines/>
              <w:jc w:val="center"/>
              <w:rPr>
                <w:rFonts w:ascii="Arial Narrow" w:eastAsiaTheme="majorEastAsia" w:hAnsi="Arial Narrow" w:cs="Times New Roman"/>
                <w:b/>
                <w:iCs/>
                <w:sz w:val="20"/>
                <w:lang w:val="en-US"/>
              </w:rPr>
            </w:pPr>
            <w:r w:rsidRPr="00DC7B06">
              <w:rPr>
                <w:rFonts w:ascii="Arial Narrow" w:eastAsiaTheme="majorEastAsia" w:hAnsi="Arial Narrow" w:cs="Times New Roman"/>
                <w:b/>
                <w:iCs/>
                <w:sz w:val="20"/>
                <w:lang w:val="en-US"/>
              </w:rPr>
              <w:t xml:space="preserve">(N = </w:t>
            </w:r>
            <w:r>
              <w:rPr>
                <w:rFonts w:ascii="Arial Narrow" w:eastAsiaTheme="majorEastAsia" w:hAnsi="Arial Narrow" w:cs="Times New Roman"/>
                <w:b/>
                <w:iCs/>
                <w:sz w:val="20"/>
                <w:lang w:val="en-US"/>
              </w:rPr>
              <w:t>600</w:t>
            </w:r>
            <w:r w:rsidR="00125304" w:rsidRPr="00125304">
              <w:rPr>
                <w:rFonts w:ascii="Arial Narrow" w:eastAsiaTheme="majorEastAsia" w:hAnsi="Arial Narrow" w:cs="Times New Roman"/>
                <w:b/>
                <w:iCs/>
                <w:sz w:val="20"/>
                <w:vertAlign w:val="superscript"/>
                <w:lang w:val="en-US"/>
              </w:rPr>
              <w:t>a</w:t>
            </w:r>
            <w:r w:rsidRPr="00DC7B06">
              <w:rPr>
                <w:rFonts w:ascii="Arial Narrow" w:eastAsiaTheme="majorEastAsia" w:hAnsi="Arial Narrow" w:cs="Times New Roman"/>
                <w:b/>
                <w:iCs/>
                <w:sz w:val="20"/>
                <w:lang w:val="en-US"/>
              </w:rPr>
              <w:t>)</w:t>
            </w:r>
          </w:p>
        </w:tc>
      </w:tr>
      <w:tr w:rsidR="005A61DC" w:rsidRPr="00DC7B06" w14:paraId="5435484D" w14:textId="77777777" w:rsidTr="006D0B8C">
        <w:tc>
          <w:tcPr>
            <w:tcW w:w="5000" w:type="pct"/>
            <w:gridSpan w:val="3"/>
            <w:vAlign w:val="center"/>
          </w:tcPr>
          <w:p w14:paraId="0097A22D" w14:textId="668E89C6" w:rsidR="005A61DC" w:rsidRPr="005A61DC" w:rsidRDefault="005A61DC" w:rsidP="00685D83">
            <w:pPr>
              <w:keepNext/>
              <w:widowControl w:val="0"/>
              <w:jc w:val="left"/>
              <w:rPr>
                <w:rFonts w:ascii="Arial Narrow" w:eastAsiaTheme="majorEastAsia" w:hAnsi="Arial Narrow" w:cs="Times New Roman"/>
                <w:b/>
                <w:bCs/>
                <w:iCs/>
                <w:sz w:val="20"/>
                <w:lang w:val="en-US"/>
              </w:rPr>
            </w:pPr>
            <w:r w:rsidRPr="005A61DC">
              <w:rPr>
                <w:rFonts w:ascii="Arial Narrow" w:eastAsiaTheme="majorEastAsia" w:hAnsi="Arial Narrow" w:cstheme="majorBidi"/>
                <w:b/>
                <w:bCs/>
                <w:sz w:val="20"/>
              </w:rPr>
              <w:t>Primary outcome: Incidence of new vertebral fracture</w:t>
            </w:r>
          </w:p>
        </w:tc>
      </w:tr>
      <w:tr w:rsidR="00D743E3" w:rsidRPr="00DC7B06" w14:paraId="478A2CAE" w14:textId="77777777" w:rsidTr="006D0B8C">
        <w:tc>
          <w:tcPr>
            <w:tcW w:w="1572" w:type="pct"/>
            <w:vAlign w:val="center"/>
          </w:tcPr>
          <w:p w14:paraId="0998C5D8" w14:textId="458829C7" w:rsidR="00D743E3" w:rsidRPr="00DC7B06" w:rsidRDefault="00D743E3" w:rsidP="00685D83">
            <w:pPr>
              <w:keepNext/>
              <w:widowControl w:val="0"/>
              <w:ind w:left="180"/>
              <w:jc w:val="left"/>
              <w:rPr>
                <w:rFonts w:ascii="Arial Narrow" w:eastAsiaTheme="majorEastAsia" w:hAnsi="Arial Narrow" w:cstheme="majorBidi"/>
                <w:sz w:val="20"/>
              </w:rPr>
            </w:pPr>
            <w:r>
              <w:rPr>
                <w:rFonts w:ascii="Arial Narrow" w:eastAsiaTheme="majorEastAsia" w:hAnsi="Arial Narrow" w:cstheme="majorBidi"/>
                <w:sz w:val="20"/>
              </w:rPr>
              <w:t>n (%)</w:t>
            </w:r>
          </w:p>
        </w:tc>
        <w:tc>
          <w:tcPr>
            <w:tcW w:w="1730" w:type="pct"/>
            <w:vAlign w:val="center"/>
          </w:tcPr>
          <w:p w14:paraId="44EAA890" w14:textId="77777777" w:rsidR="00D743E3" w:rsidRPr="00DC7B06" w:rsidRDefault="00D743E3" w:rsidP="00685D83">
            <w:pPr>
              <w:keepNext/>
              <w:widowControl w:val="0"/>
              <w:jc w:val="center"/>
              <w:rPr>
                <w:rFonts w:ascii="Arial Narrow" w:eastAsiaTheme="majorEastAsia" w:hAnsi="Arial Narrow" w:cstheme="majorBidi"/>
                <w:sz w:val="20"/>
              </w:rPr>
            </w:pPr>
            <w:r>
              <w:rPr>
                <w:rFonts w:ascii="Arial Narrow" w:eastAsiaTheme="majorEastAsia" w:hAnsi="Arial Narrow" w:cstheme="majorBidi"/>
                <w:sz w:val="20"/>
              </w:rPr>
              <w:t>3 (0.51)</w:t>
            </w:r>
          </w:p>
        </w:tc>
        <w:tc>
          <w:tcPr>
            <w:tcW w:w="1698" w:type="pct"/>
            <w:vAlign w:val="center"/>
          </w:tcPr>
          <w:p w14:paraId="795185E2" w14:textId="6DA8CEEB" w:rsidR="00D743E3" w:rsidRPr="00DC7B06" w:rsidRDefault="00D743E3" w:rsidP="00685D83">
            <w:pPr>
              <w:keepNext/>
              <w:widowControl w:val="0"/>
              <w:jc w:val="center"/>
              <w:rPr>
                <w:rFonts w:ascii="Arial Narrow" w:eastAsiaTheme="majorEastAsia" w:hAnsi="Arial Narrow" w:cstheme="majorBidi"/>
                <w:sz w:val="20"/>
              </w:rPr>
            </w:pPr>
            <w:r>
              <w:rPr>
                <w:rFonts w:ascii="Arial Narrow" w:eastAsiaTheme="majorEastAsia" w:hAnsi="Arial Narrow" w:cstheme="majorBidi"/>
                <w:sz w:val="20"/>
              </w:rPr>
              <w:t>25 (4.</w:t>
            </w:r>
            <w:r w:rsidR="0095753D">
              <w:rPr>
                <w:rFonts w:ascii="Arial Narrow" w:eastAsiaTheme="majorEastAsia" w:hAnsi="Arial Narrow" w:cstheme="majorBidi"/>
                <w:sz w:val="20"/>
              </w:rPr>
              <w:t>1</w:t>
            </w:r>
            <w:r>
              <w:rPr>
                <w:rFonts w:ascii="Arial Narrow" w:eastAsiaTheme="majorEastAsia" w:hAnsi="Arial Narrow" w:cstheme="majorBidi"/>
                <w:sz w:val="20"/>
              </w:rPr>
              <w:t>7)</w:t>
            </w:r>
          </w:p>
        </w:tc>
      </w:tr>
      <w:tr w:rsidR="00D743E3" w:rsidRPr="00DC7B06" w14:paraId="19EFDD77" w14:textId="77777777" w:rsidTr="006D0B8C">
        <w:tc>
          <w:tcPr>
            <w:tcW w:w="1572" w:type="pct"/>
          </w:tcPr>
          <w:p w14:paraId="43D1CCF1" w14:textId="0F2DB106" w:rsidR="00D743E3" w:rsidRPr="00DC7B06" w:rsidRDefault="00D743E3" w:rsidP="00685D83">
            <w:pPr>
              <w:keepNext/>
              <w:widowControl w:val="0"/>
              <w:ind w:left="180"/>
              <w:jc w:val="left"/>
              <w:rPr>
                <w:rFonts w:ascii="Arial Narrow" w:eastAsiaTheme="majorEastAsia" w:hAnsi="Arial Narrow" w:cstheme="majorBidi"/>
                <w:sz w:val="20"/>
              </w:rPr>
            </w:pPr>
            <w:r>
              <w:rPr>
                <w:rFonts w:ascii="Arial Narrow" w:eastAsiaTheme="majorEastAsia" w:hAnsi="Arial Narrow" w:cstheme="majorBidi"/>
                <w:sz w:val="20"/>
              </w:rPr>
              <w:t xml:space="preserve">Risk </w:t>
            </w:r>
            <w:r w:rsidR="00F20AEE">
              <w:rPr>
                <w:rFonts w:ascii="Arial Narrow" w:eastAsiaTheme="majorEastAsia" w:hAnsi="Arial Narrow" w:cstheme="majorBidi"/>
                <w:sz w:val="20"/>
              </w:rPr>
              <w:t>difference</w:t>
            </w:r>
            <w:r w:rsidR="00B67E54">
              <w:rPr>
                <w:rFonts w:ascii="Arial Narrow" w:eastAsiaTheme="majorEastAsia" w:hAnsi="Arial Narrow" w:cstheme="majorBidi"/>
                <w:sz w:val="20"/>
              </w:rPr>
              <w:t xml:space="preserve">, % </w:t>
            </w:r>
            <w:r>
              <w:rPr>
                <w:rFonts w:ascii="Arial Narrow" w:eastAsiaTheme="majorEastAsia" w:hAnsi="Arial Narrow" w:cstheme="majorBidi"/>
                <w:sz w:val="20"/>
              </w:rPr>
              <w:t>(95% CI)</w:t>
            </w:r>
          </w:p>
        </w:tc>
        <w:tc>
          <w:tcPr>
            <w:tcW w:w="3428" w:type="pct"/>
            <w:gridSpan w:val="2"/>
          </w:tcPr>
          <w:p w14:paraId="62B02106" w14:textId="77777777" w:rsidR="00D743E3" w:rsidRPr="00C84401" w:rsidRDefault="00D743E3" w:rsidP="00685D83">
            <w:pPr>
              <w:keepNext/>
              <w:widowControl w:val="0"/>
              <w:jc w:val="center"/>
              <w:rPr>
                <w:rFonts w:ascii="Arial Narrow" w:eastAsiaTheme="majorEastAsia" w:hAnsi="Arial Narrow" w:cstheme="majorBidi"/>
                <w:b/>
                <w:bCs/>
                <w:sz w:val="20"/>
              </w:rPr>
            </w:pPr>
            <w:r w:rsidRPr="00C84401">
              <w:rPr>
                <w:rFonts w:ascii="Arial Narrow" w:eastAsiaTheme="majorEastAsia" w:hAnsi="Arial Narrow" w:cstheme="majorBidi"/>
                <w:b/>
                <w:bCs/>
                <w:sz w:val="20"/>
              </w:rPr>
              <w:t>-3.65 (-5.59, -2.00)</w:t>
            </w:r>
          </w:p>
        </w:tc>
      </w:tr>
      <w:tr w:rsidR="00D743E3" w:rsidRPr="00DC7B06" w14:paraId="3EBA7C7F" w14:textId="77777777" w:rsidTr="006D0B8C">
        <w:tc>
          <w:tcPr>
            <w:tcW w:w="1572" w:type="pct"/>
          </w:tcPr>
          <w:p w14:paraId="220FE27E" w14:textId="7FB9B275" w:rsidR="00D743E3" w:rsidRDefault="00D743E3" w:rsidP="00685D83">
            <w:pPr>
              <w:keepNext/>
              <w:widowControl w:val="0"/>
              <w:ind w:left="180"/>
              <w:jc w:val="left"/>
              <w:rPr>
                <w:rFonts w:ascii="Arial Narrow" w:eastAsiaTheme="majorEastAsia" w:hAnsi="Arial Narrow" w:cstheme="majorBidi"/>
                <w:sz w:val="20"/>
              </w:rPr>
            </w:pPr>
            <w:r>
              <w:rPr>
                <w:rFonts w:ascii="Arial Narrow" w:eastAsiaTheme="majorEastAsia" w:hAnsi="Arial Narrow" w:cstheme="majorBidi"/>
                <w:sz w:val="20"/>
              </w:rPr>
              <w:t>Relative risk reduction</w:t>
            </w:r>
            <w:r w:rsidR="004039A7" w:rsidRPr="004039A7">
              <w:rPr>
                <w:rFonts w:ascii="Arial Narrow" w:eastAsiaTheme="majorEastAsia" w:hAnsi="Arial Narrow" w:cstheme="majorBidi"/>
                <w:sz w:val="20"/>
                <w:vertAlign w:val="superscript"/>
              </w:rPr>
              <w:t>b</w:t>
            </w:r>
            <w:r>
              <w:rPr>
                <w:rFonts w:ascii="Arial Narrow" w:eastAsiaTheme="majorEastAsia" w:hAnsi="Arial Narrow" w:cstheme="majorBidi"/>
                <w:sz w:val="20"/>
              </w:rPr>
              <w:t xml:space="preserve"> (95% CI)</w:t>
            </w:r>
          </w:p>
        </w:tc>
        <w:tc>
          <w:tcPr>
            <w:tcW w:w="3428" w:type="pct"/>
            <w:gridSpan w:val="2"/>
            <w:vAlign w:val="center"/>
          </w:tcPr>
          <w:p w14:paraId="5670C175" w14:textId="77777777" w:rsidR="00D743E3" w:rsidRPr="00C84401" w:rsidRDefault="00D743E3" w:rsidP="00685D83">
            <w:pPr>
              <w:keepNext/>
              <w:widowControl w:val="0"/>
              <w:jc w:val="center"/>
              <w:rPr>
                <w:rFonts w:ascii="Arial Narrow" w:eastAsiaTheme="majorEastAsia" w:hAnsi="Arial Narrow" w:cstheme="majorBidi"/>
                <w:b/>
                <w:bCs/>
                <w:sz w:val="20"/>
              </w:rPr>
            </w:pPr>
            <w:r w:rsidRPr="00C84401">
              <w:rPr>
                <w:rFonts w:ascii="Arial Narrow" w:eastAsiaTheme="majorEastAsia" w:hAnsi="Arial Narrow" w:cstheme="majorBidi"/>
                <w:b/>
                <w:bCs/>
                <w:sz w:val="20"/>
              </w:rPr>
              <w:t>-0.88 (-0.96, -0.59)</w:t>
            </w:r>
          </w:p>
        </w:tc>
      </w:tr>
      <w:tr w:rsidR="00D743E3" w:rsidRPr="00DC7B06" w14:paraId="5B82909D" w14:textId="77777777" w:rsidTr="006D0B8C">
        <w:tc>
          <w:tcPr>
            <w:tcW w:w="1572" w:type="pct"/>
          </w:tcPr>
          <w:p w14:paraId="1346E98F" w14:textId="67ED34E7" w:rsidR="00D743E3" w:rsidRDefault="00D743E3" w:rsidP="00685D83">
            <w:pPr>
              <w:keepNext/>
              <w:widowControl w:val="0"/>
              <w:ind w:left="180"/>
              <w:jc w:val="left"/>
              <w:rPr>
                <w:rFonts w:ascii="Arial Narrow" w:eastAsiaTheme="majorEastAsia" w:hAnsi="Arial Narrow" w:cstheme="majorBidi"/>
                <w:sz w:val="20"/>
              </w:rPr>
            </w:pPr>
            <w:r>
              <w:rPr>
                <w:rFonts w:ascii="Arial Narrow" w:eastAsiaTheme="majorEastAsia" w:hAnsi="Arial Narrow" w:cstheme="majorBidi"/>
                <w:sz w:val="20"/>
              </w:rPr>
              <w:t>Risk ratio</w:t>
            </w:r>
            <w:r w:rsidR="00125304" w:rsidRPr="00125304">
              <w:rPr>
                <w:rFonts w:ascii="Arial Narrow" w:eastAsiaTheme="majorEastAsia" w:hAnsi="Arial Narrow" w:cstheme="majorBidi"/>
                <w:sz w:val="20"/>
                <w:vertAlign w:val="superscript"/>
              </w:rPr>
              <w:t>c</w:t>
            </w:r>
            <w:r>
              <w:rPr>
                <w:rFonts w:ascii="Arial Narrow" w:eastAsiaTheme="majorEastAsia" w:hAnsi="Arial Narrow" w:cstheme="majorBidi"/>
                <w:sz w:val="20"/>
              </w:rPr>
              <w:t xml:space="preserve"> (95% CI)</w:t>
            </w:r>
          </w:p>
        </w:tc>
        <w:tc>
          <w:tcPr>
            <w:tcW w:w="3428" w:type="pct"/>
            <w:gridSpan w:val="2"/>
            <w:vAlign w:val="center"/>
          </w:tcPr>
          <w:p w14:paraId="227AC920" w14:textId="77777777" w:rsidR="00D743E3" w:rsidRPr="00C84401" w:rsidRDefault="00D743E3" w:rsidP="00685D83">
            <w:pPr>
              <w:keepNext/>
              <w:widowControl w:val="0"/>
              <w:jc w:val="center"/>
              <w:rPr>
                <w:rFonts w:ascii="Arial Narrow" w:eastAsiaTheme="majorEastAsia" w:hAnsi="Arial Narrow" w:cstheme="majorBidi"/>
                <w:b/>
                <w:bCs/>
                <w:sz w:val="20"/>
              </w:rPr>
            </w:pPr>
            <w:r w:rsidRPr="00C84401">
              <w:rPr>
                <w:rFonts w:ascii="Arial Narrow" w:eastAsiaTheme="majorEastAsia" w:hAnsi="Arial Narrow" w:cstheme="majorBidi"/>
                <w:b/>
                <w:bCs/>
                <w:sz w:val="20"/>
              </w:rPr>
              <w:t>0.12 (0.04, 0.41)</w:t>
            </w:r>
          </w:p>
        </w:tc>
      </w:tr>
      <w:tr w:rsidR="00D743E3" w:rsidRPr="00DC7B06" w14:paraId="572471F8" w14:textId="77777777" w:rsidTr="006D0B8C">
        <w:tc>
          <w:tcPr>
            <w:tcW w:w="1572" w:type="pct"/>
          </w:tcPr>
          <w:p w14:paraId="3AF2B585" w14:textId="12136401" w:rsidR="00D743E3" w:rsidRPr="00DC7B06" w:rsidRDefault="00D743E3" w:rsidP="00685D83">
            <w:pPr>
              <w:keepNext/>
              <w:widowControl w:val="0"/>
              <w:ind w:left="180"/>
              <w:jc w:val="left"/>
              <w:rPr>
                <w:rFonts w:ascii="Arial Narrow" w:eastAsiaTheme="majorEastAsia" w:hAnsi="Arial Narrow" w:cstheme="majorBidi"/>
                <w:sz w:val="20"/>
              </w:rPr>
            </w:pPr>
            <w:r>
              <w:rPr>
                <w:rFonts w:ascii="Arial Narrow" w:eastAsiaTheme="majorEastAsia" w:hAnsi="Arial Narrow" w:cstheme="majorBidi"/>
                <w:sz w:val="20"/>
              </w:rPr>
              <w:t>p-value</w:t>
            </w:r>
            <w:r w:rsidR="00125304" w:rsidRPr="00125304">
              <w:rPr>
                <w:rFonts w:ascii="Arial Narrow" w:eastAsiaTheme="majorEastAsia" w:hAnsi="Arial Narrow" w:cstheme="majorBidi"/>
                <w:sz w:val="20"/>
                <w:vertAlign w:val="superscript"/>
              </w:rPr>
              <w:t>d</w:t>
            </w:r>
          </w:p>
        </w:tc>
        <w:tc>
          <w:tcPr>
            <w:tcW w:w="3428" w:type="pct"/>
            <w:gridSpan w:val="2"/>
            <w:vAlign w:val="center"/>
          </w:tcPr>
          <w:p w14:paraId="0C2A8B08" w14:textId="77777777" w:rsidR="00D743E3" w:rsidRPr="00E14FBD" w:rsidRDefault="00D743E3" w:rsidP="00685D83">
            <w:pPr>
              <w:keepNext/>
              <w:widowControl w:val="0"/>
              <w:jc w:val="center"/>
              <w:rPr>
                <w:rFonts w:ascii="Arial Narrow" w:eastAsiaTheme="majorEastAsia" w:hAnsi="Arial Narrow" w:cstheme="majorBidi"/>
                <w:b/>
                <w:bCs/>
                <w:sz w:val="20"/>
              </w:rPr>
            </w:pPr>
            <w:r w:rsidRPr="00E14FBD">
              <w:rPr>
                <w:rFonts w:ascii="Arial Narrow" w:eastAsiaTheme="majorEastAsia" w:hAnsi="Arial Narrow" w:cstheme="majorBidi"/>
                <w:b/>
                <w:bCs/>
                <w:sz w:val="20"/>
              </w:rPr>
              <w:t>&lt; 0.0001</w:t>
            </w:r>
          </w:p>
        </w:tc>
      </w:tr>
      <w:tr w:rsidR="008302F1" w:rsidRPr="00DC7B06" w14:paraId="2BC6C4B2" w14:textId="77777777" w:rsidTr="006D0B8C">
        <w:tc>
          <w:tcPr>
            <w:tcW w:w="1572" w:type="pct"/>
            <w:vAlign w:val="center"/>
          </w:tcPr>
          <w:p w14:paraId="7380837D" w14:textId="77777777" w:rsidR="008302F1" w:rsidRPr="00DC7B06" w:rsidRDefault="008302F1" w:rsidP="00685D83">
            <w:pPr>
              <w:keepNext/>
              <w:keepLines/>
              <w:ind w:left="180"/>
              <w:jc w:val="left"/>
              <w:rPr>
                <w:rFonts w:ascii="Arial Narrow" w:eastAsiaTheme="majorEastAsia" w:hAnsi="Arial Narrow" w:cs="Times New Roman"/>
                <w:b/>
                <w:iCs/>
                <w:sz w:val="20"/>
                <w:lang w:val="en-US"/>
              </w:rPr>
            </w:pPr>
          </w:p>
        </w:tc>
        <w:tc>
          <w:tcPr>
            <w:tcW w:w="1730" w:type="pct"/>
            <w:vAlign w:val="center"/>
          </w:tcPr>
          <w:p w14:paraId="24413518" w14:textId="77777777" w:rsidR="008302F1" w:rsidRDefault="008302F1" w:rsidP="00685D83">
            <w:pPr>
              <w:keepNext/>
              <w:keepLines/>
              <w:jc w:val="center"/>
              <w:rPr>
                <w:rFonts w:ascii="Arial Narrow" w:eastAsiaTheme="majorEastAsia" w:hAnsi="Arial Narrow" w:cs="Times New Roman"/>
                <w:b/>
                <w:iCs/>
                <w:sz w:val="20"/>
                <w:lang w:val="en-US"/>
              </w:rPr>
            </w:pPr>
            <w:r>
              <w:rPr>
                <w:rFonts w:ascii="Arial Narrow" w:eastAsiaTheme="majorEastAsia" w:hAnsi="Arial Narrow" w:cs="Times New Roman"/>
                <w:b/>
                <w:iCs/>
                <w:sz w:val="20"/>
                <w:lang w:val="en-US"/>
              </w:rPr>
              <w:t>Abaloparatide</w:t>
            </w:r>
          </w:p>
          <w:p w14:paraId="749E95BC" w14:textId="73C5522A" w:rsidR="008302F1" w:rsidRPr="00DC7B06" w:rsidRDefault="008302F1" w:rsidP="00685D83">
            <w:pPr>
              <w:keepNext/>
              <w:keepLines/>
              <w:jc w:val="center"/>
              <w:rPr>
                <w:rFonts w:ascii="Arial Narrow" w:eastAsiaTheme="majorEastAsia" w:hAnsi="Arial Narrow" w:cs="Times New Roman"/>
                <w:b/>
                <w:iCs/>
                <w:sz w:val="20"/>
                <w:lang w:val="en-US"/>
              </w:rPr>
            </w:pPr>
            <w:r w:rsidRPr="00DC7B06">
              <w:rPr>
                <w:rFonts w:ascii="Arial Narrow" w:eastAsiaTheme="majorEastAsia" w:hAnsi="Arial Narrow" w:cs="Times New Roman"/>
                <w:b/>
                <w:iCs/>
                <w:sz w:val="20"/>
                <w:lang w:val="en-US"/>
              </w:rPr>
              <w:t xml:space="preserve">(N = </w:t>
            </w:r>
            <w:r>
              <w:rPr>
                <w:rFonts w:ascii="Arial Narrow" w:eastAsiaTheme="majorEastAsia" w:hAnsi="Arial Narrow" w:cs="Times New Roman"/>
                <w:b/>
                <w:iCs/>
                <w:sz w:val="20"/>
                <w:lang w:val="en-US"/>
              </w:rPr>
              <w:t>696</w:t>
            </w:r>
            <w:r w:rsidR="00125304" w:rsidRPr="00125304">
              <w:rPr>
                <w:rFonts w:ascii="Arial Narrow" w:eastAsiaTheme="majorEastAsia" w:hAnsi="Arial Narrow" w:cs="Times New Roman"/>
                <w:b/>
                <w:iCs/>
                <w:sz w:val="20"/>
                <w:vertAlign w:val="superscript"/>
                <w:lang w:val="en-US"/>
              </w:rPr>
              <w:t>e</w:t>
            </w:r>
            <w:r>
              <w:rPr>
                <w:rFonts w:ascii="Arial Narrow" w:eastAsiaTheme="majorEastAsia" w:hAnsi="Arial Narrow" w:cs="Times New Roman"/>
                <w:b/>
                <w:iCs/>
                <w:sz w:val="20"/>
                <w:lang w:val="en-US"/>
              </w:rPr>
              <w:t>)</w:t>
            </w:r>
          </w:p>
        </w:tc>
        <w:tc>
          <w:tcPr>
            <w:tcW w:w="1698" w:type="pct"/>
            <w:vAlign w:val="center"/>
          </w:tcPr>
          <w:p w14:paraId="02E33A19" w14:textId="543C52D4" w:rsidR="008302F1" w:rsidRDefault="008302F1" w:rsidP="00685D83">
            <w:pPr>
              <w:keepNext/>
              <w:keepLines/>
              <w:jc w:val="center"/>
              <w:rPr>
                <w:rFonts w:ascii="Arial Narrow" w:eastAsiaTheme="majorEastAsia" w:hAnsi="Arial Narrow" w:cs="Times New Roman"/>
                <w:b/>
                <w:iCs/>
                <w:sz w:val="20"/>
                <w:lang w:val="en-US"/>
              </w:rPr>
            </w:pPr>
            <w:r>
              <w:rPr>
                <w:rFonts w:ascii="Arial Narrow" w:eastAsiaTheme="majorEastAsia" w:hAnsi="Arial Narrow" w:cs="Times New Roman"/>
                <w:b/>
                <w:iCs/>
                <w:sz w:val="20"/>
                <w:lang w:val="en-US"/>
              </w:rPr>
              <w:t>Placebo</w:t>
            </w:r>
            <w:r w:rsidR="00306E37">
              <w:rPr>
                <w:rFonts w:ascii="Arial Narrow" w:eastAsiaTheme="majorEastAsia" w:hAnsi="Arial Narrow" w:cs="Times New Roman"/>
                <w:b/>
                <w:iCs/>
                <w:sz w:val="20"/>
                <w:lang w:val="en-US"/>
              </w:rPr>
              <w:t xml:space="preserve"> </w:t>
            </w:r>
          </w:p>
          <w:p w14:paraId="62387AAA" w14:textId="73EE0CB1" w:rsidR="008302F1" w:rsidRPr="00DC7B06" w:rsidRDefault="008302F1" w:rsidP="00685D83">
            <w:pPr>
              <w:keepNext/>
              <w:keepLines/>
              <w:jc w:val="center"/>
              <w:rPr>
                <w:rFonts w:ascii="Arial Narrow" w:eastAsiaTheme="majorEastAsia" w:hAnsi="Arial Narrow" w:cs="Times New Roman"/>
                <w:b/>
                <w:iCs/>
                <w:sz w:val="20"/>
                <w:lang w:val="en-US"/>
              </w:rPr>
            </w:pPr>
            <w:r w:rsidRPr="00DC7B06">
              <w:rPr>
                <w:rFonts w:ascii="Arial Narrow" w:eastAsiaTheme="majorEastAsia" w:hAnsi="Arial Narrow" w:cs="Times New Roman"/>
                <w:b/>
                <w:iCs/>
                <w:sz w:val="20"/>
                <w:lang w:val="en-US"/>
              </w:rPr>
              <w:t xml:space="preserve">(N = </w:t>
            </w:r>
            <w:r>
              <w:rPr>
                <w:rFonts w:ascii="Arial Narrow" w:eastAsiaTheme="majorEastAsia" w:hAnsi="Arial Narrow" w:cs="Times New Roman"/>
                <w:b/>
                <w:iCs/>
                <w:sz w:val="20"/>
                <w:lang w:val="en-US"/>
              </w:rPr>
              <w:t>688</w:t>
            </w:r>
            <w:r w:rsidR="00125304" w:rsidRPr="00125304">
              <w:rPr>
                <w:rFonts w:ascii="Arial Narrow" w:eastAsiaTheme="majorEastAsia" w:hAnsi="Arial Narrow" w:cs="Times New Roman"/>
                <w:b/>
                <w:iCs/>
                <w:sz w:val="20"/>
                <w:vertAlign w:val="superscript"/>
                <w:lang w:val="en-US"/>
              </w:rPr>
              <w:t>e</w:t>
            </w:r>
            <w:r w:rsidRPr="00DC7B06">
              <w:rPr>
                <w:rFonts w:ascii="Arial Narrow" w:eastAsiaTheme="majorEastAsia" w:hAnsi="Arial Narrow" w:cs="Times New Roman"/>
                <w:b/>
                <w:iCs/>
                <w:sz w:val="20"/>
                <w:lang w:val="en-US"/>
              </w:rPr>
              <w:t>)</w:t>
            </w:r>
          </w:p>
        </w:tc>
      </w:tr>
      <w:tr w:rsidR="008302F1" w:rsidRPr="00DC7B06" w14:paraId="2ECDA7ED" w14:textId="77777777" w:rsidTr="006D0B8C">
        <w:tc>
          <w:tcPr>
            <w:tcW w:w="5000" w:type="pct"/>
            <w:gridSpan w:val="3"/>
            <w:vAlign w:val="center"/>
          </w:tcPr>
          <w:p w14:paraId="0374B197" w14:textId="0AB54FA0" w:rsidR="008302F1" w:rsidRPr="005A61DC" w:rsidRDefault="00121834" w:rsidP="00685D83">
            <w:pPr>
              <w:keepNext/>
              <w:keepLines/>
              <w:rPr>
                <w:rFonts w:ascii="Arial Narrow" w:eastAsiaTheme="majorEastAsia" w:hAnsi="Arial Narrow" w:cs="Times New Roman"/>
                <w:b/>
                <w:iCs/>
                <w:sz w:val="20"/>
                <w:lang w:val="en-US"/>
              </w:rPr>
            </w:pPr>
            <w:r>
              <w:rPr>
                <w:rFonts w:ascii="Arial Narrow" w:eastAsiaTheme="majorEastAsia" w:hAnsi="Arial Narrow" w:cs="Times New Roman"/>
                <w:b/>
                <w:iCs/>
                <w:sz w:val="20"/>
                <w:lang w:val="en-US"/>
              </w:rPr>
              <w:t>Key se</w:t>
            </w:r>
            <w:r w:rsidR="008302F1" w:rsidRPr="005A61DC">
              <w:rPr>
                <w:rFonts w:ascii="Arial Narrow" w:eastAsiaTheme="majorEastAsia" w:hAnsi="Arial Narrow" w:cs="Times New Roman"/>
                <w:b/>
                <w:iCs/>
                <w:sz w:val="20"/>
                <w:lang w:val="en-US"/>
              </w:rPr>
              <w:t>condary outcome:</w:t>
            </w:r>
            <w:r w:rsidR="005A61DC" w:rsidRPr="005A61DC">
              <w:rPr>
                <w:rFonts w:ascii="Arial Narrow" w:eastAsiaTheme="majorEastAsia" w:hAnsi="Arial Narrow" w:cs="Times New Roman"/>
                <w:b/>
                <w:iCs/>
                <w:sz w:val="20"/>
                <w:lang w:val="en-US"/>
              </w:rPr>
              <w:t xml:space="preserve"> </w:t>
            </w:r>
            <w:r w:rsidR="008302F1" w:rsidRPr="005A61DC">
              <w:rPr>
                <w:rFonts w:ascii="Arial Narrow" w:eastAsiaTheme="majorEastAsia" w:hAnsi="Arial Narrow" w:cs="Times New Roman"/>
                <w:b/>
                <w:iCs/>
                <w:sz w:val="20"/>
                <w:lang w:val="en-US"/>
              </w:rPr>
              <w:t>Time to first incidence of nonvertebral fracture</w:t>
            </w:r>
            <w:r w:rsidR="00125304" w:rsidRPr="0068343E">
              <w:rPr>
                <w:rFonts w:ascii="Arial Narrow" w:eastAsiaTheme="majorEastAsia" w:hAnsi="Arial Narrow" w:cs="Times New Roman"/>
                <w:b/>
                <w:iCs/>
                <w:sz w:val="20"/>
                <w:vertAlign w:val="superscript"/>
                <w:lang w:val="en-US"/>
              </w:rPr>
              <w:t>f</w:t>
            </w:r>
          </w:p>
        </w:tc>
      </w:tr>
      <w:tr w:rsidR="008302F1" w:rsidRPr="00DC7B06" w14:paraId="26884091" w14:textId="77777777" w:rsidTr="006D0B8C">
        <w:tc>
          <w:tcPr>
            <w:tcW w:w="1572" w:type="pct"/>
            <w:vAlign w:val="center"/>
          </w:tcPr>
          <w:p w14:paraId="22B0002C" w14:textId="77777777" w:rsidR="008302F1" w:rsidRPr="00DC7B06" w:rsidRDefault="008302F1" w:rsidP="00685D83">
            <w:pPr>
              <w:keepNext/>
              <w:widowControl w:val="0"/>
              <w:jc w:val="left"/>
              <w:rPr>
                <w:rFonts w:ascii="Arial Narrow" w:eastAsiaTheme="majorEastAsia" w:hAnsi="Arial Narrow" w:cstheme="majorBidi"/>
                <w:sz w:val="20"/>
              </w:rPr>
            </w:pPr>
            <w:r>
              <w:rPr>
                <w:rFonts w:ascii="Arial Narrow" w:eastAsiaTheme="majorEastAsia" w:hAnsi="Arial Narrow" w:cstheme="majorBidi"/>
                <w:sz w:val="20"/>
              </w:rPr>
              <w:t>KM event rate % (95% CI)</w:t>
            </w:r>
          </w:p>
        </w:tc>
        <w:tc>
          <w:tcPr>
            <w:tcW w:w="1730" w:type="pct"/>
          </w:tcPr>
          <w:p w14:paraId="55035FFD" w14:textId="77777777" w:rsidR="008302F1" w:rsidRPr="00597E5F" w:rsidRDefault="008302F1" w:rsidP="00685D83">
            <w:pPr>
              <w:keepNext/>
              <w:widowControl w:val="0"/>
              <w:jc w:val="center"/>
              <w:rPr>
                <w:rFonts w:ascii="Arial Narrow" w:eastAsiaTheme="majorEastAsia" w:hAnsi="Arial Narrow" w:cstheme="majorBidi"/>
                <w:sz w:val="20"/>
                <w:szCs w:val="20"/>
              </w:rPr>
            </w:pPr>
            <w:r w:rsidRPr="00597E5F">
              <w:rPr>
                <w:rFonts w:ascii="Arial Narrow" w:hAnsi="Arial Narrow"/>
                <w:sz w:val="20"/>
                <w:szCs w:val="20"/>
              </w:rPr>
              <w:t>2.7 (1.63,</w:t>
            </w:r>
            <w:r w:rsidRPr="00597E5F">
              <w:rPr>
                <w:rFonts w:ascii="Arial Narrow" w:hAnsi="Arial Narrow"/>
                <w:spacing w:val="-3"/>
                <w:sz w:val="20"/>
                <w:szCs w:val="20"/>
              </w:rPr>
              <w:t xml:space="preserve"> </w:t>
            </w:r>
            <w:r w:rsidRPr="00597E5F">
              <w:rPr>
                <w:rFonts w:ascii="Arial Narrow" w:hAnsi="Arial Narrow"/>
                <w:spacing w:val="-4"/>
                <w:sz w:val="20"/>
                <w:szCs w:val="20"/>
              </w:rPr>
              <w:t>4.44)</w:t>
            </w:r>
          </w:p>
        </w:tc>
        <w:tc>
          <w:tcPr>
            <w:tcW w:w="1698" w:type="pct"/>
          </w:tcPr>
          <w:p w14:paraId="7D865C1A" w14:textId="77777777" w:rsidR="008302F1" w:rsidRPr="00597E5F" w:rsidRDefault="008302F1" w:rsidP="00685D83">
            <w:pPr>
              <w:keepNext/>
              <w:widowControl w:val="0"/>
              <w:jc w:val="center"/>
              <w:rPr>
                <w:rFonts w:ascii="Arial Narrow" w:eastAsiaTheme="majorEastAsia" w:hAnsi="Arial Narrow" w:cstheme="majorBidi"/>
                <w:sz w:val="20"/>
                <w:szCs w:val="20"/>
              </w:rPr>
            </w:pPr>
            <w:r w:rsidRPr="00597E5F">
              <w:rPr>
                <w:rFonts w:ascii="Arial Narrow" w:hAnsi="Arial Narrow"/>
                <w:color w:val="000000"/>
                <w:sz w:val="20"/>
                <w:szCs w:val="20"/>
                <w:lang w:val="en-GB" w:eastAsia="en-GB"/>
              </w:rPr>
              <w:t>3.6 (2.33, 5.42)</w:t>
            </w:r>
          </w:p>
        </w:tc>
      </w:tr>
      <w:tr w:rsidR="008302F1" w:rsidRPr="00DC7B06" w14:paraId="2245414C" w14:textId="77777777" w:rsidTr="006D0B8C">
        <w:tc>
          <w:tcPr>
            <w:tcW w:w="1572" w:type="pct"/>
            <w:vAlign w:val="center"/>
          </w:tcPr>
          <w:p w14:paraId="5421BC89" w14:textId="77777777" w:rsidR="008302F1" w:rsidRDefault="008302F1" w:rsidP="00685D83">
            <w:pPr>
              <w:keepNext/>
              <w:widowControl w:val="0"/>
              <w:jc w:val="left"/>
              <w:rPr>
                <w:rFonts w:ascii="Arial Narrow" w:eastAsiaTheme="majorEastAsia" w:hAnsi="Arial Narrow" w:cstheme="majorBidi"/>
                <w:sz w:val="20"/>
              </w:rPr>
            </w:pPr>
            <w:r>
              <w:rPr>
                <w:rFonts w:ascii="Arial Narrow" w:eastAsiaTheme="majorEastAsia" w:hAnsi="Arial Narrow" w:cstheme="majorBidi"/>
                <w:sz w:val="20"/>
              </w:rPr>
              <w:t>Patients with events, n (%)</w:t>
            </w:r>
          </w:p>
        </w:tc>
        <w:tc>
          <w:tcPr>
            <w:tcW w:w="1730" w:type="pct"/>
          </w:tcPr>
          <w:p w14:paraId="2D4AC703" w14:textId="77777777" w:rsidR="008302F1" w:rsidRPr="00597E5F" w:rsidRDefault="008302F1" w:rsidP="00685D83">
            <w:pPr>
              <w:keepNext/>
              <w:widowControl w:val="0"/>
              <w:jc w:val="center"/>
              <w:rPr>
                <w:rFonts w:ascii="Arial Narrow" w:eastAsiaTheme="majorEastAsia" w:hAnsi="Arial Narrow" w:cstheme="majorBidi"/>
                <w:sz w:val="20"/>
                <w:szCs w:val="20"/>
              </w:rPr>
            </w:pPr>
            <w:r w:rsidRPr="00597E5F">
              <w:rPr>
                <w:rFonts w:ascii="Arial Narrow" w:hAnsi="Arial Narrow"/>
                <w:sz w:val="20"/>
                <w:szCs w:val="20"/>
              </w:rPr>
              <w:t>15 (2.2)</w:t>
            </w:r>
          </w:p>
        </w:tc>
        <w:tc>
          <w:tcPr>
            <w:tcW w:w="1698" w:type="pct"/>
          </w:tcPr>
          <w:p w14:paraId="28C17F81" w14:textId="77777777" w:rsidR="008302F1" w:rsidRPr="00597E5F" w:rsidRDefault="008302F1" w:rsidP="00685D83">
            <w:pPr>
              <w:keepNext/>
              <w:widowControl w:val="0"/>
              <w:jc w:val="center"/>
              <w:rPr>
                <w:rFonts w:ascii="Arial Narrow" w:eastAsiaTheme="majorEastAsia" w:hAnsi="Arial Narrow" w:cstheme="majorBidi"/>
                <w:sz w:val="20"/>
                <w:szCs w:val="20"/>
              </w:rPr>
            </w:pPr>
            <w:r w:rsidRPr="00597E5F">
              <w:rPr>
                <w:rFonts w:ascii="Arial Narrow" w:hAnsi="Arial Narrow"/>
                <w:sz w:val="20"/>
                <w:szCs w:val="20"/>
              </w:rPr>
              <w:t>21 (3.1)</w:t>
            </w:r>
          </w:p>
        </w:tc>
      </w:tr>
      <w:tr w:rsidR="008302F1" w:rsidRPr="00DC7B06" w14:paraId="43B330D7" w14:textId="77777777" w:rsidTr="006D0B8C">
        <w:tc>
          <w:tcPr>
            <w:tcW w:w="1572" w:type="pct"/>
            <w:vAlign w:val="center"/>
          </w:tcPr>
          <w:p w14:paraId="55E6B462" w14:textId="7772EA28" w:rsidR="008302F1" w:rsidRDefault="008302F1" w:rsidP="00685D83">
            <w:pPr>
              <w:keepNext/>
              <w:widowControl w:val="0"/>
              <w:jc w:val="left"/>
              <w:rPr>
                <w:rFonts w:ascii="Arial Narrow" w:eastAsiaTheme="majorEastAsia" w:hAnsi="Arial Narrow" w:cstheme="majorBidi"/>
                <w:sz w:val="20"/>
              </w:rPr>
            </w:pPr>
            <w:r>
              <w:rPr>
                <w:rFonts w:ascii="Arial Narrow" w:eastAsiaTheme="majorEastAsia" w:hAnsi="Arial Narrow" w:cstheme="majorBidi"/>
                <w:sz w:val="20"/>
              </w:rPr>
              <w:t>Censored patients</w:t>
            </w:r>
            <w:r w:rsidR="00125304" w:rsidRPr="00125304">
              <w:rPr>
                <w:rFonts w:ascii="Arial Narrow" w:eastAsiaTheme="majorEastAsia" w:hAnsi="Arial Narrow" w:cstheme="majorBidi"/>
                <w:sz w:val="20"/>
                <w:vertAlign w:val="superscript"/>
              </w:rPr>
              <w:t>g</w:t>
            </w:r>
            <w:r>
              <w:rPr>
                <w:rFonts w:ascii="Arial Narrow" w:eastAsiaTheme="majorEastAsia" w:hAnsi="Arial Narrow" w:cstheme="majorBidi"/>
                <w:sz w:val="20"/>
              </w:rPr>
              <w:t>, n (%)</w:t>
            </w:r>
          </w:p>
        </w:tc>
        <w:tc>
          <w:tcPr>
            <w:tcW w:w="1730" w:type="pct"/>
          </w:tcPr>
          <w:p w14:paraId="0EA30126" w14:textId="77777777" w:rsidR="008302F1" w:rsidRPr="00597E5F" w:rsidRDefault="008302F1" w:rsidP="00685D83">
            <w:pPr>
              <w:keepNext/>
              <w:widowControl w:val="0"/>
              <w:jc w:val="center"/>
              <w:rPr>
                <w:rFonts w:ascii="Arial Narrow" w:eastAsiaTheme="majorEastAsia" w:hAnsi="Arial Narrow" w:cstheme="majorBidi"/>
                <w:sz w:val="20"/>
                <w:szCs w:val="20"/>
              </w:rPr>
            </w:pPr>
            <w:r w:rsidRPr="00597E5F">
              <w:rPr>
                <w:rFonts w:ascii="Arial Narrow" w:hAnsi="Arial Narrow"/>
                <w:sz w:val="20"/>
                <w:szCs w:val="20"/>
              </w:rPr>
              <w:t>681(97.8)</w:t>
            </w:r>
          </w:p>
        </w:tc>
        <w:tc>
          <w:tcPr>
            <w:tcW w:w="1698" w:type="pct"/>
          </w:tcPr>
          <w:p w14:paraId="1E6FD7B6" w14:textId="77777777" w:rsidR="008302F1" w:rsidRPr="00597E5F" w:rsidRDefault="008302F1" w:rsidP="00685D83">
            <w:pPr>
              <w:keepNext/>
              <w:widowControl w:val="0"/>
              <w:jc w:val="center"/>
              <w:rPr>
                <w:rFonts w:ascii="Arial Narrow" w:eastAsiaTheme="majorEastAsia" w:hAnsi="Arial Narrow" w:cstheme="majorBidi"/>
                <w:sz w:val="20"/>
                <w:szCs w:val="20"/>
              </w:rPr>
            </w:pPr>
            <w:r w:rsidRPr="00597E5F">
              <w:rPr>
                <w:rFonts w:ascii="Arial Narrow" w:hAnsi="Arial Narrow"/>
                <w:sz w:val="20"/>
                <w:szCs w:val="20"/>
              </w:rPr>
              <w:t>667 (96.9)</w:t>
            </w:r>
          </w:p>
        </w:tc>
      </w:tr>
      <w:tr w:rsidR="008302F1" w:rsidRPr="00DC7B06" w14:paraId="54AE70FA" w14:textId="77777777" w:rsidTr="006D0B8C">
        <w:tc>
          <w:tcPr>
            <w:tcW w:w="1572" w:type="pct"/>
          </w:tcPr>
          <w:p w14:paraId="6EBDE0FF" w14:textId="4803242A" w:rsidR="008302F1" w:rsidRPr="00DC7B06" w:rsidRDefault="008302F1" w:rsidP="00685D83">
            <w:pPr>
              <w:keepNext/>
              <w:widowControl w:val="0"/>
              <w:jc w:val="left"/>
              <w:rPr>
                <w:rFonts w:ascii="Arial Narrow" w:eastAsiaTheme="majorEastAsia" w:hAnsi="Arial Narrow" w:cstheme="majorBidi"/>
                <w:sz w:val="20"/>
              </w:rPr>
            </w:pPr>
            <w:r w:rsidRPr="00AE7AF3">
              <w:rPr>
                <w:rFonts w:ascii="Arial Narrow" w:eastAsiaTheme="majorEastAsia" w:hAnsi="Arial Narrow" w:cstheme="majorBidi"/>
                <w:sz w:val="20"/>
              </w:rPr>
              <w:t>ARR %</w:t>
            </w:r>
            <w:r w:rsidR="001C2CDD" w:rsidRPr="00AE7AF3">
              <w:rPr>
                <w:rFonts w:ascii="Arial Narrow" w:eastAsiaTheme="majorEastAsia" w:hAnsi="Arial Narrow" w:cstheme="majorBidi"/>
                <w:sz w:val="20"/>
              </w:rPr>
              <w:t xml:space="preserve"> </w:t>
            </w:r>
            <w:r w:rsidRPr="00AE7AF3">
              <w:rPr>
                <w:rFonts w:ascii="Arial Narrow" w:eastAsiaTheme="majorEastAsia" w:hAnsi="Arial Narrow" w:cstheme="majorBidi"/>
                <w:sz w:val="20"/>
              </w:rPr>
              <w:t>(</w:t>
            </w:r>
            <w:r>
              <w:rPr>
                <w:rFonts w:ascii="Arial Narrow" w:eastAsiaTheme="majorEastAsia" w:hAnsi="Arial Narrow" w:cstheme="majorBidi"/>
                <w:sz w:val="20"/>
              </w:rPr>
              <w:t>95% CI)</w:t>
            </w:r>
          </w:p>
        </w:tc>
        <w:tc>
          <w:tcPr>
            <w:tcW w:w="3428" w:type="pct"/>
            <w:gridSpan w:val="2"/>
          </w:tcPr>
          <w:p w14:paraId="056D7F04" w14:textId="3B8F29F6" w:rsidR="008302F1" w:rsidRPr="00597E5F" w:rsidRDefault="008302F1" w:rsidP="00685D83">
            <w:pPr>
              <w:keepNext/>
              <w:widowControl w:val="0"/>
              <w:jc w:val="center"/>
              <w:rPr>
                <w:rFonts w:ascii="Arial Narrow" w:eastAsiaTheme="majorEastAsia" w:hAnsi="Arial Narrow" w:cstheme="majorBidi"/>
                <w:sz w:val="20"/>
                <w:szCs w:val="20"/>
              </w:rPr>
            </w:pPr>
            <w:r w:rsidRPr="00597E5F">
              <w:rPr>
                <w:rFonts w:ascii="Arial Narrow" w:hAnsi="Arial Narrow"/>
                <w:sz w:val="20"/>
                <w:szCs w:val="20"/>
              </w:rPr>
              <w:t>–0.87 (–2.89, 1.15)</w:t>
            </w:r>
          </w:p>
        </w:tc>
      </w:tr>
      <w:tr w:rsidR="008302F1" w:rsidRPr="00DC7B06" w14:paraId="5C5DBE16" w14:textId="77777777" w:rsidTr="006D0B8C">
        <w:tc>
          <w:tcPr>
            <w:tcW w:w="1572" w:type="pct"/>
          </w:tcPr>
          <w:p w14:paraId="43310D53" w14:textId="120021DA" w:rsidR="008302F1" w:rsidRDefault="008302F1" w:rsidP="00685D83">
            <w:pPr>
              <w:keepNext/>
              <w:widowControl w:val="0"/>
              <w:jc w:val="left"/>
              <w:rPr>
                <w:rFonts w:ascii="Arial Narrow" w:eastAsiaTheme="majorEastAsia" w:hAnsi="Arial Narrow" w:cstheme="majorBidi"/>
                <w:sz w:val="20"/>
              </w:rPr>
            </w:pPr>
            <w:r>
              <w:rPr>
                <w:rFonts w:ascii="Arial Narrow" w:eastAsiaTheme="majorEastAsia" w:hAnsi="Arial Narrow" w:cstheme="majorBidi"/>
                <w:sz w:val="20"/>
              </w:rPr>
              <w:t>HR (95% CI)</w:t>
            </w:r>
          </w:p>
        </w:tc>
        <w:tc>
          <w:tcPr>
            <w:tcW w:w="3428" w:type="pct"/>
            <w:gridSpan w:val="2"/>
            <w:vAlign w:val="center"/>
          </w:tcPr>
          <w:p w14:paraId="4BD8EF36" w14:textId="7E499FE0" w:rsidR="008302F1" w:rsidRPr="00597E5F" w:rsidRDefault="008302F1" w:rsidP="00685D83">
            <w:pPr>
              <w:keepNext/>
              <w:widowControl w:val="0"/>
              <w:jc w:val="center"/>
              <w:rPr>
                <w:rFonts w:ascii="Arial Narrow" w:eastAsiaTheme="majorEastAsia" w:hAnsi="Arial Narrow" w:cstheme="majorBidi"/>
                <w:sz w:val="20"/>
                <w:szCs w:val="20"/>
              </w:rPr>
            </w:pPr>
            <w:r w:rsidRPr="00597E5F">
              <w:rPr>
                <w:rFonts w:ascii="Arial Narrow" w:hAnsi="Arial Narrow"/>
                <w:sz w:val="20"/>
                <w:szCs w:val="20"/>
              </w:rPr>
              <w:t>0.74 (0.38, 1.43)</w:t>
            </w:r>
          </w:p>
        </w:tc>
      </w:tr>
      <w:tr w:rsidR="008302F1" w:rsidRPr="00DC7B06" w14:paraId="3595D8A7" w14:textId="77777777" w:rsidTr="006D0B8C">
        <w:tc>
          <w:tcPr>
            <w:tcW w:w="1572" w:type="pct"/>
          </w:tcPr>
          <w:p w14:paraId="1352392C" w14:textId="77777777" w:rsidR="008302F1" w:rsidRPr="00DC7B06" w:rsidRDefault="008302F1" w:rsidP="00685D83">
            <w:pPr>
              <w:keepNext/>
              <w:widowControl w:val="0"/>
              <w:ind w:left="29"/>
              <w:jc w:val="left"/>
              <w:rPr>
                <w:rFonts w:ascii="Arial Narrow" w:eastAsiaTheme="majorEastAsia" w:hAnsi="Arial Narrow" w:cstheme="majorBidi"/>
                <w:sz w:val="20"/>
              </w:rPr>
            </w:pPr>
            <w:r>
              <w:rPr>
                <w:rFonts w:ascii="Arial Narrow" w:eastAsiaTheme="majorEastAsia" w:hAnsi="Arial Narrow" w:cstheme="majorBidi"/>
                <w:sz w:val="20"/>
              </w:rPr>
              <w:t>p-value</w:t>
            </w:r>
          </w:p>
        </w:tc>
        <w:tc>
          <w:tcPr>
            <w:tcW w:w="3428" w:type="pct"/>
            <w:gridSpan w:val="2"/>
            <w:vAlign w:val="center"/>
          </w:tcPr>
          <w:p w14:paraId="54680508" w14:textId="77777777" w:rsidR="008302F1" w:rsidRPr="00597E5F" w:rsidRDefault="008302F1" w:rsidP="00685D83">
            <w:pPr>
              <w:keepNext/>
              <w:widowControl w:val="0"/>
              <w:jc w:val="center"/>
              <w:rPr>
                <w:rFonts w:ascii="Arial Narrow" w:eastAsiaTheme="majorEastAsia" w:hAnsi="Arial Narrow" w:cstheme="majorBidi"/>
                <w:sz w:val="20"/>
                <w:szCs w:val="20"/>
              </w:rPr>
            </w:pPr>
            <w:r w:rsidRPr="00597E5F">
              <w:rPr>
                <w:rFonts w:ascii="Arial Narrow" w:hAnsi="Arial Narrow"/>
                <w:sz w:val="20"/>
                <w:szCs w:val="20"/>
              </w:rPr>
              <w:t>0.3675</w:t>
            </w:r>
          </w:p>
        </w:tc>
      </w:tr>
      <w:tr w:rsidR="008302F1" w:rsidRPr="00DC7B06" w14:paraId="6F028A45" w14:textId="77777777" w:rsidTr="006D0B8C">
        <w:tc>
          <w:tcPr>
            <w:tcW w:w="5000" w:type="pct"/>
            <w:gridSpan w:val="3"/>
            <w:vAlign w:val="center"/>
          </w:tcPr>
          <w:p w14:paraId="50A542DA" w14:textId="30E34DB1" w:rsidR="008302F1" w:rsidRPr="005A61DC" w:rsidRDefault="00121834" w:rsidP="00685D83">
            <w:pPr>
              <w:keepNext/>
              <w:keepLines/>
              <w:rPr>
                <w:rFonts w:ascii="Arial Narrow" w:eastAsiaTheme="majorEastAsia" w:hAnsi="Arial Narrow" w:cs="Times New Roman"/>
                <w:b/>
                <w:iCs/>
                <w:sz w:val="20"/>
                <w:szCs w:val="20"/>
                <w:lang w:val="en-US"/>
              </w:rPr>
            </w:pPr>
            <w:r>
              <w:rPr>
                <w:rFonts w:ascii="Arial Narrow" w:eastAsiaTheme="majorEastAsia" w:hAnsi="Arial Narrow" w:cs="Times New Roman"/>
                <w:b/>
                <w:iCs/>
                <w:sz w:val="20"/>
                <w:lang w:val="en-US"/>
              </w:rPr>
              <w:t>Key s</w:t>
            </w:r>
            <w:r w:rsidR="008302F1" w:rsidRPr="005A61DC">
              <w:rPr>
                <w:rFonts w:ascii="Arial Narrow" w:eastAsiaTheme="majorEastAsia" w:hAnsi="Arial Narrow" w:cs="Times New Roman"/>
                <w:b/>
                <w:iCs/>
                <w:sz w:val="20"/>
                <w:lang w:val="en-US"/>
              </w:rPr>
              <w:t>econdary outcome:</w:t>
            </w:r>
            <w:r w:rsidR="005A61DC" w:rsidRPr="005A61DC">
              <w:rPr>
                <w:rFonts w:ascii="Arial Narrow" w:eastAsiaTheme="majorEastAsia" w:hAnsi="Arial Narrow" w:cs="Times New Roman"/>
                <w:b/>
                <w:iCs/>
                <w:sz w:val="20"/>
                <w:lang w:val="en-US"/>
              </w:rPr>
              <w:t xml:space="preserve"> </w:t>
            </w:r>
            <w:r w:rsidR="008302F1" w:rsidRPr="005A61DC">
              <w:rPr>
                <w:rFonts w:ascii="Arial Narrow" w:eastAsiaTheme="majorEastAsia" w:hAnsi="Arial Narrow" w:cs="Times New Roman"/>
                <w:b/>
                <w:iCs/>
                <w:sz w:val="20"/>
                <w:lang w:val="en-US"/>
              </w:rPr>
              <w:t>Time to first incidence of c</w:t>
            </w:r>
            <w:r w:rsidR="008302F1" w:rsidRPr="005A61DC">
              <w:rPr>
                <w:rFonts w:ascii="Arial Narrow" w:eastAsiaTheme="majorEastAsia" w:hAnsi="Arial Narrow" w:cs="Times New Roman"/>
                <w:b/>
                <w:iCs/>
                <w:sz w:val="20"/>
                <w:szCs w:val="20"/>
                <w:lang w:val="en-US"/>
              </w:rPr>
              <w:t>linical fracture</w:t>
            </w:r>
            <w:r w:rsidR="00125304" w:rsidRPr="005A61DC">
              <w:rPr>
                <w:rFonts w:ascii="Arial Narrow" w:eastAsiaTheme="majorEastAsia" w:hAnsi="Arial Narrow" w:cs="Times New Roman"/>
                <w:b/>
                <w:iCs/>
                <w:sz w:val="20"/>
                <w:szCs w:val="20"/>
                <w:vertAlign w:val="superscript"/>
                <w:lang w:val="en-US"/>
              </w:rPr>
              <w:t>h</w:t>
            </w:r>
          </w:p>
        </w:tc>
      </w:tr>
      <w:tr w:rsidR="008302F1" w:rsidRPr="00DC7B06" w14:paraId="6258D565" w14:textId="77777777" w:rsidTr="006D0B8C">
        <w:tc>
          <w:tcPr>
            <w:tcW w:w="1572" w:type="pct"/>
            <w:vAlign w:val="center"/>
          </w:tcPr>
          <w:p w14:paraId="4F7F7A8B" w14:textId="77777777" w:rsidR="008302F1" w:rsidRPr="00DC7B06" w:rsidRDefault="008302F1" w:rsidP="00685D83">
            <w:pPr>
              <w:keepNext/>
              <w:widowControl w:val="0"/>
              <w:jc w:val="left"/>
              <w:rPr>
                <w:rFonts w:ascii="Arial Narrow" w:eastAsiaTheme="majorEastAsia" w:hAnsi="Arial Narrow" w:cstheme="majorBidi"/>
                <w:sz w:val="20"/>
              </w:rPr>
            </w:pPr>
            <w:r>
              <w:rPr>
                <w:rFonts w:ascii="Arial Narrow" w:eastAsiaTheme="majorEastAsia" w:hAnsi="Arial Narrow" w:cstheme="majorBidi"/>
                <w:sz w:val="20"/>
              </w:rPr>
              <w:t>KM event rate % (95% CI)</w:t>
            </w:r>
          </w:p>
        </w:tc>
        <w:tc>
          <w:tcPr>
            <w:tcW w:w="1730" w:type="pct"/>
          </w:tcPr>
          <w:p w14:paraId="688CFB8A" w14:textId="77777777" w:rsidR="008302F1" w:rsidRPr="00597E5F" w:rsidRDefault="008302F1" w:rsidP="00685D83">
            <w:pPr>
              <w:keepNext/>
              <w:widowControl w:val="0"/>
              <w:jc w:val="center"/>
              <w:rPr>
                <w:rFonts w:ascii="Arial Narrow" w:eastAsiaTheme="majorEastAsia" w:hAnsi="Arial Narrow" w:cstheme="majorBidi"/>
                <w:sz w:val="20"/>
                <w:szCs w:val="20"/>
              </w:rPr>
            </w:pPr>
            <w:r w:rsidRPr="00597E5F">
              <w:rPr>
                <w:rFonts w:ascii="Arial Narrow" w:hAnsi="Arial Narrow"/>
                <w:sz w:val="20"/>
                <w:szCs w:val="20"/>
              </w:rPr>
              <w:t>3.8 (2.46, 5.71)</w:t>
            </w:r>
          </w:p>
        </w:tc>
        <w:tc>
          <w:tcPr>
            <w:tcW w:w="1698" w:type="pct"/>
          </w:tcPr>
          <w:p w14:paraId="039ABD32" w14:textId="77777777" w:rsidR="008302F1" w:rsidRPr="00597E5F" w:rsidRDefault="008302F1" w:rsidP="00685D83">
            <w:pPr>
              <w:keepNext/>
              <w:widowControl w:val="0"/>
              <w:jc w:val="center"/>
              <w:rPr>
                <w:rFonts w:ascii="Arial Narrow" w:eastAsiaTheme="majorEastAsia" w:hAnsi="Arial Narrow" w:cstheme="majorBidi"/>
                <w:sz w:val="20"/>
                <w:szCs w:val="20"/>
              </w:rPr>
            </w:pPr>
            <w:r w:rsidRPr="00597E5F">
              <w:rPr>
                <w:rFonts w:ascii="Arial Narrow" w:hAnsi="Arial Narrow"/>
                <w:sz w:val="20"/>
                <w:szCs w:val="20"/>
              </w:rPr>
              <w:t>7.4 (4.49, 12.06)</w:t>
            </w:r>
          </w:p>
        </w:tc>
      </w:tr>
      <w:tr w:rsidR="008302F1" w:rsidRPr="00DC7B06" w14:paraId="615BE6C2" w14:textId="77777777" w:rsidTr="006D0B8C">
        <w:tc>
          <w:tcPr>
            <w:tcW w:w="1572" w:type="pct"/>
            <w:vAlign w:val="center"/>
          </w:tcPr>
          <w:p w14:paraId="04FF604F" w14:textId="77777777" w:rsidR="008302F1" w:rsidRDefault="008302F1" w:rsidP="00685D83">
            <w:pPr>
              <w:keepNext/>
              <w:widowControl w:val="0"/>
              <w:jc w:val="left"/>
              <w:rPr>
                <w:rFonts w:ascii="Arial Narrow" w:eastAsiaTheme="majorEastAsia" w:hAnsi="Arial Narrow" w:cstheme="majorBidi"/>
                <w:sz w:val="20"/>
              </w:rPr>
            </w:pPr>
            <w:r>
              <w:rPr>
                <w:rFonts w:ascii="Arial Narrow" w:eastAsiaTheme="majorEastAsia" w:hAnsi="Arial Narrow" w:cstheme="majorBidi"/>
                <w:sz w:val="20"/>
              </w:rPr>
              <w:t>Patients with events, n (%)</w:t>
            </w:r>
          </w:p>
        </w:tc>
        <w:tc>
          <w:tcPr>
            <w:tcW w:w="1730" w:type="pct"/>
          </w:tcPr>
          <w:p w14:paraId="541E574B" w14:textId="77777777" w:rsidR="008302F1" w:rsidRPr="00597E5F" w:rsidRDefault="008302F1" w:rsidP="00685D83">
            <w:pPr>
              <w:keepNext/>
              <w:widowControl w:val="0"/>
              <w:jc w:val="center"/>
              <w:rPr>
                <w:rFonts w:ascii="Arial Narrow" w:eastAsiaTheme="majorEastAsia" w:hAnsi="Arial Narrow" w:cstheme="majorBidi"/>
                <w:sz w:val="20"/>
                <w:szCs w:val="20"/>
              </w:rPr>
            </w:pPr>
            <w:r w:rsidRPr="00597E5F">
              <w:rPr>
                <w:rFonts w:ascii="Arial Narrow" w:hAnsi="Arial Narrow"/>
                <w:sz w:val="20"/>
                <w:szCs w:val="20"/>
              </w:rPr>
              <w:t>21 (3.0)</w:t>
            </w:r>
          </w:p>
        </w:tc>
        <w:tc>
          <w:tcPr>
            <w:tcW w:w="1698" w:type="pct"/>
          </w:tcPr>
          <w:p w14:paraId="2B07B29C" w14:textId="77777777" w:rsidR="008302F1" w:rsidRPr="00597E5F" w:rsidRDefault="008302F1" w:rsidP="00685D83">
            <w:pPr>
              <w:keepNext/>
              <w:widowControl w:val="0"/>
              <w:jc w:val="center"/>
              <w:rPr>
                <w:rFonts w:ascii="Arial Narrow" w:eastAsiaTheme="majorEastAsia" w:hAnsi="Arial Narrow" w:cstheme="majorBidi"/>
                <w:sz w:val="20"/>
                <w:szCs w:val="20"/>
              </w:rPr>
            </w:pPr>
            <w:r w:rsidRPr="00597E5F">
              <w:rPr>
                <w:rFonts w:ascii="Arial Narrow" w:hAnsi="Arial Narrow"/>
                <w:sz w:val="20"/>
                <w:szCs w:val="20"/>
              </w:rPr>
              <w:t>35 (5.1)</w:t>
            </w:r>
          </w:p>
        </w:tc>
      </w:tr>
      <w:tr w:rsidR="008302F1" w:rsidRPr="00DC7B06" w14:paraId="7603CFB7" w14:textId="77777777" w:rsidTr="006D0B8C">
        <w:tc>
          <w:tcPr>
            <w:tcW w:w="1572" w:type="pct"/>
            <w:vAlign w:val="center"/>
          </w:tcPr>
          <w:p w14:paraId="1DB08362" w14:textId="77777777" w:rsidR="008302F1" w:rsidRDefault="008302F1" w:rsidP="00685D83">
            <w:pPr>
              <w:keepNext/>
              <w:widowControl w:val="0"/>
              <w:jc w:val="left"/>
              <w:rPr>
                <w:rFonts w:ascii="Arial Narrow" w:eastAsiaTheme="majorEastAsia" w:hAnsi="Arial Narrow" w:cstheme="majorBidi"/>
                <w:sz w:val="20"/>
              </w:rPr>
            </w:pPr>
            <w:r>
              <w:rPr>
                <w:rFonts w:ascii="Arial Narrow" w:eastAsiaTheme="majorEastAsia" w:hAnsi="Arial Narrow" w:cstheme="majorBidi"/>
                <w:sz w:val="20"/>
              </w:rPr>
              <w:t>Censored patients, n (%)</w:t>
            </w:r>
          </w:p>
        </w:tc>
        <w:tc>
          <w:tcPr>
            <w:tcW w:w="1730" w:type="pct"/>
          </w:tcPr>
          <w:p w14:paraId="17AD1774" w14:textId="77777777" w:rsidR="008302F1" w:rsidRPr="00597E5F" w:rsidRDefault="008302F1" w:rsidP="00685D83">
            <w:pPr>
              <w:keepNext/>
              <w:widowControl w:val="0"/>
              <w:jc w:val="center"/>
              <w:rPr>
                <w:rFonts w:ascii="Arial Narrow" w:eastAsiaTheme="majorEastAsia" w:hAnsi="Arial Narrow" w:cstheme="majorBidi"/>
                <w:sz w:val="20"/>
                <w:szCs w:val="20"/>
              </w:rPr>
            </w:pPr>
            <w:r w:rsidRPr="00597E5F">
              <w:rPr>
                <w:rFonts w:ascii="Arial Narrow" w:hAnsi="Arial Narrow"/>
                <w:sz w:val="20"/>
                <w:szCs w:val="20"/>
              </w:rPr>
              <w:t>675 (97.0)</w:t>
            </w:r>
          </w:p>
        </w:tc>
        <w:tc>
          <w:tcPr>
            <w:tcW w:w="1698" w:type="pct"/>
          </w:tcPr>
          <w:p w14:paraId="6669703D" w14:textId="77777777" w:rsidR="008302F1" w:rsidRPr="00597E5F" w:rsidRDefault="008302F1" w:rsidP="00685D83">
            <w:pPr>
              <w:keepNext/>
              <w:widowControl w:val="0"/>
              <w:jc w:val="center"/>
              <w:rPr>
                <w:rFonts w:ascii="Arial Narrow" w:eastAsiaTheme="majorEastAsia" w:hAnsi="Arial Narrow" w:cstheme="majorBidi"/>
                <w:sz w:val="20"/>
                <w:szCs w:val="20"/>
              </w:rPr>
            </w:pPr>
            <w:r w:rsidRPr="00597E5F">
              <w:rPr>
                <w:rFonts w:ascii="Arial Narrow" w:hAnsi="Arial Narrow"/>
                <w:sz w:val="20"/>
                <w:szCs w:val="20"/>
              </w:rPr>
              <w:t>653 (94.9)</w:t>
            </w:r>
          </w:p>
        </w:tc>
      </w:tr>
      <w:tr w:rsidR="008302F1" w:rsidRPr="00DC7B06" w14:paraId="5B11F0BF" w14:textId="77777777" w:rsidTr="006D0B8C">
        <w:tc>
          <w:tcPr>
            <w:tcW w:w="1572" w:type="pct"/>
          </w:tcPr>
          <w:p w14:paraId="5FF44DAC" w14:textId="05F89835" w:rsidR="008302F1" w:rsidRPr="00DC7B06" w:rsidRDefault="008302F1" w:rsidP="00685D83">
            <w:pPr>
              <w:keepNext/>
              <w:widowControl w:val="0"/>
              <w:ind w:left="29"/>
              <w:jc w:val="left"/>
              <w:rPr>
                <w:rFonts w:ascii="Arial Narrow" w:eastAsiaTheme="majorEastAsia" w:hAnsi="Arial Narrow" w:cstheme="majorBidi"/>
                <w:sz w:val="20"/>
              </w:rPr>
            </w:pPr>
            <w:r>
              <w:rPr>
                <w:rFonts w:ascii="Arial Narrow" w:eastAsiaTheme="majorEastAsia" w:hAnsi="Arial Narrow" w:cstheme="majorBidi"/>
                <w:sz w:val="20"/>
              </w:rPr>
              <w:t>ARR %</w:t>
            </w:r>
            <w:r w:rsidR="001C2CDD">
              <w:rPr>
                <w:rFonts w:ascii="Arial Narrow" w:eastAsiaTheme="majorEastAsia" w:hAnsi="Arial Narrow" w:cstheme="majorBidi"/>
                <w:sz w:val="20"/>
              </w:rPr>
              <w:t xml:space="preserve"> </w:t>
            </w:r>
            <w:r>
              <w:rPr>
                <w:rFonts w:ascii="Arial Narrow" w:eastAsiaTheme="majorEastAsia" w:hAnsi="Arial Narrow" w:cstheme="majorBidi"/>
                <w:sz w:val="20"/>
              </w:rPr>
              <w:t>(95% CI)</w:t>
            </w:r>
          </w:p>
        </w:tc>
        <w:tc>
          <w:tcPr>
            <w:tcW w:w="3428" w:type="pct"/>
            <w:gridSpan w:val="2"/>
          </w:tcPr>
          <w:p w14:paraId="3A549CD8" w14:textId="2475CBF1" w:rsidR="008302F1" w:rsidRPr="00597E5F" w:rsidRDefault="008302F1" w:rsidP="00685D83">
            <w:pPr>
              <w:keepNext/>
              <w:widowControl w:val="0"/>
              <w:tabs>
                <w:tab w:val="left" w:pos="2216"/>
              </w:tabs>
              <w:jc w:val="center"/>
              <w:rPr>
                <w:rFonts w:ascii="Arial Narrow" w:eastAsiaTheme="majorEastAsia" w:hAnsi="Arial Narrow" w:cstheme="majorBidi"/>
                <w:sz w:val="20"/>
                <w:szCs w:val="20"/>
              </w:rPr>
            </w:pPr>
            <w:r w:rsidRPr="00597E5F">
              <w:rPr>
                <w:rFonts w:ascii="Arial Narrow" w:hAnsi="Arial Narrow"/>
                <w:sz w:val="20"/>
                <w:szCs w:val="20"/>
              </w:rPr>
              <w:t>–3.64</w:t>
            </w:r>
            <w:r w:rsidR="001C2CDD">
              <w:rPr>
                <w:rFonts w:ascii="Arial Narrow" w:hAnsi="Arial Narrow"/>
                <w:sz w:val="20"/>
                <w:szCs w:val="20"/>
              </w:rPr>
              <w:t xml:space="preserve"> </w:t>
            </w:r>
            <w:r w:rsidRPr="00597E5F">
              <w:rPr>
                <w:rFonts w:ascii="Arial Narrow" w:hAnsi="Arial Narrow"/>
                <w:sz w:val="20"/>
                <w:szCs w:val="20"/>
              </w:rPr>
              <w:t>(–7.63, 0.35)</w:t>
            </w:r>
          </w:p>
        </w:tc>
      </w:tr>
      <w:tr w:rsidR="008302F1" w:rsidRPr="00DC7B06" w14:paraId="1C7D6ACE" w14:textId="77777777" w:rsidTr="006D0B8C">
        <w:tc>
          <w:tcPr>
            <w:tcW w:w="1572" w:type="pct"/>
          </w:tcPr>
          <w:p w14:paraId="5A4DA6E7" w14:textId="2A1F58AD" w:rsidR="008302F1" w:rsidRDefault="008302F1" w:rsidP="00685D83">
            <w:pPr>
              <w:keepNext/>
              <w:widowControl w:val="0"/>
              <w:ind w:left="29"/>
              <w:jc w:val="left"/>
              <w:rPr>
                <w:rFonts w:ascii="Arial Narrow" w:eastAsiaTheme="majorEastAsia" w:hAnsi="Arial Narrow" w:cstheme="majorBidi"/>
                <w:sz w:val="20"/>
              </w:rPr>
            </w:pPr>
            <w:r>
              <w:rPr>
                <w:rFonts w:ascii="Arial Narrow" w:eastAsiaTheme="majorEastAsia" w:hAnsi="Arial Narrow" w:cstheme="majorBidi"/>
                <w:sz w:val="20"/>
              </w:rPr>
              <w:t>HR (95% CI)</w:t>
            </w:r>
          </w:p>
        </w:tc>
        <w:tc>
          <w:tcPr>
            <w:tcW w:w="3428" w:type="pct"/>
            <w:gridSpan w:val="2"/>
            <w:vAlign w:val="center"/>
          </w:tcPr>
          <w:p w14:paraId="7008CBC0" w14:textId="4910F85C" w:rsidR="008302F1" w:rsidRPr="00597E5F" w:rsidRDefault="008302F1" w:rsidP="00685D83">
            <w:pPr>
              <w:keepNext/>
              <w:widowControl w:val="0"/>
              <w:jc w:val="center"/>
              <w:rPr>
                <w:rFonts w:ascii="Arial Narrow" w:eastAsiaTheme="majorEastAsia" w:hAnsi="Arial Narrow" w:cstheme="majorBidi"/>
                <w:sz w:val="20"/>
                <w:szCs w:val="20"/>
              </w:rPr>
            </w:pPr>
            <w:r w:rsidRPr="00597E5F">
              <w:rPr>
                <w:rFonts w:ascii="Arial Narrow" w:hAnsi="Arial Narrow"/>
                <w:sz w:val="20"/>
                <w:szCs w:val="20"/>
              </w:rPr>
              <w:t>0.61</w:t>
            </w:r>
            <w:r w:rsidR="001C2CDD">
              <w:rPr>
                <w:rFonts w:ascii="Arial Narrow" w:hAnsi="Arial Narrow"/>
                <w:sz w:val="20"/>
                <w:szCs w:val="20"/>
              </w:rPr>
              <w:t xml:space="preserve"> </w:t>
            </w:r>
            <w:r w:rsidRPr="00597E5F">
              <w:rPr>
                <w:rFonts w:ascii="Arial Narrow" w:hAnsi="Arial Narrow"/>
                <w:sz w:val="20"/>
                <w:szCs w:val="20"/>
              </w:rPr>
              <w:t>(0.36, 1.06)</w:t>
            </w:r>
          </w:p>
        </w:tc>
      </w:tr>
      <w:tr w:rsidR="008302F1" w:rsidRPr="00DC7B06" w14:paraId="571EF161" w14:textId="77777777" w:rsidTr="006D0B8C">
        <w:tc>
          <w:tcPr>
            <w:tcW w:w="1572" w:type="pct"/>
          </w:tcPr>
          <w:p w14:paraId="1277239A" w14:textId="77777777" w:rsidR="008302F1" w:rsidRPr="00DC7B06" w:rsidRDefault="008302F1" w:rsidP="00685D83">
            <w:pPr>
              <w:keepNext/>
              <w:widowControl w:val="0"/>
              <w:ind w:left="29"/>
              <w:jc w:val="left"/>
              <w:rPr>
                <w:rFonts w:ascii="Arial Narrow" w:eastAsiaTheme="majorEastAsia" w:hAnsi="Arial Narrow" w:cstheme="majorBidi"/>
                <w:sz w:val="20"/>
              </w:rPr>
            </w:pPr>
            <w:r>
              <w:rPr>
                <w:rFonts w:ascii="Arial Narrow" w:eastAsiaTheme="majorEastAsia" w:hAnsi="Arial Narrow" w:cstheme="majorBidi"/>
                <w:sz w:val="20"/>
              </w:rPr>
              <w:t>p-value</w:t>
            </w:r>
          </w:p>
        </w:tc>
        <w:tc>
          <w:tcPr>
            <w:tcW w:w="3428" w:type="pct"/>
            <w:gridSpan w:val="2"/>
            <w:vAlign w:val="center"/>
          </w:tcPr>
          <w:p w14:paraId="7F9D7859" w14:textId="77777777" w:rsidR="008302F1" w:rsidRPr="00597E5F" w:rsidRDefault="008302F1" w:rsidP="00685D83">
            <w:pPr>
              <w:keepNext/>
              <w:widowControl w:val="0"/>
              <w:jc w:val="center"/>
              <w:rPr>
                <w:rFonts w:ascii="Arial Narrow" w:eastAsiaTheme="majorEastAsia" w:hAnsi="Arial Narrow" w:cstheme="majorBidi"/>
                <w:sz w:val="20"/>
                <w:szCs w:val="20"/>
              </w:rPr>
            </w:pPr>
            <w:r w:rsidRPr="00597E5F">
              <w:rPr>
                <w:rFonts w:ascii="Arial Narrow" w:hAnsi="Arial Narrow"/>
                <w:sz w:val="20"/>
                <w:szCs w:val="20"/>
              </w:rPr>
              <w:t>0.0753</w:t>
            </w:r>
          </w:p>
        </w:tc>
      </w:tr>
    </w:tbl>
    <w:p w14:paraId="588DA1F8" w14:textId="36D2750F" w:rsidR="008302F1" w:rsidRDefault="008302F1" w:rsidP="00F25E15">
      <w:pPr>
        <w:rPr>
          <w:rFonts w:ascii="Arial Narrow" w:hAnsi="Arial Narrow"/>
          <w:sz w:val="18"/>
          <w:szCs w:val="18"/>
        </w:rPr>
      </w:pPr>
      <w:r w:rsidRPr="00E7658D">
        <w:rPr>
          <w:rFonts w:ascii="Arial Narrow" w:hAnsi="Arial Narrow"/>
          <w:sz w:val="18"/>
          <w:szCs w:val="18"/>
        </w:rPr>
        <w:t>Source: Table 2-21</w:t>
      </w:r>
      <w:r>
        <w:rPr>
          <w:rFonts w:ascii="Arial Narrow" w:hAnsi="Arial Narrow"/>
          <w:sz w:val="18"/>
          <w:szCs w:val="18"/>
        </w:rPr>
        <w:t xml:space="preserve"> &amp;</w:t>
      </w:r>
      <w:r w:rsidRPr="00E7658D">
        <w:rPr>
          <w:rFonts w:ascii="Arial Narrow" w:hAnsi="Arial Narrow"/>
          <w:sz w:val="18"/>
          <w:szCs w:val="18"/>
        </w:rPr>
        <w:t xml:space="preserve"> </w:t>
      </w:r>
      <w:r w:rsidRPr="00597E5F">
        <w:rPr>
          <w:rFonts w:ascii="Arial Narrow" w:hAnsi="Arial Narrow"/>
          <w:sz w:val="18"/>
          <w:szCs w:val="18"/>
        </w:rPr>
        <w:t>Table 2-24</w:t>
      </w:r>
      <w:r>
        <w:rPr>
          <w:rFonts w:ascii="Arial Narrow" w:hAnsi="Arial Narrow"/>
          <w:sz w:val="18"/>
          <w:szCs w:val="18"/>
        </w:rPr>
        <w:t xml:space="preserve">, </w:t>
      </w:r>
      <w:r w:rsidRPr="00E7658D">
        <w:rPr>
          <w:rFonts w:ascii="Arial Narrow" w:hAnsi="Arial Narrow"/>
          <w:sz w:val="18"/>
          <w:szCs w:val="18"/>
        </w:rPr>
        <w:t>p</w:t>
      </w:r>
      <w:r>
        <w:rPr>
          <w:rFonts w:ascii="Arial Narrow" w:hAnsi="Arial Narrow"/>
          <w:sz w:val="18"/>
          <w:szCs w:val="18"/>
        </w:rPr>
        <w:t>p</w:t>
      </w:r>
      <w:r w:rsidRPr="00E7658D">
        <w:rPr>
          <w:rFonts w:ascii="Arial Narrow" w:hAnsi="Arial Narrow"/>
          <w:sz w:val="18"/>
          <w:szCs w:val="18"/>
        </w:rPr>
        <w:t>88</w:t>
      </w:r>
      <w:r>
        <w:rPr>
          <w:rFonts w:ascii="Arial Narrow" w:hAnsi="Arial Narrow"/>
          <w:sz w:val="18"/>
          <w:szCs w:val="18"/>
        </w:rPr>
        <w:t>,94</w:t>
      </w:r>
      <w:r w:rsidRPr="00E7658D">
        <w:rPr>
          <w:rFonts w:ascii="Arial Narrow" w:hAnsi="Arial Narrow"/>
          <w:sz w:val="18"/>
          <w:szCs w:val="18"/>
        </w:rPr>
        <w:t xml:space="preserve"> of the submission; Table 7, </w:t>
      </w:r>
      <w:r w:rsidRPr="00597E5F">
        <w:rPr>
          <w:rFonts w:ascii="Arial Narrow" w:hAnsi="Arial Narrow"/>
          <w:sz w:val="18"/>
          <w:szCs w:val="18"/>
        </w:rPr>
        <w:t xml:space="preserve">Table 9 </w:t>
      </w:r>
      <w:r>
        <w:rPr>
          <w:rFonts w:ascii="Arial Narrow" w:hAnsi="Arial Narrow"/>
          <w:sz w:val="18"/>
          <w:szCs w:val="18"/>
        </w:rPr>
        <w:t>&amp;</w:t>
      </w:r>
      <w:r w:rsidRPr="00597E5F">
        <w:rPr>
          <w:rFonts w:ascii="Arial Narrow" w:hAnsi="Arial Narrow"/>
          <w:sz w:val="18"/>
          <w:szCs w:val="18"/>
        </w:rPr>
        <w:t xml:space="preserve"> Table 10</w:t>
      </w:r>
      <w:r>
        <w:rPr>
          <w:rFonts w:ascii="Arial Narrow" w:hAnsi="Arial Narrow"/>
          <w:sz w:val="18"/>
          <w:szCs w:val="18"/>
        </w:rPr>
        <w:t>, p</w:t>
      </w:r>
      <w:r w:rsidRPr="00E7658D">
        <w:rPr>
          <w:rFonts w:ascii="Arial Narrow" w:hAnsi="Arial Narrow"/>
          <w:sz w:val="18"/>
          <w:szCs w:val="18"/>
        </w:rPr>
        <w:t>p26</w:t>
      </w:r>
      <w:r>
        <w:rPr>
          <w:rFonts w:ascii="Arial Narrow" w:hAnsi="Arial Narrow"/>
          <w:sz w:val="18"/>
          <w:szCs w:val="18"/>
        </w:rPr>
        <w:t>,31 &amp; 36</w:t>
      </w:r>
      <w:r w:rsidRPr="00E7658D">
        <w:rPr>
          <w:rFonts w:ascii="Arial Narrow" w:hAnsi="Arial Narrow"/>
          <w:sz w:val="18"/>
          <w:szCs w:val="18"/>
        </w:rPr>
        <w:t xml:space="preserve"> of the ACTIVE Clinical Study Report Addendum</w:t>
      </w:r>
    </w:p>
    <w:p w14:paraId="44161D13" w14:textId="6C0D5D63" w:rsidR="004039A7" w:rsidRDefault="004039A7" w:rsidP="004039A7">
      <w:pPr>
        <w:rPr>
          <w:rFonts w:ascii="Arial Narrow" w:hAnsi="Arial Narrow"/>
          <w:sz w:val="18"/>
          <w:szCs w:val="18"/>
        </w:rPr>
      </w:pPr>
      <w:r w:rsidRPr="004039A7">
        <w:rPr>
          <w:rFonts w:ascii="Arial Narrow" w:hAnsi="Arial Narrow"/>
          <w:sz w:val="18"/>
          <w:szCs w:val="18"/>
        </w:rPr>
        <w:t xml:space="preserve">ARR = absolute risk reduction; CI = confidence interval; </w:t>
      </w:r>
      <w:r>
        <w:rPr>
          <w:rFonts w:ascii="Arial Narrow" w:hAnsi="Arial Narrow"/>
          <w:sz w:val="18"/>
          <w:szCs w:val="18"/>
        </w:rPr>
        <w:t xml:space="preserve">GCP = Good Clinical Practice; </w:t>
      </w:r>
      <w:r w:rsidRPr="004039A7">
        <w:rPr>
          <w:rFonts w:ascii="Arial Narrow" w:hAnsi="Arial Narrow"/>
          <w:sz w:val="18"/>
          <w:szCs w:val="18"/>
        </w:rPr>
        <w:t>HR = hazard ratio; ITT = intent</w:t>
      </w:r>
      <w:r w:rsidR="00BA7E23">
        <w:rPr>
          <w:rFonts w:ascii="Arial Narrow" w:hAnsi="Arial Narrow"/>
          <w:sz w:val="18"/>
          <w:szCs w:val="18"/>
        </w:rPr>
        <w:t>ion</w:t>
      </w:r>
      <w:r w:rsidRPr="004039A7">
        <w:rPr>
          <w:rFonts w:ascii="Arial Narrow" w:hAnsi="Arial Narrow"/>
          <w:sz w:val="18"/>
          <w:szCs w:val="18"/>
        </w:rPr>
        <w:t>-to-treat; KM = Kaplan Meier; mITT = modified ITT; n = number of patients reporting events</w:t>
      </w:r>
      <w:r w:rsidR="00885979">
        <w:rPr>
          <w:rFonts w:ascii="Arial Narrow" w:hAnsi="Arial Narrow"/>
          <w:sz w:val="18"/>
          <w:szCs w:val="18"/>
        </w:rPr>
        <w:t>.</w:t>
      </w:r>
    </w:p>
    <w:p w14:paraId="6B9828AB" w14:textId="3823C56A" w:rsidR="00885979" w:rsidRDefault="00885979" w:rsidP="004039A7">
      <w:pPr>
        <w:rPr>
          <w:rFonts w:ascii="Arial Narrow" w:hAnsi="Arial Narrow"/>
          <w:sz w:val="18"/>
          <w:szCs w:val="18"/>
        </w:rPr>
      </w:pPr>
      <w:r>
        <w:rPr>
          <w:rFonts w:ascii="Arial Narrow" w:hAnsi="Arial Narrow"/>
          <w:sz w:val="18"/>
          <w:szCs w:val="18"/>
        </w:rPr>
        <w:t>Figures in bold are statistically significant.</w:t>
      </w:r>
    </w:p>
    <w:p w14:paraId="0E1815EF" w14:textId="4AEDB313" w:rsidR="004039A7" w:rsidRDefault="004039A7" w:rsidP="00BA7E23">
      <w:pPr>
        <w:ind w:left="142" w:hanging="142"/>
        <w:rPr>
          <w:rFonts w:ascii="Arial Narrow" w:hAnsi="Arial Narrow"/>
          <w:sz w:val="18"/>
          <w:szCs w:val="18"/>
        </w:rPr>
      </w:pPr>
      <w:r w:rsidRPr="00EE2B7E">
        <w:rPr>
          <w:rFonts w:ascii="Arial Narrow" w:hAnsi="Arial Narrow"/>
          <w:sz w:val="18"/>
          <w:szCs w:val="18"/>
          <w:vertAlign w:val="superscript"/>
        </w:rPr>
        <w:t>a</w:t>
      </w:r>
      <w:r>
        <w:rPr>
          <w:rFonts w:ascii="Arial Narrow" w:hAnsi="Arial Narrow"/>
          <w:sz w:val="18"/>
          <w:szCs w:val="18"/>
        </w:rPr>
        <w:t xml:space="preserve"> </w:t>
      </w:r>
      <w:r w:rsidR="00780E8E">
        <w:rPr>
          <w:rFonts w:ascii="Arial Narrow" w:hAnsi="Arial Narrow"/>
          <w:sz w:val="18"/>
          <w:szCs w:val="18"/>
        </w:rPr>
        <w:t>M</w:t>
      </w:r>
      <w:r>
        <w:rPr>
          <w:rFonts w:ascii="Arial Narrow" w:hAnsi="Arial Narrow"/>
          <w:sz w:val="18"/>
          <w:szCs w:val="18"/>
        </w:rPr>
        <w:t>odified ITT (excluding 2 non-GCP sites) comprised p</w:t>
      </w:r>
      <w:r w:rsidRPr="00770698">
        <w:rPr>
          <w:rFonts w:ascii="Arial Narrow" w:hAnsi="Arial Narrow"/>
          <w:sz w:val="18"/>
          <w:szCs w:val="18"/>
        </w:rPr>
        <w:t xml:space="preserve">atients </w:t>
      </w:r>
      <w:r>
        <w:rPr>
          <w:rFonts w:ascii="Arial Narrow" w:hAnsi="Arial Narrow"/>
          <w:sz w:val="18"/>
          <w:szCs w:val="18"/>
        </w:rPr>
        <w:t>in the ITT</w:t>
      </w:r>
      <w:r w:rsidR="00B35682">
        <w:rPr>
          <w:rFonts w:ascii="Arial Narrow" w:hAnsi="Arial Narrow"/>
          <w:sz w:val="18"/>
          <w:szCs w:val="18"/>
        </w:rPr>
        <w:t xml:space="preserve"> cohort</w:t>
      </w:r>
      <w:r>
        <w:rPr>
          <w:rFonts w:ascii="Arial Narrow" w:hAnsi="Arial Narrow"/>
          <w:sz w:val="18"/>
          <w:szCs w:val="18"/>
        </w:rPr>
        <w:t xml:space="preserve"> </w:t>
      </w:r>
      <w:r w:rsidRPr="00770698">
        <w:rPr>
          <w:rFonts w:ascii="Arial Narrow" w:hAnsi="Arial Narrow"/>
          <w:sz w:val="18"/>
          <w:szCs w:val="18"/>
        </w:rPr>
        <w:t xml:space="preserve">who had the pre-treatment and the post-baseline evaluable radiologic assessment </w:t>
      </w:r>
    </w:p>
    <w:p w14:paraId="043AFF63" w14:textId="0839330D" w:rsidR="004039A7" w:rsidRPr="00770698" w:rsidRDefault="004039A7" w:rsidP="00BA7E23">
      <w:pPr>
        <w:ind w:left="142" w:hanging="142"/>
        <w:rPr>
          <w:rFonts w:ascii="Arial Narrow" w:hAnsi="Arial Narrow"/>
          <w:sz w:val="18"/>
          <w:szCs w:val="18"/>
        </w:rPr>
      </w:pPr>
      <w:r w:rsidRPr="00770698">
        <w:rPr>
          <w:rFonts w:ascii="Arial Narrow" w:hAnsi="Arial Narrow"/>
          <w:sz w:val="18"/>
          <w:szCs w:val="18"/>
          <w:vertAlign w:val="superscript"/>
        </w:rPr>
        <w:t>b</w:t>
      </w:r>
      <w:r>
        <w:rPr>
          <w:rFonts w:ascii="Arial Narrow" w:hAnsi="Arial Narrow"/>
          <w:sz w:val="18"/>
          <w:szCs w:val="18"/>
        </w:rPr>
        <w:t xml:space="preserve"> </w:t>
      </w:r>
      <w:r w:rsidRPr="00770698">
        <w:rPr>
          <w:rFonts w:ascii="Arial Narrow" w:hAnsi="Arial Narrow"/>
          <w:sz w:val="18"/>
          <w:szCs w:val="18"/>
        </w:rPr>
        <w:t>Relative risk reduction was calculated as (</w:t>
      </w:r>
      <w:r>
        <w:rPr>
          <w:rFonts w:ascii="Arial Narrow" w:hAnsi="Arial Narrow"/>
          <w:sz w:val="18"/>
          <w:szCs w:val="18"/>
        </w:rPr>
        <w:t>abaloparatide</w:t>
      </w:r>
      <w:r w:rsidRPr="00770698">
        <w:rPr>
          <w:rFonts w:ascii="Arial Narrow" w:hAnsi="Arial Narrow"/>
          <w:sz w:val="18"/>
          <w:szCs w:val="18"/>
        </w:rPr>
        <w:t xml:space="preserve"> – </w:t>
      </w:r>
      <w:r>
        <w:rPr>
          <w:rFonts w:ascii="Arial Narrow" w:hAnsi="Arial Narrow"/>
          <w:sz w:val="18"/>
          <w:szCs w:val="18"/>
        </w:rPr>
        <w:t>placebo</w:t>
      </w:r>
      <w:r w:rsidRPr="00770698">
        <w:rPr>
          <w:rFonts w:ascii="Arial Narrow" w:hAnsi="Arial Narrow"/>
          <w:sz w:val="18"/>
          <w:szCs w:val="18"/>
        </w:rPr>
        <w:t xml:space="preserve">) / </w:t>
      </w:r>
      <w:r>
        <w:rPr>
          <w:rFonts w:ascii="Arial Narrow" w:hAnsi="Arial Narrow"/>
          <w:sz w:val="18"/>
          <w:szCs w:val="18"/>
        </w:rPr>
        <w:t>p</w:t>
      </w:r>
      <w:r w:rsidRPr="00770698">
        <w:rPr>
          <w:rFonts w:ascii="Arial Narrow" w:hAnsi="Arial Narrow"/>
          <w:sz w:val="18"/>
          <w:szCs w:val="18"/>
        </w:rPr>
        <w:t xml:space="preserve">lacebo. </w:t>
      </w:r>
    </w:p>
    <w:p w14:paraId="66642FCF" w14:textId="77777777" w:rsidR="004039A7" w:rsidRDefault="004039A7" w:rsidP="00BA7E23">
      <w:pPr>
        <w:ind w:left="142" w:hanging="142"/>
        <w:rPr>
          <w:rFonts w:ascii="Arial Narrow" w:hAnsi="Arial Narrow"/>
          <w:sz w:val="18"/>
          <w:szCs w:val="18"/>
        </w:rPr>
      </w:pPr>
      <w:r>
        <w:rPr>
          <w:rFonts w:ascii="Arial Narrow" w:hAnsi="Arial Narrow"/>
          <w:sz w:val="18"/>
          <w:szCs w:val="18"/>
          <w:vertAlign w:val="superscript"/>
        </w:rPr>
        <w:t>c</w:t>
      </w:r>
      <w:r>
        <w:rPr>
          <w:rFonts w:ascii="Arial Narrow" w:hAnsi="Arial Narrow"/>
          <w:sz w:val="18"/>
          <w:szCs w:val="18"/>
        </w:rPr>
        <w:t xml:space="preserve"> </w:t>
      </w:r>
      <w:r w:rsidRPr="00770698">
        <w:rPr>
          <w:rFonts w:ascii="Arial Narrow" w:hAnsi="Arial Narrow"/>
          <w:sz w:val="18"/>
          <w:szCs w:val="18"/>
        </w:rPr>
        <w:t>Not reported in the CSR. Value was calculated (using Revman 5.3 calculator) to allow comparison with value reported in FRAME.</w:t>
      </w:r>
    </w:p>
    <w:p w14:paraId="2C8B16E8" w14:textId="72176F94" w:rsidR="004039A7" w:rsidRDefault="004039A7" w:rsidP="00BA7E23">
      <w:pPr>
        <w:ind w:left="142" w:hanging="142"/>
        <w:rPr>
          <w:rFonts w:ascii="Arial Narrow" w:hAnsi="Arial Narrow"/>
          <w:sz w:val="18"/>
          <w:szCs w:val="18"/>
        </w:rPr>
      </w:pPr>
      <w:r>
        <w:rPr>
          <w:rFonts w:ascii="Arial Narrow" w:hAnsi="Arial Narrow"/>
          <w:sz w:val="18"/>
          <w:szCs w:val="18"/>
          <w:vertAlign w:val="superscript"/>
        </w:rPr>
        <w:t>d</w:t>
      </w:r>
      <w:r>
        <w:rPr>
          <w:rFonts w:ascii="Arial Narrow" w:hAnsi="Arial Narrow"/>
          <w:sz w:val="18"/>
          <w:szCs w:val="18"/>
        </w:rPr>
        <w:t xml:space="preserve"> p</w:t>
      </w:r>
      <w:r w:rsidRPr="00770698">
        <w:rPr>
          <w:rFonts w:ascii="Arial Narrow" w:hAnsi="Arial Narrow"/>
          <w:sz w:val="18"/>
          <w:szCs w:val="18"/>
        </w:rPr>
        <w:t xml:space="preserve">-value was from Fisher’s exact test with </w:t>
      </w:r>
      <w:r w:rsidR="000C6198">
        <w:rPr>
          <w:rFonts w:ascii="Arial Narrow" w:hAnsi="Arial Narrow"/>
          <w:sz w:val="18"/>
          <w:szCs w:val="18"/>
        </w:rPr>
        <w:t>a</w:t>
      </w:r>
      <w:r w:rsidRPr="00770698">
        <w:rPr>
          <w:rFonts w:ascii="Arial Narrow" w:hAnsi="Arial Narrow"/>
          <w:sz w:val="18"/>
          <w:szCs w:val="18"/>
        </w:rPr>
        <w:t xml:space="preserve">baloparatide-SC compared to </w:t>
      </w:r>
      <w:r w:rsidR="000C6198">
        <w:rPr>
          <w:rFonts w:ascii="Arial Narrow" w:hAnsi="Arial Narrow"/>
          <w:sz w:val="18"/>
          <w:szCs w:val="18"/>
        </w:rPr>
        <w:t>p</w:t>
      </w:r>
      <w:r w:rsidRPr="00770698">
        <w:rPr>
          <w:rFonts w:ascii="Arial Narrow" w:hAnsi="Arial Narrow"/>
          <w:sz w:val="18"/>
          <w:szCs w:val="18"/>
        </w:rPr>
        <w:t>lacebo</w:t>
      </w:r>
    </w:p>
    <w:p w14:paraId="7ADB2647" w14:textId="77777777" w:rsidR="00121834" w:rsidRDefault="001C2CDD" w:rsidP="00BA7E23">
      <w:pPr>
        <w:ind w:left="142" w:hanging="142"/>
        <w:rPr>
          <w:rFonts w:ascii="Arial Narrow" w:hAnsi="Arial Narrow"/>
          <w:sz w:val="18"/>
          <w:szCs w:val="18"/>
        </w:rPr>
      </w:pPr>
      <w:r w:rsidRPr="001C2CDD">
        <w:rPr>
          <w:rFonts w:ascii="Arial Narrow" w:hAnsi="Arial Narrow"/>
          <w:sz w:val="18"/>
          <w:szCs w:val="18"/>
          <w:vertAlign w:val="superscript"/>
        </w:rPr>
        <w:t>e</w:t>
      </w:r>
      <w:r>
        <w:rPr>
          <w:rFonts w:ascii="Arial Narrow" w:hAnsi="Arial Narrow"/>
          <w:sz w:val="18"/>
          <w:szCs w:val="18"/>
        </w:rPr>
        <w:t xml:space="preserve"> ITT population (excluding 2 non-GCP sites)</w:t>
      </w:r>
    </w:p>
    <w:p w14:paraId="08FF1066" w14:textId="77777777" w:rsidR="00121834" w:rsidRPr="0068343E" w:rsidRDefault="00125304" w:rsidP="00BA7E23">
      <w:pPr>
        <w:ind w:left="142" w:hanging="142"/>
        <w:rPr>
          <w:rFonts w:ascii="Arial Narrow" w:hAnsi="Arial Narrow"/>
          <w:sz w:val="18"/>
          <w:szCs w:val="18"/>
        </w:rPr>
      </w:pPr>
      <w:r w:rsidRPr="0068343E">
        <w:rPr>
          <w:rFonts w:ascii="Arial Narrow" w:hAnsi="Arial Narrow"/>
          <w:sz w:val="18"/>
          <w:szCs w:val="18"/>
          <w:vertAlign w:val="superscript"/>
        </w:rPr>
        <w:t>f</w:t>
      </w:r>
      <w:r w:rsidRPr="0068343E">
        <w:rPr>
          <w:rFonts w:ascii="Arial Narrow" w:hAnsi="Arial Narrow"/>
          <w:sz w:val="18"/>
          <w:szCs w:val="18"/>
        </w:rPr>
        <w:t xml:space="preserve"> Nonvertebral fractures were clinical fractures</w:t>
      </w:r>
      <w:r w:rsidR="001C2CDD" w:rsidRPr="0068343E">
        <w:rPr>
          <w:rFonts w:ascii="Arial Narrow" w:hAnsi="Arial Narrow"/>
          <w:sz w:val="18"/>
          <w:szCs w:val="18"/>
          <w:vertAlign w:val="superscript"/>
        </w:rPr>
        <w:t>h</w:t>
      </w:r>
      <w:r w:rsidRPr="0068343E">
        <w:rPr>
          <w:rFonts w:ascii="Arial Narrow" w:hAnsi="Arial Narrow"/>
          <w:sz w:val="18"/>
          <w:szCs w:val="18"/>
        </w:rPr>
        <w:t xml:space="preserve"> that included those of the hip, wrist, forearm, shoulder, collar bone, upper arm, ribs, upper leg (not hip), knee, lower leg (not knee or ankle), foot, ankle, hand, pelvis (not hip), tailbone and other; those associated with low trauma (defined as a fall from standing height or less, or a fall on stairs, steps or curbs); those associated with minimal or moderate trauma other than a fall; but excluded those of the spine, breast bone, knee cap, toes, fingers, skull and facial bones, and pathologic fractures; those associated with high trauma (defined as a fall from a height equal to or higher than the level of “a stool, chair or first rung of a ladder”), and those associated with severe trauma other than a fall.</w:t>
      </w:r>
    </w:p>
    <w:p w14:paraId="1CBDD3D0" w14:textId="47984351" w:rsidR="00121834" w:rsidRPr="0068343E" w:rsidRDefault="00125304" w:rsidP="00BA7E23">
      <w:pPr>
        <w:ind w:left="142" w:hanging="142"/>
        <w:rPr>
          <w:rFonts w:ascii="Arial Narrow" w:hAnsi="Arial Narrow"/>
          <w:sz w:val="18"/>
          <w:szCs w:val="18"/>
        </w:rPr>
      </w:pPr>
      <w:r w:rsidRPr="0068343E">
        <w:rPr>
          <w:rFonts w:ascii="Arial Narrow" w:hAnsi="Arial Narrow"/>
          <w:sz w:val="18"/>
          <w:szCs w:val="18"/>
          <w:vertAlign w:val="superscript"/>
        </w:rPr>
        <w:t>g</w:t>
      </w:r>
      <w:r w:rsidRPr="0068343E">
        <w:rPr>
          <w:rFonts w:ascii="Arial Narrow" w:hAnsi="Arial Narrow"/>
          <w:sz w:val="18"/>
          <w:szCs w:val="18"/>
        </w:rPr>
        <w:t xml:space="preserve"> Duration in days from the randomisation to the first incidence of </w:t>
      </w:r>
      <w:r w:rsidR="00BA7E23">
        <w:rPr>
          <w:rFonts w:ascii="Arial Narrow" w:hAnsi="Arial Narrow"/>
          <w:sz w:val="18"/>
          <w:szCs w:val="18"/>
        </w:rPr>
        <w:t>nonvertebral fracture</w:t>
      </w:r>
      <w:r w:rsidRPr="0068343E">
        <w:rPr>
          <w:rFonts w:ascii="Arial Narrow" w:hAnsi="Arial Narrow"/>
          <w:sz w:val="18"/>
          <w:szCs w:val="18"/>
        </w:rPr>
        <w:t xml:space="preserve"> was derived. If a patient had not experienced any NVF over the 18 months of treatment plus the 30-day follow-up (for a total of 19 months), this patient was considered censored at the last known day in the study up to the Follow-up Visit (Visit 10).</w:t>
      </w:r>
    </w:p>
    <w:p w14:paraId="309170E9" w14:textId="6A5A13FD" w:rsidR="00125304" w:rsidRPr="0068343E" w:rsidRDefault="00125304" w:rsidP="00BA7E23">
      <w:pPr>
        <w:ind w:left="142" w:hanging="142"/>
        <w:rPr>
          <w:rFonts w:ascii="Arial Narrow" w:hAnsi="Arial Narrow"/>
          <w:sz w:val="18"/>
          <w:szCs w:val="18"/>
        </w:rPr>
      </w:pPr>
      <w:r w:rsidRPr="0068343E">
        <w:rPr>
          <w:rFonts w:ascii="Arial Narrow" w:hAnsi="Arial Narrow"/>
          <w:sz w:val="18"/>
          <w:szCs w:val="18"/>
          <w:vertAlign w:val="superscript"/>
        </w:rPr>
        <w:t>h</w:t>
      </w:r>
      <w:r w:rsidRPr="0068343E">
        <w:rPr>
          <w:rFonts w:ascii="Arial Narrow" w:hAnsi="Arial Narrow"/>
          <w:sz w:val="18"/>
          <w:szCs w:val="18"/>
        </w:rPr>
        <w:t xml:space="preserve"> Clinical fractures were all fractures, vertebral and nonvertebral, that would cause a patient to seek medical care, regardless of the level of trauma, including clinical spine.</w:t>
      </w:r>
    </w:p>
    <w:p w14:paraId="780434A1" w14:textId="77777777" w:rsidR="00CC307F" w:rsidRDefault="00CC307F" w:rsidP="00447619">
      <w:pPr>
        <w:pStyle w:val="TableText0"/>
        <w:ind w:left="142" w:hanging="142"/>
        <w:jc w:val="both"/>
        <w:rPr>
          <w:sz w:val="18"/>
          <w:szCs w:val="18"/>
        </w:rPr>
      </w:pPr>
    </w:p>
    <w:p w14:paraId="1C44A896" w14:textId="5EADB047" w:rsidR="00CC307F" w:rsidRDefault="00CC307F" w:rsidP="00F915BD">
      <w:pPr>
        <w:pStyle w:val="Caption"/>
        <w:ind w:left="709" w:hanging="709"/>
      </w:pPr>
      <w:bookmarkStart w:id="30" w:name="_Ref195358064"/>
      <w:r>
        <w:t xml:space="preserve">Figure </w:t>
      </w:r>
      <w:r w:rsidR="001C1C72">
        <w:fldChar w:fldCharType="begin"/>
      </w:r>
      <w:r w:rsidR="001C1C72">
        <w:instrText xml:space="preserve"> SEQ Figure \* ARABIC </w:instrText>
      </w:r>
      <w:r w:rsidR="001C1C72">
        <w:fldChar w:fldCharType="separate"/>
      </w:r>
      <w:r w:rsidR="005B625A">
        <w:rPr>
          <w:noProof/>
        </w:rPr>
        <w:t>1</w:t>
      </w:r>
      <w:r w:rsidR="001C1C72">
        <w:rPr>
          <w:noProof/>
        </w:rPr>
        <w:fldChar w:fldCharType="end"/>
      </w:r>
      <w:bookmarkEnd w:id="30"/>
      <w:r>
        <w:t>: KM curve of time to first incidence of nonvertebral fractures in patients receiving abaloparatide</w:t>
      </w:r>
      <w:r w:rsidR="005E3688">
        <w:t xml:space="preserve"> vs</w:t>
      </w:r>
      <w:r>
        <w:t xml:space="preserve"> placebo</w:t>
      </w:r>
      <w:r w:rsidR="005E3688">
        <w:t xml:space="preserve"> for 18 months</w:t>
      </w:r>
      <w:r>
        <w:t xml:space="preserve"> in ACTIVE</w:t>
      </w:r>
      <w:r w:rsidR="00F915BD" w:rsidRPr="00F915BD">
        <w:rPr>
          <w:vertAlign w:val="superscript"/>
        </w:rPr>
        <w:t>a</w:t>
      </w:r>
    </w:p>
    <w:p w14:paraId="1B6853CF" w14:textId="0A0DFE56" w:rsidR="00CC307F" w:rsidRDefault="003D5066" w:rsidP="00CC307F">
      <w:pPr>
        <w:pStyle w:val="TableText0"/>
        <w:ind w:left="-426" w:hanging="142"/>
        <w:jc w:val="both"/>
        <w:rPr>
          <w:sz w:val="18"/>
          <w:szCs w:val="18"/>
        </w:rPr>
      </w:pPr>
      <w:r>
        <w:rPr>
          <w:noProof/>
          <w:sz w:val="18"/>
          <w:szCs w:val="18"/>
        </w:rPr>
        <w:t>Figure</w:t>
      </w:r>
      <w:r w:rsidR="00CC307F">
        <w:rPr>
          <w:noProof/>
          <w:sz w:val="18"/>
          <w:szCs w:val="18"/>
        </w:rPr>
        <w:drawing>
          <wp:inline distT="0" distB="0" distL="0" distR="0" wp14:anchorId="3B90E65A" wp14:editId="01258312">
            <wp:extent cx="6093562" cy="3441700"/>
            <wp:effectExtent l="0" t="0" r="2540" b="6350"/>
            <wp:docPr id="209453565" name="Picture 2" descr="Figure 1: KM curve of time to first incidence of nonvertebral fractures in patients receiving abaloparatide vs placebo for 18 months in A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53565" name="Picture 2" descr="Figure 1: KM curve of time to first incidence of nonvertebral fractures in patients receiving abaloparatide vs placebo for 18 months in ACTIV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0412" cy="3445569"/>
                    </a:xfrm>
                    <a:prstGeom prst="rect">
                      <a:avLst/>
                    </a:prstGeom>
                    <a:noFill/>
                  </pic:spPr>
                </pic:pic>
              </a:graphicData>
            </a:graphic>
          </wp:inline>
        </w:drawing>
      </w:r>
    </w:p>
    <w:p w14:paraId="0ADB2C6A" w14:textId="4734FADF" w:rsidR="00CC307F" w:rsidRDefault="00CC307F" w:rsidP="00F915BD">
      <w:pPr>
        <w:pStyle w:val="TableText0"/>
        <w:ind w:left="142" w:hanging="142"/>
        <w:jc w:val="both"/>
        <w:rPr>
          <w:sz w:val="18"/>
          <w:szCs w:val="18"/>
        </w:rPr>
      </w:pPr>
      <w:r>
        <w:rPr>
          <w:sz w:val="18"/>
          <w:szCs w:val="18"/>
        </w:rPr>
        <w:t>Source: Figure 2-</w:t>
      </w:r>
      <w:r w:rsidR="00F915BD">
        <w:rPr>
          <w:sz w:val="18"/>
          <w:szCs w:val="18"/>
        </w:rPr>
        <w:t>6</w:t>
      </w:r>
      <w:r>
        <w:rPr>
          <w:sz w:val="18"/>
          <w:szCs w:val="18"/>
        </w:rPr>
        <w:t>, p9</w:t>
      </w:r>
      <w:r w:rsidR="00F915BD">
        <w:rPr>
          <w:sz w:val="18"/>
          <w:szCs w:val="18"/>
        </w:rPr>
        <w:t>5</w:t>
      </w:r>
      <w:r>
        <w:rPr>
          <w:sz w:val="18"/>
          <w:szCs w:val="18"/>
        </w:rPr>
        <w:t xml:space="preserve"> of the submission; Figure </w:t>
      </w:r>
      <w:r w:rsidR="00F915BD">
        <w:rPr>
          <w:sz w:val="18"/>
          <w:szCs w:val="18"/>
        </w:rPr>
        <w:t>1</w:t>
      </w:r>
      <w:r>
        <w:rPr>
          <w:sz w:val="18"/>
          <w:szCs w:val="18"/>
        </w:rPr>
        <w:t>, p3</w:t>
      </w:r>
      <w:r w:rsidR="00F915BD">
        <w:rPr>
          <w:sz w:val="18"/>
          <w:szCs w:val="18"/>
        </w:rPr>
        <w:t>2</w:t>
      </w:r>
      <w:r>
        <w:rPr>
          <w:sz w:val="18"/>
          <w:szCs w:val="18"/>
        </w:rPr>
        <w:t xml:space="preserve"> of the ACTIVE Clinical Study Report Addendum</w:t>
      </w:r>
    </w:p>
    <w:p w14:paraId="61EC5EAE" w14:textId="77777777" w:rsidR="00F915BD" w:rsidRDefault="00F915BD" w:rsidP="00F915BD">
      <w:pPr>
        <w:pStyle w:val="TableText0"/>
        <w:ind w:left="142" w:hanging="142"/>
        <w:jc w:val="both"/>
        <w:rPr>
          <w:sz w:val="18"/>
          <w:szCs w:val="18"/>
        </w:rPr>
      </w:pPr>
      <w:r>
        <w:rPr>
          <w:sz w:val="18"/>
          <w:szCs w:val="18"/>
        </w:rPr>
        <w:t>GCP = Good Clinical Practice; ITT = intent-to-treat; KM = Kaplan Meier</w:t>
      </w:r>
    </w:p>
    <w:p w14:paraId="48683D1A" w14:textId="3CE05A0C" w:rsidR="00CC307F" w:rsidRDefault="00F915BD" w:rsidP="00BF056B">
      <w:pPr>
        <w:pStyle w:val="TableText0"/>
        <w:ind w:left="142" w:hanging="142"/>
        <w:jc w:val="both"/>
        <w:rPr>
          <w:i/>
          <w:iCs/>
        </w:rPr>
      </w:pPr>
      <w:r w:rsidRPr="00F915BD">
        <w:rPr>
          <w:sz w:val="18"/>
          <w:szCs w:val="18"/>
          <w:vertAlign w:val="superscript"/>
        </w:rPr>
        <w:t>a</w:t>
      </w:r>
      <w:r>
        <w:rPr>
          <w:sz w:val="18"/>
          <w:szCs w:val="18"/>
        </w:rPr>
        <w:t xml:space="preserve"> ITT excluding 2 non-GCP sites</w:t>
      </w:r>
    </w:p>
    <w:p w14:paraId="3F9E7C39" w14:textId="77777777" w:rsidR="00CC307F" w:rsidRDefault="00CC307F" w:rsidP="00CC307F">
      <w:pPr>
        <w:pStyle w:val="3-BodyText"/>
        <w:numPr>
          <w:ilvl w:val="0"/>
          <w:numId w:val="0"/>
        </w:numPr>
        <w:ind w:left="720" w:hanging="720"/>
        <w:rPr>
          <w:i/>
          <w:iCs/>
        </w:rPr>
      </w:pPr>
    </w:p>
    <w:p w14:paraId="74606505" w14:textId="12E2D0F9" w:rsidR="00F915BD" w:rsidRDefault="00F915BD" w:rsidP="00F915BD">
      <w:pPr>
        <w:pStyle w:val="Caption"/>
        <w:ind w:left="709" w:hanging="709"/>
      </w:pPr>
      <w:bookmarkStart w:id="31" w:name="_Ref195358065"/>
      <w:r>
        <w:t xml:space="preserve">Figure </w:t>
      </w:r>
      <w:r w:rsidR="001C1C72">
        <w:fldChar w:fldCharType="begin"/>
      </w:r>
      <w:r w:rsidR="001C1C72">
        <w:instrText xml:space="preserve"> SEQ Figure \* ARABIC </w:instrText>
      </w:r>
      <w:r w:rsidR="001C1C72">
        <w:fldChar w:fldCharType="separate"/>
      </w:r>
      <w:r w:rsidR="005B625A">
        <w:rPr>
          <w:noProof/>
        </w:rPr>
        <w:t>2</w:t>
      </w:r>
      <w:r w:rsidR="001C1C72">
        <w:rPr>
          <w:noProof/>
        </w:rPr>
        <w:fldChar w:fldCharType="end"/>
      </w:r>
      <w:bookmarkEnd w:id="31"/>
      <w:r>
        <w:t xml:space="preserve">: KM curve of time to first incidence of clinical fractures in patients receiving abaloparatide </w:t>
      </w:r>
      <w:r w:rsidR="005E3688">
        <w:t xml:space="preserve">vs </w:t>
      </w:r>
      <w:r>
        <w:t>placebo</w:t>
      </w:r>
      <w:r w:rsidR="005E3688">
        <w:t xml:space="preserve"> for 18 months</w:t>
      </w:r>
      <w:r>
        <w:t xml:space="preserve"> in ACTIVE</w:t>
      </w:r>
      <w:r w:rsidRPr="00F915BD">
        <w:rPr>
          <w:vertAlign w:val="superscript"/>
        </w:rPr>
        <w:t>a</w:t>
      </w:r>
    </w:p>
    <w:p w14:paraId="19F3A2ED" w14:textId="12E58884" w:rsidR="00CC307F" w:rsidRDefault="00CC307F" w:rsidP="00CC307F">
      <w:pPr>
        <w:pStyle w:val="3-BodyText"/>
        <w:numPr>
          <w:ilvl w:val="0"/>
          <w:numId w:val="0"/>
        </w:numPr>
        <w:ind w:left="720" w:hanging="1146"/>
        <w:rPr>
          <w:i/>
          <w:iCs/>
        </w:rPr>
      </w:pPr>
      <w:r>
        <w:rPr>
          <w:i/>
          <w:iCs/>
          <w:noProof/>
        </w:rPr>
        <w:drawing>
          <wp:inline distT="0" distB="0" distL="0" distR="0" wp14:anchorId="34F747DC" wp14:editId="7788B476">
            <wp:extent cx="6005195" cy="3511550"/>
            <wp:effectExtent l="0" t="0" r="0" b="0"/>
            <wp:docPr id="1447110549" name="Picture 3" descr="Figure 2: KM curve of time to first incidence of clinical fractures in patients receiving abaloparatide vs placebo for 18 months in AC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110549" name="Picture 3" descr="Figure 2: KM curve of time to first incidence of clinical fractures in patients receiving abaloparatide vs placebo for 18 months in ACTIV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05195" cy="3511550"/>
                    </a:xfrm>
                    <a:prstGeom prst="rect">
                      <a:avLst/>
                    </a:prstGeom>
                    <a:noFill/>
                  </pic:spPr>
                </pic:pic>
              </a:graphicData>
            </a:graphic>
          </wp:inline>
        </w:drawing>
      </w:r>
    </w:p>
    <w:p w14:paraId="621E5434" w14:textId="39D7898F" w:rsidR="00F915BD" w:rsidRDefault="00F915BD" w:rsidP="00F915BD">
      <w:pPr>
        <w:pStyle w:val="TableText0"/>
        <w:ind w:left="142" w:hanging="142"/>
        <w:jc w:val="both"/>
        <w:rPr>
          <w:sz w:val="18"/>
          <w:szCs w:val="18"/>
        </w:rPr>
      </w:pPr>
      <w:r>
        <w:rPr>
          <w:sz w:val="18"/>
          <w:szCs w:val="18"/>
        </w:rPr>
        <w:t>Source: Figure 2-7, p96 of the submission; Figure 3, p39 of the ACTIVE Clinical Study Report Addendum</w:t>
      </w:r>
    </w:p>
    <w:p w14:paraId="40913FE2" w14:textId="1BB00207" w:rsidR="00F915BD" w:rsidRDefault="00F915BD" w:rsidP="00F915BD">
      <w:pPr>
        <w:pStyle w:val="TableText0"/>
        <w:ind w:left="142" w:hanging="142"/>
        <w:jc w:val="both"/>
        <w:rPr>
          <w:sz w:val="18"/>
          <w:szCs w:val="18"/>
        </w:rPr>
      </w:pPr>
      <w:r>
        <w:rPr>
          <w:sz w:val="18"/>
          <w:szCs w:val="18"/>
        </w:rPr>
        <w:t>GCP = Good Clinical Practice; ITT = intent-to-treat; KM = Kaplan Meier</w:t>
      </w:r>
    </w:p>
    <w:p w14:paraId="0D3093F2" w14:textId="54FE40C8" w:rsidR="00F915BD" w:rsidRDefault="00F915BD" w:rsidP="006C3EBA">
      <w:pPr>
        <w:pStyle w:val="TableText0"/>
        <w:spacing w:after="240"/>
        <w:ind w:left="142" w:hanging="142"/>
        <w:jc w:val="both"/>
        <w:rPr>
          <w:sz w:val="18"/>
          <w:szCs w:val="18"/>
        </w:rPr>
      </w:pPr>
      <w:r w:rsidRPr="00F915BD">
        <w:rPr>
          <w:sz w:val="18"/>
          <w:szCs w:val="18"/>
          <w:vertAlign w:val="superscript"/>
        </w:rPr>
        <w:t>a</w:t>
      </w:r>
      <w:r>
        <w:rPr>
          <w:sz w:val="18"/>
          <w:szCs w:val="18"/>
        </w:rPr>
        <w:t xml:space="preserve"> ITT excluding 2 non-GCP sites</w:t>
      </w:r>
    </w:p>
    <w:p w14:paraId="36F8DCCA" w14:textId="729AA26D" w:rsidR="004039A7" w:rsidRPr="00256C08" w:rsidRDefault="00E14FBD" w:rsidP="00E14FBD">
      <w:pPr>
        <w:pStyle w:val="3-BodyText"/>
      </w:pPr>
      <w:r w:rsidRPr="00256C08">
        <w:t xml:space="preserve">Patients treated with abaloparatide for 18 months demonstrated </w:t>
      </w:r>
      <w:r w:rsidR="00505C5F" w:rsidRPr="00256C08">
        <w:t xml:space="preserve">a </w:t>
      </w:r>
      <w:r w:rsidR="00B10CC3" w:rsidRPr="00256C08">
        <w:t>statisticall</w:t>
      </w:r>
      <w:r w:rsidRPr="00256C08">
        <w:t>y significant reduction in the incidence of new vertebral fracture compared to placebo, with an 88% relative risk reduction in new vertebral fracture in patients receiving abaloparatide compared to placebo.</w:t>
      </w:r>
    </w:p>
    <w:p w14:paraId="3FAF4A6D" w14:textId="05898712" w:rsidR="001F593C" w:rsidRPr="001F593C" w:rsidRDefault="00592F12" w:rsidP="00E14FBD">
      <w:pPr>
        <w:pStyle w:val="3-BodyText"/>
        <w:rPr>
          <w:i/>
          <w:iCs/>
        </w:rPr>
      </w:pPr>
      <w:r w:rsidRPr="00592F12">
        <w:t>Abaloparatide treatment prolonged the time to the first incidence of</w:t>
      </w:r>
      <w:r w:rsidR="004548BE">
        <w:t xml:space="preserve"> both</w:t>
      </w:r>
      <w:r w:rsidRPr="00592F12">
        <w:t xml:space="preserve"> nonvertebral fracture and clinical fracture compared to placebo</w:t>
      </w:r>
      <w:r w:rsidR="004548BE">
        <w:t>,</w:t>
      </w:r>
      <w:r w:rsidRPr="00592F12">
        <w:t xml:space="preserve"> but the hazard ratios</w:t>
      </w:r>
      <w:r w:rsidR="00777428">
        <w:t xml:space="preserve"> (HRs)</w:t>
      </w:r>
      <w:r w:rsidR="005D2644">
        <w:t xml:space="preserve"> were</w:t>
      </w:r>
      <w:r w:rsidRPr="00592F12">
        <w:t xml:space="preserve"> not statistically significant for both fracture endpoints.</w:t>
      </w:r>
      <w:r w:rsidRPr="001F593C">
        <w:rPr>
          <w:i/>
          <w:iCs/>
        </w:rPr>
        <w:t xml:space="preserve"> </w:t>
      </w:r>
      <w:r w:rsidR="00DA38AC" w:rsidRPr="00F25E15">
        <w:t xml:space="preserve">The censoring of </w:t>
      </w:r>
      <w:r w:rsidR="0085156B" w:rsidRPr="00F25E15">
        <w:t xml:space="preserve">a large proportion of treated </w:t>
      </w:r>
      <w:r w:rsidR="00DA38AC" w:rsidRPr="00F25E15">
        <w:t>patients</w:t>
      </w:r>
      <w:r w:rsidR="00255FC9">
        <w:t xml:space="preserve"> </w:t>
      </w:r>
      <w:r w:rsidR="00DA38AC" w:rsidRPr="00F25E15">
        <w:t>introduced</w:t>
      </w:r>
      <w:r w:rsidR="0085156B" w:rsidRPr="00F25E15">
        <w:t xml:space="preserve"> u</w:t>
      </w:r>
      <w:r w:rsidR="00DA38AC" w:rsidRPr="00F25E15">
        <w:t>ncertainty into the analyses of these outcomes</w:t>
      </w:r>
      <w:r w:rsidR="0085156B" w:rsidRPr="00F25E15">
        <w:t xml:space="preserve"> and impacted the reliability of the results.</w:t>
      </w:r>
      <w:r w:rsidR="0085156B">
        <w:rPr>
          <w:i/>
          <w:iCs/>
        </w:rPr>
        <w:t xml:space="preserve"> </w:t>
      </w:r>
    </w:p>
    <w:p w14:paraId="0F934178" w14:textId="78B80995" w:rsidR="004801AC" w:rsidRPr="00F25E15" w:rsidRDefault="001F593C" w:rsidP="003C495E">
      <w:pPr>
        <w:pStyle w:val="3-BodyText"/>
      </w:pPr>
      <w:r w:rsidRPr="00256C08">
        <w:t xml:space="preserve">Patients treated with abaloparatide for 18 months followed by alendronate for 24 months </w:t>
      </w:r>
      <w:r w:rsidR="001D56C6" w:rsidRPr="00256C08">
        <w:t xml:space="preserve">in ACTIVExtend </w:t>
      </w:r>
      <w:r w:rsidRPr="00256C08">
        <w:t>demonstrated</w:t>
      </w:r>
      <w:r w:rsidRPr="00256C08">
        <w:rPr>
          <w:rFonts w:ascii="Calibri" w:eastAsia="Times New Roman" w:hAnsi="Calibri" w:cs="Arial"/>
          <w:szCs w:val="24"/>
        </w:rPr>
        <w:t xml:space="preserve"> </w:t>
      </w:r>
      <w:r w:rsidR="001D56C6" w:rsidRPr="00256C08">
        <w:rPr>
          <w:rFonts w:ascii="Calibri" w:eastAsia="Times New Roman" w:hAnsi="Calibri" w:cs="Arial"/>
          <w:szCs w:val="24"/>
        </w:rPr>
        <w:t xml:space="preserve">a </w:t>
      </w:r>
      <w:r w:rsidR="00DD0E5E" w:rsidRPr="00256C08">
        <w:rPr>
          <w:rFonts w:ascii="Calibri" w:eastAsia="Times New Roman" w:hAnsi="Calibri" w:cs="Arial"/>
          <w:szCs w:val="24"/>
        </w:rPr>
        <w:t>statistically</w:t>
      </w:r>
      <w:r w:rsidRPr="00256C08">
        <w:t xml:space="preserve"> significant reduction in the incidence of new vertebral fracture</w:t>
      </w:r>
      <w:r w:rsidR="004801AC" w:rsidRPr="00256C08">
        <w:t xml:space="preserve"> compared to patients receiving placebo followed by alendronate.</w:t>
      </w:r>
      <w:r w:rsidR="004801AC" w:rsidRPr="00256C08">
        <w:rPr>
          <w:i/>
          <w:iCs/>
        </w:rPr>
        <w:t xml:space="preserve"> </w:t>
      </w:r>
      <w:r w:rsidR="004801AC" w:rsidRPr="00F25E15">
        <w:t xml:space="preserve">These results showed that after </w:t>
      </w:r>
      <w:r w:rsidR="0062214D" w:rsidRPr="00F25E15">
        <w:t xml:space="preserve">cessation of </w:t>
      </w:r>
      <w:r w:rsidR="004801AC" w:rsidRPr="00F25E15">
        <w:t>abaloparatide therapy</w:t>
      </w:r>
      <w:r w:rsidR="0062214D" w:rsidRPr="00F25E15">
        <w:t xml:space="preserve"> for 2 years</w:t>
      </w:r>
      <w:r w:rsidR="004801AC" w:rsidRPr="00F25E15">
        <w:t xml:space="preserve">, </w:t>
      </w:r>
      <w:r w:rsidR="00716285" w:rsidRPr="00F25E15">
        <w:t>abaloparatide</w:t>
      </w:r>
      <w:r w:rsidR="00D32E64">
        <w:t>-</w:t>
      </w:r>
      <w:r w:rsidR="0062214D" w:rsidRPr="00F25E15">
        <w:t>treated patients continued to have a lower risk for new vertebral fracture compared to placebo patients</w:t>
      </w:r>
      <w:r w:rsidR="00716285" w:rsidRPr="00F25E15">
        <w:t>.</w:t>
      </w:r>
    </w:p>
    <w:p w14:paraId="5BC295B0" w14:textId="766C6C52" w:rsidR="004801AC" w:rsidRPr="00F25E15" w:rsidRDefault="007111D3" w:rsidP="00EC5836">
      <w:pPr>
        <w:pStyle w:val="3-BodyText"/>
        <w:rPr>
          <w:color w:val="0066FF"/>
        </w:rPr>
      </w:pPr>
      <w:r>
        <w:t>The efficacy of a</w:t>
      </w:r>
      <w:r w:rsidR="00FE63A6">
        <w:t xml:space="preserve">baloparatide </w:t>
      </w:r>
      <w:r w:rsidR="007B239B">
        <w:t xml:space="preserve">in </w:t>
      </w:r>
      <w:r w:rsidR="002D0DD3">
        <w:t xml:space="preserve">improving BMD at total hip, femoral neck, and lumbar spine and </w:t>
      </w:r>
      <w:r w:rsidR="007B239B">
        <w:t xml:space="preserve">preventing other fractures </w:t>
      </w:r>
      <w:r w:rsidR="001D56C6">
        <w:t>was</w:t>
      </w:r>
      <w:r w:rsidR="007B239B">
        <w:t xml:space="preserve"> also presented in the submission.</w:t>
      </w:r>
      <w:r w:rsidR="00306E37">
        <w:t xml:space="preserve"> </w:t>
      </w:r>
      <w:r w:rsidR="007B239B" w:rsidRPr="00F25E15">
        <w:t>However, these endpoints were not included for the indirect comparison</w:t>
      </w:r>
      <w:r w:rsidR="00B141AC" w:rsidRPr="00F25E15">
        <w:t xml:space="preserve"> between abaloparatide and romosozumab</w:t>
      </w:r>
      <w:r w:rsidR="007B239B" w:rsidRPr="00F25E15">
        <w:t xml:space="preserve"> in the submission. </w:t>
      </w:r>
    </w:p>
    <w:p w14:paraId="6512D54D" w14:textId="69836926" w:rsidR="004E1DA8" w:rsidRPr="00C71F0C" w:rsidRDefault="006C3EBA" w:rsidP="00DD0E5E">
      <w:pPr>
        <w:pStyle w:val="3-BodyText"/>
      </w:pPr>
      <w:r>
        <w:t>In</w:t>
      </w:r>
      <w:r w:rsidR="003C495E">
        <w:t xml:space="preserve"> the</w:t>
      </w:r>
      <w:r>
        <w:t xml:space="preserve"> ACTIVE</w:t>
      </w:r>
      <w:r w:rsidR="003C495E">
        <w:t xml:space="preserve"> trial</w:t>
      </w:r>
      <w:r>
        <w:t xml:space="preserve">, </w:t>
      </w:r>
      <w:r w:rsidR="005E3688" w:rsidRPr="006C3EBA">
        <w:t>BMD</w:t>
      </w:r>
      <w:r w:rsidR="005E3688">
        <w:t xml:space="preserve"> in </w:t>
      </w:r>
      <w:r w:rsidRPr="006C3EBA">
        <w:t xml:space="preserve">abaloparatide patients gained over time </w:t>
      </w:r>
      <w:r w:rsidR="005E3688">
        <w:t xml:space="preserve">at </w:t>
      </w:r>
      <w:r w:rsidR="005E3688" w:rsidRPr="006C3EBA">
        <w:t>total hip, femoral neck and lumbar spine</w:t>
      </w:r>
      <w:r w:rsidR="005E3688">
        <w:t xml:space="preserve">, while </w:t>
      </w:r>
      <w:r w:rsidR="005E3688" w:rsidRPr="006C3EBA">
        <w:t>BMD</w:t>
      </w:r>
      <w:r w:rsidR="005E3688">
        <w:t xml:space="preserve"> i</w:t>
      </w:r>
      <w:r w:rsidRPr="006C3EBA">
        <w:t xml:space="preserve">n placebo </w:t>
      </w:r>
      <w:r w:rsidR="005E3688">
        <w:t>patients</w:t>
      </w:r>
      <w:r w:rsidRPr="006C3EBA">
        <w:t xml:space="preserve"> decreased over time </w:t>
      </w:r>
      <w:r w:rsidR="005E3688">
        <w:t>at</w:t>
      </w:r>
      <w:r w:rsidRPr="006C3EBA">
        <w:t xml:space="preserve"> all three anatomical sites. At all </w:t>
      </w:r>
      <w:r w:rsidR="00594062">
        <w:t xml:space="preserve">the </w:t>
      </w:r>
      <w:r w:rsidRPr="006C3EBA">
        <w:t>time points, patients treated with abaloparatide had statistically significant percent changes in BMD from baseline at total hip, femoral neck, and lumbar spine compared to placebo</w:t>
      </w:r>
      <w:r w:rsidRPr="005E3688">
        <w:rPr>
          <w:i/>
          <w:iCs/>
        </w:rPr>
        <w:t xml:space="preserve">. </w:t>
      </w:r>
      <w:r w:rsidR="005E3688" w:rsidRPr="00F25E15">
        <w:t>The PBAC previously considered that “the clinical importance of the difference in BMD outcomes was unclear” (para</w:t>
      </w:r>
      <w:r w:rsidR="007B2465" w:rsidRPr="00F25E15">
        <w:t>graph</w:t>
      </w:r>
      <w:r w:rsidR="005E3688" w:rsidRPr="00F25E15">
        <w:t xml:space="preserve"> 5.4, romosozumab PSD, November 2018).</w:t>
      </w:r>
    </w:p>
    <w:p w14:paraId="6A96CF85" w14:textId="5C59FABD" w:rsidR="00B141AC" w:rsidRPr="00EC6DF8" w:rsidRDefault="00B141AC" w:rsidP="00B141AC">
      <w:pPr>
        <w:pStyle w:val="5-SubsectionSubheading"/>
        <w:keepNext w:val="0"/>
        <w:keepLines w:val="0"/>
        <w:widowControl w:val="0"/>
        <w:spacing w:before="160" w:after="120"/>
      </w:pPr>
      <w:bookmarkStart w:id="32" w:name="_Toc190701489"/>
      <w:r w:rsidRPr="00EC6DF8">
        <w:t xml:space="preserve">Indirect comparison of </w:t>
      </w:r>
      <w:r>
        <w:t xml:space="preserve">abaloparatide vs </w:t>
      </w:r>
      <w:bookmarkEnd w:id="32"/>
      <w:r>
        <w:t>romosozumab</w:t>
      </w:r>
    </w:p>
    <w:p w14:paraId="14214920" w14:textId="58974F3F" w:rsidR="00DA3167" w:rsidRPr="00B141AC" w:rsidRDefault="005B5862" w:rsidP="00EC5836">
      <w:pPr>
        <w:pStyle w:val="3-BodyText"/>
        <w:rPr>
          <w:color w:val="0066FF"/>
        </w:rPr>
      </w:pPr>
      <w:r>
        <w:t>Anchored i</w:t>
      </w:r>
      <w:r w:rsidR="00B141AC">
        <w:t xml:space="preserve">ndirect comparisons of abaloparatide </w:t>
      </w:r>
      <w:r w:rsidR="001D56C6">
        <w:t xml:space="preserve">treatment </w:t>
      </w:r>
      <w:r w:rsidR="00304B47">
        <w:t xml:space="preserve">for 18 months </w:t>
      </w:r>
      <w:r w:rsidR="004E1DA8">
        <w:t xml:space="preserve">in ACTIVE </w:t>
      </w:r>
      <w:r w:rsidR="00B141AC">
        <w:t>vs romosozumab</w:t>
      </w:r>
      <w:r w:rsidR="00304B47">
        <w:t xml:space="preserve"> for 12 month</w:t>
      </w:r>
      <w:r w:rsidR="004E1DA8">
        <w:t>s in FRAME</w:t>
      </w:r>
      <w:r w:rsidR="00304B47">
        <w:t xml:space="preserve"> and the residual effectiveness </w:t>
      </w:r>
      <w:r w:rsidR="004E1DA8">
        <w:t>of these two drugs in the extension studies of these two trials</w:t>
      </w:r>
      <w:r w:rsidR="00304B47">
        <w:t>,</w:t>
      </w:r>
      <w:r w:rsidR="00B141AC">
        <w:t xml:space="preserve"> </w:t>
      </w:r>
      <w:r w:rsidR="0011011A">
        <w:t xml:space="preserve">using </w:t>
      </w:r>
      <w:r w:rsidR="00B141AC">
        <w:t xml:space="preserve">placebo </w:t>
      </w:r>
      <w:r w:rsidR="001D56C6">
        <w:t xml:space="preserve">as </w:t>
      </w:r>
      <w:r w:rsidR="00B141AC">
        <w:t xml:space="preserve">the common </w:t>
      </w:r>
      <w:r w:rsidR="00817758">
        <w:t>reference</w:t>
      </w:r>
      <w:r w:rsidR="00B141AC">
        <w:rPr>
          <w:rStyle w:val="FootnoteReference"/>
        </w:rPr>
        <w:footnoteReference w:id="18"/>
      </w:r>
      <w:r w:rsidR="00B141AC">
        <w:t>, are presented in</w:t>
      </w:r>
      <w:r w:rsidR="00723E24">
        <w:t xml:space="preserve"> </w:t>
      </w:r>
      <w:r w:rsidR="00FE0077">
        <w:fldChar w:fldCharType="begin"/>
      </w:r>
      <w:r w:rsidR="00FE0077">
        <w:instrText xml:space="preserve"> REF _Ref195782695 \h </w:instrText>
      </w:r>
      <w:r w:rsidR="00FE0077">
        <w:fldChar w:fldCharType="separate"/>
      </w:r>
      <w:r w:rsidR="005B625A" w:rsidRPr="00D86D87">
        <w:t xml:space="preserve">Table </w:t>
      </w:r>
      <w:r w:rsidR="005B625A">
        <w:rPr>
          <w:noProof/>
        </w:rPr>
        <w:t>5</w:t>
      </w:r>
      <w:r w:rsidR="00FE0077">
        <w:fldChar w:fldCharType="end"/>
      </w:r>
      <w:r w:rsidR="00F82679">
        <w:t xml:space="preserve"> and </w:t>
      </w:r>
      <w:r w:rsidR="00F82679">
        <w:fldChar w:fldCharType="begin"/>
      </w:r>
      <w:r w:rsidR="00F82679">
        <w:instrText xml:space="preserve"> REF _Ref196067070 \h </w:instrText>
      </w:r>
      <w:r w:rsidR="00F82679">
        <w:fldChar w:fldCharType="separate"/>
      </w:r>
      <w:r w:rsidR="005B625A" w:rsidRPr="00D86D87">
        <w:t xml:space="preserve">Table </w:t>
      </w:r>
      <w:r w:rsidR="005B625A">
        <w:rPr>
          <w:noProof/>
        </w:rPr>
        <w:t>6</w:t>
      </w:r>
      <w:r w:rsidR="00F82679">
        <w:fldChar w:fldCharType="end"/>
      </w:r>
      <w:r w:rsidR="00F82679">
        <w:t>.</w:t>
      </w:r>
    </w:p>
    <w:p w14:paraId="700354E8" w14:textId="72F05D9A" w:rsidR="00304B47" w:rsidRDefault="00FE0077" w:rsidP="00304B47">
      <w:pPr>
        <w:pStyle w:val="Caption"/>
        <w:spacing w:before="120"/>
        <w:ind w:left="709" w:hanging="709"/>
      </w:pPr>
      <w:bookmarkStart w:id="33" w:name="_Ref195782695"/>
      <w:bookmarkStart w:id="34" w:name="_Ref195374058"/>
      <w:r w:rsidRPr="00D86D87">
        <w:t xml:space="preserve">Table </w:t>
      </w:r>
      <w:r w:rsidR="001C1C72">
        <w:fldChar w:fldCharType="begin"/>
      </w:r>
      <w:r w:rsidR="001C1C72">
        <w:instrText xml:space="preserve"> SEQ Table \* ARABIC </w:instrText>
      </w:r>
      <w:r w:rsidR="001C1C72">
        <w:fldChar w:fldCharType="separate"/>
      </w:r>
      <w:r w:rsidR="005B625A">
        <w:rPr>
          <w:noProof/>
        </w:rPr>
        <w:t>5</w:t>
      </w:r>
      <w:r w:rsidR="001C1C72">
        <w:rPr>
          <w:noProof/>
        </w:rPr>
        <w:fldChar w:fldCharType="end"/>
      </w:r>
      <w:bookmarkEnd w:id="33"/>
      <w:r w:rsidRPr="00D86D87">
        <w:t>:</w:t>
      </w:r>
      <w:r w:rsidRPr="00D86D87">
        <w:rPr>
          <w:rStyle w:val="CommentReference"/>
          <w:b/>
          <w:szCs w:val="24"/>
        </w:rPr>
        <w:t xml:space="preserve"> </w:t>
      </w:r>
      <w:bookmarkEnd w:id="34"/>
      <w:r w:rsidR="00304B47">
        <w:t>Summary of the results of the ITC comparing the incidence of new vertebral fractures in patients receiving abaloparatide for 18 months followed by alendronate for 24 months vs romosozumab for 12 months followed by denosumab for 24 months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Summary of the results of the ITC comparing the incidence of new vertebral fractures in patients receiving abaloparatide for 18 months followed by alendronate for 24 months vs romosozumab for 12 months followed by denosumab for 24 months"/>
      </w:tblPr>
      <w:tblGrid>
        <w:gridCol w:w="2268"/>
        <w:gridCol w:w="1700"/>
        <w:gridCol w:w="1618"/>
        <w:gridCol w:w="9"/>
        <w:gridCol w:w="1775"/>
        <w:gridCol w:w="1647"/>
      </w:tblGrid>
      <w:tr w:rsidR="00304B47" w:rsidRPr="00DC7B06" w14:paraId="0CFADB3A" w14:textId="77777777" w:rsidTr="000F3163">
        <w:trPr>
          <w:trHeight w:val="284"/>
          <w:tblHeader/>
        </w:trPr>
        <w:tc>
          <w:tcPr>
            <w:tcW w:w="1258" w:type="pct"/>
            <w:vAlign w:val="center"/>
          </w:tcPr>
          <w:p w14:paraId="26B8C03F" w14:textId="77777777" w:rsidR="00304B47" w:rsidRPr="008524C7" w:rsidRDefault="00304B47" w:rsidP="009C0529">
            <w:pPr>
              <w:keepNext/>
              <w:keepLines/>
              <w:jc w:val="center"/>
              <w:rPr>
                <w:rFonts w:ascii="Arial Narrow" w:eastAsiaTheme="majorEastAsia" w:hAnsi="Arial Narrow" w:cs="Times New Roman"/>
                <w:b/>
                <w:iCs/>
                <w:sz w:val="20"/>
                <w:szCs w:val="20"/>
              </w:rPr>
            </w:pPr>
            <w:r w:rsidRPr="008524C7">
              <w:rPr>
                <w:rFonts w:ascii="Arial Narrow" w:eastAsiaTheme="majorEastAsia" w:hAnsi="Arial Narrow" w:cs="Times New Roman"/>
                <w:b/>
                <w:iCs/>
                <w:sz w:val="20"/>
                <w:szCs w:val="20"/>
              </w:rPr>
              <w:t>Trial</w:t>
            </w:r>
          </w:p>
        </w:tc>
        <w:tc>
          <w:tcPr>
            <w:tcW w:w="1845" w:type="pct"/>
            <w:gridSpan w:val="3"/>
            <w:vAlign w:val="center"/>
          </w:tcPr>
          <w:p w14:paraId="18B40509" w14:textId="3286FCC7" w:rsidR="00304B47" w:rsidRPr="008524C7" w:rsidRDefault="00304B47" w:rsidP="009C0529">
            <w:pPr>
              <w:keepNext/>
              <w:keepLines/>
              <w:jc w:val="center"/>
              <w:rPr>
                <w:rFonts w:ascii="Arial Narrow" w:hAnsi="Arial Narrow"/>
                <w:b/>
                <w:sz w:val="20"/>
                <w:szCs w:val="20"/>
              </w:rPr>
            </w:pPr>
            <w:r>
              <w:rPr>
                <w:rFonts w:ascii="Arial Narrow" w:hAnsi="Arial Narrow"/>
                <w:b/>
                <w:sz w:val="20"/>
                <w:szCs w:val="20"/>
              </w:rPr>
              <w:t>ACTIVE</w:t>
            </w:r>
            <w:r w:rsidR="00D81582">
              <w:rPr>
                <w:rFonts w:ascii="Arial Narrow" w:hAnsi="Arial Narrow"/>
                <w:b/>
                <w:sz w:val="20"/>
                <w:szCs w:val="20"/>
              </w:rPr>
              <w:t xml:space="preserve"> (18 months)</w:t>
            </w:r>
            <w:r w:rsidR="00043223" w:rsidRPr="00043223">
              <w:rPr>
                <w:rFonts w:ascii="Arial Narrow" w:hAnsi="Arial Narrow"/>
                <w:b/>
                <w:sz w:val="20"/>
                <w:szCs w:val="20"/>
                <w:vertAlign w:val="superscript"/>
              </w:rPr>
              <w:t>a</w:t>
            </w:r>
          </w:p>
        </w:tc>
        <w:tc>
          <w:tcPr>
            <w:tcW w:w="1898" w:type="pct"/>
            <w:gridSpan w:val="2"/>
            <w:vAlign w:val="center"/>
          </w:tcPr>
          <w:p w14:paraId="4D31DD12" w14:textId="4DF14457" w:rsidR="00304B47" w:rsidRPr="008524C7" w:rsidRDefault="00304B47" w:rsidP="009C0529">
            <w:pPr>
              <w:keepNext/>
              <w:keepLines/>
              <w:jc w:val="center"/>
              <w:rPr>
                <w:rFonts w:ascii="Arial Narrow" w:hAnsi="Arial Narrow"/>
                <w:b/>
                <w:sz w:val="20"/>
                <w:szCs w:val="20"/>
              </w:rPr>
            </w:pPr>
            <w:r>
              <w:rPr>
                <w:rFonts w:ascii="Arial Narrow" w:hAnsi="Arial Narrow"/>
                <w:b/>
                <w:sz w:val="20"/>
                <w:szCs w:val="20"/>
              </w:rPr>
              <w:t>FRAME</w:t>
            </w:r>
            <w:r w:rsidR="00D81582">
              <w:rPr>
                <w:rFonts w:ascii="Arial Narrow" w:hAnsi="Arial Narrow"/>
                <w:b/>
                <w:sz w:val="20"/>
                <w:szCs w:val="20"/>
              </w:rPr>
              <w:t xml:space="preserve"> (12 months)</w:t>
            </w:r>
          </w:p>
        </w:tc>
      </w:tr>
      <w:tr w:rsidR="008A3A2D" w:rsidRPr="00DC7B06" w14:paraId="656B1AA2" w14:textId="1F368ACA" w:rsidTr="000F3163">
        <w:trPr>
          <w:trHeight w:val="284"/>
          <w:tblHeader/>
        </w:trPr>
        <w:tc>
          <w:tcPr>
            <w:tcW w:w="1258" w:type="pct"/>
            <w:vAlign w:val="center"/>
          </w:tcPr>
          <w:p w14:paraId="0EB8F1D3" w14:textId="77777777" w:rsidR="008A3A2D" w:rsidRPr="00744D0B" w:rsidRDefault="008A3A2D" w:rsidP="009C0529">
            <w:pPr>
              <w:keepNext/>
              <w:keepLines/>
              <w:jc w:val="left"/>
              <w:rPr>
                <w:rFonts w:ascii="Arial Narrow" w:eastAsiaTheme="majorEastAsia" w:hAnsi="Arial Narrow" w:cs="Times New Roman"/>
                <w:b/>
                <w:iCs/>
                <w:sz w:val="20"/>
                <w:szCs w:val="20"/>
              </w:rPr>
            </w:pPr>
            <w:r w:rsidRPr="00744D0B">
              <w:rPr>
                <w:rFonts w:ascii="Arial Narrow" w:eastAsiaTheme="majorEastAsia" w:hAnsi="Arial Narrow" w:cs="Times New Roman"/>
                <w:b/>
                <w:iCs/>
                <w:sz w:val="20"/>
                <w:szCs w:val="20"/>
              </w:rPr>
              <w:t>Treatment/statistics</w:t>
            </w:r>
          </w:p>
        </w:tc>
        <w:tc>
          <w:tcPr>
            <w:tcW w:w="943" w:type="pct"/>
            <w:vAlign w:val="center"/>
          </w:tcPr>
          <w:p w14:paraId="79FA9E4F" w14:textId="61A775FE" w:rsidR="008A3A2D" w:rsidRPr="00744D0B" w:rsidRDefault="008A3A2D" w:rsidP="009C0529">
            <w:pPr>
              <w:keepNext/>
              <w:keepLines/>
              <w:jc w:val="center"/>
              <w:rPr>
                <w:rFonts w:ascii="Arial Narrow" w:hAnsi="Arial Narrow"/>
                <w:b/>
                <w:sz w:val="20"/>
                <w:szCs w:val="20"/>
              </w:rPr>
            </w:pPr>
            <w:r w:rsidRPr="00744D0B">
              <w:rPr>
                <w:rFonts w:ascii="Arial Narrow" w:hAnsi="Arial Narrow"/>
                <w:b/>
                <w:sz w:val="20"/>
                <w:szCs w:val="20"/>
              </w:rPr>
              <w:t>Abaloparatide</w:t>
            </w:r>
          </w:p>
        </w:tc>
        <w:tc>
          <w:tcPr>
            <w:tcW w:w="902" w:type="pct"/>
            <w:gridSpan w:val="2"/>
            <w:vAlign w:val="center"/>
          </w:tcPr>
          <w:p w14:paraId="11A86AE1" w14:textId="605A5D05" w:rsidR="008A3A2D" w:rsidRPr="00744D0B" w:rsidRDefault="008A3A2D" w:rsidP="009C0529">
            <w:pPr>
              <w:jc w:val="center"/>
              <w:rPr>
                <w:rFonts w:ascii="Arial Narrow" w:hAnsi="Arial Narrow"/>
                <w:b/>
                <w:sz w:val="20"/>
                <w:szCs w:val="20"/>
              </w:rPr>
            </w:pPr>
            <w:r>
              <w:rPr>
                <w:rFonts w:ascii="Arial Narrow" w:hAnsi="Arial Narrow"/>
                <w:b/>
                <w:sz w:val="20"/>
                <w:szCs w:val="20"/>
              </w:rPr>
              <w:t>Placebo</w:t>
            </w:r>
          </w:p>
        </w:tc>
        <w:tc>
          <w:tcPr>
            <w:tcW w:w="984" w:type="pct"/>
            <w:vAlign w:val="center"/>
          </w:tcPr>
          <w:p w14:paraId="4E5D1E95" w14:textId="2C4EB6DB" w:rsidR="008A3A2D" w:rsidRPr="00744D0B" w:rsidRDefault="008A3A2D" w:rsidP="009C0529">
            <w:pPr>
              <w:keepNext/>
              <w:keepLines/>
              <w:jc w:val="center"/>
              <w:rPr>
                <w:rFonts w:ascii="Arial Narrow" w:hAnsi="Arial Narrow"/>
                <w:b/>
                <w:sz w:val="20"/>
                <w:szCs w:val="20"/>
              </w:rPr>
            </w:pPr>
            <w:r w:rsidRPr="00744D0B">
              <w:rPr>
                <w:rFonts w:ascii="Arial Narrow" w:hAnsi="Arial Narrow"/>
                <w:b/>
                <w:sz w:val="20"/>
                <w:szCs w:val="20"/>
              </w:rPr>
              <w:t>Romosozumab</w:t>
            </w:r>
          </w:p>
        </w:tc>
        <w:tc>
          <w:tcPr>
            <w:tcW w:w="913" w:type="pct"/>
            <w:vAlign w:val="center"/>
          </w:tcPr>
          <w:p w14:paraId="0A772C18" w14:textId="15BFE559" w:rsidR="008A3A2D" w:rsidRPr="00744D0B" w:rsidRDefault="008A3A2D" w:rsidP="009C0529">
            <w:pPr>
              <w:jc w:val="center"/>
              <w:rPr>
                <w:rFonts w:ascii="Arial Narrow" w:hAnsi="Arial Narrow"/>
                <w:b/>
                <w:sz w:val="20"/>
                <w:szCs w:val="20"/>
              </w:rPr>
            </w:pPr>
            <w:r>
              <w:rPr>
                <w:rFonts w:ascii="Arial Narrow" w:hAnsi="Arial Narrow"/>
                <w:b/>
                <w:sz w:val="20"/>
                <w:szCs w:val="20"/>
              </w:rPr>
              <w:t>Placebo</w:t>
            </w:r>
          </w:p>
        </w:tc>
      </w:tr>
      <w:tr w:rsidR="00777D9C" w:rsidRPr="00B5356E" w14:paraId="0AB34403" w14:textId="69932197" w:rsidTr="000F3163">
        <w:trPr>
          <w:trHeight w:val="284"/>
          <w:tblHeader/>
        </w:trPr>
        <w:tc>
          <w:tcPr>
            <w:tcW w:w="1258" w:type="pct"/>
            <w:vAlign w:val="center"/>
          </w:tcPr>
          <w:p w14:paraId="58E9B741" w14:textId="752A15F0" w:rsidR="00777D9C" w:rsidRPr="00A15CDF" w:rsidRDefault="004F0501" w:rsidP="009C0529">
            <w:pPr>
              <w:keepNext/>
              <w:keepLines/>
              <w:ind w:left="314"/>
              <w:jc w:val="left"/>
              <w:rPr>
                <w:rFonts w:ascii="Arial Narrow" w:eastAsiaTheme="majorEastAsia" w:hAnsi="Arial Narrow" w:cs="Times New Roman"/>
                <w:bCs/>
                <w:iCs/>
                <w:sz w:val="20"/>
                <w:szCs w:val="20"/>
                <w:lang w:val="en-US"/>
              </w:rPr>
            </w:pPr>
            <w:r>
              <w:rPr>
                <w:rFonts w:ascii="Arial Narrow" w:eastAsiaTheme="majorEastAsia" w:hAnsi="Arial Narrow" w:cs="Times New Roman"/>
                <w:bCs/>
                <w:iCs/>
                <w:sz w:val="20"/>
                <w:szCs w:val="20"/>
                <w:lang w:val="en-US"/>
              </w:rPr>
              <w:t>n/</w:t>
            </w:r>
            <w:r w:rsidRPr="00A15CDF">
              <w:rPr>
                <w:rFonts w:ascii="Arial Narrow" w:eastAsiaTheme="majorEastAsia" w:hAnsi="Arial Narrow" w:cs="Times New Roman"/>
                <w:bCs/>
                <w:iCs/>
                <w:sz w:val="20"/>
                <w:szCs w:val="20"/>
                <w:lang w:val="en-US"/>
              </w:rPr>
              <w:t>N</w:t>
            </w:r>
            <w:r w:rsidR="00777D9C" w:rsidRPr="00A15CDF">
              <w:rPr>
                <w:rFonts w:ascii="Arial Narrow" w:eastAsiaTheme="majorEastAsia" w:hAnsi="Arial Narrow" w:cs="Times New Roman"/>
                <w:bCs/>
                <w:iCs/>
                <w:sz w:val="20"/>
                <w:szCs w:val="20"/>
                <w:lang w:val="en-US"/>
              </w:rPr>
              <w:t xml:space="preserve"> (%)</w:t>
            </w:r>
          </w:p>
        </w:tc>
        <w:tc>
          <w:tcPr>
            <w:tcW w:w="943" w:type="pct"/>
            <w:vAlign w:val="center"/>
          </w:tcPr>
          <w:p w14:paraId="192822DD" w14:textId="34216282" w:rsidR="00777D9C" w:rsidRPr="00227B30" w:rsidRDefault="00777D9C" w:rsidP="009C0529">
            <w:pPr>
              <w:keepNext/>
              <w:keepLines/>
              <w:jc w:val="center"/>
              <w:rPr>
                <w:rFonts w:ascii="Arial Narrow" w:eastAsiaTheme="majorEastAsia" w:hAnsi="Arial Narrow" w:cs="Times New Roman"/>
                <w:bCs/>
                <w:iCs/>
                <w:sz w:val="20"/>
                <w:szCs w:val="20"/>
                <w:lang w:val="en-US"/>
              </w:rPr>
            </w:pPr>
            <w:r w:rsidRPr="00227B30">
              <w:rPr>
                <w:rFonts w:ascii="Arial Narrow" w:eastAsiaTheme="majorEastAsia" w:hAnsi="Arial Narrow" w:cs="Times New Roman"/>
                <w:bCs/>
                <w:iCs/>
                <w:sz w:val="20"/>
                <w:szCs w:val="20"/>
                <w:lang w:val="en-US"/>
              </w:rPr>
              <w:t>3</w:t>
            </w:r>
            <w:r w:rsidR="00273F0E" w:rsidRPr="00227B30">
              <w:rPr>
                <w:rFonts w:ascii="Arial Narrow" w:eastAsiaTheme="majorEastAsia" w:hAnsi="Arial Narrow" w:cs="Times New Roman"/>
                <w:bCs/>
                <w:iCs/>
                <w:sz w:val="20"/>
                <w:szCs w:val="20"/>
                <w:lang w:val="en-US"/>
              </w:rPr>
              <w:t>/583</w:t>
            </w:r>
            <w:r w:rsidRPr="00227B30">
              <w:rPr>
                <w:rFonts w:ascii="Arial Narrow" w:eastAsiaTheme="majorEastAsia" w:hAnsi="Arial Narrow" w:cs="Times New Roman"/>
                <w:bCs/>
                <w:iCs/>
                <w:sz w:val="20"/>
                <w:szCs w:val="20"/>
                <w:lang w:val="en-US"/>
              </w:rPr>
              <w:t xml:space="preserve"> (0.51)</w:t>
            </w:r>
          </w:p>
        </w:tc>
        <w:tc>
          <w:tcPr>
            <w:tcW w:w="902" w:type="pct"/>
            <w:gridSpan w:val="2"/>
            <w:vAlign w:val="center"/>
          </w:tcPr>
          <w:p w14:paraId="4ED9189D" w14:textId="48579922" w:rsidR="00777D9C" w:rsidRPr="00227B30" w:rsidRDefault="00273F0E" w:rsidP="009C0529">
            <w:pPr>
              <w:keepNext/>
              <w:keepLines/>
              <w:jc w:val="center"/>
              <w:rPr>
                <w:rFonts w:ascii="Arial Narrow" w:eastAsiaTheme="majorEastAsia" w:hAnsi="Arial Narrow" w:cs="Times New Roman"/>
                <w:bCs/>
                <w:iCs/>
                <w:sz w:val="20"/>
                <w:szCs w:val="20"/>
                <w:lang w:val="en-US"/>
              </w:rPr>
            </w:pPr>
            <w:r w:rsidRPr="00227B30">
              <w:rPr>
                <w:rFonts w:ascii="Arial Narrow" w:eastAsiaTheme="majorEastAsia" w:hAnsi="Arial Narrow" w:cs="Times New Roman"/>
                <w:bCs/>
                <w:iCs/>
                <w:sz w:val="20"/>
                <w:szCs w:val="20"/>
                <w:lang w:val="en-US"/>
              </w:rPr>
              <w:t>25/600 (4.17)</w:t>
            </w:r>
          </w:p>
        </w:tc>
        <w:tc>
          <w:tcPr>
            <w:tcW w:w="984" w:type="pct"/>
            <w:vAlign w:val="center"/>
          </w:tcPr>
          <w:p w14:paraId="33CE417E" w14:textId="2D2015C9" w:rsidR="00777D9C" w:rsidRPr="00227B30" w:rsidRDefault="00777D9C" w:rsidP="009C0529">
            <w:pPr>
              <w:keepNext/>
              <w:keepLines/>
              <w:jc w:val="center"/>
              <w:rPr>
                <w:rFonts w:ascii="Arial Narrow" w:eastAsiaTheme="majorEastAsia" w:hAnsi="Arial Narrow" w:cs="Times New Roman"/>
                <w:bCs/>
                <w:iCs/>
                <w:sz w:val="20"/>
                <w:szCs w:val="20"/>
                <w:lang w:val="en-US"/>
              </w:rPr>
            </w:pPr>
            <w:r w:rsidRPr="00227B30">
              <w:rPr>
                <w:rFonts w:ascii="Arial Narrow" w:eastAsiaTheme="majorEastAsia" w:hAnsi="Arial Narrow" w:cs="Times New Roman"/>
                <w:bCs/>
                <w:iCs/>
                <w:sz w:val="20"/>
                <w:szCs w:val="20"/>
                <w:lang w:val="en-US"/>
              </w:rPr>
              <w:t>16</w:t>
            </w:r>
            <w:r w:rsidR="00FB210E" w:rsidRPr="00227B30">
              <w:rPr>
                <w:rFonts w:ascii="Arial Narrow" w:eastAsiaTheme="majorEastAsia" w:hAnsi="Arial Narrow" w:cs="Times New Roman"/>
                <w:bCs/>
                <w:iCs/>
                <w:sz w:val="20"/>
                <w:szCs w:val="20"/>
                <w:lang w:val="en-US"/>
              </w:rPr>
              <w:t>/3,321</w:t>
            </w:r>
            <w:r w:rsidRPr="00227B30">
              <w:rPr>
                <w:rFonts w:ascii="Arial Narrow" w:eastAsiaTheme="majorEastAsia" w:hAnsi="Arial Narrow" w:cs="Times New Roman"/>
                <w:bCs/>
                <w:iCs/>
                <w:sz w:val="20"/>
                <w:szCs w:val="20"/>
                <w:lang w:val="en-US"/>
              </w:rPr>
              <w:t xml:space="preserve"> (0.48)</w:t>
            </w:r>
          </w:p>
        </w:tc>
        <w:tc>
          <w:tcPr>
            <w:tcW w:w="913" w:type="pct"/>
            <w:vAlign w:val="center"/>
          </w:tcPr>
          <w:p w14:paraId="4C7C90DF" w14:textId="00442F71" w:rsidR="00777D9C" w:rsidRPr="00227B30" w:rsidRDefault="00FB210E" w:rsidP="009C0529">
            <w:pPr>
              <w:keepNext/>
              <w:keepLines/>
              <w:jc w:val="center"/>
              <w:rPr>
                <w:rFonts w:ascii="Arial Narrow" w:eastAsiaTheme="majorEastAsia" w:hAnsi="Arial Narrow" w:cs="Times New Roman"/>
                <w:bCs/>
                <w:iCs/>
                <w:sz w:val="20"/>
                <w:szCs w:val="20"/>
                <w:lang w:val="en-US"/>
              </w:rPr>
            </w:pPr>
            <w:r w:rsidRPr="00227B30">
              <w:rPr>
                <w:rFonts w:ascii="Arial Narrow" w:eastAsiaTheme="majorEastAsia" w:hAnsi="Arial Narrow" w:cs="Times New Roman"/>
                <w:bCs/>
                <w:iCs/>
                <w:sz w:val="20"/>
                <w:szCs w:val="20"/>
                <w:lang w:val="en-US"/>
              </w:rPr>
              <w:t>59/3,322 (</w:t>
            </w:r>
            <w:r w:rsidR="00740CC8" w:rsidRPr="00227B30">
              <w:rPr>
                <w:rFonts w:ascii="Arial Narrow" w:eastAsiaTheme="majorEastAsia" w:hAnsi="Arial Narrow" w:cs="Times New Roman"/>
                <w:bCs/>
                <w:iCs/>
                <w:sz w:val="20"/>
                <w:szCs w:val="20"/>
                <w:lang w:val="en-US"/>
              </w:rPr>
              <w:t>1.78</w:t>
            </w:r>
            <w:r w:rsidRPr="00227B30">
              <w:rPr>
                <w:rFonts w:ascii="Arial Narrow" w:eastAsiaTheme="majorEastAsia" w:hAnsi="Arial Narrow" w:cs="Times New Roman"/>
                <w:bCs/>
                <w:iCs/>
                <w:sz w:val="20"/>
                <w:szCs w:val="20"/>
                <w:lang w:val="en-US"/>
              </w:rPr>
              <w:t>)</w:t>
            </w:r>
          </w:p>
        </w:tc>
      </w:tr>
      <w:tr w:rsidR="007E75FF" w:rsidRPr="00B5356E" w14:paraId="429170FF" w14:textId="77777777" w:rsidTr="000F3163">
        <w:trPr>
          <w:trHeight w:val="284"/>
          <w:tblHeader/>
        </w:trPr>
        <w:tc>
          <w:tcPr>
            <w:tcW w:w="1258" w:type="pct"/>
            <w:tcBorders>
              <w:bottom w:val="single" w:sz="4" w:space="0" w:color="auto"/>
            </w:tcBorders>
            <w:vAlign w:val="center"/>
          </w:tcPr>
          <w:p w14:paraId="2389A51E" w14:textId="35D340D4" w:rsidR="007E75FF" w:rsidRPr="00A15CDF" w:rsidRDefault="007E75FF" w:rsidP="009C0529">
            <w:pPr>
              <w:keepNext/>
              <w:keepLines/>
              <w:ind w:left="29"/>
              <w:jc w:val="left"/>
              <w:rPr>
                <w:rFonts w:ascii="Arial Narrow" w:eastAsiaTheme="majorEastAsia" w:hAnsi="Arial Narrow" w:cs="Times New Roman"/>
                <w:bCs/>
                <w:iCs/>
                <w:sz w:val="20"/>
                <w:szCs w:val="20"/>
                <w:lang w:val="en-US"/>
              </w:rPr>
            </w:pPr>
            <w:r>
              <w:rPr>
                <w:rFonts w:ascii="Arial Narrow" w:eastAsiaTheme="majorEastAsia" w:hAnsi="Arial Narrow" w:cstheme="majorBidi"/>
                <w:sz w:val="20"/>
              </w:rPr>
              <w:t>Risk difference % (95% CI)</w:t>
            </w:r>
          </w:p>
        </w:tc>
        <w:tc>
          <w:tcPr>
            <w:tcW w:w="1845" w:type="pct"/>
            <w:gridSpan w:val="3"/>
            <w:tcBorders>
              <w:bottom w:val="single" w:sz="4" w:space="0" w:color="auto"/>
            </w:tcBorders>
            <w:vAlign w:val="center"/>
          </w:tcPr>
          <w:p w14:paraId="72902399" w14:textId="40D8C60F" w:rsidR="007E75FF" w:rsidRPr="00227B30" w:rsidRDefault="009257DA" w:rsidP="009C0529">
            <w:pPr>
              <w:keepNext/>
              <w:keepLines/>
              <w:jc w:val="center"/>
              <w:rPr>
                <w:rFonts w:ascii="Arial Narrow" w:eastAsiaTheme="majorEastAsia" w:hAnsi="Arial Narrow" w:cs="Times New Roman"/>
                <w:bCs/>
                <w:iCs/>
                <w:sz w:val="20"/>
                <w:szCs w:val="20"/>
                <w:lang w:val="en-US"/>
              </w:rPr>
            </w:pPr>
            <w:r w:rsidRPr="00227B30">
              <w:rPr>
                <w:rFonts w:ascii="Arial Narrow" w:eastAsiaTheme="majorEastAsia" w:hAnsi="Arial Narrow" w:cstheme="majorBidi"/>
                <w:b/>
                <w:bCs/>
                <w:sz w:val="20"/>
              </w:rPr>
              <w:t>-3.65 (-5.59, -2.00)</w:t>
            </w:r>
          </w:p>
        </w:tc>
        <w:tc>
          <w:tcPr>
            <w:tcW w:w="1898" w:type="pct"/>
            <w:gridSpan w:val="2"/>
            <w:tcBorders>
              <w:bottom w:val="single" w:sz="4" w:space="0" w:color="auto"/>
            </w:tcBorders>
            <w:vAlign w:val="center"/>
          </w:tcPr>
          <w:p w14:paraId="1EB28B29" w14:textId="0D94055F" w:rsidR="007E75FF" w:rsidRPr="00227B30" w:rsidRDefault="00910471" w:rsidP="009C0529">
            <w:pPr>
              <w:keepNext/>
              <w:keepLines/>
              <w:jc w:val="center"/>
              <w:rPr>
                <w:rFonts w:ascii="Arial Narrow" w:eastAsiaTheme="majorEastAsia" w:hAnsi="Arial Narrow" w:cs="Times New Roman"/>
                <w:b/>
                <w:iCs/>
                <w:sz w:val="20"/>
                <w:szCs w:val="20"/>
                <w:lang w:val="en-US"/>
              </w:rPr>
            </w:pPr>
            <w:r w:rsidRPr="00227B30">
              <w:rPr>
                <w:rFonts w:ascii="Arial Narrow" w:eastAsiaTheme="majorEastAsia" w:hAnsi="Arial Narrow" w:cs="Times New Roman"/>
                <w:b/>
                <w:iCs/>
                <w:sz w:val="20"/>
                <w:szCs w:val="20"/>
                <w:lang w:val="en-US"/>
              </w:rPr>
              <w:t>-1.</w:t>
            </w:r>
            <w:r w:rsidR="00051BFB" w:rsidRPr="00227B30">
              <w:rPr>
                <w:rFonts w:ascii="Arial Narrow" w:eastAsiaTheme="majorEastAsia" w:hAnsi="Arial Narrow" w:cs="Times New Roman"/>
                <w:b/>
                <w:iCs/>
                <w:sz w:val="20"/>
                <w:szCs w:val="20"/>
                <w:lang w:val="en-US"/>
              </w:rPr>
              <w:t>29</w:t>
            </w:r>
            <w:r w:rsidRPr="00227B30">
              <w:rPr>
                <w:rFonts w:ascii="Arial Narrow" w:eastAsiaTheme="majorEastAsia" w:hAnsi="Arial Narrow" w:cs="Times New Roman"/>
                <w:b/>
                <w:iCs/>
                <w:sz w:val="20"/>
                <w:szCs w:val="20"/>
                <w:lang w:val="en-US"/>
              </w:rPr>
              <w:t xml:space="preserve"> (</w:t>
            </w:r>
            <w:r w:rsidR="00051BFB" w:rsidRPr="00227B30">
              <w:rPr>
                <w:rFonts w:ascii="Arial Narrow" w:eastAsiaTheme="majorEastAsia" w:hAnsi="Arial Narrow" w:cs="Times New Roman"/>
                <w:b/>
                <w:iCs/>
                <w:sz w:val="20"/>
                <w:szCs w:val="20"/>
                <w:lang w:val="en-US"/>
              </w:rPr>
              <w:t>-1.80</w:t>
            </w:r>
            <w:r w:rsidR="00BA16B4" w:rsidRPr="00227B30">
              <w:rPr>
                <w:rFonts w:ascii="Arial Narrow" w:eastAsiaTheme="majorEastAsia" w:hAnsi="Arial Narrow" w:cs="Times New Roman"/>
                <w:b/>
                <w:iCs/>
                <w:sz w:val="20"/>
                <w:szCs w:val="20"/>
                <w:lang w:val="en-US"/>
              </w:rPr>
              <w:t xml:space="preserve">, </w:t>
            </w:r>
            <w:r w:rsidR="00DF0BBA" w:rsidRPr="00227B30">
              <w:rPr>
                <w:rFonts w:ascii="Arial Narrow" w:eastAsiaTheme="majorEastAsia" w:hAnsi="Arial Narrow" w:cs="Times New Roman"/>
                <w:b/>
                <w:iCs/>
                <w:sz w:val="20"/>
                <w:szCs w:val="20"/>
                <w:lang w:val="en-US"/>
              </w:rPr>
              <w:t>-0.79</w:t>
            </w:r>
            <w:r w:rsidR="00BA16B4" w:rsidRPr="00227B30">
              <w:rPr>
                <w:rFonts w:ascii="Arial Narrow" w:eastAsiaTheme="majorEastAsia" w:hAnsi="Arial Narrow" w:cs="Times New Roman"/>
                <w:b/>
                <w:iCs/>
                <w:sz w:val="20"/>
                <w:szCs w:val="20"/>
                <w:lang w:val="en-US"/>
              </w:rPr>
              <w:t>)</w:t>
            </w:r>
          </w:p>
        </w:tc>
      </w:tr>
      <w:tr w:rsidR="00304B47" w:rsidRPr="00B5356E" w14:paraId="035576E9" w14:textId="77777777" w:rsidTr="000F3163">
        <w:trPr>
          <w:trHeight w:val="284"/>
        </w:trPr>
        <w:tc>
          <w:tcPr>
            <w:tcW w:w="1258" w:type="pct"/>
            <w:tcBorders>
              <w:bottom w:val="dotted" w:sz="4" w:space="0" w:color="auto"/>
            </w:tcBorders>
          </w:tcPr>
          <w:p w14:paraId="3901B930" w14:textId="77777777" w:rsidR="003D3555" w:rsidRDefault="00650C4F" w:rsidP="009C0529">
            <w:pPr>
              <w:keepNext/>
              <w:widowControl w:val="0"/>
              <w:ind w:firstLine="29"/>
              <w:jc w:val="left"/>
              <w:rPr>
                <w:rFonts w:ascii="Arial Narrow" w:eastAsiaTheme="majorEastAsia" w:hAnsi="Arial Narrow" w:cstheme="majorBidi"/>
                <w:bCs/>
                <w:sz w:val="20"/>
                <w:szCs w:val="20"/>
              </w:rPr>
            </w:pPr>
            <w:r>
              <w:rPr>
                <w:rFonts w:ascii="Arial Narrow" w:eastAsiaTheme="majorEastAsia" w:hAnsi="Arial Narrow" w:cstheme="majorBidi"/>
                <w:bCs/>
                <w:sz w:val="20"/>
                <w:szCs w:val="20"/>
              </w:rPr>
              <w:t>ITC r</w:t>
            </w:r>
            <w:r w:rsidR="00304B47" w:rsidRPr="00A15CDF">
              <w:rPr>
                <w:rFonts w:ascii="Arial Narrow" w:eastAsiaTheme="majorEastAsia" w:hAnsi="Arial Narrow" w:cstheme="majorBidi"/>
                <w:bCs/>
                <w:sz w:val="20"/>
                <w:szCs w:val="20"/>
              </w:rPr>
              <w:t xml:space="preserve">isk difference </w:t>
            </w:r>
          </w:p>
          <w:p w14:paraId="1A44D446" w14:textId="13EE14AC" w:rsidR="00304B47" w:rsidRPr="00A15CDF" w:rsidRDefault="00304B47" w:rsidP="009C0529">
            <w:pPr>
              <w:keepNext/>
              <w:widowControl w:val="0"/>
              <w:ind w:firstLine="29"/>
              <w:jc w:val="left"/>
              <w:rPr>
                <w:rFonts w:ascii="Arial Narrow" w:eastAsiaTheme="majorEastAsia" w:hAnsi="Arial Narrow" w:cstheme="majorBidi"/>
                <w:bCs/>
                <w:sz w:val="20"/>
                <w:szCs w:val="20"/>
              </w:rPr>
            </w:pPr>
            <w:r w:rsidRPr="00A15CDF">
              <w:rPr>
                <w:rFonts w:ascii="Arial Narrow" w:eastAsiaTheme="majorEastAsia" w:hAnsi="Arial Narrow" w:cstheme="majorBidi"/>
                <w:bCs/>
                <w:sz w:val="20"/>
                <w:szCs w:val="20"/>
              </w:rPr>
              <w:t>(95% CI</w:t>
            </w:r>
            <w:r w:rsidR="003D3555">
              <w:rPr>
                <w:rFonts w:ascii="Arial Narrow" w:eastAsiaTheme="majorEastAsia" w:hAnsi="Arial Narrow" w:cstheme="majorBidi"/>
                <w:bCs/>
                <w:sz w:val="20"/>
                <w:szCs w:val="20"/>
              </w:rPr>
              <w:t xml:space="preserve">, </w:t>
            </w:r>
            <w:r w:rsidR="003D3555" w:rsidRPr="00A15CDF">
              <w:rPr>
                <w:rFonts w:ascii="Arial Narrow" w:eastAsiaTheme="majorEastAsia" w:hAnsi="Arial Narrow" w:cstheme="majorBidi"/>
                <w:bCs/>
                <w:sz w:val="20"/>
                <w:szCs w:val="20"/>
              </w:rPr>
              <w:t>p-value</w:t>
            </w:r>
            <w:r w:rsidRPr="00A15CDF">
              <w:rPr>
                <w:rFonts w:ascii="Arial Narrow" w:eastAsiaTheme="majorEastAsia" w:hAnsi="Arial Narrow" w:cstheme="majorBidi"/>
                <w:bCs/>
                <w:sz w:val="20"/>
                <w:szCs w:val="20"/>
              </w:rPr>
              <w:t>)</w:t>
            </w:r>
          </w:p>
        </w:tc>
        <w:tc>
          <w:tcPr>
            <w:tcW w:w="3742" w:type="pct"/>
            <w:gridSpan w:val="5"/>
            <w:tcBorders>
              <w:bottom w:val="dotted" w:sz="4" w:space="0" w:color="auto"/>
            </w:tcBorders>
            <w:vAlign w:val="center"/>
          </w:tcPr>
          <w:p w14:paraId="5D904936" w14:textId="16947FD3" w:rsidR="00304B47" w:rsidRPr="00A15CDF" w:rsidRDefault="001D3824" w:rsidP="009C0529">
            <w:pPr>
              <w:keepNext/>
              <w:widowControl w:val="0"/>
              <w:jc w:val="center"/>
              <w:rPr>
                <w:rFonts w:ascii="Arial Narrow" w:eastAsiaTheme="majorEastAsia" w:hAnsi="Arial Narrow" w:cstheme="majorBidi"/>
                <w:b/>
                <w:sz w:val="20"/>
                <w:szCs w:val="20"/>
              </w:rPr>
            </w:pPr>
            <w:r>
              <w:rPr>
                <w:rFonts w:ascii="Arial Narrow" w:eastAsiaTheme="majorEastAsia" w:hAnsi="Arial Narrow" w:cstheme="majorBidi"/>
                <w:b/>
                <w:sz w:val="20"/>
                <w:szCs w:val="20"/>
              </w:rPr>
              <w:t xml:space="preserve"> -2.36%</w:t>
            </w:r>
            <w:r w:rsidR="00304B47" w:rsidRPr="00A15CDF">
              <w:rPr>
                <w:rFonts w:ascii="Arial Narrow" w:eastAsiaTheme="majorEastAsia" w:hAnsi="Arial Narrow" w:cstheme="majorBidi"/>
                <w:b/>
                <w:sz w:val="20"/>
                <w:szCs w:val="20"/>
              </w:rPr>
              <w:t xml:space="preserve"> (</w:t>
            </w:r>
            <w:r w:rsidR="00304B47">
              <w:rPr>
                <w:rFonts w:ascii="Arial Narrow" w:eastAsiaTheme="majorEastAsia" w:hAnsi="Arial Narrow"/>
                <w:b/>
                <w:sz w:val="20"/>
                <w:szCs w:val="20"/>
              </w:rPr>
              <w:t>-</w:t>
            </w:r>
            <w:r w:rsidR="00304B47" w:rsidRPr="00A15CDF">
              <w:rPr>
                <w:rFonts w:ascii="Arial Narrow" w:hAnsi="Arial Narrow"/>
                <w:b/>
                <w:sz w:val="20"/>
                <w:szCs w:val="20"/>
              </w:rPr>
              <w:t xml:space="preserve">4.1%, </w:t>
            </w:r>
            <w:r w:rsidR="00304B47">
              <w:rPr>
                <w:rFonts w:ascii="Arial Narrow" w:hAnsi="Arial Narrow"/>
                <w:b/>
                <w:sz w:val="20"/>
                <w:szCs w:val="20"/>
              </w:rPr>
              <w:t>-</w:t>
            </w:r>
            <w:r w:rsidR="00304B47" w:rsidRPr="00A15CDF">
              <w:rPr>
                <w:rFonts w:ascii="Arial Narrow" w:hAnsi="Arial Narrow"/>
                <w:b/>
                <w:sz w:val="20"/>
                <w:szCs w:val="20"/>
              </w:rPr>
              <w:t>0.6%</w:t>
            </w:r>
            <w:r w:rsidR="00974FE7">
              <w:rPr>
                <w:rFonts w:ascii="Arial Narrow" w:hAnsi="Arial Narrow"/>
                <w:b/>
                <w:sz w:val="20"/>
                <w:szCs w:val="20"/>
              </w:rPr>
              <w:t>)</w:t>
            </w:r>
            <w:r w:rsidR="003D3555">
              <w:rPr>
                <w:rFonts w:ascii="Arial Narrow" w:hAnsi="Arial Narrow"/>
                <w:b/>
                <w:sz w:val="20"/>
                <w:szCs w:val="20"/>
              </w:rPr>
              <w:t xml:space="preserve">, </w:t>
            </w:r>
            <w:r w:rsidR="00974FE7">
              <w:rPr>
                <w:rFonts w:ascii="Arial Narrow" w:hAnsi="Arial Narrow"/>
                <w:b/>
                <w:sz w:val="20"/>
                <w:szCs w:val="20"/>
              </w:rPr>
              <w:t xml:space="preserve">p = </w:t>
            </w:r>
            <w:r w:rsidR="003D3555" w:rsidRPr="00A15CDF">
              <w:rPr>
                <w:rFonts w:ascii="Arial Narrow" w:eastAsiaTheme="majorEastAsia" w:hAnsi="Arial Narrow" w:cstheme="majorBidi"/>
                <w:b/>
                <w:sz w:val="20"/>
                <w:szCs w:val="20"/>
              </w:rPr>
              <w:t>0.009</w:t>
            </w:r>
          </w:p>
        </w:tc>
      </w:tr>
      <w:tr w:rsidR="008A3A2D" w:rsidRPr="00B5356E" w14:paraId="48A46234" w14:textId="798AB067" w:rsidTr="000F3163">
        <w:trPr>
          <w:trHeight w:val="284"/>
        </w:trPr>
        <w:tc>
          <w:tcPr>
            <w:tcW w:w="1258" w:type="pct"/>
            <w:tcBorders>
              <w:bottom w:val="single" w:sz="4" w:space="0" w:color="auto"/>
            </w:tcBorders>
          </w:tcPr>
          <w:p w14:paraId="25FA3FC3" w14:textId="178AC803" w:rsidR="008A3A2D" w:rsidRPr="00A15CDF" w:rsidRDefault="00B16413" w:rsidP="009C0529">
            <w:pPr>
              <w:keepNext/>
              <w:widowControl w:val="0"/>
              <w:ind w:left="29"/>
              <w:jc w:val="left"/>
              <w:rPr>
                <w:rFonts w:ascii="Arial Narrow" w:eastAsiaTheme="majorEastAsia" w:hAnsi="Arial Narrow" w:cstheme="majorBidi"/>
                <w:bCs/>
                <w:sz w:val="20"/>
                <w:szCs w:val="20"/>
              </w:rPr>
            </w:pPr>
            <w:r w:rsidRPr="00A15CDF">
              <w:rPr>
                <w:rFonts w:ascii="Arial Narrow" w:eastAsiaTheme="majorEastAsia" w:hAnsi="Arial Narrow" w:cstheme="majorBidi"/>
                <w:bCs/>
                <w:sz w:val="20"/>
                <w:szCs w:val="20"/>
              </w:rPr>
              <w:t>Risk ratio (95% CI)</w:t>
            </w:r>
          </w:p>
        </w:tc>
        <w:tc>
          <w:tcPr>
            <w:tcW w:w="1840" w:type="pct"/>
            <w:gridSpan w:val="2"/>
            <w:tcBorders>
              <w:bottom w:val="single" w:sz="4" w:space="0" w:color="auto"/>
            </w:tcBorders>
            <w:vAlign w:val="center"/>
          </w:tcPr>
          <w:p w14:paraId="0C6CE546" w14:textId="62C1386B" w:rsidR="008A3A2D" w:rsidRPr="000D0EE4" w:rsidRDefault="00C42302" w:rsidP="009C0529">
            <w:pPr>
              <w:keepNext/>
              <w:widowControl w:val="0"/>
              <w:jc w:val="center"/>
              <w:rPr>
                <w:rFonts w:ascii="Arial Narrow" w:eastAsiaTheme="majorEastAsia" w:hAnsi="Arial Narrow" w:cstheme="majorBidi"/>
                <w:b/>
                <w:sz w:val="20"/>
                <w:szCs w:val="20"/>
              </w:rPr>
            </w:pPr>
            <w:r w:rsidRPr="000D0EE4">
              <w:rPr>
                <w:rFonts w:ascii="Arial Narrow" w:eastAsiaTheme="majorEastAsia" w:hAnsi="Arial Narrow" w:cstheme="majorBidi"/>
                <w:b/>
                <w:sz w:val="20"/>
                <w:szCs w:val="20"/>
              </w:rPr>
              <w:t>0.12 (0.04, 0.41)</w:t>
            </w:r>
          </w:p>
        </w:tc>
        <w:tc>
          <w:tcPr>
            <w:tcW w:w="1903" w:type="pct"/>
            <w:gridSpan w:val="3"/>
            <w:tcBorders>
              <w:bottom w:val="single" w:sz="4" w:space="0" w:color="auto"/>
            </w:tcBorders>
            <w:vAlign w:val="center"/>
          </w:tcPr>
          <w:p w14:paraId="589E477E" w14:textId="0C2F6095" w:rsidR="008A3A2D" w:rsidRPr="000D0EE4" w:rsidRDefault="003566F9" w:rsidP="009C0529">
            <w:pPr>
              <w:keepNext/>
              <w:widowControl w:val="0"/>
              <w:jc w:val="center"/>
              <w:rPr>
                <w:rFonts w:ascii="Arial Narrow" w:eastAsiaTheme="majorEastAsia" w:hAnsi="Arial Narrow" w:cstheme="majorBidi"/>
                <w:b/>
                <w:sz w:val="20"/>
                <w:szCs w:val="20"/>
              </w:rPr>
            </w:pPr>
            <w:r w:rsidRPr="000D0EE4">
              <w:rPr>
                <w:rFonts w:ascii="Arial Narrow" w:eastAsiaTheme="majorEastAsia" w:hAnsi="Arial Narrow" w:cstheme="majorBidi"/>
                <w:b/>
                <w:sz w:val="20"/>
                <w:szCs w:val="20"/>
              </w:rPr>
              <w:t>0.27 (0.16, 0.47)</w:t>
            </w:r>
          </w:p>
        </w:tc>
      </w:tr>
      <w:tr w:rsidR="00304B47" w:rsidRPr="00B5356E" w14:paraId="00C573E0" w14:textId="77777777" w:rsidTr="000F3163">
        <w:trPr>
          <w:trHeight w:val="284"/>
        </w:trPr>
        <w:tc>
          <w:tcPr>
            <w:tcW w:w="1258" w:type="pct"/>
            <w:tcBorders>
              <w:bottom w:val="dotted" w:sz="4" w:space="0" w:color="auto"/>
            </w:tcBorders>
          </w:tcPr>
          <w:p w14:paraId="6FAF7BF8" w14:textId="77777777" w:rsidR="003D3555" w:rsidRDefault="00650C4F" w:rsidP="009C0529">
            <w:pPr>
              <w:keepNext/>
              <w:widowControl w:val="0"/>
              <w:ind w:left="29"/>
              <w:jc w:val="left"/>
              <w:rPr>
                <w:rFonts w:ascii="Arial Narrow" w:eastAsiaTheme="majorEastAsia" w:hAnsi="Arial Narrow" w:cstheme="majorBidi"/>
                <w:bCs/>
                <w:sz w:val="20"/>
                <w:szCs w:val="20"/>
              </w:rPr>
            </w:pPr>
            <w:r>
              <w:rPr>
                <w:rFonts w:ascii="Arial Narrow" w:eastAsiaTheme="majorEastAsia" w:hAnsi="Arial Narrow" w:cstheme="majorBidi"/>
                <w:bCs/>
                <w:sz w:val="20"/>
                <w:szCs w:val="20"/>
              </w:rPr>
              <w:t>ITC r</w:t>
            </w:r>
            <w:r w:rsidR="00304B47" w:rsidRPr="00A15CDF">
              <w:rPr>
                <w:rFonts w:ascii="Arial Narrow" w:eastAsiaTheme="majorEastAsia" w:hAnsi="Arial Narrow" w:cstheme="majorBidi"/>
                <w:bCs/>
                <w:sz w:val="20"/>
                <w:szCs w:val="20"/>
              </w:rPr>
              <w:t xml:space="preserve">isk ratio </w:t>
            </w:r>
          </w:p>
          <w:p w14:paraId="64A82EE5" w14:textId="6A204916" w:rsidR="00304B47" w:rsidRPr="00A15CDF" w:rsidRDefault="00304B47" w:rsidP="009C0529">
            <w:pPr>
              <w:keepNext/>
              <w:widowControl w:val="0"/>
              <w:ind w:left="29"/>
              <w:jc w:val="left"/>
              <w:rPr>
                <w:rFonts w:ascii="Arial Narrow" w:eastAsiaTheme="majorEastAsia" w:hAnsi="Arial Narrow" w:cstheme="majorBidi"/>
                <w:bCs/>
                <w:sz w:val="20"/>
                <w:szCs w:val="20"/>
              </w:rPr>
            </w:pPr>
            <w:r w:rsidRPr="00A15CDF">
              <w:rPr>
                <w:rFonts w:ascii="Arial Narrow" w:eastAsiaTheme="majorEastAsia" w:hAnsi="Arial Narrow" w:cstheme="majorBidi"/>
                <w:bCs/>
                <w:sz w:val="20"/>
                <w:szCs w:val="20"/>
              </w:rPr>
              <w:t>(95% CI</w:t>
            </w:r>
            <w:r w:rsidR="00606525">
              <w:rPr>
                <w:rFonts w:ascii="Arial Narrow" w:eastAsiaTheme="majorEastAsia" w:hAnsi="Arial Narrow" w:cstheme="majorBidi"/>
                <w:bCs/>
                <w:sz w:val="20"/>
                <w:szCs w:val="20"/>
              </w:rPr>
              <w:t>)</w:t>
            </w:r>
            <w:r w:rsidR="00764C71">
              <w:rPr>
                <w:rFonts w:ascii="Arial Narrow" w:eastAsiaTheme="majorEastAsia" w:hAnsi="Arial Narrow" w:cstheme="majorBidi"/>
                <w:bCs/>
                <w:sz w:val="20"/>
                <w:szCs w:val="20"/>
              </w:rPr>
              <w:t>;</w:t>
            </w:r>
            <w:r w:rsidR="003D3555">
              <w:rPr>
                <w:rFonts w:ascii="Arial Narrow" w:eastAsiaTheme="majorEastAsia" w:hAnsi="Arial Narrow" w:cstheme="majorBidi"/>
                <w:bCs/>
                <w:sz w:val="20"/>
                <w:szCs w:val="20"/>
              </w:rPr>
              <w:t xml:space="preserve"> </w:t>
            </w:r>
            <w:r w:rsidR="003D3555" w:rsidRPr="00A15CDF">
              <w:rPr>
                <w:rFonts w:ascii="Arial Narrow" w:eastAsiaTheme="majorEastAsia" w:hAnsi="Arial Narrow" w:cstheme="majorBidi"/>
                <w:bCs/>
                <w:sz w:val="20"/>
                <w:szCs w:val="20"/>
              </w:rPr>
              <w:t>p-value</w:t>
            </w:r>
          </w:p>
        </w:tc>
        <w:tc>
          <w:tcPr>
            <w:tcW w:w="3742" w:type="pct"/>
            <w:gridSpan w:val="5"/>
            <w:tcBorders>
              <w:bottom w:val="dotted" w:sz="4" w:space="0" w:color="auto"/>
            </w:tcBorders>
            <w:vAlign w:val="center"/>
          </w:tcPr>
          <w:p w14:paraId="231BE8FA" w14:textId="761FA615" w:rsidR="00304B47" w:rsidRPr="00A15CDF" w:rsidRDefault="00304B47" w:rsidP="009C0529">
            <w:pPr>
              <w:keepNext/>
              <w:widowControl w:val="0"/>
              <w:jc w:val="center"/>
              <w:rPr>
                <w:rFonts w:ascii="Arial Narrow" w:eastAsiaTheme="majorEastAsia" w:hAnsi="Arial Narrow" w:cstheme="majorBidi"/>
                <w:bCs/>
                <w:sz w:val="20"/>
                <w:szCs w:val="20"/>
              </w:rPr>
            </w:pPr>
            <w:r w:rsidRPr="00A15CDF">
              <w:rPr>
                <w:rFonts w:ascii="Arial Narrow" w:eastAsiaTheme="majorEastAsia" w:hAnsi="Arial Narrow" w:cstheme="majorBidi"/>
                <w:bCs/>
                <w:sz w:val="20"/>
                <w:szCs w:val="20"/>
              </w:rPr>
              <w:t>0.46 (</w:t>
            </w:r>
            <w:r w:rsidRPr="00A15CDF">
              <w:rPr>
                <w:rFonts w:ascii="Arial Narrow" w:hAnsi="Arial Narrow"/>
                <w:sz w:val="20"/>
                <w:szCs w:val="20"/>
              </w:rPr>
              <w:t>0.12, 1.69</w:t>
            </w:r>
            <w:r w:rsidR="00C56133">
              <w:rPr>
                <w:rFonts w:ascii="Arial Narrow" w:hAnsi="Arial Narrow"/>
                <w:sz w:val="20"/>
                <w:szCs w:val="20"/>
              </w:rPr>
              <w:t>)</w:t>
            </w:r>
            <w:r w:rsidR="00764C71">
              <w:rPr>
                <w:rFonts w:ascii="Arial Narrow" w:hAnsi="Arial Narrow"/>
                <w:sz w:val="20"/>
                <w:szCs w:val="20"/>
              </w:rPr>
              <w:t>;</w:t>
            </w:r>
            <w:r w:rsidR="003D3555">
              <w:rPr>
                <w:rFonts w:ascii="Arial Narrow" w:hAnsi="Arial Narrow"/>
                <w:sz w:val="20"/>
                <w:szCs w:val="20"/>
              </w:rPr>
              <w:t xml:space="preserve"> </w:t>
            </w:r>
            <w:r w:rsidR="00C56133">
              <w:rPr>
                <w:rFonts w:ascii="Arial Narrow" w:hAnsi="Arial Narrow"/>
                <w:sz w:val="20"/>
                <w:szCs w:val="20"/>
              </w:rPr>
              <w:t xml:space="preserve">p = </w:t>
            </w:r>
            <w:r w:rsidR="003D3555" w:rsidRPr="00A15CDF">
              <w:rPr>
                <w:rFonts w:ascii="Arial Narrow" w:eastAsiaTheme="majorEastAsia" w:hAnsi="Arial Narrow" w:cstheme="majorBidi"/>
                <w:bCs/>
                <w:sz w:val="20"/>
                <w:szCs w:val="20"/>
              </w:rPr>
              <w:t>0.240</w:t>
            </w:r>
          </w:p>
        </w:tc>
      </w:tr>
      <w:tr w:rsidR="00304B47" w:rsidRPr="00B5356E" w14:paraId="706ACC12" w14:textId="77777777" w:rsidTr="000F3163">
        <w:trPr>
          <w:trHeight w:val="284"/>
        </w:trPr>
        <w:tc>
          <w:tcPr>
            <w:tcW w:w="1258" w:type="pct"/>
            <w:tcBorders>
              <w:bottom w:val="dotted" w:sz="4" w:space="0" w:color="auto"/>
            </w:tcBorders>
          </w:tcPr>
          <w:p w14:paraId="6C414780" w14:textId="77777777" w:rsidR="003D3555" w:rsidRDefault="00937D98" w:rsidP="009C0529">
            <w:pPr>
              <w:keepNext/>
              <w:widowControl w:val="0"/>
              <w:ind w:left="29"/>
              <w:jc w:val="left"/>
              <w:rPr>
                <w:rFonts w:ascii="Arial Narrow" w:eastAsiaTheme="majorEastAsia" w:hAnsi="Arial Narrow" w:cs="Times New Roman"/>
                <w:bCs/>
                <w:iCs/>
                <w:sz w:val="20"/>
                <w:szCs w:val="20"/>
                <w:lang w:val="en-US"/>
              </w:rPr>
            </w:pPr>
            <w:r>
              <w:rPr>
                <w:rFonts w:ascii="Arial Narrow" w:eastAsiaTheme="majorEastAsia" w:hAnsi="Arial Narrow" w:cs="Times New Roman"/>
                <w:bCs/>
                <w:iCs/>
                <w:sz w:val="20"/>
                <w:szCs w:val="20"/>
                <w:lang w:val="en-US"/>
              </w:rPr>
              <w:t>ITC o</w:t>
            </w:r>
            <w:r w:rsidR="00304B47" w:rsidRPr="00A15CDF">
              <w:rPr>
                <w:rFonts w:ascii="Arial Narrow" w:eastAsiaTheme="majorEastAsia" w:hAnsi="Arial Narrow" w:cs="Times New Roman"/>
                <w:bCs/>
                <w:iCs/>
                <w:sz w:val="20"/>
                <w:szCs w:val="20"/>
                <w:lang w:val="en-US"/>
              </w:rPr>
              <w:t xml:space="preserve">dds ratio </w:t>
            </w:r>
          </w:p>
          <w:p w14:paraId="4EEE19A4" w14:textId="255EE9D6" w:rsidR="00304B47" w:rsidRPr="00A15CDF" w:rsidRDefault="00304B47" w:rsidP="009C0529">
            <w:pPr>
              <w:keepNext/>
              <w:widowControl w:val="0"/>
              <w:ind w:left="29"/>
              <w:jc w:val="left"/>
              <w:rPr>
                <w:rFonts w:ascii="Arial Narrow" w:eastAsiaTheme="majorEastAsia" w:hAnsi="Arial Narrow" w:cstheme="majorBidi"/>
                <w:bCs/>
                <w:sz w:val="20"/>
                <w:szCs w:val="20"/>
              </w:rPr>
            </w:pPr>
            <w:r w:rsidRPr="00A15CDF">
              <w:rPr>
                <w:rFonts w:ascii="Arial Narrow" w:eastAsiaTheme="majorEastAsia" w:hAnsi="Arial Narrow" w:cstheme="majorBidi"/>
                <w:bCs/>
                <w:sz w:val="20"/>
                <w:szCs w:val="20"/>
              </w:rPr>
              <w:t>(95% CI</w:t>
            </w:r>
            <w:r w:rsidR="00606525">
              <w:rPr>
                <w:rFonts w:ascii="Arial Narrow" w:eastAsiaTheme="majorEastAsia" w:hAnsi="Arial Narrow" w:cstheme="majorBidi"/>
                <w:bCs/>
                <w:sz w:val="20"/>
                <w:szCs w:val="20"/>
              </w:rPr>
              <w:t>)</w:t>
            </w:r>
            <w:r w:rsidR="00764C71">
              <w:rPr>
                <w:rFonts w:ascii="Arial Narrow" w:eastAsiaTheme="majorEastAsia" w:hAnsi="Arial Narrow" w:cstheme="majorBidi"/>
                <w:bCs/>
                <w:sz w:val="20"/>
                <w:szCs w:val="20"/>
              </w:rPr>
              <w:t>;</w:t>
            </w:r>
            <w:r w:rsidR="003D3555">
              <w:rPr>
                <w:rFonts w:ascii="Arial Narrow" w:eastAsiaTheme="majorEastAsia" w:hAnsi="Arial Narrow" w:cstheme="majorBidi"/>
                <w:bCs/>
                <w:sz w:val="20"/>
                <w:szCs w:val="20"/>
              </w:rPr>
              <w:t xml:space="preserve"> </w:t>
            </w:r>
            <w:r w:rsidR="003D3555" w:rsidRPr="00A15CDF">
              <w:rPr>
                <w:rFonts w:ascii="Arial Narrow" w:eastAsiaTheme="majorEastAsia" w:hAnsi="Arial Narrow" w:cs="Times New Roman"/>
                <w:bCs/>
                <w:iCs/>
                <w:sz w:val="20"/>
                <w:szCs w:val="20"/>
                <w:lang w:val="en-US"/>
              </w:rPr>
              <w:t>p-value</w:t>
            </w:r>
          </w:p>
        </w:tc>
        <w:tc>
          <w:tcPr>
            <w:tcW w:w="3742" w:type="pct"/>
            <w:gridSpan w:val="5"/>
            <w:tcBorders>
              <w:bottom w:val="dotted" w:sz="4" w:space="0" w:color="auto"/>
            </w:tcBorders>
            <w:vAlign w:val="center"/>
          </w:tcPr>
          <w:p w14:paraId="1F5A909E" w14:textId="130350A9" w:rsidR="00304B47" w:rsidRPr="00A15CDF" w:rsidRDefault="00304B47" w:rsidP="009C0529">
            <w:pPr>
              <w:keepNext/>
              <w:widowControl w:val="0"/>
              <w:jc w:val="center"/>
              <w:rPr>
                <w:rFonts w:ascii="Arial Narrow" w:eastAsiaTheme="majorEastAsia" w:hAnsi="Arial Narrow" w:cstheme="majorBidi"/>
                <w:bCs/>
                <w:sz w:val="20"/>
                <w:szCs w:val="20"/>
              </w:rPr>
            </w:pPr>
            <w:r w:rsidRPr="00A15CDF">
              <w:rPr>
                <w:rFonts w:ascii="Arial Narrow" w:eastAsiaTheme="majorEastAsia" w:hAnsi="Arial Narrow" w:cstheme="majorBidi"/>
                <w:bCs/>
                <w:sz w:val="20"/>
                <w:szCs w:val="20"/>
              </w:rPr>
              <w:t>0.44 (0.12, 1.67</w:t>
            </w:r>
            <w:r w:rsidR="00C56133">
              <w:rPr>
                <w:rFonts w:ascii="Arial Narrow" w:eastAsiaTheme="majorEastAsia" w:hAnsi="Arial Narrow" w:cstheme="majorBidi"/>
                <w:bCs/>
                <w:sz w:val="20"/>
                <w:szCs w:val="20"/>
              </w:rPr>
              <w:t>)</w:t>
            </w:r>
            <w:r w:rsidR="00764C71">
              <w:rPr>
                <w:rFonts w:ascii="Arial Narrow" w:eastAsiaTheme="majorEastAsia" w:hAnsi="Arial Narrow" w:cstheme="majorBidi"/>
                <w:bCs/>
                <w:sz w:val="20"/>
                <w:szCs w:val="20"/>
              </w:rPr>
              <w:t>;</w:t>
            </w:r>
            <w:r w:rsidR="003D3555">
              <w:rPr>
                <w:rFonts w:ascii="Arial Narrow" w:eastAsiaTheme="majorEastAsia" w:hAnsi="Arial Narrow" w:cstheme="majorBidi"/>
                <w:bCs/>
                <w:sz w:val="20"/>
                <w:szCs w:val="20"/>
              </w:rPr>
              <w:t xml:space="preserve"> </w:t>
            </w:r>
            <w:r w:rsidR="00C56133">
              <w:rPr>
                <w:rFonts w:ascii="Arial Narrow" w:eastAsiaTheme="majorEastAsia" w:hAnsi="Arial Narrow" w:cstheme="majorBidi"/>
                <w:bCs/>
                <w:sz w:val="20"/>
                <w:szCs w:val="20"/>
              </w:rPr>
              <w:t xml:space="preserve">p = </w:t>
            </w:r>
            <w:r w:rsidR="003D3555" w:rsidRPr="00A15CDF">
              <w:rPr>
                <w:rFonts w:ascii="Arial Narrow" w:eastAsiaTheme="majorEastAsia" w:hAnsi="Arial Narrow" w:cstheme="majorBidi"/>
                <w:bCs/>
                <w:sz w:val="20"/>
                <w:szCs w:val="20"/>
              </w:rPr>
              <w:t>0.230</w:t>
            </w:r>
          </w:p>
        </w:tc>
      </w:tr>
      <w:tr w:rsidR="00304B47" w:rsidRPr="00DC7B06" w14:paraId="06E645C7" w14:textId="77777777" w:rsidTr="000F3163">
        <w:trPr>
          <w:trHeight w:val="284"/>
          <w:tblHeader/>
        </w:trPr>
        <w:tc>
          <w:tcPr>
            <w:tcW w:w="1258" w:type="pct"/>
            <w:vAlign w:val="center"/>
          </w:tcPr>
          <w:p w14:paraId="34F0A269" w14:textId="77777777" w:rsidR="00304B47" w:rsidRPr="00DD3690" w:rsidRDefault="00304B47" w:rsidP="009C0529">
            <w:pPr>
              <w:keepNext/>
              <w:keepLines/>
              <w:jc w:val="left"/>
              <w:rPr>
                <w:rFonts w:ascii="Arial Narrow" w:eastAsiaTheme="majorEastAsia" w:hAnsi="Arial Narrow" w:cs="Times New Roman"/>
                <w:bCs/>
                <w:iCs/>
                <w:sz w:val="20"/>
                <w:szCs w:val="20"/>
              </w:rPr>
            </w:pPr>
          </w:p>
        </w:tc>
        <w:tc>
          <w:tcPr>
            <w:tcW w:w="1845" w:type="pct"/>
            <w:gridSpan w:val="3"/>
            <w:vAlign w:val="center"/>
          </w:tcPr>
          <w:p w14:paraId="0E9363A0" w14:textId="77777777" w:rsidR="00304B47" w:rsidRPr="00867A0A" w:rsidRDefault="00304B47" w:rsidP="009C0529">
            <w:pPr>
              <w:keepNext/>
              <w:keepLines/>
              <w:jc w:val="center"/>
              <w:rPr>
                <w:rFonts w:ascii="Arial Narrow" w:hAnsi="Arial Narrow"/>
                <w:b/>
                <w:bCs/>
                <w:sz w:val="20"/>
                <w:szCs w:val="20"/>
              </w:rPr>
            </w:pPr>
            <w:r w:rsidRPr="00867A0A">
              <w:rPr>
                <w:rFonts w:ascii="Arial Narrow" w:hAnsi="Arial Narrow"/>
                <w:b/>
                <w:bCs/>
                <w:sz w:val="20"/>
                <w:szCs w:val="20"/>
              </w:rPr>
              <w:t>ACTIVExtend</w:t>
            </w:r>
          </w:p>
        </w:tc>
        <w:tc>
          <w:tcPr>
            <w:tcW w:w="1898" w:type="pct"/>
            <w:gridSpan w:val="2"/>
            <w:vAlign w:val="center"/>
          </w:tcPr>
          <w:p w14:paraId="47619D8F" w14:textId="77777777" w:rsidR="00304B47" w:rsidRPr="00867A0A" w:rsidRDefault="00304B47" w:rsidP="009C0529">
            <w:pPr>
              <w:keepNext/>
              <w:keepLines/>
              <w:jc w:val="center"/>
              <w:rPr>
                <w:rFonts w:ascii="Arial Narrow" w:hAnsi="Arial Narrow"/>
                <w:b/>
                <w:bCs/>
                <w:sz w:val="20"/>
                <w:szCs w:val="20"/>
              </w:rPr>
            </w:pPr>
            <w:r w:rsidRPr="00867A0A">
              <w:rPr>
                <w:rFonts w:ascii="Arial Narrow" w:hAnsi="Arial Narrow"/>
                <w:b/>
                <w:bCs/>
                <w:sz w:val="20"/>
                <w:szCs w:val="20"/>
              </w:rPr>
              <w:t>FRAME extension study</w:t>
            </w:r>
          </w:p>
        </w:tc>
      </w:tr>
      <w:tr w:rsidR="00304B47" w:rsidRPr="00DC7B06" w14:paraId="0CC1DE5F" w14:textId="77777777" w:rsidTr="000F3163">
        <w:trPr>
          <w:trHeight w:val="284"/>
          <w:tblHeader/>
        </w:trPr>
        <w:tc>
          <w:tcPr>
            <w:tcW w:w="1258" w:type="pct"/>
            <w:vAlign w:val="center"/>
          </w:tcPr>
          <w:p w14:paraId="4B0F9A11" w14:textId="77777777" w:rsidR="00304B47" w:rsidRPr="00744D0B" w:rsidRDefault="00304B47" w:rsidP="009C0529">
            <w:pPr>
              <w:keepNext/>
              <w:keepLines/>
              <w:jc w:val="left"/>
              <w:rPr>
                <w:rFonts w:ascii="Arial Narrow" w:eastAsiaTheme="majorEastAsia" w:hAnsi="Arial Narrow" w:cs="Times New Roman"/>
                <w:b/>
                <w:iCs/>
                <w:sz w:val="20"/>
                <w:szCs w:val="20"/>
              </w:rPr>
            </w:pPr>
            <w:r w:rsidRPr="00744D0B">
              <w:rPr>
                <w:rFonts w:ascii="Arial Narrow" w:eastAsiaTheme="majorEastAsia" w:hAnsi="Arial Narrow" w:cs="Times New Roman"/>
                <w:b/>
                <w:iCs/>
                <w:sz w:val="20"/>
                <w:szCs w:val="20"/>
              </w:rPr>
              <w:t>Treatment/statistics</w:t>
            </w:r>
          </w:p>
        </w:tc>
        <w:tc>
          <w:tcPr>
            <w:tcW w:w="1845" w:type="pct"/>
            <w:gridSpan w:val="3"/>
            <w:vAlign w:val="center"/>
          </w:tcPr>
          <w:p w14:paraId="30964F8D" w14:textId="77777777" w:rsidR="00304B47" w:rsidRPr="00744D0B" w:rsidRDefault="00304B47" w:rsidP="009C0529">
            <w:pPr>
              <w:keepNext/>
              <w:keepLines/>
              <w:jc w:val="center"/>
              <w:rPr>
                <w:rFonts w:ascii="Arial Narrow" w:hAnsi="Arial Narrow"/>
                <w:b/>
                <w:sz w:val="20"/>
                <w:szCs w:val="20"/>
              </w:rPr>
            </w:pPr>
            <w:r w:rsidRPr="00744D0B">
              <w:rPr>
                <w:rFonts w:ascii="Arial Narrow" w:hAnsi="Arial Narrow"/>
                <w:b/>
                <w:sz w:val="20"/>
                <w:szCs w:val="20"/>
              </w:rPr>
              <w:t xml:space="preserve">Abaloparatide (18 months) followed by alendronate (24 months) </w:t>
            </w:r>
          </w:p>
        </w:tc>
        <w:tc>
          <w:tcPr>
            <w:tcW w:w="1898" w:type="pct"/>
            <w:gridSpan w:val="2"/>
            <w:vAlign w:val="center"/>
          </w:tcPr>
          <w:p w14:paraId="117691BE" w14:textId="77777777" w:rsidR="00304B47" w:rsidRPr="00744D0B" w:rsidRDefault="00304B47" w:rsidP="009C0529">
            <w:pPr>
              <w:keepNext/>
              <w:keepLines/>
              <w:jc w:val="center"/>
              <w:rPr>
                <w:rFonts w:ascii="Arial Narrow" w:hAnsi="Arial Narrow"/>
                <w:b/>
                <w:sz w:val="20"/>
                <w:szCs w:val="20"/>
              </w:rPr>
            </w:pPr>
            <w:r w:rsidRPr="00744D0B">
              <w:rPr>
                <w:rFonts w:ascii="Arial Narrow" w:hAnsi="Arial Narrow"/>
                <w:b/>
                <w:sz w:val="20"/>
                <w:szCs w:val="20"/>
              </w:rPr>
              <w:t>Romosozumab (12 months) followed by denosumab (24 months)</w:t>
            </w:r>
          </w:p>
        </w:tc>
      </w:tr>
      <w:tr w:rsidR="00304B47" w:rsidRPr="00B5356E" w14:paraId="6C4DA879" w14:textId="77777777" w:rsidTr="000F3163">
        <w:trPr>
          <w:trHeight w:val="284"/>
        </w:trPr>
        <w:tc>
          <w:tcPr>
            <w:tcW w:w="1258" w:type="pct"/>
          </w:tcPr>
          <w:p w14:paraId="3EC6500A" w14:textId="77777777" w:rsidR="003D3555" w:rsidRDefault="00304B47" w:rsidP="009C0529">
            <w:pPr>
              <w:keepNext/>
              <w:widowControl w:val="0"/>
              <w:ind w:left="314"/>
              <w:jc w:val="left"/>
              <w:rPr>
                <w:rFonts w:ascii="Arial Narrow" w:eastAsiaTheme="majorEastAsia" w:hAnsi="Arial Narrow" w:cstheme="majorBidi"/>
                <w:bCs/>
                <w:sz w:val="20"/>
                <w:szCs w:val="20"/>
              </w:rPr>
            </w:pPr>
            <w:r w:rsidRPr="00A15CDF">
              <w:rPr>
                <w:rFonts w:ascii="Arial Narrow" w:eastAsiaTheme="majorEastAsia" w:hAnsi="Arial Narrow" w:cstheme="majorBidi"/>
                <w:bCs/>
                <w:sz w:val="20"/>
                <w:szCs w:val="20"/>
              </w:rPr>
              <w:t xml:space="preserve">Risk difference </w:t>
            </w:r>
          </w:p>
          <w:p w14:paraId="15387315" w14:textId="4377FF68" w:rsidR="00304B47" w:rsidRPr="00A15CDF" w:rsidRDefault="00304B47" w:rsidP="009C0529">
            <w:pPr>
              <w:keepNext/>
              <w:widowControl w:val="0"/>
              <w:ind w:left="314"/>
              <w:jc w:val="left"/>
              <w:rPr>
                <w:rFonts w:ascii="Arial Narrow" w:eastAsiaTheme="majorEastAsia" w:hAnsi="Arial Narrow" w:cstheme="majorBidi"/>
                <w:bCs/>
                <w:sz w:val="20"/>
                <w:szCs w:val="20"/>
              </w:rPr>
            </w:pPr>
            <w:r w:rsidRPr="00A15CDF">
              <w:rPr>
                <w:rFonts w:ascii="Arial Narrow" w:eastAsiaTheme="majorEastAsia" w:hAnsi="Arial Narrow" w:cstheme="majorBidi"/>
                <w:bCs/>
                <w:sz w:val="20"/>
                <w:szCs w:val="20"/>
              </w:rPr>
              <w:t>(95% CI</w:t>
            </w:r>
            <w:r w:rsidR="005E2BD3">
              <w:rPr>
                <w:rFonts w:ascii="Arial Narrow" w:eastAsiaTheme="majorEastAsia" w:hAnsi="Arial Narrow" w:cstheme="majorBidi"/>
                <w:bCs/>
                <w:sz w:val="20"/>
                <w:szCs w:val="20"/>
              </w:rPr>
              <w:t>)</w:t>
            </w:r>
            <w:r w:rsidR="00764C71">
              <w:rPr>
                <w:rFonts w:ascii="Arial Narrow" w:eastAsiaTheme="majorEastAsia" w:hAnsi="Arial Narrow" w:cstheme="majorBidi"/>
                <w:bCs/>
                <w:sz w:val="20"/>
                <w:szCs w:val="20"/>
              </w:rPr>
              <w:t>;</w:t>
            </w:r>
            <w:r w:rsidR="003D3555">
              <w:rPr>
                <w:rFonts w:ascii="Arial Narrow" w:eastAsiaTheme="majorEastAsia" w:hAnsi="Arial Narrow" w:cstheme="majorBidi"/>
                <w:bCs/>
                <w:sz w:val="20"/>
                <w:szCs w:val="20"/>
              </w:rPr>
              <w:t xml:space="preserve"> </w:t>
            </w:r>
            <w:r w:rsidR="003D3555" w:rsidRPr="00A15CDF">
              <w:rPr>
                <w:rFonts w:ascii="Arial Narrow" w:eastAsiaTheme="majorEastAsia" w:hAnsi="Arial Narrow" w:cstheme="majorBidi"/>
                <w:bCs/>
                <w:sz w:val="20"/>
                <w:szCs w:val="20"/>
              </w:rPr>
              <w:t>p-value</w:t>
            </w:r>
          </w:p>
        </w:tc>
        <w:tc>
          <w:tcPr>
            <w:tcW w:w="3742" w:type="pct"/>
            <w:gridSpan w:val="5"/>
            <w:vAlign w:val="center"/>
          </w:tcPr>
          <w:p w14:paraId="31A399BD" w14:textId="054D874D" w:rsidR="00304B47" w:rsidRPr="00A74DED" w:rsidRDefault="00304B47" w:rsidP="009C0529">
            <w:pPr>
              <w:keepNext/>
              <w:widowControl w:val="0"/>
              <w:jc w:val="center"/>
              <w:rPr>
                <w:rFonts w:ascii="Arial Narrow" w:eastAsiaTheme="majorEastAsia" w:hAnsi="Arial Narrow" w:cstheme="majorBidi"/>
                <w:bCs/>
                <w:sz w:val="20"/>
                <w:szCs w:val="20"/>
              </w:rPr>
            </w:pPr>
            <w:r w:rsidRPr="00A74DED">
              <w:rPr>
                <w:rFonts w:ascii="Arial Narrow" w:eastAsiaTheme="majorEastAsia" w:hAnsi="Arial Narrow" w:cstheme="majorBidi"/>
                <w:bCs/>
                <w:sz w:val="20"/>
                <w:szCs w:val="20"/>
              </w:rPr>
              <w:t>-1.93% (-3.91%, 0.05%</w:t>
            </w:r>
            <w:r w:rsidR="00606525">
              <w:rPr>
                <w:rFonts w:ascii="Arial Narrow" w:eastAsiaTheme="majorEastAsia" w:hAnsi="Arial Narrow" w:cstheme="majorBidi"/>
                <w:bCs/>
                <w:sz w:val="20"/>
                <w:szCs w:val="20"/>
              </w:rPr>
              <w:t>)</w:t>
            </w:r>
            <w:r w:rsidR="005F525D">
              <w:rPr>
                <w:rFonts w:ascii="Arial Narrow" w:eastAsiaTheme="majorEastAsia" w:hAnsi="Arial Narrow" w:cstheme="majorBidi"/>
                <w:bCs/>
                <w:sz w:val="20"/>
                <w:szCs w:val="20"/>
              </w:rPr>
              <w:t>;</w:t>
            </w:r>
            <w:r w:rsidR="003D3555">
              <w:rPr>
                <w:rFonts w:ascii="Arial Narrow" w:eastAsiaTheme="majorEastAsia" w:hAnsi="Arial Narrow" w:cstheme="majorBidi"/>
                <w:bCs/>
                <w:sz w:val="20"/>
                <w:szCs w:val="20"/>
              </w:rPr>
              <w:t xml:space="preserve"> </w:t>
            </w:r>
            <w:r w:rsidR="00606525">
              <w:rPr>
                <w:rFonts w:ascii="Arial Narrow" w:eastAsiaTheme="majorEastAsia" w:hAnsi="Arial Narrow" w:cstheme="majorBidi"/>
                <w:bCs/>
                <w:sz w:val="20"/>
                <w:szCs w:val="20"/>
              </w:rPr>
              <w:t xml:space="preserve">p = </w:t>
            </w:r>
            <w:r w:rsidR="003D3555" w:rsidRPr="00A74DED">
              <w:rPr>
                <w:rFonts w:ascii="Arial Narrow" w:eastAsiaTheme="majorEastAsia" w:hAnsi="Arial Narrow" w:cstheme="majorBidi"/>
                <w:bCs/>
                <w:sz w:val="20"/>
                <w:szCs w:val="20"/>
              </w:rPr>
              <w:t>0.056</w:t>
            </w:r>
          </w:p>
        </w:tc>
      </w:tr>
      <w:tr w:rsidR="00304B47" w:rsidRPr="00B5356E" w14:paraId="625C8A5C" w14:textId="77777777" w:rsidTr="000F3163">
        <w:trPr>
          <w:trHeight w:val="284"/>
        </w:trPr>
        <w:tc>
          <w:tcPr>
            <w:tcW w:w="1258" w:type="pct"/>
          </w:tcPr>
          <w:p w14:paraId="1B08E71D" w14:textId="77777777" w:rsidR="003D3555" w:rsidRDefault="00304B47" w:rsidP="009C0529">
            <w:pPr>
              <w:keepNext/>
              <w:widowControl w:val="0"/>
              <w:ind w:left="314"/>
              <w:jc w:val="left"/>
              <w:rPr>
                <w:rFonts w:ascii="Arial Narrow" w:eastAsiaTheme="majorEastAsia" w:hAnsi="Arial Narrow" w:cstheme="majorBidi"/>
                <w:bCs/>
                <w:sz w:val="20"/>
                <w:szCs w:val="20"/>
              </w:rPr>
            </w:pPr>
            <w:r w:rsidRPr="00A15CDF">
              <w:rPr>
                <w:rFonts w:ascii="Arial Narrow" w:eastAsiaTheme="majorEastAsia" w:hAnsi="Arial Narrow" w:cstheme="majorBidi"/>
                <w:bCs/>
                <w:sz w:val="20"/>
                <w:szCs w:val="20"/>
              </w:rPr>
              <w:t xml:space="preserve">Risk ratio </w:t>
            </w:r>
          </w:p>
          <w:p w14:paraId="1ED3AAD4" w14:textId="08306BD9" w:rsidR="00304B47" w:rsidRPr="00A15CDF" w:rsidRDefault="00304B47" w:rsidP="009C0529">
            <w:pPr>
              <w:keepNext/>
              <w:widowControl w:val="0"/>
              <w:ind w:left="314"/>
              <w:jc w:val="left"/>
              <w:rPr>
                <w:rFonts w:ascii="Arial Narrow" w:eastAsiaTheme="majorEastAsia" w:hAnsi="Arial Narrow" w:cstheme="majorBidi"/>
                <w:bCs/>
                <w:sz w:val="20"/>
                <w:szCs w:val="20"/>
              </w:rPr>
            </w:pPr>
            <w:r w:rsidRPr="00A15CDF">
              <w:rPr>
                <w:rFonts w:ascii="Arial Narrow" w:eastAsiaTheme="majorEastAsia" w:hAnsi="Arial Narrow" w:cstheme="majorBidi"/>
                <w:bCs/>
                <w:sz w:val="20"/>
                <w:szCs w:val="20"/>
              </w:rPr>
              <w:t>(95% CI</w:t>
            </w:r>
            <w:r w:rsidR="005E2BD3">
              <w:rPr>
                <w:rFonts w:ascii="Arial Narrow" w:eastAsiaTheme="majorEastAsia" w:hAnsi="Arial Narrow" w:cstheme="majorBidi"/>
                <w:bCs/>
                <w:sz w:val="20"/>
                <w:szCs w:val="20"/>
              </w:rPr>
              <w:t>)</w:t>
            </w:r>
            <w:r w:rsidR="005F525D">
              <w:rPr>
                <w:rFonts w:ascii="Arial Narrow" w:eastAsiaTheme="majorEastAsia" w:hAnsi="Arial Narrow" w:cstheme="majorBidi"/>
                <w:bCs/>
                <w:sz w:val="20"/>
                <w:szCs w:val="20"/>
              </w:rPr>
              <w:t>;</w:t>
            </w:r>
            <w:r w:rsidR="003D3555">
              <w:rPr>
                <w:rFonts w:ascii="Arial Narrow" w:eastAsiaTheme="majorEastAsia" w:hAnsi="Arial Narrow" w:cstheme="majorBidi"/>
                <w:bCs/>
                <w:sz w:val="20"/>
                <w:szCs w:val="20"/>
              </w:rPr>
              <w:t xml:space="preserve"> </w:t>
            </w:r>
            <w:r w:rsidR="003D3555" w:rsidRPr="00A15CDF">
              <w:rPr>
                <w:rFonts w:ascii="Arial Narrow" w:eastAsiaTheme="majorEastAsia" w:hAnsi="Arial Narrow" w:cstheme="majorBidi"/>
                <w:bCs/>
                <w:sz w:val="20"/>
                <w:szCs w:val="20"/>
              </w:rPr>
              <w:t>p-value</w:t>
            </w:r>
          </w:p>
        </w:tc>
        <w:tc>
          <w:tcPr>
            <w:tcW w:w="3742" w:type="pct"/>
            <w:gridSpan w:val="5"/>
            <w:vAlign w:val="center"/>
          </w:tcPr>
          <w:p w14:paraId="394D37A5" w14:textId="594B8349" w:rsidR="00304B47" w:rsidRPr="00A15CDF" w:rsidRDefault="00304B47" w:rsidP="009C0529">
            <w:pPr>
              <w:keepNext/>
              <w:widowControl w:val="0"/>
              <w:jc w:val="center"/>
              <w:rPr>
                <w:rFonts w:ascii="Arial Narrow" w:eastAsiaTheme="majorEastAsia" w:hAnsi="Arial Narrow" w:cstheme="majorBidi"/>
                <w:bCs/>
                <w:sz w:val="20"/>
                <w:szCs w:val="20"/>
              </w:rPr>
            </w:pPr>
            <w:r>
              <w:rPr>
                <w:rFonts w:ascii="Arial Narrow" w:eastAsiaTheme="majorEastAsia" w:hAnsi="Arial Narrow" w:cstheme="majorBidi"/>
                <w:bCs/>
                <w:sz w:val="20"/>
                <w:szCs w:val="20"/>
              </w:rPr>
              <w:t>0.23 (</w:t>
            </w:r>
            <w:r w:rsidRPr="00A74DED">
              <w:rPr>
                <w:rFonts w:ascii="Arial Narrow" w:eastAsiaTheme="majorEastAsia" w:hAnsi="Arial Narrow" w:cstheme="majorBidi"/>
                <w:bCs/>
                <w:sz w:val="20"/>
                <w:szCs w:val="20"/>
              </w:rPr>
              <w:t>0.03, 1.78</w:t>
            </w:r>
            <w:r w:rsidR="00606525">
              <w:rPr>
                <w:rFonts w:ascii="Arial Narrow" w:eastAsiaTheme="majorEastAsia" w:hAnsi="Arial Narrow" w:cstheme="majorBidi"/>
                <w:bCs/>
                <w:sz w:val="20"/>
                <w:szCs w:val="20"/>
              </w:rPr>
              <w:t>)</w:t>
            </w:r>
            <w:r w:rsidR="005F525D">
              <w:rPr>
                <w:rFonts w:ascii="Arial Narrow" w:eastAsiaTheme="majorEastAsia" w:hAnsi="Arial Narrow" w:cstheme="majorBidi"/>
                <w:bCs/>
                <w:sz w:val="20"/>
                <w:szCs w:val="20"/>
              </w:rPr>
              <w:t>;</w:t>
            </w:r>
            <w:r w:rsidR="003D3555">
              <w:rPr>
                <w:rFonts w:ascii="Arial Narrow" w:eastAsiaTheme="majorEastAsia" w:hAnsi="Arial Narrow" w:cstheme="majorBidi"/>
                <w:bCs/>
                <w:sz w:val="20"/>
                <w:szCs w:val="20"/>
              </w:rPr>
              <w:t xml:space="preserve"> </w:t>
            </w:r>
            <w:r w:rsidR="00606525">
              <w:rPr>
                <w:rFonts w:ascii="Arial Narrow" w:eastAsiaTheme="majorEastAsia" w:hAnsi="Arial Narrow" w:cstheme="majorBidi"/>
                <w:bCs/>
                <w:sz w:val="20"/>
                <w:szCs w:val="20"/>
              </w:rPr>
              <w:t xml:space="preserve">p = </w:t>
            </w:r>
            <w:r w:rsidR="003D3555">
              <w:rPr>
                <w:rFonts w:ascii="Arial Narrow" w:eastAsiaTheme="majorEastAsia" w:hAnsi="Arial Narrow" w:cstheme="majorBidi"/>
                <w:bCs/>
                <w:sz w:val="20"/>
                <w:szCs w:val="20"/>
              </w:rPr>
              <w:t>0.158</w:t>
            </w:r>
          </w:p>
        </w:tc>
      </w:tr>
      <w:tr w:rsidR="00304B47" w:rsidRPr="00B5356E" w14:paraId="19459A8F" w14:textId="77777777" w:rsidTr="000F3163">
        <w:trPr>
          <w:trHeight w:val="284"/>
        </w:trPr>
        <w:tc>
          <w:tcPr>
            <w:tcW w:w="1258" w:type="pct"/>
          </w:tcPr>
          <w:p w14:paraId="13DEFCE6" w14:textId="77777777" w:rsidR="00D42509" w:rsidRDefault="00304B47" w:rsidP="009C0529">
            <w:pPr>
              <w:keepNext/>
              <w:widowControl w:val="0"/>
              <w:ind w:left="314"/>
              <w:jc w:val="left"/>
              <w:rPr>
                <w:rFonts w:ascii="Arial Narrow" w:eastAsiaTheme="majorEastAsia" w:hAnsi="Arial Narrow" w:cs="Times New Roman"/>
                <w:bCs/>
                <w:iCs/>
                <w:sz w:val="20"/>
                <w:szCs w:val="20"/>
                <w:lang w:val="en-US"/>
              </w:rPr>
            </w:pPr>
            <w:r w:rsidRPr="00A15CDF">
              <w:rPr>
                <w:rFonts w:ascii="Arial Narrow" w:eastAsiaTheme="majorEastAsia" w:hAnsi="Arial Narrow" w:cs="Times New Roman"/>
                <w:bCs/>
                <w:iCs/>
                <w:sz w:val="20"/>
                <w:szCs w:val="20"/>
                <w:lang w:val="en-US"/>
              </w:rPr>
              <w:t xml:space="preserve">Odds ratio </w:t>
            </w:r>
          </w:p>
          <w:p w14:paraId="2145B549" w14:textId="43D162EA" w:rsidR="00304B47" w:rsidRPr="00A15CDF" w:rsidRDefault="00304B47" w:rsidP="009C0529">
            <w:pPr>
              <w:keepNext/>
              <w:widowControl w:val="0"/>
              <w:ind w:left="314"/>
              <w:jc w:val="left"/>
              <w:rPr>
                <w:rFonts w:ascii="Arial Narrow" w:eastAsiaTheme="majorEastAsia" w:hAnsi="Arial Narrow" w:cstheme="majorBidi"/>
                <w:bCs/>
                <w:sz w:val="20"/>
                <w:szCs w:val="20"/>
              </w:rPr>
            </w:pPr>
            <w:r w:rsidRPr="00A15CDF">
              <w:rPr>
                <w:rFonts w:ascii="Arial Narrow" w:eastAsiaTheme="majorEastAsia" w:hAnsi="Arial Narrow" w:cstheme="majorBidi"/>
                <w:bCs/>
                <w:sz w:val="20"/>
                <w:szCs w:val="20"/>
              </w:rPr>
              <w:t>(95% CI</w:t>
            </w:r>
            <w:r w:rsidR="005E2BD3">
              <w:rPr>
                <w:rFonts w:ascii="Arial Narrow" w:eastAsiaTheme="majorEastAsia" w:hAnsi="Arial Narrow" w:cstheme="majorBidi"/>
                <w:bCs/>
                <w:sz w:val="20"/>
                <w:szCs w:val="20"/>
              </w:rPr>
              <w:t>)</w:t>
            </w:r>
            <w:r w:rsidR="005F525D">
              <w:rPr>
                <w:rFonts w:ascii="Arial Narrow" w:eastAsiaTheme="majorEastAsia" w:hAnsi="Arial Narrow" w:cstheme="majorBidi"/>
                <w:bCs/>
                <w:sz w:val="20"/>
                <w:szCs w:val="20"/>
              </w:rPr>
              <w:t>;</w:t>
            </w:r>
            <w:r w:rsidR="00D42509">
              <w:rPr>
                <w:rFonts w:ascii="Arial Narrow" w:eastAsiaTheme="majorEastAsia" w:hAnsi="Arial Narrow" w:cstheme="majorBidi"/>
                <w:bCs/>
                <w:sz w:val="20"/>
                <w:szCs w:val="20"/>
              </w:rPr>
              <w:t xml:space="preserve"> </w:t>
            </w:r>
            <w:r w:rsidR="00D42509" w:rsidRPr="00A15CDF">
              <w:rPr>
                <w:rFonts w:ascii="Arial Narrow" w:eastAsiaTheme="majorEastAsia" w:hAnsi="Arial Narrow" w:cs="Times New Roman"/>
                <w:bCs/>
                <w:iCs/>
                <w:sz w:val="20"/>
                <w:szCs w:val="20"/>
                <w:lang w:val="en-US"/>
              </w:rPr>
              <w:t>p-value</w:t>
            </w:r>
          </w:p>
        </w:tc>
        <w:tc>
          <w:tcPr>
            <w:tcW w:w="3742" w:type="pct"/>
            <w:gridSpan w:val="5"/>
            <w:vAlign w:val="center"/>
          </w:tcPr>
          <w:p w14:paraId="0A48788E" w14:textId="002FE4FF" w:rsidR="00304B47" w:rsidRPr="00A15CDF" w:rsidRDefault="00304B47" w:rsidP="009C0529">
            <w:pPr>
              <w:keepNext/>
              <w:widowControl w:val="0"/>
              <w:jc w:val="center"/>
              <w:rPr>
                <w:rFonts w:ascii="Arial Narrow" w:eastAsiaTheme="majorEastAsia" w:hAnsi="Arial Narrow" w:cstheme="majorBidi"/>
                <w:bCs/>
                <w:sz w:val="20"/>
                <w:szCs w:val="20"/>
              </w:rPr>
            </w:pPr>
            <w:r w:rsidRPr="00A74DED">
              <w:rPr>
                <w:rFonts w:ascii="Arial Narrow" w:eastAsiaTheme="majorEastAsia" w:hAnsi="Arial Narrow" w:cstheme="majorBidi"/>
                <w:bCs/>
                <w:sz w:val="20"/>
                <w:szCs w:val="20"/>
              </w:rPr>
              <w:t xml:space="preserve">0.22 </w:t>
            </w:r>
            <w:r>
              <w:rPr>
                <w:rFonts w:ascii="Arial Narrow" w:eastAsiaTheme="majorEastAsia" w:hAnsi="Arial Narrow" w:cstheme="majorBidi"/>
                <w:bCs/>
                <w:sz w:val="20"/>
                <w:szCs w:val="20"/>
              </w:rPr>
              <w:t>(</w:t>
            </w:r>
            <w:r w:rsidRPr="00A74DED">
              <w:rPr>
                <w:rFonts w:ascii="Arial Narrow" w:eastAsiaTheme="majorEastAsia" w:hAnsi="Arial Narrow" w:cstheme="majorBidi"/>
                <w:bCs/>
                <w:sz w:val="20"/>
                <w:szCs w:val="20"/>
              </w:rPr>
              <w:t>0.03, 1.77</w:t>
            </w:r>
            <w:r w:rsidR="00606525">
              <w:rPr>
                <w:rFonts w:ascii="Arial Narrow" w:eastAsiaTheme="majorEastAsia" w:hAnsi="Arial Narrow" w:cstheme="majorBidi"/>
                <w:bCs/>
                <w:sz w:val="20"/>
                <w:szCs w:val="20"/>
              </w:rPr>
              <w:t>)</w:t>
            </w:r>
            <w:r w:rsidR="005F525D">
              <w:rPr>
                <w:rFonts w:ascii="Arial Narrow" w:eastAsiaTheme="majorEastAsia" w:hAnsi="Arial Narrow" w:cstheme="majorBidi"/>
                <w:bCs/>
                <w:sz w:val="20"/>
                <w:szCs w:val="20"/>
              </w:rPr>
              <w:t>;</w:t>
            </w:r>
            <w:r w:rsidR="00D42509">
              <w:rPr>
                <w:rFonts w:ascii="Arial Narrow" w:eastAsiaTheme="majorEastAsia" w:hAnsi="Arial Narrow" w:cstheme="majorBidi"/>
                <w:bCs/>
                <w:sz w:val="20"/>
                <w:szCs w:val="20"/>
              </w:rPr>
              <w:t xml:space="preserve"> </w:t>
            </w:r>
            <w:r w:rsidR="00606525">
              <w:rPr>
                <w:rFonts w:ascii="Arial Narrow" w:eastAsiaTheme="majorEastAsia" w:hAnsi="Arial Narrow" w:cstheme="majorBidi"/>
                <w:bCs/>
                <w:sz w:val="20"/>
                <w:szCs w:val="20"/>
              </w:rPr>
              <w:t xml:space="preserve">p = </w:t>
            </w:r>
            <w:r w:rsidR="00D42509">
              <w:rPr>
                <w:rFonts w:ascii="Arial Narrow" w:eastAsiaTheme="majorEastAsia" w:hAnsi="Arial Narrow" w:cstheme="majorBidi"/>
                <w:bCs/>
                <w:sz w:val="20"/>
                <w:szCs w:val="20"/>
              </w:rPr>
              <w:t>0.155</w:t>
            </w:r>
          </w:p>
        </w:tc>
      </w:tr>
      <w:tr w:rsidR="00304B47" w:rsidRPr="00B5356E" w14:paraId="6F6CEF30" w14:textId="77777777" w:rsidTr="000F3163">
        <w:trPr>
          <w:trHeight w:val="284"/>
        </w:trPr>
        <w:tc>
          <w:tcPr>
            <w:tcW w:w="1258" w:type="pct"/>
          </w:tcPr>
          <w:p w14:paraId="1E47118E" w14:textId="28A940BC" w:rsidR="00304B47" w:rsidRPr="00A15CDF" w:rsidRDefault="00304B47" w:rsidP="009C0529">
            <w:pPr>
              <w:keepNext/>
              <w:widowControl w:val="0"/>
              <w:ind w:left="456"/>
              <w:jc w:val="left"/>
              <w:rPr>
                <w:rFonts w:ascii="Arial Narrow" w:eastAsiaTheme="majorEastAsia" w:hAnsi="Arial Narrow" w:cs="Times New Roman"/>
                <w:bCs/>
                <w:iCs/>
                <w:sz w:val="20"/>
                <w:szCs w:val="20"/>
                <w:lang w:val="en-US"/>
              </w:rPr>
            </w:pPr>
          </w:p>
        </w:tc>
        <w:tc>
          <w:tcPr>
            <w:tcW w:w="3742" w:type="pct"/>
            <w:gridSpan w:val="5"/>
            <w:vAlign w:val="center"/>
          </w:tcPr>
          <w:p w14:paraId="27793181" w14:textId="1946ADF1" w:rsidR="00304B47" w:rsidRPr="00A15CDF" w:rsidRDefault="00304B47" w:rsidP="009C0529">
            <w:pPr>
              <w:keepNext/>
              <w:widowControl w:val="0"/>
              <w:jc w:val="center"/>
              <w:rPr>
                <w:rFonts w:ascii="Arial Narrow" w:eastAsiaTheme="majorEastAsia" w:hAnsi="Arial Narrow" w:cstheme="majorBidi"/>
                <w:bCs/>
                <w:sz w:val="20"/>
                <w:szCs w:val="20"/>
              </w:rPr>
            </w:pPr>
          </w:p>
        </w:tc>
      </w:tr>
      <w:tr w:rsidR="00304B47" w:rsidRPr="00DC7B06" w14:paraId="3D6D23EB" w14:textId="77777777" w:rsidTr="000F3163">
        <w:trPr>
          <w:trHeight w:val="284"/>
          <w:tblHeader/>
        </w:trPr>
        <w:tc>
          <w:tcPr>
            <w:tcW w:w="1258" w:type="pct"/>
            <w:vAlign w:val="center"/>
          </w:tcPr>
          <w:p w14:paraId="4120EFA9" w14:textId="77777777" w:rsidR="00304B47" w:rsidRPr="00DD3690" w:rsidRDefault="00304B47" w:rsidP="009C0529">
            <w:pPr>
              <w:keepNext/>
              <w:keepLines/>
              <w:jc w:val="left"/>
              <w:rPr>
                <w:rFonts w:ascii="Arial Narrow" w:eastAsiaTheme="majorEastAsia" w:hAnsi="Arial Narrow" w:cs="Times New Roman"/>
                <w:bCs/>
                <w:iCs/>
                <w:sz w:val="20"/>
                <w:szCs w:val="20"/>
              </w:rPr>
            </w:pPr>
          </w:p>
        </w:tc>
        <w:tc>
          <w:tcPr>
            <w:tcW w:w="1845" w:type="pct"/>
            <w:gridSpan w:val="3"/>
            <w:vAlign w:val="center"/>
          </w:tcPr>
          <w:p w14:paraId="2796FD8A" w14:textId="70095C9E" w:rsidR="00304B47" w:rsidRPr="00651F9E" w:rsidRDefault="00304B47" w:rsidP="009C0529">
            <w:pPr>
              <w:keepNext/>
              <w:keepLines/>
              <w:jc w:val="center"/>
              <w:rPr>
                <w:rFonts w:ascii="Arial Narrow" w:hAnsi="Arial Narrow"/>
                <w:b/>
                <w:sz w:val="20"/>
                <w:szCs w:val="20"/>
              </w:rPr>
            </w:pPr>
            <w:r w:rsidRPr="00651F9E">
              <w:rPr>
                <w:rFonts w:ascii="Arial Narrow" w:eastAsiaTheme="majorEastAsia" w:hAnsi="Arial Narrow" w:cs="Times New Roman"/>
                <w:b/>
                <w:iCs/>
                <w:sz w:val="20"/>
                <w:szCs w:val="20"/>
              </w:rPr>
              <w:t xml:space="preserve">Month 43 </w:t>
            </w:r>
          </w:p>
        </w:tc>
        <w:tc>
          <w:tcPr>
            <w:tcW w:w="1898" w:type="pct"/>
            <w:gridSpan w:val="2"/>
            <w:vAlign w:val="center"/>
          </w:tcPr>
          <w:p w14:paraId="6689541F" w14:textId="3232FC01" w:rsidR="00304B47" w:rsidRPr="00651F9E" w:rsidRDefault="00304B47" w:rsidP="009C0529">
            <w:pPr>
              <w:keepNext/>
              <w:keepLines/>
              <w:jc w:val="center"/>
              <w:rPr>
                <w:rFonts w:ascii="Arial Narrow" w:hAnsi="Arial Narrow"/>
                <w:b/>
                <w:sz w:val="20"/>
                <w:szCs w:val="20"/>
              </w:rPr>
            </w:pPr>
            <w:r w:rsidRPr="00651F9E">
              <w:rPr>
                <w:rFonts w:ascii="Arial Narrow" w:hAnsi="Arial Narrow"/>
                <w:b/>
                <w:sz w:val="20"/>
                <w:szCs w:val="20"/>
              </w:rPr>
              <w:t xml:space="preserve">Month 36 </w:t>
            </w:r>
          </w:p>
        </w:tc>
      </w:tr>
      <w:tr w:rsidR="00304B47" w:rsidRPr="00B5356E" w14:paraId="2BA850DC" w14:textId="77777777" w:rsidTr="000F3163">
        <w:trPr>
          <w:trHeight w:val="284"/>
        </w:trPr>
        <w:tc>
          <w:tcPr>
            <w:tcW w:w="1258" w:type="pct"/>
          </w:tcPr>
          <w:p w14:paraId="0DE0D514" w14:textId="77777777" w:rsidR="00D42509" w:rsidRDefault="00304B47" w:rsidP="009C0529">
            <w:pPr>
              <w:keepNext/>
              <w:widowControl w:val="0"/>
              <w:ind w:left="314"/>
              <w:jc w:val="left"/>
              <w:rPr>
                <w:rFonts w:ascii="Arial Narrow" w:eastAsiaTheme="majorEastAsia" w:hAnsi="Arial Narrow" w:cstheme="majorBidi"/>
                <w:bCs/>
                <w:sz w:val="20"/>
                <w:szCs w:val="20"/>
              </w:rPr>
            </w:pPr>
            <w:r w:rsidRPr="00A15CDF">
              <w:rPr>
                <w:rFonts w:ascii="Arial Narrow" w:eastAsiaTheme="majorEastAsia" w:hAnsi="Arial Narrow" w:cstheme="majorBidi"/>
                <w:bCs/>
                <w:sz w:val="20"/>
                <w:szCs w:val="20"/>
              </w:rPr>
              <w:t xml:space="preserve">Risk difference </w:t>
            </w:r>
          </w:p>
          <w:p w14:paraId="5E316518" w14:textId="69C08652" w:rsidR="00304B47" w:rsidRPr="00A15CDF" w:rsidRDefault="00304B47" w:rsidP="009C0529">
            <w:pPr>
              <w:keepNext/>
              <w:widowControl w:val="0"/>
              <w:ind w:left="314"/>
              <w:jc w:val="left"/>
              <w:rPr>
                <w:rFonts w:ascii="Arial Narrow" w:eastAsiaTheme="majorEastAsia" w:hAnsi="Arial Narrow" w:cstheme="majorBidi"/>
                <w:bCs/>
                <w:sz w:val="20"/>
                <w:szCs w:val="20"/>
              </w:rPr>
            </w:pPr>
            <w:r w:rsidRPr="00A15CDF">
              <w:rPr>
                <w:rFonts w:ascii="Arial Narrow" w:eastAsiaTheme="majorEastAsia" w:hAnsi="Arial Narrow" w:cstheme="majorBidi"/>
                <w:bCs/>
                <w:sz w:val="20"/>
                <w:szCs w:val="20"/>
              </w:rPr>
              <w:t>(95% CI</w:t>
            </w:r>
            <w:r w:rsidR="005E2BD3">
              <w:rPr>
                <w:rFonts w:ascii="Arial Narrow" w:eastAsiaTheme="majorEastAsia" w:hAnsi="Arial Narrow" w:cstheme="majorBidi"/>
                <w:bCs/>
                <w:sz w:val="20"/>
                <w:szCs w:val="20"/>
              </w:rPr>
              <w:t>)</w:t>
            </w:r>
            <w:r w:rsidR="00D646F0">
              <w:rPr>
                <w:rFonts w:ascii="Arial Narrow" w:eastAsiaTheme="majorEastAsia" w:hAnsi="Arial Narrow" w:cstheme="majorBidi"/>
                <w:bCs/>
                <w:sz w:val="20"/>
                <w:szCs w:val="20"/>
              </w:rPr>
              <w:t>;</w:t>
            </w:r>
            <w:r w:rsidR="00D42509">
              <w:rPr>
                <w:rFonts w:ascii="Arial Narrow" w:eastAsiaTheme="majorEastAsia" w:hAnsi="Arial Narrow" w:cstheme="majorBidi"/>
                <w:bCs/>
                <w:sz w:val="20"/>
                <w:szCs w:val="20"/>
              </w:rPr>
              <w:t xml:space="preserve"> </w:t>
            </w:r>
            <w:r w:rsidR="00D42509" w:rsidRPr="00A15CDF">
              <w:rPr>
                <w:rFonts w:ascii="Arial Narrow" w:eastAsiaTheme="majorEastAsia" w:hAnsi="Arial Narrow" w:cstheme="majorBidi"/>
                <w:bCs/>
                <w:sz w:val="20"/>
                <w:szCs w:val="20"/>
              </w:rPr>
              <w:t>p-value</w:t>
            </w:r>
          </w:p>
        </w:tc>
        <w:tc>
          <w:tcPr>
            <w:tcW w:w="3742" w:type="pct"/>
            <w:gridSpan w:val="5"/>
            <w:vAlign w:val="center"/>
          </w:tcPr>
          <w:p w14:paraId="28003970" w14:textId="54A2DF7C" w:rsidR="00304B47" w:rsidRPr="00185538" w:rsidRDefault="00304B47" w:rsidP="009C0529">
            <w:pPr>
              <w:keepNext/>
              <w:widowControl w:val="0"/>
              <w:jc w:val="center"/>
              <w:rPr>
                <w:rFonts w:ascii="Arial Narrow" w:eastAsiaTheme="majorEastAsia" w:hAnsi="Arial Narrow" w:cstheme="majorBidi"/>
                <w:b/>
                <w:sz w:val="20"/>
                <w:szCs w:val="20"/>
              </w:rPr>
            </w:pPr>
            <w:r w:rsidRPr="00185538">
              <w:rPr>
                <w:rFonts w:ascii="Arial Narrow" w:eastAsiaTheme="majorEastAsia" w:hAnsi="Arial Narrow" w:cstheme="majorBidi"/>
                <w:b/>
                <w:sz w:val="20"/>
                <w:szCs w:val="20"/>
              </w:rPr>
              <w:t>-2.58% (-4.84%, -0.32%</w:t>
            </w:r>
            <w:r w:rsidR="00C949DC" w:rsidRPr="00185538">
              <w:rPr>
                <w:rFonts w:ascii="Arial Narrow" w:eastAsiaTheme="majorEastAsia" w:hAnsi="Arial Narrow" w:cstheme="majorBidi"/>
                <w:b/>
                <w:sz w:val="20"/>
                <w:szCs w:val="20"/>
              </w:rPr>
              <w:t>)</w:t>
            </w:r>
            <w:r w:rsidR="00D646F0" w:rsidRPr="00185538">
              <w:rPr>
                <w:rFonts w:ascii="Arial Narrow" w:eastAsiaTheme="majorEastAsia" w:hAnsi="Arial Narrow" w:cstheme="majorBidi"/>
                <w:b/>
                <w:sz w:val="20"/>
                <w:szCs w:val="20"/>
              </w:rPr>
              <w:t>;</w:t>
            </w:r>
            <w:r w:rsidR="00D42509" w:rsidRPr="00185538">
              <w:rPr>
                <w:rFonts w:ascii="Arial Narrow" w:eastAsiaTheme="majorEastAsia" w:hAnsi="Arial Narrow" w:cstheme="majorBidi"/>
                <w:b/>
                <w:sz w:val="20"/>
                <w:szCs w:val="20"/>
              </w:rPr>
              <w:t xml:space="preserve"> </w:t>
            </w:r>
            <w:r w:rsidR="00C949DC" w:rsidRPr="00185538">
              <w:rPr>
                <w:rFonts w:ascii="Arial Narrow" w:eastAsiaTheme="majorEastAsia" w:hAnsi="Arial Narrow" w:cstheme="majorBidi"/>
                <w:b/>
                <w:sz w:val="20"/>
                <w:szCs w:val="20"/>
              </w:rPr>
              <w:t xml:space="preserve">p = </w:t>
            </w:r>
            <w:r w:rsidR="00D42509" w:rsidRPr="00185538">
              <w:rPr>
                <w:rFonts w:ascii="Arial Narrow" w:eastAsiaTheme="majorEastAsia" w:hAnsi="Arial Narrow" w:cstheme="majorBidi"/>
                <w:b/>
                <w:sz w:val="20"/>
                <w:szCs w:val="20"/>
              </w:rPr>
              <w:t>0.025</w:t>
            </w:r>
          </w:p>
        </w:tc>
      </w:tr>
      <w:tr w:rsidR="00304B47" w:rsidRPr="00B5356E" w14:paraId="6793E092" w14:textId="77777777" w:rsidTr="000F3163">
        <w:trPr>
          <w:trHeight w:val="284"/>
        </w:trPr>
        <w:tc>
          <w:tcPr>
            <w:tcW w:w="1258" w:type="pct"/>
          </w:tcPr>
          <w:p w14:paraId="6CEE6822" w14:textId="77777777" w:rsidR="00D42509" w:rsidRDefault="00304B47" w:rsidP="009C0529">
            <w:pPr>
              <w:keepNext/>
              <w:widowControl w:val="0"/>
              <w:ind w:left="314"/>
              <w:jc w:val="left"/>
              <w:rPr>
                <w:rFonts w:ascii="Arial Narrow" w:eastAsiaTheme="majorEastAsia" w:hAnsi="Arial Narrow" w:cstheme="majorBidi"/>
                <w:bCs/>
                <w:sz w:val="20"/>
                <w:szCs w:val="20"/>
              </w:rPr>
            </w:pPr>
            <w:r w:rsidRPr="00A15CDF">
              <w:rPr>
                <w:rFonts w:ascii="Arial Narrow" w:eastAsiaTheme="majorEastAsia" w:hAnsi="Arial Narrow" w:cstheme="majorBidi"/>
                <w:bCs/>
                <w:sz w:val="20"/>
                <w:szCs w:val="20"/>
              </w:rPr>
              <w:t xml:space="preserve">Risk ratio </w:t>
            </w:r>
          </w:p>
          <w:p w14:paraId="0E703526" w14:textId="7DEDD040" w:rsidR="00304B47" w:rsidRPr="00A15CDF" w:rsidRDefault="00304B47" w:rsidP="009C0529">
            <w:pPr>
              <w:keepNext/>
              <w:widowControl w:val="0"/>
              <w:ind w:left="314"/>
              <w:jc w:val="left"/>
              <w:rPr>
                <w:rFonts w:ascii="Arial Narrow" w:eastAsiaTheme="majorEastAsia" w:hAnsi="Arial Narrow" w:cstheme="majorBidi"/>
                <w:bCs/>
                <w:sz w:val="20"/>
                <w:szCs w:val="20"/>
              </w:rPr>
            </w:pPr>
            <w:r w:rsidRPr="00A15CDF">
              <w:rPr>
                <w:rFonts w:ascii="Arial Narrow" w:eastAsiaTheme="majorEastAsia" w:hAnsi="Arial Narrow" w:cstheme="majorBidi"/>
                <w:bCs/>
                <w:sz w:val="20"/>
                <w:szCs w:val="20"/>
              </w:rPr>
              <w:t>(95% CI</w:t>
            </w:r>
            <w:r w:rsidR="005E2BD3">
              <w:rPr>
                <w:rFonts w:ascii="Arial Narrow" w:eastAsiaTheme="majorEastAsia" w:hAnsi="Arial Narrow" w:cstheme="majorBidi"/>
                <w:bCs/>
                <w:sz w:val="20"/>
                <w:szCs w:val="20"/>
              </w:rPr>
              <w:t>)</w:t>
            </w:r>
            <w:r w:rsidR="00D646F0">
              <w:rPr>
                <w:rFonts w:ascii="Arial Narrow" w:eastAsiaTheme="majorEastAsia" w:hAnsi="Arial Narrow" w:cstheme="majorBidi"/>
                <w:bCs/>
                <w:sz w:val="20"/>
                <w:szCs w:val="20"/>
              </w:rPr>
              <w:t>;</w:t>
            </w:r>
            <w:r w:rsidR="00D42509">
              <w:rPr>
                <w:rFonts w:ascii="Arial Narrow" w:eastAsiaTheme="majorEastAsia" w:hAnsi="Arial Narrow" w:cstheme="majorBidi"/>
                <w:bCs/>
                <w:sz w:val="20"/>
                <w:szCs w:val="20"/>
              </w:rPr>
              <w:t xml:space="preserve"> </w:t>
            </w:r>
            <w:r w:rsidR="00D42509" w:rsidRPr="00A15CDF">
              <w:rPr>
                <w:rFonts w:ascii="Arial Narrow" w:eastAsiaTheme="majorEastAsia" w:hAnsi="Arial Narrow" w:cstheme="majorBidi"/>
                <w:bCs/>
                <w:sz w:val="20"/>
                <w:szCs w:val="20"/>
              </w:rPr>
              <w:t>p-value</w:t>
            </w:r>
          </w:p>
        </w:tc>
        <w:tc>
          <w:tcPr>
            <w:tcW w:w="3742" w:type="pct"/>
            <w:gridSpan w:val="5"/>
            <w:vAlign w:val="center"/>
          </w:tcPr>
          <w:p w14:paraId="01B3BE30" w14:textId="29197FFC" w:rsidR="00304B47" w:rsidRPr="00A15CDF" w:rsidRDefault="00304B47" w:rsidP="009C0529">
            <w:pPr>
              <w:keepNext/>
              <w:widowControl w:val="0"/>
              <w:jc w:val="center"/>
              <w:rPr>
                <w:rFonts w:ascii="Arial Narrow" w:eastAsiaTheme="majorEastAsia" w:hAnsi="Arial Narrow" w:cstheme="majorBidi"/>
                <w:bCs/>
                <w:sz w:val="20"/>
                <w:szCs w:val="20"/>
              </w:rPr>
            </w:pPr>
            <w:r w:rsidRPr="00A74DED">
              <w:rPr>
                <w:rFonts w:ascii="Arial Narrow" w:eastAsiaTheme="majorEastAsia" w:hAnsi="Arial Narrow" w:cstheme="majorBidi"/>
                <w:bCs/>
                <w:sz w:val="20"/>
                <w:szCs w:val="20"/>
              </w:rPr>
              <w:t xml:space="preserve">0.48 </w:t>
            </w:r>
            <w:r>
              <w:rPr>
                <w:rFonts w:ascii="Arial Narrow" w:eastAsiaTheme="majorEastAsia" w:hAnsi="Arial Narrow" w:cstheme="majorBidi"/>
                <w:bCs/>
                <w:sz w:val="20"/>
                <w:szCs w:val="20"/>
              </w:rPr>
              <w:t>(</w:t>
            </w:r>
            <w:r w:rsidRPr="00A74DED">
              <w:rPr>
                <w:rFonts w:ascii="Arial Narrow" w:eastAsiaTheme="majorEastAsia" w:hAnsi="Arial Narrow" w:cstheme="majorBidi"/>
                <w:bCs/>
                <w:sz w:val="20"/>
                <w:szCs w:val="20"/>
              </w:rPr>
              <w:t>0.16, 1.48</w:t>
            </w:r>
            <w:r w:rsidR="00C949DC">
              <w:rPr>
                <w:rFonts w:ascii="Arial Narrow" w:eastAsiaTheme="majorEastAsia" w:hAnsi="Arial Narrow" w:cstheme="majorBidi"/>
                <w:bCs/>
                <w:sz w:val="20"/>
                <w:szCs w:val="20"/>
              </w:rPr>
              <w:t>)</w:t>
            </w:r>
            <w:r w:rsidR="00D646F0">
              <w:rPr>
                <w:rFonts w:ascii="Arial Narrow" w:eastAsiaTheme="majorEastAsia" w:hAnsi="Arial Narrow" w:cstheme="majorBidi"/>
                <w:bCs/>
                <w:sz w:val="20"/>
                <w:szCs w:val="20"/>
              </w:rPr>
              <w:t>;</w:t>
            </w:r>
            <w:r w:rsidR="00D42509">
              <w:rPr>
                <w:rFonts w:ascii="Arial Narrow" w:eastAsiaTheme="majorEastAsia" w:hAnsi="Arial Narrow" w:cstheme="majorBidi"/>
                <w:bCs/>
                <w:sz w:val="20"/>
                <w:szCs w:val="20"/>
              </w:rPr>
              <w:t xml:space="preserve"> </w:t>
            </w:r>
            <w:r w:rsidR="00C949DC">
              <w:rPr>
                <w:rFonts w:ascii="Arial Narrow" w:eastAsiaTheme="majorEastAsia" w:hAnsi="Arial Narrow" w:cstheme="majorBidi"/>
                <w:bCs/>
                <w:sz w:val="20"/>
                <w:szCs w:val="20"/>
              </w:rPr>
              <w:t xml:space="preserve">p = </w:t>
            </w:r>
            <w:r w:rsidR="00D42509" w:rsidRPr="00A74DED">
              <w:rPr>
                <w:rFonts w:ascii="Arial Narrow" w:eastAsiaTheme="majorEastAsia" w:hAnsi="Arial Narrow" w:cstheme="majorBidi"/>
                <w:bCs/>
                <w:sz w:val="20"/>
                <w:szCs w:val="20"/>
              </w:rPr>
              <w:t>0.203</w:t>
            </w:r>
          </w:p>
        </w:tc>
      </w:tr>
      <w:tr w:rsidR="00304B47" w:rsidRPr="00B5356E" w14:paraId="1567CA11" w14:textId="77777777" w:rsidTr="000F3163">
        <w:trPr>
          <w:trHeight w:val="284"/>
        </w:trPr>
        <w:tc>
          <w:tcPr>
            <w:tcW w:w="1258" w:type="pct"/>
          </w:tcPr>
          <w:p w14:paraId="4D6679FA" w14:textId="77777777" w:rsidR="00D42509" w:rsidRDefault="00304B47" w:rsidP="009C0529">
            <w:pPr>
              <w:keepNext/>
              <w:widowControl w:val="0"/>
              <w:ind w:left="314"/>
              <w:jc w:val="left"/>
              <w:rPr>
                <w:rFonts w:ascii="Arial Narrow" w:eastAsiaTheme="majorEastAsia" w:hAnsi="Arial Narrow" w:cs="Times New Roman"/>
                <w:bCs/>
                <w:iCs/>
                <w:sz w:val="20"/>
                <w:szCs w:val="20"/>
                <w:lang w:val="en-US"/>
              </w:rPr>
            </w:pPr>
            <w:r w:rsidRPr="00A15CDF">
              <w:rPr>
                <w:rFonts w:ascii="Arial Narrow" w:eastAsiaTheme="majorEastAsia" w:hAnsi="Arial Narrow" w:cs="Times New Roman"/>
                <w:bCs/>
                <w:iCs/>
                <w:sz w:val="20"/>
                <w:szCs w:val="20"/>
                <w:lang w:val="en-US"/>
              </w:rPr>
              <w:t xml:space="preserve">Odds ratio </w:t>
            </w:r>
          </w:p>
          <w:p w14:paraId="21982140" w14:textId="24144CC7" w:rsidR="00304B47" w:rsidRPr="00A15CDF" w:rsidRDefault="00304B47" w:rsidP="009C0529">
            <w:pPr>
              <w:keepNext/>
              <w:widowControl w:val="0"/>
              <w:ind w:left="314"/>
              <w:jc w:val="left"/>
              <w:rPr>
                <w:rFonts w:ascii="Arial Narrow" w:eastAsiaTheme="majorEastAsia" w:hAnsi="Arial Narrow" w:cstheme="majorBidi"/>
                <w:bCs/>
                <w:sz w:val="20"/>
                <w:szCs w:val="20"/>
              </w:rPr>
            </w:pPr>
            <w:r w:rsidRPr="00A15CDF">
              <w:rPr>
                <w:rFonts w:ascii="Arial Narrow" w:eastAsiaTheme="majorEastAsia" w:hAnsi="Arial Narrow" w:cstheme="majorBidi"/>
                <w:bCs/>
                <w:sz w:val="20"/>
                <w:szCs w:val="20"/>
              </w:rPr>
              <w:t>(95% CI</w:t>
            </w:r>
            <w:r w:rsidR="005E2BD3">
              <w:rPr>
                <w:rFonts w:ascii="Arial Narrow" w:eastAsiaTheme="majorEastAsia" w:hAnsi="Arial Narrow" w:cstheme="majorBidi"/>
                <w:bCs/>
                <w:sz w:val="20"/>
                <w:szCs w:val="20"/>
              </w:rPr>
              <w:t>)</w:t>
            </w:r>
            <w:r w:rsidR="00D646F0">
              <w:rPr>
                <w:rFonts w:ascii="Arial Narrow" w:eastAsiaTheme="majorEastAsia" w:hAnsi="Arial Narrow" w:cstheme="majorBidi"/>
                <w:bCs/>
                <w:sz w:val="20"/>
                <w:szCs w:val="20"/>
              </w:rPr>
              <w:t>;</w:t>
            </w:r>
            <w:r w:rsidR="00D42509">
              <w:rPr>
                <w:rFonts w:ascii="Arial Narrow" w:eastAsiaTheme="majorEastAsia" w:hAnsi="Arial Narrow" w:cstheme="majorBidi"/>
                <w:bCs/>
                <w:sz w:val="20"/>
                <w:szCs w:val="20"/>
              </w:rPr>
              <w:t xml:space="preserve"> </w:t>
            </w:r>
            <w:r w:rsidR="00D42509" w:rsidRPr="00A15CDF">
              <w:rPr>
                <w:rFonts w:ascii="Arial Narrow" w:eastAsiaTheme="majorEastAsia" w:hAnsi="Arial Narrow" w:cs="Times New Roman"/>
                <w:bCs/>
                <w:iCs/>
                <w:sz w:val="20"/>
                <w:szCs w:val="20"/>
                <w:lang w:val="en-US"/>
              </w:rPr>
              <w:t>p-value</w:t>
            </w:r>
          </w:p>
        </w:tc>
        <w:tc>
          <w:tcPr>
            <w:tcW w:w="3742" w:type="pct"/>
            <w:gridSpan w:val="5"/>
            <w:vAlign w:val="center"/>
          </w:tcPr>
          <w:p w14:paraId="644064CC" w14:textId="65EB817F" w:rsidR="00304B47" w:rsidRPr="00A15CDF" w:rsidRDefault="00304B47" w:rsidP="009C0529">
            <w:pPr>
              <w:keepNext/>
              <w:widowControl w:val="0"/>
              <w:jc w:val="center"/>
              <w:rPr>
                <w:rFonts w:ascii="Arial Narrow" w:eastAsiaTheme="majorEastAsia" w:hAnsi="Arial Narrow" w:cstheme="majorBidi"/>
                <w:bCs/>
                <w:sz w:val="20"/>
                <w:szCs w:val="20"/>
              </w:rPr>
            </w:pPr>
            <w:r w:rsidRPr="00A74DED">
              <w:rPr>
                <w:rFonts w:ascii="Arial Narrow" w:eastAsiaTheme="majorEastAsia" w:hAnsi="Arial Narrow" w:cstheme="majorBidi"/>
                <w:bCs/>
                <w:sz w:val="20"/>
                <w:szCs w:val="20"/>
              </w:rPr>
              <w:t xml:space="preserve">0.47 </w:t>
            </w:r>
            <w:r>
              <w:rPr>
                <w:rFonts w:ascii="Arial Narrow" w:eastAsiaTheme="majorEastAsia" w:hAnsi="Arial Narrow" w:cstheme="majorBidi"/>
                <w:bCs/>
                <w:sz w:val="20"/>
                <w:szCs w:val="20"/>
              </w:rPr>
              <w:t>(</w:t>
            </w:r>
            <w:r w:rsidRPr="00A74DED">
              <w:rPr>
                <w:rFonts w:ascii="Arial Narrow" w:eastAsiaTheme="majorEastAsia" w:hAnsi="Arial Narrow" w:cstheme="majorBidi"/>
                <w:bCs/>
                <w:sz w:val="20"/>
                <w:szCs w:val="20"/>
              </w:rPr>
              <w:t>0.15, 1.46</w:t>
            </w:r>
            <w:r w:rsidR="00C949DC">
              <w:rPr>
                <w:rFonts w:ascii="Arial Narrow" w:eastAsiaTheme="majorEastAsia" w:hAnsi="Arial Narrow" w:cstheme="majorBidi"/>
                <w:bCs/>
                <w:sz w:val="20"/>
                <w:szCs w:val="20"/>
              </w:rPr>
              <w:t>)</w:t>
            </w:r>
            <w:r w:rsidR="00D646F0">
              <w:rPr>
                <w:rFonts w:ascii="Arial Narrow" w:eastAsiaTheme="majorEastAsia" w:hAnsi="Arial Narrow" w:cstheme="majorBidi"/>
                <w:bCs/>
                <w:sz w:val="20"/>
                <w:szCs w:val="20"/>
              </w:rPr>
              <w:t>;</w:t>
            </w:r>
            <w:r w:rsidR="00D42509">
              <w:rPr>
                <w:rFonts w:ascii="Arial Narrow" w:eastAsiaTheme="majorEastAsia" w:hAnsi="Arial Narrow" w:cstheme="majorBidi"/>
                <w:bCs/>
                <w:sz w:val="20"/>
                <w:szCs w:val="20"/>
              </w:rPr>
              <w:t xml:space="preserve"> </w:t>
            </w:r>
            <w:r w:rsidR="00C949DC">
              <w:rPr>
                <w:rFonts w:ascii="Arial Narrow" w:eastAsiaTheme="majorEastAsia" w:hAnsi="Arial Narrow" w:cstheme="majorBidi"/>
                <w:bCs/>
                <w:sz w:val="20"/>
                <w:szCs w:val="20"/>
              </w:rPr>
              <w:t xml:space="preserve">p = </w:t>
            </w:r>
            <w:r w:rsidR="00D42509" w:rsidRPr="00A74DED">
              <w:rPr>
                <w:rFonts w:ascii="Arial Narrow" w:eastAsiaTheme="majorEastAsia" w:hAnsi="Arial Narrow" w:cstheme="majorBidi"/>
                <w:bCs/>
                <w:sz w:val="20"/>
                <w:szCs w:val="20"/>
              </w:rPr>
              <w:t>0.193</w:t>
            </w:r>
          </w:p>
        </w:tc>
      </w:tr>
    </w:tbl>
    <w:p w14:paraId="16F45BE7" w14:textId="1A72CA0F" w:rsidR="00304B47" w:rsidRDefault="00304B47" w:rsidP="00304B47">
      <w:pPr>
        <w:rPr>
          <w:rFonts w:ascii="Arial Narrow" w:hAnsi="Arial Narrow"/>
          <w:sz w:val="18"/>
          <w:szCs w:val="18"/>
        </w:rPr>
      </w:pPr>
      <w:r w:rsidRPr="00A15CDF">
        <w:rPr>
          <w:rFonts w:ascii="Arial Narrow" w:hAnsi="Arial Narrow"/>
          <w:sz w:val="18"/>
          <w:szCs w:val="18"/>
        </w:rPr>
        <w:t xml:space="preserve">Source: Table </w:t>
      </w:r>
      <w:r w:rsidR="00B574B6">
        <w:rPr>
          <w:rFonts w:ascii="Arial Narrow" w:hAnsi="Arial Narrow"/>
          <w:sz w:val="18"/>
          <w:szCs w:val="18"/>
        </w:rPr>
        <w:t xml:space="preserve">2-21, </w:t>
      </w:r>
      <w:r w:rsidRPr="00A15CDF">
        <w:rPr>
          <w:rFonts w:ascii="Arial Narrow" w:hAnsi="Arial Narrow"/>
          <w:sz w:val="18"/>
          <w:szCs w:val="18"/>
        </w:rPr>
        <w:t>2-32</w:t>
      </w:r>
      <w:r>
        <w:rPr>
          <w:rFonts w:ascii="Arial Narrow" w:hAnsi="Arial Narrow"/>
          <w:sz w:val="18"/>
          <w:szCs w:val="18"/>
        </w:rPr>
        <w:t>,</w:t>
      </w:r>
      <w:r w:rsidRPr="00A15CDF">
        <w:rPr>
          <w:rFonts w:ascii="Arial Narrow" w:hAnsi="Arial Narrow"/>
          <w:sz w:val="18"/>
          <w:szCs w:val="18"/>
        </w:rPr>
        <w:t xml:space="preserve"> 2-33,</w:t>
      </w:r>
      <w:r>
        <w:rPr>
          <w:rFonts w:ascii="Arial Narrow" w:hAnsi="Arial Narrow"/>
          <w:sz w:val="18"/>
          <w:szCs w:val="18"/>
        </w:rPr>
        <w:t xml:space="preserve"> 2-36,</w:t>
      </w:r>
      <w:r w:rsidRPr="00A15CDF">
        <w:rPr>
          <w:rFonts w:ascii="Arial Narrow" w:hAnsi="Arial Narrow"/>
          <w:sz w:val="18"/>
          <w:szCs w:val="18"/>
        </w:rPr>
        <w:t xml:space="preserve"> pp</w:t>
      </w:r>
      <w:r w:rsidR="00BE2966">
        <w:rPr>
          <w:rFonts w:ascii="Arial Narrow" w:hAnsi="Arial Narrow"/>
          <w:sz w:val="18"/>
          <w:szCs w:val="18"/>
        </w:rPr>
        <w:t xml:space="preserve"> 88, </w:t>
      </w:r>
      <w:r w:rsidRPr="00A15CDF">
        <w:rPr>
          <w:rFonts w:ascii="Arial Narrow" w:hAnsi="Arial Narrow"/>
          <w:sz w:val="18"/>
          <w:szCs w:val="18"/>
        </w:rPr>
        <w:t>122-123</w:t>
      </w:r>
      <w:r>
        <w:rPr>
          <w:rFonts w:ascii="Arial Narrow" w:hAnsi="Arial Narrow"/>
          <w:sz w:val="18"/>
          <w:szCs w:val="18"/>
        </w:rPr>
        <w:t>, 127</w:t>
      </w:r>
      <w:r w:rsidRPr="00A15CDF">
        <w:rPr>
          <w:rFonts w:ascii="Arial Narrow" w:hAnsi="Arial Narrow"/>
          <w:sz w:val="18"/>
          <w:szCs w:val="18"/>
        </w:rPr>
        <w:t xml:space="preserve"> of the submission</w:t>
      </w:r>
    </w:p>
    <w:p w14:paraId="37766557" w14:textId="6D07FBD5" w:rsidR="00304B47" w:rsidRDefault="00304B47" w:rsidP="00304B47">
      <w:pPr>
        <w:rPr>
          <w:rFonts w:ascii="Arial Narrow" w:hAnsi="Arial Narrow"/>
          <w:sz w:val="18"/>
          <w:szCs w:val="18"/>
        </w:rPr>
      </w:pPr>
      <w:r>
        <w:rPr>
          <w:rFonts w:ascii="Arial Narrow" w:hAnsi="Arial Narrow"/>
          <w:sz w:val="18"/>
          <w:szCs w:val="18"/>
        </w:rPr>
        <w:t>ITC = indirect treatment comparison</w:t>
      </w:r>
      <w:r w:rsidR="00A65196">
        <w:rPr>
          <w:rFonts w:ascii="Arial Narrow" w:hAnsi="Arial Narrow"/>
          <w:sz w:val="18"/>
          <w:szCs w:val="18"/>
        </w:rPr>
        <w:t xml:space="preserve">; GCP = Good Clinical Practice </w:t>
      </w:r>
    </w:p>
    <w:p w14:paraId="541A8BD4" w14:textId="7E06C0B5" w:rsidR="00304B47" w:rsidRDefault="00304B47" w:rsidP="00A65196">
      <w:pPr>
        <w:ind w:left="142" w:hanging="142"/>
        <w:rPr>
          <w:rFonts w:ascii="Arial Narrow" w:hAnsi="Arial Narrow"/>
          <w:sz w:val="18"/>
          <w:szCs w:val="18"/>
        </w:rPr>
      </w:pPr>
      <w:r w:rsidRPr="00E24192">
        <w:rPr>
          <w:rFonts w:ascii="Arial Narrow" w:hAnsi="Arial Narrow"/>
          <w:sz w:val="18"/>
          <w:szCs w:val="18"/>
          <w:vertAlign w:val="superscript"/>
        </w:rPr>
        <w:t>a</w:t>
      </w:r>
      <w:r>
        <w:rPr>
          <w:rFonts w:ascii="Arial Narrow" w:hAnsi="Arial Narrow"/>
          <w:sz w:val="18"/>
          <w:szCs w:val="18"/>
        </w:rPr>
        <w:t xml:space="preserve"> The modified intent-to-treat (mITT) population</w:t>
      </w:r>
      <w:r w:rsidR="00A65196">
        <w:rPr>
          <w:rFonts w:ascii="Arial Narrow" w:hAnsi="Arial Narrow"/>
          <w:sz w:val="18"/>
          <w:szCs w:val="18"/>
        </w:rPr>
        <w:t xml:space="preserve"> (excluding the 2 non-GCP sites)</w:t>
      </w:r>
      <w:r>
        <w:rPr>
          <w:rFonts w:ascii="Arial Narrow" w:hAnsi="Arial Narrow"/>
          <w:sz w:val="18"/>
          <w:szCs w:val="18"/>
        </w:rPr>
        <w:t xml:space="preserve"> comprised p</w:t>
      </w:r>
      <w:r w:rsidRPr="00770698">
        <w:rPr>
          <w:rFonts w:ascii="Arial Narrow" w:hAnsi="Arial Narrow"/>
          <w:sz w:val="18"/>
          <w:szCs w:val="18"/>
        </w:rPr>
        <w:t xml:space="preserve">atients </w:t>
      </w:r>
      <w:r>
        <w:rPr>
          <w:rFonts w:ascii="Arial Narrow" w:hAnsi="Arial Narrow"/>
          <w:sz w:val="18"/>
          <w:szCs w:val="18"/>
        </w:rPr>
        <w:t xml:space="preserve">in the ITT </w:t>
      </w:r>
      <w:r w:rsidRPr="00770698">
        <w:rPr>
          <w:rFonts w:ascii="Arial Narrow" w:hAnsi="Arial Narrow"/>
          <w:sz w:val="18"/>
          <w:szCs w:val="18"/>
        </w:rPr>
        <w:t>who had the pre-treatment and the post-baseline evaluable radiologic assessment</w:t>
      </w:r>
    </w:p>
    <w:p w14:paraId="197319F6" w14:textId="77777777" w:rsidR="00304B47" w:rsidRDefault="00304B47" w:rsidP="00A65196">
      <w:pPr>
        <w:ind w:left="142" w:hanging="142"/>
        <w:rPr>
          <w:rFonts w:ascii="Arial Narrow" w:hAnsi="Arial Narrow"/>
          <w:sz w:val="18"/>
          <w:szCs w:val="18"/>
        </w:rPr>
      </w:pPr>
      <w:r w:rsidRPr="00E24192">
        <w:rPr>
          <w:rFonts w:ascii="Arial Narrow" w:hAnsi="Arial Narrow"/>
          <w:sz w:val="18"/>
          <w:szCs w:val="18"/>
          <w:vertAlign w:val="superscript"/>
        </w:rPr>
        <w:t>b</w:t>
      </w:r>
      <w:r>
        <w:rPr>
          <w:rFonts w:ascii="Arial Narrow" w:hAnsi="Arial Narrow"/>
          <w:sz w:val="18"/>
          <w:szCs w:val="18"/>
        </w:rPr>
        <w:t xml:space="preserve"> In ACTIVE, this was the incidences obtained in the mITT population at end of treatment (Month 18); in FRAME, this was the cumulative incidences in the ITT population</w:t>
      </w:r>
    </w:p>
    <w:p w14:paraId="52BB6475" w14:textId="03B986E5" w:rsidR="004E1DA8" w:rsidRDefault="00FE0077" w:rsidP="004E1DA8">
      <w:pPr>
        <w:pStyle w:val="Caption"/>
        <w:spacing w:before="120"/>
        <w:ind w:left="709" w:hanging="709"/>
      </w:pPr>
      <w:bookmarkStart w:id="35" w:name="_Ref196067070"/>
      <w:r w:rsidRPr="00D86D87">
        <w:t xml:space="preserve">Table </w:t>
      </w:r>
      <w:r w:rsidR="001C1C72">
        <w:fldChar w:fldCharType="begin"/>
      </w:r>
      <w:r w:rsidR="001C1C72">
        <w:instrText xml:space="preserve"> SEQ Table \* ARABIC </w:instrText>
      </w:r>
      <w:r w:rsidR="001C1C72">
        <w:fldChar w:fldCharType="separate"/>
      </w:r>
      <w:r w:rsidR="005B625A">
        <w:rPr>
          <w:noProof/>
        </w:rPr>
        <w:t>6</w:t>
      </w:r>
      <w:r w:rsidR="001C1C72">
        <w:rPr>
          <w:noProof/>
        </w:rPr>
        <w:fldChar w:fldCharType="end"/>
      </w:r>
      <w:bookmarkEnd w:id="35"/>
      <w:r w:rsidRPr="00D86D87">
        <w:t>:</w:t>
      </w:r>
      <w:r w:rsidRPr="00D86D87">
        <w:rPr>
          <w:rStyle w:val="CommentReference"/>
          <w:b/>
          <w:szCs w:val="24"/>
        </w:rPr>
        <w:t xml:space="preserve"> </w:t>
      </w:r>
      <w:r w:rsidR="004E1DA8">
        <w:t>Summary of the results of the ITC comparing the nonvertebral fractures and clinical fractures in patients receiving abaloparatide for 18 months followed by alendronate for 24 months vs romosozumab for 12 months followed by denosumab for 24 months</w:t>
      </w:r>
    </w:p>
    <w:tbl>
      <w:tblPr>
        <w:tblW w:w="495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6: Summary of the results of the ITC comparing the nonvertebral fractures and clinical fractures in patients receiving abaloparatide for 18 months followed by alendronate for 24 months vs romosozumab for 12 months followed by denosumab for 24 months"/>
      </w:tblPr>
      <w:tblGrid>
        <w:gridCol w:w="2552"/>
        <w:gridCol w:w="1557"/>
        <w:gridCol w:w="1559"/>
        <w:gridCol w:w="1631"/>
        <w:gridCol w:w="1631"/>
      </w:tblGrid>
      <w:tr w:rsidR="002A6DDD" w:rsidRPr="00DC7B06" w14:paraId="45EBDB0C" w14:textId="77777777" w:rsidTr="00690CB2">
        <w:trPr>
          <w:trHeight w:val="284"/>
        </w:trPr>
        <w:tc>
          <w:tcPr>
            <w:tcW w:w="1429" w:type="pct"/>
            <w:vAlign w:val="center"/>
          </w:tcPr>
          <w:p w14:paraId="305214AF" w14:textId="77777777" w:rsidR="002A6DDD" w:rsidRPr="008524C7" w:rsidRDefault="002A6DDD" w:rsidP="00EA68BB">
            <w:pPr>
              <w:keepNext/>
              <w:keepLines/>
              <w:jc w:val="center"/>
              <w:rPr>
                <w:rFonts w:ascii="Arial Narrow" w:eastAsiaTheme="majorEastAsia" w:hAnsi="Arial Narrow" w:cs="Times New Roman"/>
                <w:b/>
                <w:iCs/>
                <w:sz w:val="20"/>
                <w:szCs w:val="20"/>
              </w:rPr>
            </w:pPr>
            <w:r w:rsidRPr="008524C7">
              <w:rPr>
                <w:rFonts w:ascii="Arial Narrow" w:eastAsiaTheme="majorEastAsia" w:hAnsi="Arial Narrow" w:cs="Times New Roman"/>
                <w:b/>
                <w:iCs/>
                <w:sz w:val="20"/>
                <w:szCs w:val="20"/>
              </w:rPr>
              <w:t>Trial</w:t>
            </w:r>
          </w:p>
        </w:tc>
        <w:tc>
          <w:tcPr>
            <w:tcW w:w="1745" w:type="pct"/>
            <w:gridSpan w:val="2"/>
            <w:vAlign w:val="center"/>
          </w:tcPr>
          <w:p w14:paraId="57F04701" w14:textId="10631C88" w:rsidR="002A6DDD" w:rsidRPr="008524C7" w:rsidRDefault="002A6DDD" w:rsidP="00EA68BB">
            <w:pPr>
              <w:keepNext/>
              <w:keepLines/>
              <w:jc w:val="center"/>
              <w:rPr>
                <w:rFonts w:ascii="Arial Narrow" w:hAnsi="Arial Narrow"/>
                <w:b/>
                <w:sz w:val="20"/>
                <w:szCs w:val="20"/>
              </w:rPr>
            </w:pPr>
            <w:r>
              <w:rPr>
                <w:rFonts w:ascii="Arial Narrow" w:hAnsi="Arial Narrow"/>
                <w:b/>
                <w:sz w:val="20"/>
                <w:szCs w:val="20"/>
              </w:rPr>
              <w:t>ACTIVE</w:t>
            </w:r>
            <w:r w:rsidR="00A80300">
              <w:rPr>
                <w:rFonts w:ascii="Arial Narrow" w:hAnsi="Arial Narrow"/>
                <w:b/>
                <w:sz w:val="20"/>
                <w:szCs w:val="20"/>
              </w:rPr>
              <w:t xml:space="preserve"> (18 months)</w:t>
            </w:r>
            <w:r w:rsidR="00A80300" w:rsidRPr="00A80300">
              <w:rPr>
                <w:rFonts w:ascii="Arial Narrow" w:hAnsi="Arial Narrow"/>
                <w:b/>
                <w:sz w:val="20"/>
                <w:szCs w:val="20"/>
                <w:vertAlign w:val="superscript"/>
              </w:rPr>
              <w:t>a</w:t>
            </w:r>
          </w:p>
        </w:tc>
        <w:tc>
          <w:tcPr>
            <w:tcW w:w="1826" w:type="pct"/>
            <w:gridSpan w:val="2"/>
            <w:vAlign w:val="center"/>
          </w:tcPr>
          <w:p w14:paraId="37E0CB81" w14:textId="6FF368E6" w:rsidR="002A6DDD" w:rsidRPr="008524C7" w:rsidRDefault="002A6DDD" w:rsidP="00EA68BB">
            <w:pPr>
              <w:keepNext/>
              <w:keepLines/>
              <w:jc w:val="center"/>
              <w:rPr>
                <w:rFonts w:ascii="Arial Narrow" w:hAnsi="Arial Narrow"/>
                <w:b/>
                <w:sz w:val="20"/>
                <w:szCs w:val="20"/>
              </w:rPr>
            </w:pPr>
            <w:r>
              <w:rPr>
                <w:rFonts w:ascii="Arial Narrow" w:hAnsi="Arial Narrow"/>
                <w:b/>
                <w:sz w:val="20"/>
                <w:szCs w:val="20"/>
              </w:rPr>
              <w:t>FRAME</w:t>
            </w:r>
            <w:r w:rsidR="00A80300">
              <w:rPr>
                <w:rFonts w:ascii="Arial Narrow" w:hAnsi="Arial Narrow"/>
                <w:b/>
                <w:sz w:val="20"/>
                <w:szCs w:val="20"/>
              </w:rPr>
              <w:t xml:space="preserve"> (12 months)</w:t>
            </w:r>
          </w:p>
        </w:tc>
      </w:tr>
      <w:tr w:rsidR="00CB10FC" w:rsidRPr="00DC7B06" w14:paraId="547916D4" w14:textId="77777777" w:rsidTr="00690CB2">
        <w:trPr>
          <w:trHeight w:val="284"/>
        </w:trPr>
        <w:tc>
          <w:tcPr>
            <w:tcW w:w="5000" w:type="pct"/>
            <w:gridSpan w:val="5"/>
            <w:vAlign w:val="center"/>
          </w:tcPr>
          <w:p w14:paraId="49F198A0" w14:textId="7AD375BD" w:rsidR="00CB10FC" w:rsidRPr="00C62B50" w:rsidRDefault="00CB10FC" w:rsidP="00EA68BB">
            <w:pPr>
              <w:keepNext/>
              <w:keepLines/>
              <w:jc w:val="left"/>
              <w:rPr>
                <w:rFonts w:ascii="Arial Narrow" w:hAnsi="Arial Narrow"/>
                <w:b/>
                <w:sz w:val="20"/>
                <w:szCs w:val="20"/>
              </w:rPr>
            </w:pPr>
            <w:r w:rsidRPr="00C62B50">
              <w:rPr>
                <w:rFonts w:ascii="Arial Narrow" w:eastAsiaTheme="majorEastAsia" w:hAnsi="Arial Narrow" w:cs="Times New Roman"/>
                <w:b/>
                <w:iCs/>
                <w:sz w:val="20"/>
                <w:szCs w:val="20"/>
              </w:rPr>
              <w:t>Nonvertebral fractures</w:t>
            </w:r>
          </w:p>
        </w:tc>
      </w:tr>
      <w:tr w:rsidR="00C9056B" w:rsidRPr="00DC7B06" w14:paraId="6854985D" w14:textId="77777777" w:rsidTr="00690CB2">
        <w:trPr>
          <w:trHeight w:val="284"/>
        </w:trPr>
        <w:tc>
          <w:tcPr>
            <w:tcW w:w="1429" w:type="pct"/>
            <w:vAlign w:val="center"/>
          </w:tcPr>
          <w:p w14:paraId="043F2445" w14:textId="77777777" w:rsidR="00C9056B" w:rsidRPr="00022B63" w:rsidRDefault="00C9056B" w:rsidP="00EA68BB">
            <w:pPr>
              <w:keepNext/>
              <w:keepLines/>
              <w:jc w:val="left"/>
              <w:rPr>
                <w:rFonts w:ascii="Arial Narrow" w:eastAsiaTheme="majorEastAsia" w:hAnsi="Arial Narrow" w:cs="Times New Roman"/>
                <w:b/>
                <w:iCs/>
                <w:sz w:val="20"/>
                <w:szCs w:val="20"/>
              </w:rPr>
            </w:pPr>
            <w:r w:rsidRPr="00022B63">
              <w:rPr>
                <w:rFonts w:ascii="Arial Narrow" w:eastAsiaTheme="majorEastAsia" w:hAnsi="Arial Narrow" w:cs="Times New Roman"/>
                <w:b/>
                <w:iCs/>
                <w:sz w:val="20"/>
                <w:szCs w:val="20"/>
              </w:rPr>
              <w:t>Treatment/statistics</w:t>
            </w:r>
          </w:p>
        </w:tc>
        <w:tc>
          <w:tcPr>
            <w:tcW w:w="872" w:type="pct"/>
            <w:vAlign w:val="center"/>
          </w:tcPr>
          <w:p w14:paraId="4E4ECAA1" w14:textId="77777777" w:rsidR="00C9056B" w:rsidRPr="001E2DEC" w:rsidRDefault="00C9056B" w:rsidP="00EA68BB">
            <w:pPr>
              <w:keepNext/>
              <w:keepLines/>
              <w:jc w:val="center"/>
              <w:rPr>
                <w:rFonts w:ascii="Arial Narrow" w:hAnsi="Arial Narrow"/>
                <w:b/>
                <w:bCs/>
                <w:sz w:val="20"/>
                <w:szCs w:val="20"/>
              </w:rPr>
            </w:pPr>
            <w:r w:rsidRPr="001E2DEC">
              <w:rPr>
                <w:rFonts w:ascii="Arial Narrow" w:hAnsi="Arial Narrow"/>
                <w:b/>
                <w:bCs/>
                <w:sz w:val="20"/>
                <w:szCs w:val="20"/>
              </w:rPr>
              <w:t xml:space="preserve">Abaloparatide </w:t>
            </w:r>
          </w:p>
        </w:tc>
        <w:tc>
          <w:tcPr>
            <w:tcW w:w="873" w:type="pct"/>
            <w:vAlign w:val="center"/>
          </w:tcPr>
          <w:p w14:paraId="2B9F7DA1" w14:textId="49266EC9" w:rsidR="00C9056B" w:rsidRPr="001E2DEC" w:rsidRDefault="00C9056B" w:rsidP="00EA68BB">
            <w:pPr>
              <w:keepNext/>
              <w:keepLines/>
              <w:jc w:val="center"/>
              <w:rPr>
                <w:rFonts w:ascii="Arial Narrow" w:hAnsi="Arial Narrow"/>
                <w:b/>
                <w:bCs/>
                <w:sz w:val="20"/>
                <w:szCs w:val="20"/>
              </w:rPr>
            </w:pPr>
            <w:r>
              <w:rPr>
                <w:rFonts w:ascii="Arial Narrow" w:hAnsi="Arial Narrow"/>
                <w:b/>
                <w:bCs/>
                <w:sz w:val="20"/>
                <w:szCs w:val="20"/>
              </w:rPr>
              <w:t>Placebo</w:t>
            </w:r>
          </w:p>
        </w:tc>
        <w:tc>
          <w:tcPr>
            <w:tcW w:w="913" w:type="pct"/>
            <w:vAlign w:val="center"/>
          </w:tcPr>
          <w:p w14:paraId="3F8E052C" w14:textId="77777777" w:rsidR="00C9056B" w:rsidRPr="001E2DEC" w:rsidRDefault="00C9056B" w:rsidP="00EA68BB">
            <w:pPr>
              <w:keepNext/>
              <w:keepLines/>
              <w:jc w:val="center"/>
              <w:rPr>
                <w:rFonts w:ascii="Arial Narrow" w:hAnsi="Arial Narrow"/>
                <w:b/>
                <w:bCs/>
                <w:sz w:val="20"/>
                <w:szCs w:val="20"/>
              </w:rPr>
            </w:pPr>
            <w:r w:rsidRPr="001E2DEC">
              <w:rPr>
                <w:rFonts w:ascii="Arial Narrow" w:hAnsi="Arial Narrow"/>
                <w:b/>
                <w:bCs/>
                <w:sz w:val="20"/>
                <w:szCs w:val="20"/>
              </w:rPr>
              <w:t xml:space="preserve">Romosozumab </w:t>
            </w:r>
          </w:p>
        </w:tc>
        <w:tc>
          <w:tcPr>
            <w:tcW w:w="913" w:type="pct"/>
            <w:vAlign w:val="center"/>
          </w:tcPr>
          <w:p w14:paraId="343820F1" w14:textId="3F5395BD" w:rsidR="00C9056B" w:rsidRPr="001E2DEC" w:rsidRDefault="00C9056B" w:rsidP="00EA68BB">
            <w:pPr>
              <w:keepNext/>
              <w:keepLines/>
              <w:jc w:val="center"/>
              <w:rPr>
                <w:rFonts w:ascii="Arial Narrow" w:hAnsi="Arial Narrow"/>
                <w:b/>
                <w:bCs/>
                <w:sz w:val="20"/>
                <w:szCs w:val="20"/>
              </w:rPr>
            </w:pPr>
            <w:r>
              <w:rPr>
                <w:rFonts w:ascii="Arial Narrow" w:hAnsi="Arial Narrow"/>
                <w:b/>
                <w:bCs/>
                <w:sz w:val="20"/>
                <w:szCs w:val="20"/>
              </w:rPr>
              <w:t>Placebo</w:t>
            </w:r>
          </w:p>
        </w:tc>
      </w:tr>
      <w:tr w:rsidR="00C9056B" w:rsidRPr="00DC7B06" w14:paraId="3763EEFD" w14:textId="77777777" w:rsidTr="00690CB2">
        <w:trPr>
          <w:trHeight w:val="284"/>
        </w:trPr>
        <w:tc>
          <w:tcPr>
            <w:tcW w:w="1429" w:type="pct"/>
            <w:vAlign w:val="center"/>
          </w:tcPr>
          <w:p w14:paraId="1A87E481" w14:textId="0F906DCD" w:rsidR="00C9056B" w:rsidRPr="00C9056B" w:rsidRDefault="00CB10FC" w:rsidP="00EA68BB">
            <w:pPr>
              <w:keepNext/>
              <w:keepLines/>
              <w:ind w:left="322"/>
              <w:jc w:val="left"/>
              <w:rPr>
                <w:rFonts w:ascii="Arial Narrow" w:eastAsiaTheme="majorEastAsia" w:hAnsi="Arial Narrow" w:cs="Times New Roman"/>
                <w:bCs/>
                <w:iCs/>
                <w:sz w:val="20"/>
                <w:szCs w:val="20"/>
              </w:rPr>
            </w:pPr>
            <w:r>
              <w:rPr>
                <w:rFonts w:ascii="Arial Narrow" w:eastAsiaTheme="majorEastAsia" w:hAnsi="Arial Narrow" w:cs="Times New Roman"/>
                <w:bCs/>
                <w:iCs/>
                <w:sz w:val="20"/>
                <w:szCs w:val="20"/>
              </w:rPr>
              <w:t>n/</w:t>
            </w:r>
            <w:r w:rsidR="00C9056B" w:rsidRPr="00C9056B">
              <w:rPr>
                <w:rFonts w:ascii="Arial Narrow" w:eastAsiaTheme="majorEastAsia" w:hAnsi="Arial Narrow" w:cs="Times New Roman"/>
                <w:bCs/>
                <w:iCs/>
                <w:sz w:val="20"/>
                <w:szCs w:val="20"/>
              </w:rPr>
              <w:t>N</w:t>
            </w:r>
            <w:r>
              <w:rPr>
                <w:rFonts w:ascii="Arial Narrow" w:eastAsiaTheme="majorEastAsia" w:hAnsi="Arial Narrow" w:cs="Times New Roman"/>
                <w:bCs/>
                <w:iCs/>
                <w:sz w:val="20"/>
                <w:szCs w:val="20"/>
              </w:rPr>
              <w:t xml:space="preserve"> (%)</w:t>
            </w:r>
            <w:r w:rsidR="00C9056B" w:rsidRPr="00C9056B">
              <w:rPr>
                <w:rFonts w:ascii="Arial Narrow" w:eastAsiaTheme="majorEastAsia" w:hAnsi="Arial Narrow" w:cs="Times New Roman"/>
                <w:bCs/>
                <w:iCs/>
                <w:sz w:val="20"/>
                <w:szCs w:val="20"/>
              </w:rPr>
              <w:t xml:space="preserve"> </w:t>
            </w:r>
          </w:p>
        </w:tc>
        <w:tc>
          <w:tcPr>
            <w:tcW w:w="872" w:type="pct"/>
            <w:vAlign w:val="center"/>
          </w:tcPr>
          <w:p w14:paraId="6A55F48A" w14:textId="00123D36" w:rsidR="00C9056B" w:rsidRPr="00C9056B" w:rsidRDefault="00CB10FC" w:rsidP="00EA68BB">
            <w:pPr>
              <w:keepNext/>
              <w:keepLines/>
              <w:jc w:val="center"/>
              <w:rPr>
                <w:rFonts w:ascii="Arial Narrow" w:hAnsi="Arial Narrow"/>
                <w:bCs/>
                <w:sz w:val="20"/>
                <w:szCs w:val="20"/>
              </w:rPr>
            </w:pPr>
            <w:r>
              <w:rPr>
                <w:rFonts w:ascii="Arial Narrow" w:hAnsi="Arial Narrow"/>
                <w:bCs/>
                <w:sz w:val="20"/>
                <w:szCs w:val="20"/>
              </w:rPr>
              <w:t>15/</w:t>
            </w:r>
            <w:r w:rsidR="00C9056B" w:rsidRPr="00C9056B">
              <w:rPr>
                <w:rFonts w:ascii="Arial Narrow" w:hAnsi="Arial Narrow"/>
                <w:bCs/>
                <w:sz w:val="20"/>
                <w:szCs w:val="20"/>
              </w:rPr>
              <w:t>696</w:t>
            </w:r>
            <w:r>
              <w:rPr>
                <w:rFonts w:ascii="Arial Narrow" w:hAnsi="Arial Narrow"/>
                <w:bCs/>
                <w:sz w:val="20"/>
                <w:szCs w:val="20"/>
              </w:rPr>
              <w:t xml:space="preserve"> (2.16)</w:t>
            </w:r>
          </w:p>
        </w:tc>
        <w:tc>
          <w:tcPr>
            <w:tcW w:w="873" w:type="pct"/>
            <w:vAlign w:val="center"/>
          </w:tcPr>
          <w:p w14:paraId="7E933D80" w14:textId="3B83EC07" w:rsidR="00C9056B" w:rsidRPr="00C9056B" w:rsidRDefault="00CB10FC" w:rsidP="00EA68BB">
            <w:pPr>
              <w:keepNext/>
              <w:keepLines/>
              <w:jc w:val="center"/>
              <w:rPr>
                <w:rFonts w:ascii="Arial Narrow" w:hAnsi="Arial Narrow"/>
                <w:bCs/>
                <w:sz w:val="20"/>
                <w:szCs w:val="20"/>
              </w:rPr>
            </w:pPr>
            <w:r>
              <w:rPr>
                <w:rFonts w:ascii="Arial Narrow" w:hAnsi="Arial Narrow"/>
                <w:bCs/>
                <w:sz w:val="20"/>
                <w:szCs w:val="20"/>
              </w:rPr>
              <w:t>21/688 (3.05)</w:t>
            </w:r>
          </w:p>
        </w:tc>
        <w:tc>
          <w:tcPr>
            <w:tcW w:w="913" w:type="pct"/>
            <w:vAlign w:val="center"/>
          </w:tcPr>
          <w:p w14:paraId="71AB62DD" w14:textId="4C52C110" w:rsidR="00C9056B" w:rsidRPr="00C9056B" w:rsidRDefault="00CB10FC" w:rsidP="00EA68BB">
            <w:pPr>
              <w:keepNext/>
              <w:keepLines/>
              <w:jc w:val="center"/>
              <w:rPr>
                <w:rFonts w:ascii="Arial Narrow" w:hAnsi="Arial Narrow"/>
                <w:bCs/>
                <w:sz w:val="20"/>
                <w:szCs w:val="20"/>
              </w:rPr>
            </w:pPr>
            <w:r>
              <w:rPr>
                <w:rFonts w:ascii="Arial Narrow" w:hAnsi="Arial Narrow"/>
                <w:bCs/>
                <w:sz w:val="20"/>
                <w:szCs w:val="20"/>
              </w:rPr>
              <w:t>56/</w:t>
            </w:r>
            <w:r w:rsidR="00C9056B">
              <w:rPr>
                <w:rFonts w:ascii="Arial Narrow" w:hAnsi="Arial Narrow"/>
                <w:bCs/>
                <w:sz w:val="20"/>
                <w:szCs w:val="20"/>
              </w:rPr>
              <w:t>3,589</w:t>
            </w:r>
            <w:r>
              <w:rPr>
                <w:rFonts w:ascii="Arial Narrow" w:hAnsi="Arial Narrow"/>
                <w:bCs/>
                <w:sz w:val="20"/>
                <w:szCs w:val="20"/>
              </w:rPr>
              <w:t xml:space="preserve"> (1.56)</w:t>
            </w:r>
          </w:p>
        </w:tc>
        <w:tc>
          <w:tcPr>
            <w:tcW w:w="913" w:type="pct"/>
            <w:vAlign w:val="center"/>
          </w:tcPr>
          <w:p w14:paraId="56FCB2CB" w14:textId="2C1D5968" w:rsidR="00C9056B" w:rsidRPr="00C9056B" w:rsidRDefault="00CB10FC" w:rsidP="00EA68BB">
            <w:pPr>
              <w:keepNext/>
              <w:keepLines/>
              <w:jc w:val="center"/>
              <w:rPr>
                <w:rFonts w:ascii="Arial Narrow" w:hAnsi="Arial Narrow"/>
                <w:bCs/>
                <w:sz w:val="20"/>
                <w:szCs w:val="20"/>
              </w:rPr>
            </w:pPr>
            <w:r>
              <w:rPr>
                <w:rFonts w:ascii="Arial Narrow" w:hAnsi="Arial Narrow"/>
                <w:bCs/>
                <w:sz w:val="20"/>
                <w:szCs w:val="20"/>
              </w:rPr>
              <w:t>75/3,591 (2.09)</w:t>
            </w:r>
          </w:p>
        </w:tc>
      </w:tr>
      <w:tr w:rsidR="002A6DDD" w:rsidRPr="00B5356E" w14:paraId="7BC502AE" w14:textId="77777777" w:rsidTr="00690CB2">
        <w:trPr>
          <w:trHeight w:val="284"/>
        </w:trPr>
        <w:tc>
          <w:tcPr>
            <w:tcW w:w="1429" w:type="pct"/>
            <w:vAlign w:val="center"/>
          </w:tcPr>
          <w:p w14:paraId="120CCA55" w14:textId="77777777" w:rsidR="00D42509" w:rsidRDefault="002A6DDD" w:rsidP="00EA68BB">
            <w:pPr>
              <w:keepNext/>
              <w:keepLines/>
              <w:ind w:left="314"/>
              <w:jc w:val="left"/>
              <w:rPr>
                <w:rFonts w:ascii="Arial Narrow" w:eastAsiaTheme="majorEastAsia" w:hAnsi="Arial Narrow" w:cs="Times New Roman"/>
                <w:bCs/>
                <w:iCs/>
                <w:sz w:val="20"/>
                <w:szCs w:val="20"/>
                <w:lang w:val="en-US"/>
              </w:rPr>
            </w:pPr>
            <w:r>
              <w:rPr>
                <w:rFonts w:ascii="Arial Narrow" w:eastAsiaTheme="majorEastAsia" w:hAnsi="Arial Narrow" w:cs="Times New Roman"/>
                <w:bCs/>
                <w:iCs/>
                <w:sz w:val="20"/>
                <w:szCs w:val="20"/>
                <w:lang w:val="en-US"/>
              </w:rPr>
              <w:t>Hazard ratio</w:t>
            </w:r>
            <w:r w:rsidRPr="008E12EE">
              <w:rPr>
                <w:rFonts w:ascii="Arial Narrow" w:eastAsiaTheme="majorEastAsia" w:hAnsi="Arial Narrow" w:cs="Times New Roman"/>
                <w:bCs/>
                <w:iCs/>
                <w:sz w:val="20"/>
                <w:szCs w:val="20"/>
                <w:vertAlign w:val="superscript"/>
                <w:lang w:val="en-US"/>
              </w:rPr>
              <w:t>b</w:t>
            </w:r>
            <w:r>
              <w:rPr>
                <w:rFonts w:ascii="Arial Narrow" w:eastAsiaTheme="majorEastAsia" w:hAnsi="Arial Narrow" w:cs="Times New Roman"/>
                <w:bCs/>
                <w:iCs/>
                <w:sz w:val="20"/>
                <w:szCs w:val="20"/>
                <w:lang w:val="en-US"/>
              </w:rPr>
              <w:t xml:space="preserve"> </w:t>
            </w:r>
          </w:p>
          <w:p w14:paraId="09643C9D" w14:textId="7BF9D227" w:rsidR="002A6DDD" w:rsidRPr="00A15CDF" w:rsidRDefault="002A6DDD" w:rsidP="00EA68BB">
            <w:pPr>
              <w:keepNext/>
              <w:keepLines/>
              <w:ind w:left="314"/>
              <w:jc w:val="left"/>
              <w:rPr>
                <w:rFonts w:ascii="Arial Narrow" w:eastAsiaTheme="majorEastAsia" w:hAnsi="Arial Narrow" w:cs="Times New Roman"/>
                <w:bCs/>
                <w:iCs/>
                <w:sz w:val="20"/>
                <w:szCs w:val="20"/>
                <w:lang w:val="en-US"/>
              </w:rPr>
            </w:pPr>
            <w:r>
              <w:rPr>
                <w:rFonts w:ascii="Arial Narrow" w:eastAsiaTheme="majorEastAsia" w:hAnsi="Arial Narrow" w:cs="Times New Roman"/>
                <w:bCs/>
                <w:iCs/>
                <w:sz w:val="20"/>
                <w:szCs w:val="20"/>
                <w:lang w:val="en-US"/>
              </w:rPr>
              <w:t>(95% CI</w:t>
            </w:r>
            <w:r w:rsidR="00204A46">
              <w:rPr>
                <w:rFonts w:ascii="Arial Narrow" w:eastAsiaTheme="majorEastAsia" w:hAnsi="Arial Narrow" w:cs="Times New Roman"/>
                <w:bCs/>
                <w:iCs/>
                <w:sz w:val="20"/>
                <w:szCs w:val="20"/>
                <w:lang w:val="en-US"/>
              </w:rPr>
              <w:t>)</w:t>
            </w:r>
            <w:r w:rsidR="00334BAD">
              <w:rPr>
                <w:rFonts w:ascii="Arial Narrow" w:eastAsiaTheme="majorEastAsia" w:hAnsi="Arial Narrow" w:cs="Times New Roman"/>
                <w:bCs/>
                <w:iCs/>
                <w:sz w:val="20"/>
                <w:szCs w:val="20"/>
                <w:lang w:val="en-US"/>
              </w:rPr>
              <w:t>;</w:t>
            </w:r>
            <w:r w:rsidR="00D42509">
              <w:rPr>
                <w:rFonts w:ascii="Arial Narrow" w:eastAsiaTheme="majorEastAsia" w:hAnsi="Arial Narrow" w:cs="Times New Roman"/>
                <w:bCs/>
                <w:iCs/>
                <w:sz w:val="20"/>
                <w:szCs w:val="20"/>
                <w:lang w:val="en-US"/>
              </w:rPr>
              <w:t xml:space="preserve"> </w:t>
            </w:r>
            <w:r w:rsidR="00D42509" w:rsidRPr="00A15CDF">
              <w:rPr>
                <w:rFonts w:ascii="Arial Narrow" w:eastAsiaTheme="majorEastAsia" w:hAnsi="Arial Narrow" w:cs="Times New Roman"/>
                <w:bCs/>
                <w:iCs/>
                <w:sz w:val="20"/>
                <w:szCs w:val="20"/>
                <w:lang w:val="en-US"/>
              </w:rPr>
              <w:t>p-value</w:t>
            </w:r>
          </w:p>
        </w:tc>
        <w:tc>
          <w:tcPr>
            <w:tcW w:w="3571" w:type="pct"/>
            <w:gridSpan w:val="4"/>
            <w:vAlign w:val="center"/>
          </w:tcPr>
          <w:p w14:paraId="657605AF" w14:textId="33D71561" w:rsidR="002A6DDD" w:rsidRPr="00A15CDF" w:rsidRDefault="002A6DDD" w:rsidP="00EA68BB">
            <w:pPr>
              <w:keepNext/>
              <w:keepLines/>
              <w:jc w:val="center"/>
              <w:rPr>
                <w:rFonts w:ascii="Arial Narrow" w:eastAsiaTheme="majorEastAsia" w:hAnsi="Arial Narrow" w:cs="Times New Roman"/>
                <w:bCs/>
                <w:iCs/>
                <w:sz w:val="20"/>
                <w:szCs w:val="20"/>
                <w:lang w:val="en-US"/>
              </w:rPr>
            </w:pPr>
            <w:r w:rsidRPr="008E12EE">
              <w:rPr>
                <w:rFonts w:ascii="Arial Narrow" w:eastAsiaTheme="majorEastAsia" w:hAnsi="Arial Narrow" w:cs="Times New Roman"/>
                <w:bCs/>
                <w:iCs/>
                <w:sz w:val="20"/>
                <w:szCs w:val="20"/>
              </w:rPr>
              <w:t xml:space="preserve">0.99 </w:t>
            </w:r>
            <w:r>
              <w:rPr>
                <w:rFonts w:ascii="Arial Narrow" w:eastAsiaTheme="majorEastAsia" w:hAnsi="Arial Narrow" w:cs="Times New Roman"/>
                <w:bCs/>
                <w:iCs/>
                <w:sz w:val="20"/>
                <w:szCs w:val="20"/>
              </w:rPr>
              <w:t>(</w:t>
            </w:r>
            <w:r w:rsidRPr="008E12EE">
              <w:rPr>
                <w:rFonts w:ascii="Arial Narrow" w:eastAsiaTheme="majorEastAsia" w:hAnsi="Arial Narrow" w:cs="Times New Roman"/>
                <w:bCs/>
                <w:iCs/>
                <w:sz w:val="20"/>
                <w:szCs w:val="20"/>
              </w:rPr>
              <w:t>0.72, 1.37</w:t>
            </w:r>
            <w:r w:rsidR="00204A46">
              <w:rPr>
                <w:rFonts w:ascii="Arial Narrow" w:eastAsiaTheme="majorEastAsia" w:hAnsi="Arial Narrow" w:cs="Times New Roman"/>
                <w:bCs/>
                <w:iCs/>
                <w:sz w:val="20"/>
                <w:szCs w:val="20"/>
              </w:rPr>
              <w:t>)</w:t>
            </w:r>
            <w:r w:rsidR="00334BAD">
              <w:rPr>
                <w:rFonts w:ascii="Arial Narrow" w:eastAsiaTheme="majorEastAsia" w:hAnsi="Arial Narrow" w:cs="Times New Roman"/>
                <w:bCs/>
                <w:iCs/>
                <w:sz w:val="20"/>
                <w:szCs w:val="20"/>
              </w:rPr>
              <w:t>;</w:t>
            </w:r>
            <w:r w:rsidR="00D42509">
              <w:rPr>
                <w:rFonts w:ascii="Arial Narrow" w:eastAsiaTheme="majorEastAsia" w:hAnsi="Arial Narrow" w:cs="Times New Roman"/>
                <w:bCs/>
                <w:iCs/>
                <w:sz w:val="20"/>
                <w:szCs w:val="20"/>
              </w:rPr>
              <w:t xml:space="preserve"> </w:t>
            </w:r>
            <w:r w:rsidR="00204A46">
              <w:rPr>
                <w:rFonts w:ascii="Arial Narrow" w:eastAsiaTheme="majorEastAsia" w:hAnsi="Arial Narrow" w:cs="Times New Roman"/>
                <w:bCs/>
                <w:iCs/>
                <w:sz w:val="20"/>
                <w:szCs w:val="20"/>
              </w:rPr>
              <w:t xml:space="preserve">p = </w:t>
            </w:r>
            <w:r w:rsidR="00D42509" w:rsidRPr="008E12EE">
              <w:rPr>
                <w:rFonts w:ascii="Arial Narrow" w:eastAsiaTheme="majorEastAsia" w:hAnsi="Arial Narrow" w:cs="Times New Roman"/>
                <w:bCs/>
                <w:iCs/>
                <w:sz w:val="20"/>
                <w:szCs w:val="20"/>
              </w:rPr>
              <w:t>0.972</w:t>
            </w:r>
          </w:p>
        </w:tc>
      </w:tr>
      <w:tr w:rsidR="002A6DDD" w:rsidRPr="00B5356E" w14:paraId="7C6779BE" w14:textId="77777777" w:rsidTr="00690CB2">
        <w:trPr>
          <w:trHeight w:val="284"/>
        </w:trPr>
        <w:tc>
          <w:tcPr>
            <w:tcW w:w="5000" w:type="pct"/>
            <w:gridSpan w:val="5"/>
          </w:tcPr>
          <w:p w14:paraId="689A2417" w14:textId="77777777" w:rsidR="002A6DDD" w:rsidRPr="00C62B50" w:rsidRDefault="002A6DDD" w:rsidP="00EA68BB">
            <w:pPr>
              <w:keepNext/>
              <w:widowControl w:val="0"/>
              <w:jc w:val="left"/>
              <w:rPr>
                <w:rFonts w:ascii="Arial Narrow" w:eastAsiaTheme="majorEastAsia" w:hAnsi="Arial Narrow" w:cstheme="majorBidi"/>
                <w:b/>
                <w:sz w:val="20"/>
                <w:szCs w:val="20"/>
              </w:rPr>
            </w:pPr>
            <w:r w:rsidRPr="00C62B50">
              <w:rPr>
                <w:rFonts w:ascii="Arial Narrow" w:eastAsiaTheme="majorEastAsia" w:hAnsi="Arial Narrow" w:cs="Times New Roman"/>
                <w:b/>
                <w:iCs/>
                <w:sz w:val="20"/>
                <w:szCs w:val="20"/>
                <w:lang w:val="en-US"/>
              </w:rPr>
              <w:t>Clinical fractures</w:t>
            </w:r>
          </w:p>
        </w:tc>
      </w:tr>
      <w:tr w:rsidR="00CB10FC" w:rsidRPr="00B5356E" w14:paraId="3CFDD887" w14:textId="77777777" w:rsidTr="00690CB2">
        <w:trPr>
          <w:trHeight w:val="284"/>
        </w:trPr>
        <w:tc>
          <w:tcPr>
            <w:tcW w:w="1429" w:type="pct"/>
          </w:tcPr>
          <w:p w14:paraId="28B67ABE" w14:textId="469C59CF" w:rsidR="00CB10FC" w:rsidRDefault="00CB10FC" w:rsidP="00EA68BB">
            <w:pPr>
              <w:keepNext/>
              <w:widowControl w:val="0"/>
              <w:ind w:left="314"/>
              <w:jc w:val="left"/>
              <w:rPr>
                <w:rFonts w:ascii="Arial Narrow" w:eastAsiaTheme="majorEastAsia" w:hAnsi="Arial Narrow" w:cs="Times New Roman"/>
                <w:bCs/>
                <w:iCs/>
                <w:sz w:val="20"/>
                <w:szCs w:val="20"/>
                <w:lang w:val="en-US"/>
              </w:rPr>
            </w:pPr>
            <w:r w:rsidRPr="00A15CDF">
              <w:rPr>
                <w:rFonts w:ascii="Arial Narrow" w:eastAsiaTheme="majorEastAsia" w:hAnsi="Arial Narrow" w:cs="Times New Roman"/>
                <w:bCs/>
                <w:iCs/>
                <w:sz w:val="20"/>
                <w:szCs w:val="20"/>
                <w:lang w:val="en-US"/>
              </w:rPr>
              <w:t>n</w:t>
            </w:r>
            <w:r>
              <w:rPr>
                <w:rFonts w:ascii="Arial Narrow" w:eastAsiaTheme="majorEastAsia" w:hAnsi="Arial Narrow" w:cs="Times New Roman"/>
                <w:bCs/>
                <w:iCs/>
                <w:sz w:val="20"/>
                <w:szCs w:val="20"/>
                <w:lang w:val="en-US"/>
              </w:rPr>
              <w:t>/N</w:t>
            </w:r>
            <w:r w:rsidRPr="00A15CDF">
              <w:rPr>
                <w:rFonts w:ascii="Arial Narrow" w:eastAsiaTheme="majorEastAsia" w:hAnsi="Arial Narrow" w:cs="Times New Roman"/>
                <w:bCs/>
                <w:iCs/>
                <w:sz w:val="20"/>
                <w:szCs w:val="20"/>
                <w:lang w:val="en-US"/>
              </w:rPr>
              <w:t xml:space="preserve"> </w:t>
            </w:r>
            <w:r>
              <w:rPr>
                <w:rFonts w:ascii="Arial Narrow" w:eastAsiaTheme="majorEastAsia" w:hAnsi="Arial Narrow" w:cs="Times New Roman"/>
                <w:bCs/>
                <w:iCs/>
                <w:sz w:val="20"/>
                <w:szCs w:val="20"/>
                <w:lang w:val="en-US"/>
              </w:rPr>
              <w:t>(%)</w:t>
            </w:r>
          </w:p>
        </w:tc>
        <w:tc>
          <w:tcPr>
            <w:tcW w:w="872" w:type="pct"/>
          </w:tcPr>
          <w:p w14:paraId="40901A7F" w14:textId="77777777" w:rsidR="00CB10FC" w:rsidRDefault="00CB10FC" w:rsidP="00EA68BB">
            <w:pPr>
              <w:keepNext/>
              <w:widowControl w:val="0"/>
              <w:jc w:val="center"/>
              <w:rPr>
                <w:rFonts w:ascii="Arial Narrow" w:eastAsiaTheme="majorEastAsia" w:hAnsi="Arial Narrow" w:cs="Times New Roman"/>
                <w:bCs/>
                <w:iCs/>
                <w:sz w:val="20"/>
                <w:szCs w:val="20"/>
                <w:lang w:val="en-US"/>
              </w:rPr>
            </w:pPr>
            <w:r>
              <w:rPr>
                <w:rFonts w:ascii="Arial Narrow" w:eastAsiaTheme="majorEastAsia" w:hAnsi="Arial Narrow" w:cs="Times New Roman"/>
                <w:bCs/>
                <w:iCs/>
                <w:sz w:val="20"/>
                <w:szCs w:val="20"/>
                <w:lang w:val="en-US"/>
              </w:rPr>
              <w:t>21/696 (3.02)</w:t>
            </w:r>
          </w:p>
        </w:tc>
        <w:tc>
          <w:tcPr>
            <w:tcW w:w="873" w:type="pct"/>
          </w:tcPr>
          <w:p w14:paraId="7B8F834B" w14:textId="0B142C6B" w:rsidR="00CB10FC" w:rsidRDefault="00CB10FC" w:rsidP="00EA68BB">
            <w:pPr>
              <w:keepNext/>
              <w:widowControl w:val="0"/>
              <w:jc w:val="center"/>
              <w:rPr>
                <w:rFonts w:ascii="Arial Narrow" w:eastAsiaTheme="majorEastAsia" w:hAnsi="Arial Narrow" w:cs="Times New Roman"/>
                <w:bCs/>
                <w:iCs/>
                <w:sz w:val="20"/>
                <w:szCs w:val="20"/>
                <w:lang w:val="en-US"/>
              </w:rPr>
            </w:pPr>
            <w:r>
              <w:rPr>
                <w:rFonts w:ascii="Arial Narrow" w:eastAsiaTheme="majorEastAsia" w:hAnsi="Arial Narrow" w:cs="Times New Roman"/>
                <w:bCs/>
                <w:iCs/>
                <w:sz w:val="20"/>
                <w:szCs w:val="20"/>
                <w:lang w:val="en-US"/>
              </w:rPr>
              <w:t>35/688 (5.09)</w:t>
            </w:r>
          </w:p>
        </w:tc>
        <w:tc>
          <w:tcPr>
            <w:tcW w:w="913" w:type="pct"/>
          </w:tcPr>
          <w:p w14:paraId="75E95D16" w14:textId="37C32BF1" w:rsidR="00CB10FC" w:rsidRDefault="00CB10FC" w:rsidP="00EA68BB">
            <w:pPr>
              <w:keepNext/>
              <w:widowControl w:val="0"/>
              <w:jc w:val="center"/>
              <w:rPr>
                <w:rFonts w:ascii="Arial Narrow" w:eastAsiaTheme="majorEastAsia" w:hAnsi="Arial Narrow" w:cs="Times New Roman"/>
                <w:bCs/>
                <w:iCs/>
                <w:sz w:val="20"/>
                <w:szCs w:val="20"/>
                <w:lang w:val="en-US"/>
              </w:rPr>
            </w:pPr>
            <w:r>
              <w:rPr>
                <w:rFonts w:ascii="Arial Narrow" w:eastAsiaTheme="majorEastAsia" w:hAnsi="Arial Narrow" w:cs="Times New Roman"/>
                <w:bCs/>
                <w:iCs/>
                <w:sz w:val="20"/>
                <w:szCs w:val="20"/>
                <w:lang w:val="en-US"/>
              </w:rPr>
              <w:t>58/3,589 (1.62)</w:t>
            </w:r>
          </w:p>
        </w:tc>
        <w:tc>
          <w:tcPr>
            <w:tcW w:w="913" w:type="pct"/>
          </w:tcPr>
          <w:p w14:paraId="4BACBDE5" w14:textId="4357DF9D" w:rsidR="00CB10FC" w:rsidRDefault="00CB10FC" w:rsidP="00EA68BB">
            <w:pPr>
              <w:keepNext/>
              <w:widowControl w:val="0"/>
              <w:jc w:val="center"/>
              <w:rPr>
                <w:rFonts w:ascii="Arial Narrow" w:eastAsiaTheme="majorEastAsia" w:hAnsi="Arial Narrow" w:cs="Times New Roman"/>
                <w:bCs/>
                <w:iCs/>
                <w:sz w:val="20"/>
                <w:szCs w:val="20"/>
                <w:lang w:val="en-US"/>
              </w:rPr>
            </w:pPr>
            <w:r>
              <w:rPr>
                <w:rFonts w:ascii="Arial Narrow" w:eastAsiaTheme="majorEastAsia" w:hAnsi="Arial Narrow" w:cs="Times New Roman"/>
                <w:bCs/>
                <w:iCs/>
                <w:sz w:val="20"/>
                <w:szCs w:val="20"/>
                <w:lang w:val="en-US"/>
              </w:rPr>
              <w:t>90/3,591 (2.51)</w:t>
            </w:r>
          </w:p>
        </w:tc>
      </w:tr>
      <w:tr w:rsidR="002A6DDD" w:rsidRPr="00B5356E" w14:paraId="3D436BFF" w14:textId="77777777" w:rsidTr="00690CB2">
        <w:trPr>
          <w:trHeight w:val="284"/>
        </w:trPr>
        <w:tc>
          <w:tcPr>
            <w:tcW w:w="1429" w:type="pct"/>
            <w:vAlign w:val="center"/>
          </w:tcPr>
          <w:p w14:paraId="49E318F4" w14:textId="77777777" w:rsidR="00D42509" w:rsidRDefault="002A6DDD" w:rsidP="00EA68BB">
            <w:pPr>
              <w:keepNext/>
              <w:widowControl w:val="0"/>
              <w:ind w:left="314"/>
              <w:jc w:val="left"/>
              <w:rPr>
                <w:rFonts w:ascii="Arial Narrow" w:eastAsiaTheme="majorEastAsia" w:hAnsi="Arial Narrow" w:cs="Times New Roman"/>
                <w:bCs/>
                <w:iCs/>
                <w:sz w:val="20"/>
                <w:szCs w:val="20"/>
                <w:lang w:val="en-US"/>
              </w:rPr>
            </w:pPr>
            <w:r>
              <w:rPr>
                <w:rFonts w:ascii="Arial Narrow" w:eastAsiaTheme="majorEastAsia" w:hAnsi="Arial Narrow" w:cs="Times New Roman"/>
                <w:bCs/>
                <w:iCs/>
                <w:sz w:val="20"/>
                <w:szCs w:val="20"/>
                <w:lang w:val="en-US"/>
              </w:rPr>
              <w:t>Hazard ratio</w:t>
            </w:r>
            <w:r w:rsidRPr="008E12EE">
              <w:rPr>
                <w:rFonts w:ascii="Arial Narrow" w:eastAsiaTheme="majorEastAsia" w:hAnsi="Arial Narrow" w:cs="Times New Roman"/>
                <w:bCs/>
                <w:iCs/>
                <w:sz w:val="20"/>
                <w:szCs w:val="20"/>
                <w:vertAlign w:val="superscript"/>
                <w:lang w:val="en-US"/>
              </w:rPr>
              <w:t>b</w:t>
            </w:r>
            <w:r>
              <w:rPr>
                <w:rFonts w:ascii="Arial Narrow" w:eastAsiaTheme="majorEastAsia" w:hAnsi="Arial Narrow" w:cs="Times New Roman"/>
                <w:bCs/>
                <w:iCs/>
                <w:sz w:val="20"/>
                <w:szCs w:val="20"/>
                <w:lang w:val="en-US"/>
              </w:rPr>
              <w:t xml:space="preserve"> </w:t>
            </w:r>
          </w:p>
          <w:p w14:paraId="716880D1" w14:textId="7D973717" w:rsidR="002A6DDD" w:rsidRDefault="002A6DDD" w:rsidP="00EA68BB">
            <w:pPr>
              <w:keepNext/>
              <w:widowControl w:val="0"/>
              <w:ind w:left="314"/>
              <w:jc w:val="left"/>
              <w:rPr>
                <w:rFonts w:ascii="Arial Narrow" w:eastAsiaTheme="majorEastAsia" w:hAnsi="Arial Narrow" w:cs="Times New Roman"/>
                <w:bCs/>
                <w:iCs/>
                <w:sz w:val="20"/>
                <w:szCs w:val="20"/>
                <w:lang w:val="en-US"/>
              </w:rPr>
            </w:pPr>
            <w:r>
              <w:rPr>
                <w:rFonts w:ascii="Arial Narrow" w:eastAsiaTheme="majorEastAsia" w:hAnsi="Arial Narrow" w:cs="Times New Roman"/>
                <w:bCs/>
                <w:iCs/>
                <w:sz w:val="20"/>
                <w:szCs w:val="20"/>
                <w:lang w:val="en-US"/>
              </w:rPr>
              <w:t>(95% CI</w:t>
            </w:r>
            <w:r w:rsidR="00204A46">
              <w:rPr>
                <w:rFonts w:ascii="Arial Narrow" w:eastAsiaTheme="majorEastAsia" w:hAnsi="Arial Narrow" w:cs="Times New Roman"/>
                <w:bCs/>
                <w:iCs/>
                <w:sz w:val="20"/>
                <w:szCs w:val="20"/>
                <w:lang w:val="en-US"/>
              </w:rPr>
              <w:t>)</w:t>
            </w:r>
            <w:r w:rsidR="009F5813">
              <w:rPr>
                <w:rFonts w:ascii="Arial Narrow" w:eastAsiaTheme="majorEastAsia" w:hAnsi="Arial Narrow" w:cs="Times New Roman"/>
                <w:bCs/>
                <w:iCs/>
                <w:sz w:val="20"/>
                <w:szCs w:val="20"/>
                <w:lang w:val="en-US"/>
              </w:rPr>
              <w:t>;</w:t>
            </w:r>
            <w:r w:rsidR="00D42509">
              <w:rPr>
                <w:rFonts w:ascii="Arial Narrow" w:eastAsiaTheme="majorEastAsia" w:hAnsi="Arial Narrow" w:cs="Times New Roman"/>
                <w:bCs/>
                <w:iCs/>
                <w:sz w:val="20"/>
                <w:szCs w:val="20"/>
                <w:lang w:val="en-US"/>
              </w:rPr>
              <w:t xml:space="preserve"> </w:t>
            </w:r>
            <w:r w:rsidR="00D42509" w:rsidRPr="00A15CDF">
              <w:rPr>
                <w:rFonts w:ascii="Arial Narrow" w:eastAsiaTheme="majorEastAsia" w:hAnsi="Arial Narrow" w:cs="Times New Roman"/>
                <w:bCs/>
                <w:iCs/>
                <w:sz w:val="20"/>
                <w:szCs w:val="20"/>
                <w:lang w:val="en-US"/>
              </w:rPr>
              <w:t>p-value</w:t>
            </w:r>
          </w:p>
        </w:tc>
        <w:tc>
          <w:tcPr>
            <w:tcW w:w="3571" w:type="pct"/>
            <w:gridSpan w:val="4"/>
            <w:vAlign w:val="center"/>
          </w:tcPr>
          <w:p w14:paraId="5122C098" w14:textId="7A70C2AC" w:rsidR="002A6DDD" w:rsidRPr="00A15CDF" w:rsidRDefault="002A6DDD" w:rsidP="00EA68BB">
            <w:pPr>
              <w:keepNext/>
              <w:widowControl w:val="0"/>
              <w:jc w:val="center"/>
              <w:rPr>
                <w:rFonts w:ascii="Arial Narrow" w:eastAsiaTheme="majorEastAsia" w:hAnsi="Arial Narrow" w:cstheme="majorBidi"/>
                <w:bCs/>
                <w:sz w:val="20"/>
                <w:szCs w:val="20"/>
              </w:rPr>
            </w:pPr>
            <w:r w:rsidRPr="008E12EE">
              <w:rPr>
                <w:rFonts w:ascii="Arial Narrow" w:eastAsiaTheme="majorEastAsia" w:hAnsi="Arial Narrow" w:cstheme="majorBidi"/>
                <w:bCs/>
                <w:sz w:val="20"/>
                <w:szCs w:val="20"/>
              </w:rPr>
              <w:t xml:space="preserve">0.98 </w:t>
            </w:r>
            <w:r>
              <w:rPr>
                <w:rFonts w:ascii="Arial Narrow" w:eastAsiaTheme="majorEastAsia" w:hAnsi="Arial Narrow" w:cstheme="majorBidi"/>
                <w:bCs/>
                <w:sz w:val="20"/>
                <w:szCs w:val="20"/>
              </w:rPr>
              <w:t>(</w:t>
            </w:r>
            <w:r w:rsidRPr="008E12EE">
              <w:rPr>
                <w:rFonts w:ascii="Arial Narrow" w:eastAsiaTheme="majorEastAsia" w:hAnsi="Arial Narrow" w:cstheme="majorBidi"/>
                <w:bCs/>
                <w:sz w:val="20"/>
                <w:szCs w:val="20"/>
              </w:rPr>
              <w:t>0.74, 1.29</w:t>
            </w:r>
            <w:r w:rsidR="006B6799">
              <w:rPr>
                <w:rFonts w:ascii="Arial Narrow" w:eastAsiaTheme="majorEastAsia" w:hAnsi="Arial Narrow" w:cstheme="majorBidi"/>
                <w:bCs/>
                <w:sz w:val="20"/>
                <w:szCs w:val="20"/>
              </w:rPr>
              <w:t>)</w:t>
            </w:r>
            <w:r w:rsidR="009F5813">
              <w:rPr>
                <w:rFonts w:ascii="Arial Narrow" w:eastAsiaTheme="majorEastAsia" w:hAnsi="Arial Narrow" w:cstheme="majorBidi"/>
                <w:bCs/>
                <w:sz w:val="20"/>
                <w:szCs w:val="20"/>
              </w:rPr>
              <w:t>;</w:t>
            </w:r>
            <w:r w:rsidR="00D42509">
              <w:rPr>
                <w:rFonts w:ascii="Arial Narrow" w:eastAsiaTheme="majorEastAsia" w:hAnsi="Arial Narrow" w:cstheme="majorBidi"/>
                <w:bCs/>
                <w:sz w:val="20"/>
                <w:szCs w:val="20"/>
              </w:rPr>
              <w:t xml:space="preserve"> </w:t>
            </w:r>
            <w:r w:rsidR="006B6799">
              <w:rPr>
                <w:rFonts w:ascii="Arial Narrow" w:eastAsiaTheme="majorEastAsia" w:hAnsi="Arial Narrow" w:cstheme="majorBidi"/>
                <w:bCs/>
                <w:sz w:val="20"/>
                <w:szCs w:val="20"/>
              </w:rPr>
              <w:t xml:space="preserve">p = </w:t>
            </w:r>
            <w:r w:rsidR="00D42509" w:rsidRPr="008E12EE">
              <w:rPr>
                <w:rFonts w:ascii="Arial Narrow" w:eastAsiaTheme="majorEastAsia" w:hAnsi="Arial Narrow" w:cstheme="majorBidi"/>
                <w:bCs/>
                <w:sz w:val="20"/>
                <w:szCs w:val="20"/>
              </w:rPr>
              <w:t>0.882</w:t>
            </w:r>
          </w:p>
        </w:tc>
      </w:tr>
      <w:tr w:rsidR="002A6DDD" w:rsidRPr="00DC7B06" w14:paraId="68DB6368" w14:textId="77777777" w:rsidTr="00690CB2">
        <w:trPr>
          <w:trHeight w:val="284"/>
        </w:trPr>
        <w:tc>
          <w:tcPr>
            <w:tcW w:w="1429" w:type="pct"/>
            <w:vAlign w:val="center"/>
          </w:tcPr>
          <w:p w14:paraId="197E68D2" w14:textId="77777777" w:rsidR="002A6DDD" w:rsidRPr="00DD3690" w:rsidRDefault="002A6DDD" w:rsidP="00EA68BB">
            <w:pPr>
              <w:keepNext/>
              <w:keepLines/>
              <w:jc w:val="left"/>
              <w:rPr>
                <w:rFonts w:ascii="Arial Narrow" w:eastAsiaTheme="majorEastAsia" w:hAnsi="Arial Narrow" w:cs="Times New Roman"/>
                <w:bCs/>
                <w:iCs/>
                <w:sz w:val="20"/>
                <w:szCs w:val="20"/>
              </w:rPr>
            </w:pPr>
          </w:p>
        </w:tc>
        <w:tc>
          <w:tcPr>
            <w:tcW w:w="1745" w:type="pct"/>
            <w:gridSpan w:val="2"/>
            <w:vAlign w:val="center"/>
          </w:tcPr>
          <w:p w14:paraId="2187FC3C" w14:textId="77777777" w:rsidR="002A6DDD" w:rsidRPr="00867A0A" w:rsidRDefault="002A6DDD" w:rsidP="00EA68BB">
            <w:pPr>
              <w:keepNext/>
              <w:keepLines/>
              <w:jc w:val="center"/>
              <w:rPr>
                <w:rFonts w:ascii="Arial Narrow" w:hAnsi="Arial Narrow"/>
                <w:b/>
                <w:bCs/>
                <w:sz w:val="20"/>
                <w:szCs w:val="20"/>
              </w:rPr>
            </w:pPr>
            <w:r w:rsidRPr="00867A0A">
              <w:rPr>
                <w:rFonts w:ascii="Arial Narrow" w:hAnsi="Arial Narrow"/>
                <w:b/>
                <w:bCs/>
                <w:sz w:val="20"/>
                <w:szCs w:val="20"/>
              </w:rPr>
              <w:t>ACTIVExtend</w:t>
            </w:r>
          </w:p>
        </w:tc>
        <w:tc>
          <w:tcPr>
            <w:tcW w:w="1826" w:type="pct"/>
            <w:gridSpan w:val="2"/>
            <w:vAlign w:val="center"/>
          </w:tcPr>
          <w:p w14:paraId="78E44942" w14:textId="77777777" w:rsidR="002A6DDD" w:rsidRPr="00867A0A" w:rsidRDefault="002A6DDD" w:rsidP="00EA68BB">
            <w:pPr>
              <w:keepNext/>
              <w:keepLines/>
              <w:jc w:val="center"/>
              <w:rPr>
                <w:rFonts w:ascii="Arial Narrow" w:hAnsi="Arial Narrow"/>
                <w:b/>
                <w:bCs/>
                <w:sz w:val="20"/>
                <w:szCs w:val="20"/>
              </w:rPr>
            </w:pPr>
            <w:r w:rsidRPr="00867A0A">
              <w:rPr>
                <w:rFonts w:ascii="Arial Narrow" w:hAnsi="Arial Narrow"/>
                <w:b/>
                <w:bCs/>
                <w:sz w:val="20"/>
                <w:szCs w:val="20"/>
              </w:rPr>
              <w:t>FRAME extension study</w:t>
            </w:r>
          </w:p>
        </w:tc>
      </w:tr>
      <w:tr w:rsidR="002A6DDD" w:rsidRPr="00DC7B06" w14:paraId="17BE8840" w14:textId="77777777" w:rsidTr="00690CB2">
        <w:trPr>
          <w:trHeight w:val="284"/>
        </w:trPr>
        <w:tc>
          <w:tcPr>
            <w:tcW w:w="1429" w:type="pct"/>
            <w:vAlign w:val="center"/>
          </w:tcPr>
          <w:p w14:paraId="4381857E" w14:textId="77777777" w:rsidR="002A6DDD" w:rsidRPr="00022B63" w:rsidRDefault="002A6DDD" w:rsidP="00EA68BB">
            <w:pPr>
              <w:keepNext/>
              <w:keepLines/>
              <w:jc w:val="left"/>
              <w:rPr>
                <w:rFonts w:ascii="Arial Narrow" w:eastAsiaTheme="majorEastAsia" w:hAnsi="Arial Narrow" w:cs="Times New Roman"/>
                <w:b/>
                <w:iCs/>
                <w:sz w:val="20"/>
                <w:szCs w:val="20"/>
              </w:rPr>
            </w:pPr>
            <w:r w:rsidRPr="00022B63">
              <w:rPr>
                <w:rFonts w:ascii="Arial Narrow" w:eastAsiaTheme="majorEastAsia" w:hAnsi="Arial Narrow" w:cs="Times New Roman"/>
                <w:b/>
                <w:iCs/>
                <w:sz w:val="20"/>
                <w:szCs w:val="20"/>
              </w:rPr>
              <w:t>Treatment/statistics</w:t>
            </w:r>
          </w:p>
        </w:tc>
        <w:tc>
          <w:tcPr>
            <w:tcW w:w="1745" w:type="pct"/>
            <w:gridSpan w:val="2"/>
            <w:vAlign w:val="center"/>
          </w:tcPr>
          <w:p w14:paraId="5AEAFE26" w14:textId="77777777" w:rsidR="002A6DDD" w:rsidRPr="001E2DEC" w:rsidRDefault="002A6DDD" w:rsidP="00EA68BB">
            <w:pPr>
              <w:keepNext/>
              <w:keepLines/>
              <w:jc w:val="center"/>
              <w:rPr>
                <w:rFonts w:ascii="Arial Narrow" w:hAnsi="Arial Narrow"/>
                <w:b/>
                <w:bCs/>
                <w:sz w:val="20"/>
                <w:szCs w:val="20"/>
              </w:rPr>
            </w:pPr>
            <w:r w:rsidRPr="001E2DEC">
              <w:rPr>
                <w:rFonts w:ascii="Arial Narrow" w:hAnsi="Arial Narrow"/>
                <w:b/>
                <w:bCs/>
                <w:sz w:val="20"/>
                <w:szCs w:val="20"/>
              </w:rPr>
              <w:t xml:space="preserve">Abaloparatide (18 months) followed by alendronate (24 months) </w:t>
            </w:r>
          </w:p>
        </w:tc>
        <w:tc>
          <w:tcPr>
            <w:tcW w:w="1826" w:type="pct"/>
            <w:gridSpan w:val="2"/>
            <w:vAlign w:val="center"/>
          </w:tcPr>
          <w:p w14:paraId="0424EDAC" w14:textId="77777777" w:rsidR="002A6DDD" w:rsidRPr="001E2DEC" w:rsidRDefault="002A6DDD" w:rsidP="00EA68BB">
            <w:pPr>
              <w:keepNext/>
              <w:keepLines/>
              <w:jc w:val="center"/>
              <w:rPr>
                <w:rFonts w:ascii="Arial Narrow" w:hAnsi="Arial Narrow"/>
                <w:b/>
                <w:bCs/>
                <w:sz w:val="20"/>
                <w:szCs w:val="20"/>
              </w:rPr>
            </w:pPr>
            <w:r w:rsidRPr="001E2DEC">
              <w:rPr>
                <w:rFonts w:ascii="Arial Narrow" w:hAnsi="Arial Narrow"/>
                <w:b/>
                <w:bCs/>
                <w:sz w:val="20"/>
                <w:szCs w:val="20"/>
              </w:rPr>
              <w:t>Romosozumab (12 months) followed by denosumab (24 months)</w:t>
            </w:r>
          </w:p>
        </w:tc>
      </w:tr>
      <w:tr w:rsidR="002A6DDD" w:rsidRPr="00DC7B06" w14:paraId="072A67A9" w14:textId="77777777" w:rsidTr="00690CB2">
        <w:trPr>
          <w:trHeight w:val="284"/>
        </w:trPr>
        <w:tc>
          <w:tcPr>
            <w:tcW w:w="5000" w:type="pct"/>
            <w:gridSpan w:val="5"/>
            <w:vAlign w:val="center"/>
          </w:tcPr>
          <w:p w14:paraId="037DAB89" w14:textId="77777777" w:rsidR="002A6DDD" w:rsidRPr="00C62B50" w:rsidRDefault="002A6DDD" w:rsidP="00EA68BB">
            <w:pPr>
              <w:keepNext/>
              <w:keepLines/>
              <w:jc w:val="left"/>
              <w:rPr>
                <w:rFonts w:ascii="Arial Narrow" w:hAnsi="Arial Narrow"/>
                <w:b/>
                <w:sz w:val="20"/>
                <w:szCs w:val="20"/>
              </w:rPr>
            </w:pPr>
            <w:r w:rsidRPr="00C62B50">
              <w:rPr>
                <w:rFonts w:ascii="Arial Narrow" w:eastAsiaTheme="majorEastAsia" w:hAnsi="Arial Narrow" w:cs="Times New Roman"/>
                <w:b/>
                <w:iCs/>
                <w:sz w:val="20"/>
                <w:szCs w:val="20"/>
              </w:rPr>
              <w:t>Nonvertebral fractures</w:t>
            </w:r>
          </w:p>
        </w:tc>
      </w:tr>
      <w:tr w:rsidR="002A6DDD" w:rsidRPr="00DC7B06" w14:paraId="760DF7A5" w14:textId="77777777" w:rsidTr="00690CB2">
        <w:trPr>
          <w:trHeight w:val="284"/>
        </w:trPr>
        <w:tc>
          <w:tcPr>
            <w:tcW w:w="1429" w:type="pct"/>
            <w:vAlign w:val="center"/>
          </w:tcPr>
          <w:p w14:paraId="00D77D6A" w14:textId="77777777" w:rsidR="002A6DDD" w:rsidRPr="00DD3690" w:rsidRDefault="002A6DDD" w:rsidP="00EA68BB">
            <w:pPr>
              <w:keepNext/>
              <w:keepLines/>
              <w:jc w:val="left"/>
              <w:rPr>
                <w:rFonts w:ascii="Arial Narrow" w:eastAsiaTheme="majorEastAsia" w:hAnsi="Arial Narrow" w:cs="Times New Roman"/>
                <w:bCs/>
                <w:iCs/>
                <w:sz w:val="20"/>
                <w:szCs w:val="20"/>
              </w:rPr>
            </w:pPr>
          </w:p>
        </w:tc>
        <w:tc>
          <w:tcPr>
            <w:tcW w:w="1745" w:type="pct"/>
            <w:gridSpan w:val="2"/>
            <w:vAlign w:val="center"/>
          </w:tcPr>
          <w:p w14:paraId="65F2F5C4" w14:textId="5A5F1830" w:rsidR="002A6DDD" w:rsidRDefault="002A6DDD" w:rsidP="00EA68BB">
            <w:pPr>
              <w:keepNext/>
              <w:keepLines/>
              <w:jc w:val="center"/>
              <w:rPr>
                <w:rFonts w:ascii="Arial Narrow" w:hAnsi="Arial Narrow"/>
                <w:sz w:val="20"/>
                <w:szCs w:val="20"/>
              </w:rPr>
            </w:pPr>
            <w:r>
              <w:rPr>
                <w:rFonts w:ascii="Arial Narrow" w:hAnsi="Arial Narrow"/>
                <w:sz w:val="20"/>
                <w:szCs w:val="20"/>
              </w:rPr>
              <w:t xml:space="preserve">Month 25 </w:t>
            </w:r>
          </w:p>
        </w:tc>
        <w:tc>
          <w:tcPr>
            <w:tcW w:w="1826" w:type="pct"/>
            <w:gridSpan w:val="2"/>
            <w:vAlign w:val="center"/>
          </w:tcPr>
          <w:p w14:paraId="34CB4B21" w14:textId="7D93FEC1" w:rsidR="002A6DDD" w:rsidRDefault="002A6DDD" w:rsidP="00EA68BB">
            <w:pPr>
              <w:keepNext/>
              <w:keepLines/>
              <w:jc w:val="center"/>
              <w:rPr>
                <w:rFonts w:ascii="Arial Narrow" w:hAnsi="Arial Narrow"/>
                <w:sz w:val="20"/>
                <w:szCs w:val="20"/>
              </w:rPr>
            </w:pPr>
            <w:r>
              <w:rPr>
                <w:rFonts w:ascii="Arial Narrow" w:hAnsi="Arial Narrow"/>
                <w:sz w:val="20"/>
                <w:szCs w:val="20"/>
              </w:rPr>
              <w:t xml:space="preserve">Month 24 </w:t>
            </w:r>
          </w:p>
        </w:tc>
      </w:tr>
      <w:tr w:rsidR="002A6DDD" w:rsidRPr="00B5356E" w14:paraId="3D8E164C" w14:textId="77777777" w:rsidTr="00690CB2">
        <w:trPr>
          <w:trHeight w:val="284"/>
        </w:trPr>
        <w:tc>
          <w:tcPr>
            <w:tcW w:w="1429" w:type="pct"/>
            <w:vAlign w:val="center"/>
          </w:tcPr>
          <w:p w14:paraId="6ED59505" w14:textId="77777777" w:rsidR="00D42509" w:rsidRDefault="002A6DDD" w:rsidP="00EA68BB">
            <w:pPr>
              <w:keepNext/>
              <w:widowControl w:val="0"/>
              <w:ind w:left="314"/>
              <w:jc w:val="left"/>
              <w:rPr>
                <w:rFonts w:ascii="Arial Narrow" w:eastAsiaTheme="majorEastAsia" w:hAnsi="Arial Narrow" w:cs="Times New Roman"/>
                <w:bCs/>
                <w:iCs/>
                <w:sz w:val="20"/>
                <w:szCs w:val="20"/>
                <w:lang w:val="en-US"/>
              </w:rPr>
            </w:pPr>
            <w:r>
              <w:rPr>
                <w:rFonts w:ascii="Arial Narrow" w:eastAsiaTheme="majorEastAsia" w:hAnsi="Arial Narrow" w:cs="Times New Roman"/>
                <w:bCs/>
                <w:iCs/>
                <w:sz w:val="20"/>
                <w:szCs w:val="20"/>
                <w:lang w:val="en-US"/>
              </w:rPr>
              <w:t>Hazard ratio</w:t>
            </w:r>
            <w:r w:rsidRPr="008E12EE">
              <w:rPr>
                <w:rFonts w:ascii="Arial Narrow" w:eastAsiaTheme="majorEastAsia" w:hAnsi="Arial Narrow" w:cs="Times New Roman"/>
                <w:bCs/>
                <w:iCs/>
                <w:sz w:val="20"/>
                <w:szCs w:val="20"/>
                <w:vertAlign w:val="superscript"/>
                <w:lang w:val="en-US"/>
              </w:rPr>
              <w:t>b</w:t>
            </w:r>
            <w:r>
              <w:rPr>
                <w:rFonts w:ascii="Arial Narrow" w:eastAsiaTheme="majorEastAsia" w:hAnsi="Arial Narrow" w:cs="Times New Roman"/>
                <w:bCs/>
                <w:iCs/>
                <w:sz w:val="20"/>
                <w:szCs w:val="20"/>
                <w:lang w:val="en-US"/>
              </w:rPr>
              <w:t xml:space="preserve"> </w:t>
            </w:r>
          </w:p>
          <w:p w14:paraId="48BD63A0" w14:textId="6A52F172" w:rsidR="002A6DDD" w:rsidRPr="00A15CDF" w:rsidRDefault="002A6DDD" w:rsidP="00EA68BB">
            <w:pPr>
              <w:keepNext/>
              <w:widowControl w:val="0"/>
              <w:ind w:left="314"/>
              <w:jc w:val="left"/>
              <w:rPr>
                <w:rFonts w:ascii="Arial Narrow" w:eastAsiaTheme="majorEastAsia" w:hAnsi="Arial Narrow" w:cstheme="majorBidi"/>
                <w:bCs/>
                <w:sz w:val="20"/>
                <w:szCs w:val="20"/>
              </w:rPr>
            </w:pPr>
            <w:r>
              <w:rPr>
                <w:rFonts w:ascii="Arial Narrow" w:eastAsiaTheme="majorEastAsia" w:hAnsi="Arial Narrow" w:cs="Times New Roman"/>
                <w:bCs/>
                <w:iCs/>
                <w:sz w:val="20"/>
                <w:szCs w:val="20"/>
                <w:lang w:val="en-US"/>
              </w:rPr>
              <w:t>(95% CI</w:t>
            </w:r>
            <w:r w:rsidR="00204A46">
              <w:rPr>
                <w:rFonts w:ascii="Arial Narrow" w:eastAsiaTheme="majorEastAsia" w:hAnsi="Arial Narrow" w:cs="Times New Roman"/>
                <w:bCs/>
                <w:iCs/>
                <w:sz w:val="20"/>
                <w:szCs w:val="20"/>
                <w:lang w:val="en-US"/>
              </w:rPr>
              <w:t>)</w:t>
            </w:r>
            <w:r w:rsidR="009F5813">
              <w:rPr>
                <w:rFonts w:ascii="Arial Narrow" w:eastAsiaTheme="majorEastAsia" w:hAnsi="Arial Narrow" w:cs="Times New Roman"/>
                <w:bCs/>
                <w:iCs/>
                <w:sz w:val="20"/>
                <w:szCs w:val="20"/>
                <w:lang w:val="en-US"/>
              </w:rPr>
              <w:t>;</w:t>
            </w:r>
            <w:r w:rsidR="00D42509">
              <w:rPr>
                <w:rFonts w:ascii="Arial Narrow" w:eastAsiaTheme="majorEastAsia" w:hAnsi="Arial Narrow" w:cs="Times New Roman"/>
                <w:bCs/>
                <w:iCs/>
                <w:sz w:val="20"/>
                <w:szCs w:val="20"/>
                <w:lang w:val="en-US"/>
              </w:rPr>
              <w:t xml:space="preserve"> </w:t>
            </w:r>
            <w:r w:rsidR="00D42509" w:rsidRPr="00A15CDF">
              <w:rPr>
                <w:rFonts w:ascii="Arial Narrow" w:eastAsiaTheme="majorEastAsia" w:hAnsi="Arial Narrow" w:cs="Times New Roman"/>
                <w:bCs/>
                <w:iCs/>
                <w:sz w:val="20"/>
                <w:szCs w:val="20"/>
                <w:lang w:val="en-US"/>
              </w:rPr>
              <w:t>p-value</w:t>
            </w:r>
          </w:p>
        </w:tc>
        <w:tc>
          <w:tcPr>
            <w:tcW w:w="3571" w:type="pct"/>
            <w:gridSpan w:val="4"/>
            <w:vAlign w:val="center"/>
          </w:tcPr>
          <w:p w14:paraId="24A3DE26" w14:textId="639F2AAA" w:rsidR="002A6DDD" w:rsidRPr="00A74DED" w:rsidRDefault="002A6DDD" w:rsidP="00EA68BB">
            <w:pPr>
              <w:keepNext/>
              <w:widowControl w:val="0"/>
              <w:jc w:val="center"/>
              <w:rPr>
                <w:rFonts w:ascii="Arial Narrow" w:eastAsiaTheme="majorEastAsia" w:hAnsi="Arial Narrow" w:cstheme="majorBidi"/>
                <w:bCs/>
                <w:sz w:val="20"/>
                <w:szCs w:val="20"/>
              </w:rPr>
            </w:pPr>
            <w:r w:rsidRPr="007149A1">
              <w:rPr>
                <w:rFonts w:ascii="Arial Narrow" w:eastAsiaTheme="majorEastAsia" w:hAnsi="Arial Narrow" w:cstheme="majorBidi"/>
                <w:bCs/>
                <w:sz w:val="20"/>
                <w:szCs w:val="20"/>
              </w:rPr>
              <w:t xml:space="preserve">0.85 </w:t>
            </w:r>
            <w:r>
              <w:rPr>
                <w:rFonts w:ascii="Arial Narrow" w:eastAsiaTheme="majorEastAsia" w:hAnsi="Arial Narrow" w:cstheme="majorBidi"/>
                <w:bCs/>
                <w:sz w:val="20"/>
                <w:szCs w:val="20"/>
              </w:rPr>
              <w:t>(</w:t>
            </w:r>
            <w:r w:rsidRPr="007149A1">
              <w:rPr>
                <w:rFonts w:ascii="Arial Narrow" w:eastAsiaTheme="majorEastAsia" w:hAnsi="Arial Narrow" w:cstheme="majorBidi"/>
                <w:bCs/>
                <w:sz w:val="20"/>
                <w:szCs w:val="20"/>
              </w:rPr>
              <w:t>0.61, 1.20</w:t>
            </w:r>
            <w:r w:rsidR="006B6799">
              <w:rPr>
                <w:rFonts w:ascii="Arial Narrow" w:eastAsiaTheme="majorEastAsia" w:hAnsi="Arial Narrow" w:cstheme="majorBidi"/>
                <w:bCs/>
                <w:sz w:val="20"/>
                <w:szCs w:val="20"/>
              </w:rPr>
              <w:t>)</w:t>
            </w:r>
            <w:r w:rsidR="009F5813">
              <w:rPr>
                <w:rFonts w:ascii="Arial Narrow" w:eastAsiaTheme="majorEastAsia" w:hAnsi="Arial Narrow" w:cstheme="majorBidi"/>
                <w:bCs/>
                <w:sz w:val="20"/>
                <w:szCs w:val="20"/>
              </w:rPr>
              <w:t>;</w:t>
            </w:r>
            <w:r w:rsidR="00D42509">
              <w:rPr>
                <w:rFonts w:ascii="Arial Narrow" w:eastAsiaTheme="majorEastAsia" w:hAnsi="Arial Narrow" w:cstheme="majorBidi"/>
                <w:bCs/>
                <w:sz w:val="20"/>
                <w:szCs w:val="20"/>
              </w:rPr>
              <w:t xml:space="preserve"> </w:t>
            </w:r>
            <w:r w:rsidR="006B6799">
              <w:rPr>
                <w:rFonts w:ascii="Arial Narrow" w:eastAsiaTheme="majorEastAsia" w:hAnsi="Arial Narrow" w:cstheme="majorBidi"/>
                <w:bCs/>
                <w:sz w:val="20"/>
                <w:szCs w:val="20"/>
              </w:rPr>
              <w:t xml:space="preserve">p = </w:t>
            </w:r>
            <w:r w:rsidR="00D42509" w:rsidRPr="007149A1">
              <w:rPr>
                <w:rFonts w:ascii="Arial Narrow" w:eastAsiaTheme="majorEastAsia" w:hAnsi="Arial Narrow" w:cstheme="majorBidi"/>
                <w:bCs/>
                <w:sz w:val="20"/>
                <w:szCs w:val="20"/>
              </w:rPr>
              <w:t>0.356</w:t>
            </w:r>
          </w:p>
        </w:tc>
      </w:tr>
      <w:tr w:rsidR="002A6DDD" w:rsidRPr="00DC7B06" w14:paraId="02129E03" w14:textId="77777777" w:rsidTr="00690CB2">
        <w:trPr>
          <w:trHeight w:val="284"/>
        </w:trPr>
        <w:tc>
          <w:tcPr>
            <w:tcW w:w="1429" w:type="pct"/>
            <w:vAlign w:val="center"/>
          </w:tcPr>
          <w:p w14:paraId="233127B9" w14:textId="77777777" w:rsidR="002A6DDD" w:rsidRPr="00DD3690" w:rsidRDefault="002A6DDD" w:rsidP="00EA68BB">
            <w:pPr>
              <w:keepNext/>
              <w:keepLines/>
              <w:jc w:val="left"/>
              <w:rPr>
                <w:rFonts w:ascii="Arial Narrow" w:eastAsiaTheme="majorEastAsia" w:hAnsi="Arial Narrow" w:cs="Times New Roman"/>
                <w:bCs/>
                <w:iCs/>
                <w:sz w:val="20"/>
                <w:szCs w:val="20"/>
              </w:rPr>
            </w:pPr>
          </w:p>
        </w:tc>
        <w:tc>
          <w:tcPr>
            <w:tcW w:w="1745" w:type="pct"/>
            <w:gridSpan w:val="2"/>
            <w:vAlign w:val="center"/>
          </w:tcPr>
          <w:p w14:paraId="2FCDB1E9" w14:textId="29E58358" w:rsidR="002A6DDD" w:rsidRDefault="002A6DDD" w:rsidP="00EA68BB">
            <w:pPr>
              <w:keepNext/>
              <w:keepLines/>
              <w:jc w:val="center"/>
              <w:rPr>
                <w:rFonts w:ascii="Arial Narrow" w:hAnsi="Arial Narrow"/>
                <w:sz w:val="20"/>
                <w:szCs w:val="20"/>
              </w:rPr>
            </w:pPr>
            <w:r>
              <w:rPr>
                <w:rFonts w:ascii="Arial Narrow" w:eastAsiaTheme="majorEastAsia" w:hAnsi="Arial Narrow" w:cs="Times New Roman"/>
                <w:bCs/>
                <w:iCs/>
                <w:sz w:val="20"/>
                <w:szCs w:val="20"/>
              </w:rPr>
              <w:t xml:space="preserve">Month 43 </w:t>
            </w:r>
          </w:p>
        </w:tc>
        <w:tc>
          <w:tcPr>
            <w:tcW w:w="1826" w:type="pct"/>
            <w:gridSpan w:val="2"/>
            <w:vAlign w:val="center"/>
          </w:tcPr>
          <w:p w14:paraId="012EF8FC" w14:textId="64EC8648" w:rsidR="002A6DDD" w:rsidRDefault="002A6DDD" w:rsidP="00EA68BB">
            <w:pPr>
              <w:keepNext/>
              <w:keepLines/>
              <w:jc w:val="center"/>
              <w:rPr>
                <w:rFonts w:ascii="Arial Narrow" w:hAnsi="Arial Narrow"/>
                <w:sz w:val="20"/>
                <w:szCs w:val="20"/>
              </w:rPr>
            </w:pPr>
            <w:r>
              <w:rPr>
                <w:rFonts w:ascii="Arial Narrow" w:hAnsi="Arial Narrow"/>
                <w:sz w:val="20"/>
                <w:szCs w:val="20"/>
              </w:rPr>
              <w:t xml:space="preserve">Month 36 </w:t>
            </w:r>
          </w:p>
        </w:tc>
      </w:tr>
      <w:tr w:rsidR="002A6DDD" w:rsidRPr="00B5356E" w14:paraId="5346B360" w14:textId="77777777" w:rsidTr="00690CB2">
        <w:trPr>
          <w:trHeight w:val="284"/>
        </w:trPr>
        <w:tc>
          <w:tcPr>
            <w:tcW w:w="1429" w:type="pct"/>
            <w:vAlign w:val="center"/>
          </w:tcPr>
          <w:p w14:paraId="1D3BE48D" w14:textId="77777777" w:rsidR="00D42509" w:rsidRDefault="002A6DDD" w:rsidP="00EA68BB">
            <w:pPr>
              <w:keepNext/>
              <w:widowControl w:val="0"/>
              <w:ind w:left="314"/>
              <w:jc w:val="left"/>
              <w:rPr>
                <w:rFonts w:ascii="Arial Narrow" w:eastAsiaTheme="majorEastAsia" w:hAnsi="Arial Narrow" w:cs="Times New Roman"/>
                <w:bCs/>
                <w:iCs/>
                <w:sz w:val="20"/>
                <w:szCs w:val="20"/>
                <w:lang w:val="en-US"/>
              </w:rPr>
            </w:pPr>
            <w:r>
              <w:rPr>
                <w:rFonts w:ascii="Arial Narrow" w:eastAsiaTheme="majorEastAsia" w:hAnsi="Arial Narrow" w:cs="Times New Roman"/>
                <w:bCs/>
                <w:iCs/>
                <w:sz w:val="20"/>
                <w:szCs w:val="20"/>
                <w:lang w:val="en-US"/>
              </w:rPr>
              <w:t>Hazard ratio</w:t>
            </w:r>
            <w:r w:rsidRPr="008E12EE">
              <w:rPr>
                <w:rFonts w:ascii="Arial Narrow" w:eastAsiaTheme="majorEastAsia" w:hAnsi="Arial Narrow" w:cs="Times New Roman"/>
                <w:bCs/>
                <w:iCs/>
                <w:sz w:val="20"/>
                <w:szCs w:val="20"/>
                <w:vertAlign w:val="superscript"/>
                <w:lang w:val="en-US"/>
              </w:rPr>
              <w:t>b</w:t>
            </w:r>
            <w:r>
              <w:rPr>
                <w:rFonts w:ascii="Arial Narrow" w:eastAsiaTheme="majorEastAsia" w:hAnsi="Arial Narrow" w:cs="Times New Roman"/>
                <w:bCs/>
                <w:iCs/>
                <w:sz w:val="20"/>
                <w:szCs w:val="20"/>
                <w:lang w:val="en-US"/>
              </w:rPr>
              <w:t xml:space="preserve"> </w:t>
            </w:r>
          </w:p>
          <w:p w14:paraId="315C258A" w14:textId="634A49CD" w:rsidR="002A6DDD" w:rsidRPr="00A15CDF" w:rsidRDefault="002A6DDD" w:rsidP="00EA68BB">
            <w:pPr>
              <w:keepNext/>
              <w:widowControl w:val="0"/>
              <w:ind w:left="314"/>
              <w:jc w:val="left"/>
              <w:rPr>
                <w:rFonts w:ascii="Arial Narrow" w:eastAsiaTheme="majorEastAsia" w:hAnsi="Arial Narrow" w:cstheme="majorBidi"/>
                <w:bCs/>
                <w:sz w:val="20"/>
                <w:szCs w:val="20"/>
              </w:rPr>
            </w:pPr>
            <w:r>
              <w:rPr>
                <w:rFonts w:ascii="Arial Narrow" w:eastAsiaTheme="majorEastAsia" w:hAnsi="Arial Narrow" w:cs="Times New Roman"/>
                <w:bCs/>
                <w:iCs/>
                <w:sz w:val="20"/>
                <w:szCs w:val="20"/>
                <w:lang w:val="en-US"/>
              </w:rPr>
              <w:t>(95% CI</w:t>
            </w:r>
            <w:r w:rsidR="00204A46">
              <w:rPr>
                <w:rFonts w:ascii="Arial Narrow" w:eastAsiaTheme="majorEastAsia" w:hAnsi="Arial Narrow" w:cs="Times New Roman"/>
                <w:bCs/>
                <w:iCs/>
                <w:sz w:val="20"/>
                <w:szCs w:val="20"/>
                <w:lang w:val="en-US"/>
              </w:rPr>
              <w:t>)</w:t>
            </w:r>
            <w:r w:rsidR="009F5813">
              <w:rPr>
                <w:rFonts w:ascii="Arial Narrow" w:eastAsiaTheme="majorEastAsia" w:hAnsi="Arial Narrow" w:cs="Times New Roman"/>
                <w:bCs/>
                <w:iCs/>
                <w:sz w:val="20"/>
                <w:szCs w:val="20"/>
                <w:lang w:val="en-US"/>
              </w:rPr>
              <w:t>;</w:t>
            </w:r>
            <w:r w:rsidR="00D42509">
              <w:rPr>
                <w:rFonts w:ascii="Arial Narrow" w:eastAsiaTheme="majorEastAsia" w:hAnsi="Arial Narrow" w:cs="Times New Roman"/>
                <w:bCs/>
                <w:iCs/>
                <w:sz w:val="20"/>
                <w:szCs w:val="20"/>
                <w:lang w:val="en-US"/>
              </w:rPr>
              <w:t xml:space="preserve"> </w:t>
            </w:r>
            <w:r w:rsidR="00D42509" w:rsidRPr="00A15CDF">
              <w:rPr>
                <w:rFonts w:ascii="Arial Narrow" w:eastAsiaTheme="majorEastAsia" w:hAnsi="Arial Narrow" w:cs="Times New Roman"/>
                <w:bCs/>
                <w:iCs/>
                <w:sz w:val="20"/>
                <w:szCs w:val="20"/>
                <w:lang w:val="en-US"/>
              </w:rPr>
              <w:t>p-value</w:t>
            </w:r>
          </w:p>
        </w:tc>
        <w:tc>
          <w:tcPr>
            <w:tcW w:w="3571" w:type="pct"/>
            <w:gridSpan w:val="4"/>
            <w:vAlign w:val="center"/>
          </w:tcPr>
          <w:p w14:paraId="3718F39E" w14:textId="110F0A34" w:rsidR="002A6DDD" w:rsidRPr="00A74DED" w:rsidRDefault="002A6DDD" w:rsidP="00EA68BB">
            <w:pPr>
              <w:keepNext/>
              <w:widowControl w:val="0"/>
              <w:jc w:val="center"/>
              <w:rPr>
                <w:rFonts w:ascii="Arial Narrow" w:eastAsiaTheme="majorEastAsia" w:hAnsi="Arial Narrow" w:cstheme="majorBidi"/>
                <w:bCs/>
                <w:sz w:val="20"/>
                <w:szCs w:val="20"/>
              </w:rPr>
            </w:pPr>
            <w:r w:rsidRPr="00A25228">
              <w:rPr>
                <w:rFonts w:ascii="Arial Narrow" w:eastAsiaTheme="majorEastAsia" w:hAnsi="Arial Narrow" w:cstheme="majorBidi"/>
                <w:bCs/>
                <w:sz w:val="20"/>
                <w:szCs w:val="20"/>
              </w:rPr>
              <w:t xml:space="preserve">0.89 </w:t>
            </w:r>
            <w:r>
              <w:rPr>
                <w:rFonts w:ascii="Arial Narrow" w:eastAsiaTheme="majorEastAsia" w:hAnsi="Arial Narrow" w:cstheme="majorBidi"/>
                <w:bCs/>
                <w:sz w:val="20"/>
                <w:szCs w:val="20"/>
              </w:rPr>
              <w:t>(</w:t>
            </w:r>
            <w:r w:rsidRPr="00A25228">
              <w:rPr>
                <w:rFonts w:ascii="Arial Narrow" w:eastAsiaTheme="majorEastAsia" w:hAnsi="Arial Narrow" w:cstheme="majorBidi"/>
                <w:bCs/>
                <w:sz w:val="20"/>
                <w:szCs w:val="20"/>
              </w:rPr>
              <w:t>0.69, 1.16</w:t>
            </w:r>
            <w:r w:rsidR="006B6799">
              <w:rPr>
                <w:rFonts w:ascii="Arial Narrow" w:eastAsiaTheme="majorEastAsia" w:hAnsi="Arial Narrow" w:cstheme="majorBidi"/>
                <w:bCs/>
                <w:sz w:val="20"/>
                <w:szCs w:val="20"/>
              </w:rPr>
              <w:t>)</w:t>
            </w:r>
            <w:r w:rsidR="009F5813">
              <w:rPr>
                <w:rFonts w:ascii="Arial Narrow" w:eastAsiaTheme="majorEastAsia" w:hAnsi="Arial Narrow" w:cstheme="majorBidi"/>
                <w:bCs/>
                <w:sz w:val="20"/>
                <w:szCs w:val="20"/>
              </w:rPr>
              <w:t>;</w:t>
            </w:r>
            <w:r w:rsidR="00D42509">
              <w:rPr>
                <w:rFonts w:ascii="Arial Narrow" w:eastAsiaTheme="majorEastAsia" w:hAnsi="Arial Narrow" w:cstheme="majorBidi"/>
                <w:bCs/>
                <w:sz w:val="20"/>
                <w:szCs w:val="20"/>
              </w:rPr>
              <w:t xml:space="preserve"> </w:t>
            </w:r>
            <w:r w:rsidR="006B6799">
              <w:rPr>
                <w:rFonts w:ascii="Arial Narrow" w:eastAsiaTheme="majorEastAsia" w:hAnsi="Arial Narrow" w:cstheme="majorBidi"/>
                <w:bCs/>
                <w:sz w:val="20"/>
                <w:szCs w:val="20"/>
              </w:rPr>
              <w:t xml:space="preserve">p = </w:t>
            </w:r>
            <w:r w:rsidR="00D42509" w:rsidRPr="00A25228">
              <w:rPr>
                <w:rFonts w:ascii="Arial Narrow" w:eastAsiaTheme="majorEastAsia" w:hAnsi="Arial Narrow" w:cstheme="majorBidi"/>
                <w:bCs/>
                <w:sz w:val="20"/>
                <w:szCs w:val="20"/>
              </w:rPr>
              <w:t>0.404</w:t>
            </w:r>
          </w:p>
        </w:tc>
      </w:tr>
      <w:tr w:rsidR="002A6DDD" w:rsidRPr="00DC7B06" w14:paraId="3FEF6947" w14:textId="77777777" w:rsidTr="00690CB2">
        <w:trPr>
          <w:trHeight w:val="284"/>
        </w:trPr>
        <w:tc>
          <w:tcPr>
            <w:tcW w:w="5000" w:type="pct"/>
            <w:gridSpan w:val="5"/>
            <w:vAlign w:val="center"/>
          </w:tcPr>
          <w:p w14:paraId="31A5C7D1" w14:textId="77777777" w:rsidR="002A6DDD" w:rsidRPr="009105F1" w:rsidRDefault="002A6DDD" w:rsidP="00EA68BB">
            <w:pPr>
              <w:keepNext/>
              <w:keepLines/>
              <w:jc w:val="left"/>
              <w:rPr>
                <w:rFonts w:ascii="Arial Narrow" w:hAnsi="Arial Narrow"/>
                <w:b/>
                <w:sz w:val="20"/>
                <w:szCs w:val="20"/>
              </w:rPr>
            </w:pPr>
            <w:r w:rsidRPr="009105F1">
              <w:rPr>
                <w:rFonts w:ascii="Arial Narrow" w:eastAsiaTheme="majorEastAsia" w:hAnsi="Arial Narrow" w:cs="Times New Roman"/>
                <w:b/>
                <w:iCs/>
                <w:sz w:val="20"/>
                <w:szCs w:val="20"/>
              </w:rPr>
              <w:t>Clinical fractures</w:t>
            </w:r>
          </w:p>
        </w:tc>
      </w:tr>
      <w:tr w:rsidR="002A6DDD" w:rsidRPr="00DC7B06" w14:paraId="1D05B24C" w14:textId="77777777" w:rsidTr="00690CB2">
        <w:trPr>
          <w:trHeight w:val="284"/>
        </w:trPr>
        <w:tc>
          <w:tcPr>
            <w:tcW w:w="1429" w:type="pct"/>
            <w:vAlign w:val="center"/>
          </w:tcPr>
          <w:p w14:paraId="5EA6A627" w14:textId="77777777" w:rsidR="002A6DDD" w:rsidRPr="00DD3690" w:rsidRDefault="002A6DDD" w:rsidP="00EA68BB">
            <w:pPr>
              <w:keepNext/>
              <w:keepLines/>
              <w:jc w:val="left"/>
              <w:rPr>
                <w:rFonts w:ascii="Arial Narrow" w:eastAsiaTheme="majorEastAsia" w:hAnsi="Arial Narrow" w:cs="Times New Roman"/>
                <w:bCs/>
                <w:iCs/>
                <w:sz w:val="20"/>
                <w:szCs w:val="20"/>
              </w:rPr>
            </w:pPr>
          </w:p>
        </w:tc>
        <w:tc>
          <w:tcPr>
            <w:tcW w:w="1745" w:type="pct"/>
            <w:gridSpan w:val="2"/>
            <w:vAlign w:val="center"/>
          </w:tcPr>
          <w:p w14:paraId="3A410C72" w14:textId="7E1F1D48" w:rsidR="002A6DDD" w:rsidRDefault="002A6DDD" w:rsidP="00EA68BB">
            <w:pPr>
              <w:keepNext/>
              <w:keepLines/>
              <w:jc w:val="center"/>
              <w:rPr>
                <w:rFonts w:ascii="Arial Narrow" w:hAnsi="Arial Narrow"/>
                <w:sz w:val="20"/>
                <w:szCs w:val="20"/>
              </w:rPr>
            </w:pPr>
            <w:r>
              <w:rPr>
                <w:rFonts w:ascii="Arial Narrow" w:hAnsi="Arial Narrow"/>
                <w:sz w:val="20"/>
                <w:szCs w:val="20"/>
              </w:rPr>
              <w:t xml:space="preserve">Month 25 </w:t>
            </w:r>
          </w:p>
        </w:tc>
        <w:tc>
          <w:tcPr>
            <w:tcW w:w="1826" w:type="pct"/>
            <w:gridSpan w:val="2"/>
            <w:vAlign w:val="center"/>
          </w:tcPr>
          <w:p w14:paraId="6C8748EE" w14:textId="0AB34BDF" w:rsidR="002A6DDD" w:rsidRDefault="002A6DDD" w:rsidP="00EA68BB">
            <w:pPr>
              <w:keepNext/>
              <w:keepLines/>
              <w:jc w:val="center"/>
              <w:rPr>
                <w:rFonts w:ascii="Arial Narrow" w:hAnsi="Arial Narrow"/>
                <w:sz w:val="20"/>
                <w:szCs w:val="20"/>
              </w:rPr>
            </w:pPr>
            <w:r>
              <w:rPr>
                <w:rFonts w:ascii="Arial Narrow" w:hAnsi="Arial Narrow"/>
                <w:sz w:val="20"/>
                <w:szCs w:val="20"/>
              </w:rPr>
              <w:t xml:space="preserve">Month 24 </w:t>
            </w:r>
          </w:p>
        </w:tc>
      </w:tr>
      <w:tr w:rsidR="002A6DDD" w:rsidRPr="00DC7B06" w14:paraId="50DC5F3E" w14:textId="77777777" w:rsidTr="00690CB2">
        <w:trPr>
          <w:trHeight w:val="284"/>
        </w:trPr>
        <w:tc>
          <w:tcPr>
            <w:tcW w:w="1429" w:type="pct"/>
            <w:vAlign w:val="center"/>
          </w:tcPr>
          <w:p w14:paraId="7B829B50" w14:textId="77777777" w:rsidR="00D42509" w:rsidRDefault="002A6DDD" w:rsidP="00EA68BB">
            <w:pPr>
              <w:keepNext/>
              <w:keepLines/>
              <w:ind w:left="314"/>
              <w:jc w:val="left"/>
              <w:rPr>
                <w:rFonts w:ascii="Arial Narrow" w:eastAsiaTheme="majorEastAsia" w:hAnsi="Arial Narrow" w:cs="Times New Roman"/>
                <w:bCs/>
                <w:iCs/>
                <w:sz w:val="20"/>
                <w:szCs w:val="20"/>
                <w:lang w:val="en-US"/>
              </w:rPr>
            </w:pPr>
            <w:r>
              <w:rPr>
                <w:rFonts w:ascii="Arial Narrow" w:eastAsiaTheme="majorEastAsia" w:hAnsi="Arial Narrow" w:cs="Times New Roman"/>
                <w:bCs/>
                <w:iCs/>
                <w:sz w:val="20"/>
                <w:szCs w:val="20"/>
                <w:lang w:val="en-US"/>
              </w:rPr>
              <w:t>Hazard ratio</w:t>
            </w:r>
            <w:r w:rsidRPr="008E12EE">
              <w:rPr>
                <w:rFonts w:ascii="Arial Narrow" w:eastAsiaTheme="majorEastAsia" w:hAnsi="Arial Narrow" w:cs="Times New Roman"/>
                <w:bCs/>
                <w:iCs/>
                <w:sz w:val="20"/>
                <w:szCs w:val="20"/>
                <w:vertAlign w:val="superscript"/>
                <w:lang w:val="en-US"/>
              </w:rPr>
              <w:t>b</w:t>
            </w:r>
            <w:r>
              <w:rPr>
                <w:rFonts w:ascii="Arial Narrow" w:eastAsiaTheme="majorEastAsia" w:hAnsi="Arial Narrow" w:cs="Times New Roman"/>
                <w:bCs/>
                <w:iCs/>
                <w:sz w:val="20"/>
                <w:szCs w:val="20"/>
                <w:lang w:val="en-US"/>
              </w:rPr>
              <w:t xml:space="preserve"> </w:t>
            </w:r>
          </w:p>
          <w:p w14:paraId="129D981C" w14:textId="64B4DEDC" w:rsidR="002A6DDD" w:rsidRPr="00DD3690" w:rsidRDefault="002A6DDD" w:rsidP="00EA68BB">
            <w:pPr>
              <w:keepNext/>
              <w:keepLines/>
              <w:ind w:left="314"/>
              <w:jc w:val="left"/>
              <w:rPr>
                <w:rFonts w:ascii="Arial Narrow" w:eastAsiaTheme="majorEastAsia" w:hAnsi="Arial Narrow" w:cs="Times New Roman"/>
                <w:bCs/>
                <w:iCs/>
                <w:sz w:val="20"/>
                <w:szCs w:val="20"/>
              </w:rPr>
            </w:pPr>
            <w:r>
              <w:rPr>
                <w:rFonts w:ascii="Arial Narrow" w:eastAsiaTheme="majorEastAsia" w:hAnsi="Arial Narrow" w:cs="Times New Roman"/>
                <w:bCs/>
                <w:iCs/>
                <w:sz w:val="20"/>
                <w:szCs w:val="20"/>
                <w:lang w:val="en-US"/>
              </w:rPr>
              <w:t>(95% CI</w:t>
            </w:r>
            <w:r w:rsidR="00204A46">
              <w:rPr>
                <w:rFonts w:ascii="Arial Narrow" w:eastAsiaTheme="majorEastAsia" w:hAnsi="Arial Narrow" w:cs="Times New Roman"/>
                <w:bCs/>
                <w:iCs/>
                <w:sz w:val="20"/>
                <w:szCs w:val="20"/>
                <w:lang w:val="en-US"/>
              </w:rPr>
              <w:t>)</w:t>
            </w:r>
            <w:r w:rsidR="009F5813">
              <w:rPr>
                <w:rFonts w:ascii="Arial Narrow" w:eastAsiaTheme="majorEastAsia" w:hAnsi="Arial Narrow" w:cs="Times New Roman"/>
                <w:bCs/>
                <w:iCs/>
                <w:sz w:val="20"/>
                <w:szCs w:val="20"/>
                <w:lang w:val="en-US"/>
              </w:rPr>
              <w:t>;</w:t>
            </w:r>
            <w:r w:rsidR="00D42509">
              <w:rPr>
                <w:rFonts w:ascii="Arial Narrow" w:eastAsiaTheme="majorEastAsia" w:hAnsi="Arial Narrow" w:cs="Times New Roman"/>
                <w:bCs/>
                <w:iCs/>
                <w:sz w:val="20"/>
                <w:szCs w:val="20"/>
                <w:lang w:val="en-US"/>
              </w:rPr>
              <w:t xml:space="preserve"> </w:t>
            </w:r>
            <w:r w:rsidR="00D42509" w:rsidRPr="00A15CDF">
              <w:rPr>
                <w:rFonts w:ascii="Arial Narrow" w:eastAsiaTheme="majorEastAsia" w:hAnsi="Arial Narrow" w:cs="Times New Roman"/>
                <w:bCs/>
                <w:iCs/>
                <w:sz w:val="20"/>
                <w:szCs w:val="20"/>
                <w:lang w:val="en-US"/>
              </w:rPr>
              <w:t>p-value</w:t>
            </w:r>
          </w:p>
        </w:tc>
        <w:tc>
          <w:tcPr>
            <w:tcW w:w="3571" w:type="pct"/>
            <w:gridSpan w:val="4"/>
            <w:vAlign w:val="center"/>
          </w:tcPr>
          <w:p w14:paraId="42E11B2D" w14:textId="0522B4CE" w:rsidR="002A6DDD" w:rsidRDefault="002A6DDD" w:rsidP="00EA68BB">
            <w:pPr>
              <w:keepNext/>
              <w:keepLines/>
              <w:jc w:val="center"/>
              <w:rPr>
                <w:rFonts w:ascii="Arial Narrow" w:hAnsi="Arial Narrow"/>
                <w:sz w:val="20"/>
                <w:szCs w:val="20"/>
              </w:rPr>
            </w:pPr>
            <w:r w:rsidRPr="007149A1">
              <w:rPr>
                <w:rFonts w:ascii="Arial Narrow" w:hAnsi="Arial Narrow"/>
                <w:sz w:val="20"/>
                <w:szCs w:val="20"/>
              </w:rPr>
              <w:t xml:space="preserve">0.92 </w:t>
            </w:r>
            <w:r>
              <w:rPr>
                <w:rFonts w:ascii="Arial Narrow" w:hAnsi="Arial Narrow"/>
                <w:sz w:val="20"/>
                <w:szCs w:val="20"/>
              </w:rPr>
              <w:t>(</w:t>
            </w:r>
            <w:r w:rsidRPr="007149A1">
              <w:rPr>
                <w:rFonts w:ascii="Arial Narrow" w:hAnsi="Arial Narrow"/>
                <w:sz w:val="20"/>
                <w:szCs w:val="20"/>
              </w:rPr>
              <w:t>0.69, 1.22</w:t>
            </w:r>
            <w:r w:rsidR="006B6799">
              <w:rPr>
                <w:rFonts w:ascii="Arial Narrow" w:hAnsi="Arial Narrow"/>
                <w:sz w:val="20"/>
                <w:szCs w:val="20"/>
              </w:rPr>
              <w:t>)</w:t>
            </w:r>
            <w:r w:rsidR="009F5813">
              <w:rPr>
                <w:rFonts w:ascii="Arial Narrow" w:hAnsi="Arial Narrow"/>
                <w:sz w:val="20"/>
                <w:szCs w:val="20"/>
              </w:rPr>
              <w:t>;</w:t>
            </w:r>
            <w:r w:rsidR="00D42509">
              <w:rPr>
                <w:rFonts w:ascii="Arial Narrow" w:hAnsi="Arial Narrow"/>
                <w:sz w:val="20"/>
                <w:szCs w:val="20"/>
              </w:rPr>
              <w:t xml:space="preserve"> </w:t>
            </w:r>
            <w:r w:rsidR="006B6799">
              <w:rPr>
                <w:rFonts w:ascii="Arial Narrow" w:hAnsi="Arial Narrow"/>
                <w:sz w:val="20"/>
                <w:szCs w:val="20"/>
              </w:rPr>
              <w:t xml:space="preserve">p = </w:t>
            </w:r>
            <w:r w:rsidR="00D42509" w:rsidRPr="007149A1">
              <w:rPr>
                <w:rFonts w:ascii="Arial Narrow" w:hAnsi="Arial Narrow"/>
                <w:sz w:val="20"/>
                <w:szCs w:val="20"/>
              </w:rPr>
              <w:t>0.561</w:t>
            </w:r>
          </w:p>
        </w:tc>
      </w:tr>
      <w:tr w:rsidR="002A6DDD" w:rsidRPr="00DC7B06" w14:paraId="335EDA92" w14:textId="77777777" w:rsidTr="00690CB2">
        <w:trPr>
          <w:trHeight w:val="284"/>
        </w:trPr>
        <w:tc>
          <w:tcPr>
            <w:tcW w:w="1429" w:type="pct"/>
            <w:vAlign w:val="center"/>
          </w:tcPr>
          <w:p w14:paraId="112FAFC6" w14:textId="77777777" w:rsidR="002A6DDD" w:rsidRPr="00DD3690" w:rsidRDefault="002A6DDD" w:rsidP="00EA68BB">
            <w:pPr>
              <w:keepNext/>
              <w:keepLines/>
              <w:jc w:val="left"/>
              <w:rPr>
                <w:rFonts w:ascii="Arial Narrow" w:eastAsiaTheme="majorEastAsia" w:hAnsi="Arial Narrow" w:cs="Times New Roman"/>
                <w:bCs/>
                <w:iCs/>
                <w:sz w:val="20"/>
                <w:szCs w:val="20"/>
              </w:rPr>
            </w:pPr>
          </w:p>
        </w:tc>
        <w:tc>
          <w:tcPr>
            <w:tcW w:w="1745" w:type="pct"/>
            <w:gridSpan w:val="2"/>
            <w:vAlign w:val="center"/>
          </w:tcPr>
          <w:p w14:paraId="6D77085B" w14:textId="70E2A5BF" w:rsidR="002A6DDD" w:rsidRDefault="002A6DDD" w:rsidP="00EA68BB">
            <w:pPr>
              <w:keepNext/>
              <w:keepLines/>
              <w:jc w:val="center"/>
              <w:rPr>
                <w:rFonts w:ascii="Arial Narrow" w:hAnsi="Arial Narrow"/>
                <w:sz w:val="20"/>
                <w:szCs w:val="20"/>
              </w:rPr>
            </w:pPr>
            <w:r>
              <w:rPr>
                <w:rFonts w:ascii="Arial Narrow" w:eastAsiaTheme="majorEastAsia" w:hAnsi="Arial Narrow" w:cs="Times New Roman"/>
                <w:bCs/>
                <w:iCs/>
                <w:sz w:val="20"/>
                <w:szCs w:val="20"/>
              </w:rPr>
              <w:t xml:space="preserve">Month 43 </w:t>
            </w:r>
          </w:p>
        </w:tc>
        <w:tc>
          <w:tcPr>
            <w:tcW w:w="1826" w:type="pct"/>
            <w:gridSpan w:val="2"/>
            <w:vAlign w:val="center"/>
          </w:tcPr>
          <w:p w14:paraId="0A888B90" w14:textId="41FD808E" w:rsidR="002A6DDD" w:rsidRDefault="002A6DDD" w:rsidP="00EA68BB">
            <w:pPr>
              <w:keepNext/>
              <w:keepLines/>
              <w:jc w:val="center"/>
              <w:rPr>
                <w:rFonts w:ascii="Arial Narrow" w:hAnsi="Arial Narrow"/>
                <w:sz w:val="20"/>
                <w:szCs w:val="20"/>
              </w:rPr>
            </w:pPr>
            <w:r>
              <w:rPr>
                <w:rFonts w:ascii="Arial Narrow" w:hAnsi="Arial Narrow"/>
                <w:sz w:val="20"/>
                <w:szCs w:val="20"/>
              </w:rPr>
              <w:t xml:space="preserve">Month 36 </w:t>
            </w:r>
          </w:p>
        </w:tc>
      </w:tr>
      <w:tr w:rsidR="002A6DDD" w:rsidRPr="00DC7B06" w14:paraId="773925AC" w14:textId="77777777" w:rsidTr="00690CB2">
        <w:trPr>
          <w:trHeight w:val="284"/>
        </w:trPr>
        <w:tc>
          <w:tcPr>
            <w:tcW w:w="1429" w:type="pct"/>
            <w:vAlign w:val="center"/>
          </w:tcPr>
          <w:p w14:paraId="5EC3127D" w14:textId="77777777" w:rsidR="00D42509" w:rsidRDefault="002A6DDD" w:rsidP="00EA68BB">
            <w:pPr>
              <w:keepNext/>
              <w:keepLines/>
              <w:ind w:left="314"/>
              <w:jc w:val="left"/>
              <w:rPr>
                <w:rFonts w:ascii="Arial Narrow" w:eastAsiaTheme="majorEastAsia" w:hAnsi="Arial Narrow" w:cs="Times New Roman"/>
                <w:bCs/>
                <w:iCs/>
                <w:sz w:val="20"/>
                <w:szCs w:val="20"/>
                <w:lang w:val="en-US"/>
              </w:rPr>
            </w:pPr>
            <w:r>
              <w:rPr>
                <w:rFonts w:ascii="Arial Narrow" w:eastAsiaTheme="majorEastAsia" w:hAnsi="Arial Narrow" w:cs="Times New Roman"/>
                <w:bCs/>
                <w:iCs/>
                <w:sz w:val="20"/>
                <w:szCs w:val="20"/>
                <w:lang w:val="en-US"/>
              </w:rPr>
              <w:t>Hazard ratio</w:t>
            </w:r>
            <w:r w:rsidRPr="008E12EE">
              <w:rPr>
                <w:rFonts w:ascii="Arial Narrow" w:eastAsiaTheme="majorEastAsia" w:hAnsi="Arial Narrow" w:cs="Times New Roman"/>
                <w:bCs/>
                <w:iCs/>
                <w:sz w:val="20"/>
                <w:szCs w:val="20"/>
                <w:vertAlign w:val="superscript"/>
                <w:lang w:val="en-US"/>
              </w:rPr>
              <w:t>b</w:t>
            </w:r>
            <w:r>
              <w:rPr>
                <w:rFonts w:ascii="Arial Narrow" w:eastAsiaTheme="majorEastAsia" w:hAnsi="Arial Narrow" w:cs="Times New Roman"/>
                <w:bCs/>
                <w:iCs/>
                <w:sz w:val="20"/>
                <w:szCs w:val="20"/>
                <w:lang w:val="en-US"/>
              </w:rPr>
              <w:t xml:space="preserve"> </w:t>
            </w:r>
          </w:p>
          <w:p w14:paraId="16D75551" w14:textId="687BCBB5" w:rsidR="002A6DDD" w:rsidRPr="00DD3690" w:rsidRDefault="002A6DDD" w:rsidP="00EA68BB">
            <w:pPr>
              <w:keepNext/>
              <w:keepLines/>
              <w:ind w:left="314"/>
              <w:jc w:val="left"/>
              <w:rPr>
                <w:rFonts w:ascii="Arial Narrow" w:eastAsiaTheme="majorEastAsia" w:hAnsi="Arial Narrow" w:cs="Times New Roman"/>
                <w:bCs/>
                <w:iCs/>
                <w:sz w:val="20"/>
                <w:szCs w:val="20"/>
              </w:rPr>
            </w:pPr>
            <w:r>
              <w:rPr>
                <w:rFonts w:ascii="Arial Narrow" w:eastAsiaTheme="majorEastAsia" w:hAnsi="Arial Narrow" w:cs="Times New Roman"/>
                <w:bCs/>
                <w:iCs/>
                <w:sz w:val="20"/>
                <w:szCs w:val="20"/>
                <w:lang w:val="en-US"/>
              </w:rPr>
              <w:t>(95% CI</w:t>
            </w:r>
            <w:r w:rsidR="00204A46">
              <w:rPr>
                <w:rFonts w:ascii="Arial Narrow" w:eastAsiaTheme="majorEastAsia" w:hAnsi="Arial Narrow" w:cs="Times New Roman"/>
                <w:bCs/>
                <w:iCs/>
                <w:sz w:val="20"/>
                <w:szCs w:val="20"/>
                <w:lang w:val="en-US"/>
              </w:rPr>
              <w:t>)</w:t>
            </w:r>
            <w:r w:rsidR="0062349A">
              <w:rPr>
                <w:rFonts w:ascii="Arial Narrow" w:eastAsiaTheme="majorEastAsia" w:hAnsi="Arial Narrow" w:cs="Times New Roman"/>
                <w:bCs/>
                <w:iCs/>
                <w:sz w:val="20"/>
                <w:szCs w:val="20"/>
                <w:lang w:val="en-US"/>
              </w:rPr>
              <w:t>;</w:t>
            </w:r>
            <w:r w:rsidR="00D42509">
              <w:rPr>
                <w:rFonts w:ascii="Arial Narrow" w:eastAsiaTheme="majorEastAsia" w:hAnsi="Arial Narrow" w:cs="Times New Roman"/>
                <w:bCs/>
                <w:iCs/>
                <w:sz w:val="20"/>
                <w:szCs w:val="20"/>
                <w:lang w:val="en-US"/>
              </w:rPr>
              <w:t xml:space="preserve"> </w:t>
            </w:r>
            <w:r w:rsidR="00D42509" w:rsidRPr="00A15CDF">
              <w:rPr>
                <w:rFonts w:ascii="Arial Narrow" w:eastAsiaTheme="majorEastAsia" w:hAnsi="Arial Narrow" w:cs="Times New Roman"/>
                <w:bCs/>
                <w:iCs/>
                <w:sz w:val="20"/>
                <w:szCs w:val="20"/>
                <w:lang w:val="en-US"/>
              </w:rPr>
              <w:t>p-value</w:t>
            </w:r>
          </w:p>
        </w:tc>
        <w:tc>
          <w:tcPr>
            <w:tcW w:w="3571" w:type="pct"/>
            <w:gridSpan w:val="4"/>
            <w:vAlign w:val="center"/>
          </w:tcPr>
          <w:p w14:paraId="5DF0BABF" w14:textId="49E0BD9F" w:rsidR="002A6DDD" w:rsidRDefault="002A6DDD" w:rsidP="00EA68BB">
            <w:pPr>
              <w:keepNext/>
              <w:keepLines/>
              <w:jc w:val="center"/>
              <w:rPr>
                <w:rFonts w:ascii="Arial Narrow" w:hAnsi="Arial Narrow"/>
                <w:sz w:val="20"/>
                <w:szCs w:val="20"/>
              </w:rPr>
            </w:pPr>
            <w:r w:rsidRPr="007149A1">
              <w:rPr>
                <w:rFonts w:ascii="Arial Narrow" w:hAnsi="Arial Narrow"/>
                <w:sz w:val="20"/>
                <w:szCs w:val="20"/>
              </w:rPr>
              <w:t xml:space="preserve">0.97 </w:t>
            </w:r>
            <w:r>
              <w:rPr>
                <w:rFonts w:ascii="Arial Narrow" w:hAnsi="Arial Narrow"/>
                <w:sz w:val="20"/>
                <w:szCs w:val="20"/>
              </w:rPr>
              <w:t>(</w:t>
            </w:r>
            <w:r w:rsidRPr="007149A1">
              <w:rPr>
                <w:rFonts w:ascii="Arial Narrow" w:hAnsi="Arial Narrow"/>
                <w:sz w:val="20"/>
                <w:szCs w:val="20"/>
              </w:rPr>
              <w:t>0.77, 1.22</w:t>
            </w:r>
            <w:r w:rsidR="006B6799">
              <w:rPr>
                <w:rFonts w:ascii="Arial Narrow" w:hAnsi="Arial Narrow"/>
                <w:sz w:val="20"/>
                <w:szCs w:val="20"/>
              </w:rPr>
              <w:t>)</w:t>
            </w:r>
            <w:r w:rsidR="009F5813">
              <w:rPr>
                <w:rFonts w:ascii="Arial Narrow" w:hAnsi="Arial Narrow"/>
                <w:sz w:val="20"/>
                <w:szCs w:val="20"/>
              </w:rPr>
              <w:t>;</w:t>
            </w:r>
            <w:r w:rsidR="00D42509">
              <w:rPr>
                <w:rFonts w:ascii="Arial Narrow" w:hAnsi="Arial Narrow"/>
                <w:sz w:val="20"/>
                <w:szCs w:val="20"/>
              </w:rPr>
              <w:t xml:space="preserve"> </w:t>
            </w:r>
            <w:r w:rsidR="006B6799">
              <w:rPr>
                <w:rFonts w:ascii="Arial Narrow" w:hAnsi="Arial Narrow"/>
                <w:sz w:val="20"/>
                <w:szCs w:val="20"/>
              </w:rPr>
              <w:t xml:space="preserve">p = </w:t>
            </w:r>
            <w:r w:rsidR="00D42509" w:rsidRPr="007149A1">
              <w:rPr>
                <w:rFonts w:ascii="Arial Narrow" w:hAnsi="Arial Narrow"/>
                <w:sz w:val="20"/>
                <w:szCs w:val="20"/>
              </w:rPr>
              <w:t>0.791</w:t>
            </w:r>
          </w:p>
        </w:tc>
      </w:tr>
    </w:tbl>
    <w:p w14:paraId="50C31D4E" w14:textId="77777777" w:rsidR="004E1DA8" w:rsidRPr="00FC3E67" w:rsidRDefault="004E1DA8" w:rsidP="00A65196">
      <w:pPr>
        <w:rPr>
          <w:rFonts w:ascii="Arial Narrow" w:hAnsi="Arial Narrow"/>
          <w:sz w:val="18"/>
          <w:szCs w:val="18"/>
        </w:rPr>
      </w:pPr>
      <w:r w:rsidRPr="00FC3E67">
        <w:rPr>
          <w:rFonts w:ascii="Arial Narrow" w:hAnsi="Arial Narrow"/>
          <w:sz w:val="18"/>
          <w:szCs w:val="18"/>
        </w:rPr>
        <w:t>Source: Table 2-32, 2-33, 2-36, pp122-123, 127 of the submission</w:t>
      </w:r>
    </w:p>
    <w:p w14:paraId="6848193E" w14:textId="28CE2790" w:rsidR="004E1DA8" w:rsidRDefault="004E1DA8" w:rsidP="00A65196">
      <w:pPr>
        <w:rPr>
          <w:rFonts w:ascii="Arial Narrow" w:hAnsi="Arial Narrow"/>
          <w:sz w:val="18"/>
          <w:szCs w:val="18"/>
        </w:rPr>
      </w:pPr>
      <w:r>
        <w:rPr>
          <w:rFonts w:ascii="Arial Narrow" w:hAnsi="Arial Narrow"/>
          <w:sz w:val="18"/>
          <w:szCs w:val="18"/>
        </w:rPr>
        <w:t>CI = confidence interval;</w:t>
      </w:r>
      <w:r w:rsidR="00A65196">
        <w:rPr>
          <w:rFonts w:ascii="Arial Narrow" w:hAnsi="Arial Narrow"/>
          <w:sz w:val="18"/>
          <w:szCs w:val="18"/>
        </w:rPr>
        <w:t xml:space="preserve"> GCP = Good Clinical Practice;</w:t>
      </w:r>
      <w:r>
        <w:rPr>
          <w:rFonts w:ascii="Arial Narrow" w:hAnsi="Arial Narrow"/>
          <w:sz w:val="18"/>
          <w:szCs w:val="18"/>
        </w:rPr>
        <w:t xml:space="preserve"> </w:t>
      </w:r>
      <w:r w:rsidRPr="00FC3E67">
        <w:rPr>
          <w:rFonts w:ascii="Arial Narrow" w:hAnsi="Arial Narrow"/>
          <w:sz w:val="18"/>
          <w:szCs w:val="18"/>
        </w:rPr>
        <w:t>ITC = indirect treatment comparison</w:t>
      </w:r>
      <w:r>
        <w:rPr>
          <w:rFonts w:ascii="Arial Narrow" w:hAnsi="Arial Narrow"/>
          <w:sz w:val="18"/>
          <w:szCs w:val="18"/>
        </w:rPr>
        <w:t>; ITT = intent-to-treat</w:t>
      </w:r>
    </w:p>
    <w:p w14:paraId="30FD4C8C" w14:textId="1B936789" w:rsidR="004E1DA8" w:rsidRDefault="004E1DA8" w:rsidP="00A65196">
      <w:pPr>
        <w:rPr>
          <w:rFonts w:ascii="Arial Narrow" w:hAnsi="Arial Narrow"/>
          <w:sz w:val="18"/>
          <w:szCs w:val="18"/>
        </w:rPr>
      </w:pPr>
      <w:r w:rsidRPr="00FC3E67">
        <w:rPr>
          <w:rFonts w:ascii="Arial Narrow" w:hAnsi="Arial Narrow"/>
          <w:sz w:val="18"/>
          <w:szCs w:val="18"/>
          <w:vertAlign w:val="superscript"/>
        </w:rPr>
        <w:t>a</w:t>
      </w:r>
      <w:r>
        <w:rPr>
          <w:rFonts w:ascii="Arial Narrow" w:hAnsi="Arial Narrow"/>
          <w:sz w:val="18"/>
          <w:szCs w:val="18"/>
        </w:rPr>
        <w:t xml:space="preserve"> ITT population</w:t>
      </w:r>
      <w:r w:rsidR="00A65196">
        <w:rPr>
          <w:rFonts w:ascii="Arial Narrow" w:hAnsi="Arial Narrow"/>
          <w:sz w:val="18"/>
          <w:szCs w:val="18"/>
        </w:rPr>
        <w:t xml:space="preserve"> excluding the </w:t>
      </w:r>
      <w:r w:rsidR="00F82679">
        <w:rPr>
          <w:rFonts w:ascii="Arial Narrow" w:hAnsi="Arial Narrow"/>
          <w:sz w:val="18"/>
          <w:szCs w:val="18"/>
        </w:rPr>
        <w:t>t</w:t>
      </w:r>
      <w:r w:rsidR="00A65196">
        <w:rPr>
          <w:rFonts w:ascii="Arial Narrow" w:hAnsi="Arial Narrow"/>
          <w:sz w:val="18"/>
          <w:szCs w:val="18"/>
        </w:rPr>
        <w:t>w</w:t>
      </w:r>
      <w:r w:rsidR="00F82679">
        <w:rPr>
          <w:rFonts w:ascii="Arial Narrow" w:hAnsi="Arial Narrow"/>
          <w:sz w:val="18"/>
          <w:szCs w:val="18"/>
        </w:rPr>
        <w:t>o</w:t>
      </w:r>
      <w:r w:rsidR="00A65196">
        <w:rPr>
          <w:rFonts w:ascii="Arial Narrow" w:hAnsi="Arial Narrow"/>
          <w:sz w:val="18"/>
          <w:szCs w:val="18"/>
        </w:rPr>
        <w:t xml:space="preserve"> non-GCP sites</w:t>
      </w:r>
    </w:p>
    <w:p w14:paraId="61E0C602" w14:textId="31743F0E" w:rsidR="00247925" w:rsidRDefault="004E1DA8" w:rsidP="008D4AD5">
      <w:pPr>
        <w:rPr>
          <w:rFonts w:ascii="Arial Narrow" w:hAnsi="Arial Narrow"/>
          <w:sz w:val="18"/>
          <w:szCs w:val="18"/>
        </w:rPr>
      </w:pPr>
      <w:r w:rsidRPr="008E12EE">
        <w:rPr>
          <w:rFonts w:ascii="Arial Narrow" w:hAnsi="Arial Narrow"/>
          <w:sz w:val="18"/>
          <w:szCs w:val="18"/>
          <w:vertAlign w:val="superscript"/>
        </w:rPr>
        <w:t>b</w:t>
      </w:r>
      <w:r>
        <w:rPr>
          <w:rFonts w:ascii="Arial Narrow" w:hAnsi="Arial Narrow"/>
          <w:sz w:val="18"/>
          <w:szCs w:val="18"/>
        </w:rPr>
        <w:t xml:space="preserve"> H</w:t>
      </w:r>
      <w:r w:rsidRPr="008E12EE">
        <w:rPr>
          <w:rFonts w:ascii="Arial Narrow" w:hAnsi="Arial Narrow"/>
          <w:sz w:val="18"/>
          <w:szCs w:val="18"/>
        </w:rPr>
        <w:t>azard ratio from a Cox model</w:t>
      </w:r>
    </w:p>
    <w:p w14:paraId="01EB4E2B" w14:textId="77777777" w:rsidR="004964E5" w:rsidRDefault="004964E5" w:rsidP="008D4AD5">
      <w:pPr>
        <w:rPr>
          <w:rFonts w:ascii="Arial Narrow" w:hAnsi="Arial Narrow"/>
          <w:sz w:val="18"/>
          <w:szCs w:val="18"/>
        </w:rPr>
      </w:pPr>
    </w:p>
    <w:p w14:paraId="37B66100" w14:textId="33363889" w:rsidR="004964E5" w:rsidRPr="00F25E15" w:rsidRDefault="004964E5" w:rsidP="004964E5">
      <w:pPr>
        <w:pStyle w:val="3-BodyText"/>
      </w:pPr>
      <w:r w:rsidRPr="00F25E15">
        <w:t xml:space="preserve">Although </w:t>
      </w:r>
      <w:r w:rsidR="00A45338" w:rsidRPr="00F25E15">
        <w:t xml:space="preserve">the direction of the effects in the indirect comparisons </w:t>
      </w:r>
      <w:r w:rsidR="00B50B6E" w:rsidRPr="00F25E15">
        <w:t>showed improved residual efficacy of abaloparatide in</w:t>
      </w:r>
      <w:r w:rsidR="00A45338" w:rsidRPr="00F25E15">
        <w:t xml:space="preserve"> </w:t>
      </w:r>
      <w:r w:rsidR="00B50B6E" w:rsidRPr="00F25E15">
        <w:t xml:space="preserve">reducing fractures compared to romosozumab, </w:t>
      </w:r>
      <w:r w:rsidR="007F3D01" w:rsidRPr="002D1311">
        <w:t>the evaluation noted that</w:t>
      </w:r>
      <w:r w:rsidR="00AF34C3" w:rsidRPr="002D1311">
        <w:t xml:space="preserve"> the reliability of the results of the indirect comparison may have been impacted by the transitivity issues between the two trials and the results should be interpreted with caution.</w:t>
      </w:r>
      <w:r w:rsidR="007F3D01" w:rsidRPr="002D1311">
        <w:t xml:space="preserve"> </w:t>
      </w:r>
      <w:r w:rsidR="00F70E95" w:rsidRPr="002D1311">
        <w:t>The transitivity issues comprise</w:t>
      </w:r>
      <w:r w:rsidR="00F70E95" w:rsidRPr="00F70E95">
        <w:rPr>
          <w:i/>
          <w:iCs/>
        </w:rPr>
        <w:t xml:space="preserve"> </w:t>
      </w:r>
      <w:r w:rsidR="00B50B6E" w:rsidRPr="00F25E15">
        <w:t xml:space="preserve">the </w:t>
      </w:r>
      <w:proofErr w:type="gramStart"/>
      <w:r w:rsidR="00B50B6E" w:rsidRPr="00F25E15">
        <w:t>aforementioned differences</w:t>
      </w:r>
      <w:proofErr w:type="gramEnd"/>
      <w:r w:rsidR="00B50B6E" w:rsidRPr="00F25E15">
        <w:t xml:space="preserve"> identified across the ACTIVE and FRAME trials (i.e., the differences in patients’ prevalence of vertebral fracture and history of past fractures at baseline, risk for further fractures at baseline, BMD T-score requirements for trial inclusion, treatment period, treatment sequence, definition of the clinical fracture endpoint, and timing and frequency of fracture assessment)</w:t>
      </w:r>
      <w:r w:rsidR="00711D03">
        <w:t>.</w:t>
      </w:r>
      <w:r w:rsidR="00B50B6E" w:rsidRPr="00F25E15">
        <w:t xml:space="preserve"> </w:t>
      </w:r>
    </w:p>
    <w:p w14:paraId="1452C351" w14:textId="0D19F1B0" w:rsidR="00B60939" w:rsidRDefault="00B60939" w:rsidP="00D86231">
      <w:pPr>
        <w:pStyle w:val="4-SubsectionHeading"/>
      </w:pPr>
      <w:bookmarkStart w:id="36" w:name="_Toc22897642"/>
      <w:bookmarkStart w:id="37" w:name="_Toc198219106"/>
      <w:r w:rsidRPr="00D86D87">
        <w:t>Comparative harms</w:t>
      </w:r>
      <w:bookmarkEnd w:id="36"/>
      <w:bookmarkEnd w:id="37"/>
    </w:p>
    <w:p w14:paraId="15982ACE" w14:textId="7EF6E46F" w:rsidR="003D4ACE" w:rsidRPr="00134998" w:rsidRDefault="003D4ACE" w:rsidP="003D4ACE">
      <w:pPr>
        <w:pStyle w:val="3-BodyText"/>
      </w:pPr>
      <w:r w:rsidRPr="00134998">
        <w:t>There was no indirect comparison of the safety of abaloparatide v</w:t>
      </w:r>
      <w:r w:rsidR="00C1529A" w:rsidRPr="00134998">
        <w:t>ersu</w:t>
      </w:r>
      <w:r w:rsidRPr="00134998">
        <w:t>s romosozumab presented in the submission.</w:t>
      </w:r>
      <w:r w:rsidR="00427798" w:rsidRPr="00134998">
        <w:t xml:space="preserve"> The respective safety analyses of the individual agents</w:t>
      </w:r>
      <w:r w:rsidR="00FF0738" w:rsidRPr="00134998">
        <w:t xml:space="preserve"> (using the ACTIVE trial for abaloparatide and pooled safety data from the romosozumab PI)</w:t>
      </w:r>
      <w:r w:rsidR="00E744FF" w:rsidRPr="00134998">
        <w:t xml:space="preserve"> </w:t>
      </w:r>
      <w:r w:rsidR="00427798" w:rsidRPr="00134998">
        <w:t>are discussed below.</w:t>
      </w:r>
    </w:p>
    <w:p w14:paraId="311F579D" w14:textId="4F70A622" w:rsidR="00C6342A" w:rsidRPr="00C6342A" w:rsidRDefault="00C6342A" w:rsidP="00C6342A">
      <w:pPr>
        <w:pStyle w:val="5-SubsectionSubheading"/>
        <w:rPr>
          <w:lang w:eastAsia="en-US"/>
        </w:rPr>
      </w:pPr>
      <w:r>
        <w:rPr>
          <w:lang w:eastAsia="en-US"/>
        </w:rPr>
        <w:t>Abaloparatide safety</w:t>
      </w:r>
    </w:p>
    <w:bookmarkStart w:id="38" w:name="_Hlk104801403"/>
    <w:p w14:paraId="2DAF16D1" w14:textId="686EDD1F" w:rsidR="00B60939" w:rsidRPr="00D86D87" w:rsidRDefault="00FE0077" w:rsidP="00D86231">
      <w:pPr>
        <w:pStyle w:val="3-BodyText"/>
        <w:rPr>
          <w:color w:val="0066FF"/>
        </w:rPr>
      </w:pPr>
      <w:r>
        <w:rPr>
          <w:rFonts w:cstheme="minorHAnsi"/>
          <w:szCs w:val="24"/>
        </w:rPr>
        <w:fldChar w:fldCharType="begin"/>
      </w:r>
      <w:r>
        <w:rPr>
          <w:rFonts w:cstheme="minorHAnsi"/>
          <w:szCs w:val="24"/>
        </w:rPr>
        <w:instrText xml:space="preserve"> REF _Ref195782737 \h </w:instrText>
      </w:r>
      <w:r>
        <w:rPr>
          <w:rFonts w:cstheme="minorHAnsi"/>
          <w:szCs w:val="24"/>
        </w:rPr>
      </w:r>
      <w:r>
        <w:rPr>
          <w:rFonts w:cstheme="minorHAnsi"/>
          <w:szCs w:val="24"/>
        </w:rPr>
        <w:fldChar w:fldCharType="separate"/>
      </w:r>
      <w:r w:rsidR="005B625A" w:rsidRPr="00D86D87">
        <w:t xml:space="preserve">Table </w:t>
      </w:r>
      <w:r w:rsidR="005B625A">
        <w:rPr>
          <w:noProof/>
        </w:rPr>
        <w:t>7</w:t>
      </w:r>
      <w:r>
        <w:rPr>
          <w:rFonts w:cstheme="minorHAnsi"/>
          <w:szCs w:val="24"/>
        </w:rPr>
        <w:fldChar w:fldCharType="end"/>
      </w:r>
      <w:r w:rsidR="00035A3F">
        <w:rPr>
          <w:rFonts w:cstheme="minorHAnsi"/>
          <w:szCs w:val="24"/>
        </w:rPr>
        <w:t xml:space="preserve"> </w:t>
      </w:r>
      <w:r w:rsidR="00B708F4" w:rsidRPr="008711F6">
        <w:rPr>
          <w:rFonts w:cstheme="minorHAnsi"/>
          <w:szCs w:val="24"/>
        </w:rPr>
        <w:t xml:space="preserve">summarises the </w:t>
      </w:r>
      <w:r w:rsidR="00B708F4" w:rsidRPr="008711F6">
        <w:rPr>
          <w:rFonts w:cstheme="minorHAnsi"/>
          <w:color w:val="000000" w:themeColor="text1"/>
          <w:szCs w:val="24"/>
        </w:rPr>
        <w:t>overall treatment</w:t>
      </w:r>
      <w:r w:rsidR="00B708F4">
        <w:rPr>
          <w:rFonts w:cstheme="minorHAnsi"/>
          <w:color w:val="000000" w:themeColor="text1"/>
          <w:szCs w:val="24"/>
        </w:rPr>
        <w:t xml:space="preserve"> </w:t>
      </w:r>
      <w:r w:rsidR="00B708F4" w:rsidRPr="008711F6">
        <w:rPr>
          <w:rFonts w:cstheme="minorHAnsi"/>
          <w:color w:val="000000" w:themeColor="text1"/>
          <w:szCs w:val="24"/>
        </w:rPr>
        <w:t xml:space="preserve">emergent adverse events (TEAEs) in the </w:t>
      </w:r>
      <w:r w:rsidR="00B708F4">
        <w:rPr>
          <w:rFonts w:cstheme="minorHAnsi"/>
          <w:color w:val="000000" w:themeColor="text1"/>
          <w:szCs w:val="24"/>
        </w:rPr>
        <w:t>abaloparatide and placebo</w:t>
      </w:r>
      <w:r w:rsidR="00B708F4" w:rsidRPr="008711F6">
        <w:rPr>
          <w:rFonts w:cstheme="minorHAnsi"/>
          <w:color w:val="000000" w:themeColor="text1"/>
          <w:szCs w:val="24"/>
        </w:rPr>
        <w:t xml:space="preserve"> arms in </w:t>
      </w:r>
      <w:r w:rsidR="00DD3E30">
        <w:rPr>
          <w:rFonts w:cstheme="minorHAnsi"/>
          <w:color w:val="000000" w:themeColor="text1"/>
          <w:szCs w:val="24"/>
        </w:rPr>
        <w:t xml:space="preserve">the </w:t>
      </w:r>
      <w:r w:rsidR="00B708F4">
        <w:rPr>
          <w:rFonts w:cstheme="minorHAnsi"/>
          <w:color w:val="000000" w:themeColor="text1"/>
          <w:szCs w:val="24"/>
        </w:rPr>
        <w:t>ACTIVE</w:t>
      </w:r>
      <w:r w:rsidR="00DD3E30">
        <w:rPr>
          <w:rFonts w:cstheme="minorHAnsi"/>
          <w:color w:val="000000" w:themeColor="text1"/>
          <w:szCs w:val="24"/>
        </w:rPr>
        <w:t xml:space="preserve"> trial</w:t>
      </w:r>
      <w:r w:rsidR="008C7282" w:rsidRPr="00D86D87">
        <w:rPr>
          <w:color w:val="0066FF"/>
        </w:rPr>
        <w:t xml:space="preserve">. </w:t>
      </w:r>
      <w:bookmarkEnd w:id="38"/>
    </w:p>
    <w:p w14:paraId="04D5B77D" w14:textId="7A9A8695" w:rsidR="00327DD7" w:rsidRDefault="00FE0077" w:rsidP="00327DD7">
      <w:pPr>
        <w:pStyle w:val="TableFigureHeading"/>
      </w:pPr>
      <w:bookmarkStart w:id="39" w:name="_Ref195782737"/>
      <w:bookmarkStart w:id="40" w:name="_Ref195366468"/>
      <w:r w:rsidRPr="00D86D87">
        <w:t xml:space="preserve">Table </w:t>
      </w:r>
      <w:r w:rsidR="001C1C72">
        <w:fldChar w:fldCharType="begin"/>
      </w:r>
      <w:r w:rsidR="001C1C72">
        <w:instrText xml:space="preserve"> SEQ Table \* ARABIC </w:instrText>
      </w:r>
      <w:r w:rsidR="001C1C72">
        <w:fldChar w:fldCharType="separate"/>
      </w:r>
      <w:r w:rsidR="005B625A">
        <w:rPr>
          <w:noProof/>
        </w:rPr>
        <w:t>7</w:t>
      </w:r>
      <w:r w:rsidR="001C1C72">
        <w:rPr>
          <w:noProof/>
        </w:rPr>
        <w:fldChar w:fldCharType="end"/>
      </w:r>
      <w:bookmarkEnd w:id="39"/>
      <w:r w:rsidRPr="00D86D87">
        <w:t>:</w:t>
      </w:r>
      <w:r w:rsidRPr="00D86D87">
        <w:rPr>
          <w:rStyle w:val="CommentReference"/>
          <w:b/>
          <w:szCs w:val="24"/>
        </w:rPr>
        <w:t xml:space="preserve"> </w:t>
      </w:r>
      <w:bookmarkEnd w:id="40"/>
      <w:r w:rsidR="00327DD7" w:rsidRPr="00D86D87">
        <w:rPr>
          <w:rStyle w:val="CommentReference"/>
          <w:b/>
          <w:szCs w:val="24"/>
        </w:rPr>
        <w:t xml:space="preserve">Summary of key adverse events in </w:t>
      </w:r>
      <w:r w:rsidR="00327DD7">
        <w:rPr>
          <w:rStyle w:val="CommentReference"/>
          <w:b/>
          <w:szCs w:val="24"/>
        </w:rPr>
        <w:t>ACTIVE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7: Summary of key adverse events in ACTIVE"/>
      </w:tblPr>
      <w:tblGrid>
        <w:gridCol w:w="3524"/>
        <w:gridCol w:w="2714"/>
        <w:gridCol w:w="2779"/>
      </w:tblGrid>
      <w:tr w:rsidR="007C38A3" w:rsidRPr="00DC7B06" w14:paraId="7D55473F" w14:textId="77777777" w:rsidTr="007C38A3">
        <w:tc>
          <w:tcPr>
            <w:tcW w:w="1954" w:type="pct"/>
            <w:vAlign w:val="center"/>
          </w:tcPr>
          <w:p w14:paraId="79AC62E9" w14:textId="77777777" w:rsidR="007C38A3" w:rsidRPr="008408CA" w:rsidRDefault="007C38A3" w:rsidP="005224CD">
            <w:pPr>
              <w:keepNext/>
              <w:keepLines/>
              <w:jc w:val="left"/>
              <w:rPr>
                <w:rFonts w:ascii="Arial Narrow" w:eastAsiaTheme="majorEastAsia" w:hAnsi="Arial Narrow" w:cs="Times New Roman"/>
                <w:b/>
                <w:iCs/>
                <w:sz w:val="18"/>
                <w:szCs w:val="18"/>
                <w:lang w:val="en-US"/>
              </w:rPr>
            </w:pPr>
          </w:p>
        </w:tc>
        <w:tc>
          <w:tcPr>
            <w:tcW w:w="1505" w:type="pct"/>
            <w:vAlign w:val="center"/>
          </w:tcPr>
          <w:p w14:paraId="655B8871" w14:textId="77777777" w:rsidR="007C38A3" w:rsidRPr="008408CA" w:rsidRDefault="007C38A3" w:rsidP="005224CD">
            <w:pPr>
              <w:keepNext/>
              <w:keepLines/>
              <w:jc w:val="center"/>
              <w:rPr>
                <w:rFonts w:ascii="Arial Narrow" w:eastAsiaTheme="majorEastAsia" w:hAnsi="Arial Narrow" w:cs="Times New Roman"/>
                <w:b/>
                <w:iCs/>
                <w:sz w:val="18"/>
                <w:szCs w:val="18"/>
                <w:lang w:val="en-US"/>
              </w:rPr>
            </w:pPr>
            <w:r w:rsidRPr="008408CA">
              <w:rPr>
                <w:rFonts w:ascii="Arial Narrow" w:eastAsiaTheme="majorEastAsia" w:hAnsi="Arial Narrow" w:cs="Times New Roman"/>
                <w:b/>
                <w:iCs/>
                <w:sz w:val="18"/>
                <w:szCs w:val="18"/>
                <w:lang w:val="en-US"/>
              </w:rPr>
              <w:t>Abaloparatide</w:t>
            </w:r>
          </w:p>
          <w:p w14:paraId="038E4460" w14:textId="77777777" w:rsidR="007C38A3" w:rsidRDefault="007C38A3" w:rsidP="005224CD">
            <w:pPr>
              <w:keepNext/>
              <w:keepLines/>
              <w:jc w:val="center"/>
              <w:rPr>
                <w:rFonts w:ascii="Arial Narrow" w:eastAsiaTheme="majorEastAsia" w:hAnsi="Arial Narrow" w:cs="Times New Roman"/>
                <w:b/>
                <w:iCs/>
                <w:sz w:val="18"/>
                <w:szCs w:val="18"/>
                <w:lang w:val="en-US"/>
              </w:rPr>
            </w:pPr>
            <w:r w:rsidRPr="008408CA">
              <w:rPr>
                <w:rFonts w:ascii="Arial Narrow" w:eastAsiaTheme="majorEastAsia" w:hAnsi="Arial Narrow" w:cs="Times New Roman"/>
                <w:b/>
                <w:iCs/>
                <w:sz w:val="18"/>
                <w:szCs w:val="18"/>
                <w:lang w:val="en-US"/>
              </w:rPr>
              <w:t xml:space="preserve">(N = </w:t>
            </w:r>
            <w:r>
              <w:rPr>
                <w:rFonts w:ascii="Arial Narrow" w:eastAsiaTheme="majorEastAsia" w:hAnsi="Arial Narrow" w:cs="Times New Roman"/>
                <w:b/>
                <w:iCs/>
                <w:sz w:val="18"/>
                <w:szCs w:val="18"/>
                <w:lang w:val="en-US"/>
              </w:rPr>
              <w:t>694</w:t>
            </w:r>
            <w:r w:rsidRPr="008408CA">
              <w:rPr>
                <w:rFonts w:ascii="Arial Narrow" w:eastAsiaTheme="majorEastAsia" w:hAnsi="Arial Narrow" w:cs="Times New Roman"/>
                <w:b/>
                <w:iCs/>
                <w:sz w:val="18"/>
                <w:szCs w:val="18"/>
                <w:lang w:val="en-US"/>
              </w:rPr>
              <w:t>)</w:t>
            </w:r>
          </w:p>
          <w:p w14:paraId="03E1CAE1" w14:textId="77777777" w:rsidR="007C38A3" w:rsidRPr="008408CA" w:rsidRDefault="007C38A3" w:rsidP="005224CD">
            <w:pPr>
              <w:keepNext/>
              <w:keepLines/>
              <w:jc w:val="center"/>
              <w:rPr>
                <w:rFonts w:ascii="Arial Narrow" w:eastAsiaTheme="majorEastAsia" w:hAnsi="Arial Narrow" w:cs="Times New Roman"/>
                <w:b/>
                <w:iCs/>
                <w:sz w:val="18"/>
                <w:szCs w:val="18"/>
                <w:lang w:val="en-US"/>
              </w:rPr>
            </w:pPr>
            <w:r>
              <w:rPr>
                <w:rFonts w:ascii="Arial Narrow" w:eastAsiaTheme="majorEastAsia" w:hAnsi="Arial Narrow" w:cs="Times New Roman"/>
                <w:b/>
                <w:iCs/>
                <w:sz w:val="18"/>
                <w:szCs w:val="18"/>
                <w:lang w:val="en-US"/>
              </w:rPr>
              <w:t>n (%)</w:t>
            </w:r>
          </w:p>
        </w:tc>
        <w:tc>
          <w:tcPr>
            <w:tcW w:w="1542" w:type="pct"/>
            <w:vAlign w:val="center"/>
          </w:tcPr>
          <w:p w14:paraId="0830CF77" w14:textId="4B244057" w:rsidR="007C38A3" w:rsidRPr="008408CA" w:rsidRDefault="007C38A3" w:rsidP="005224CD">
            <w:pPr>
              <w:keepNext/>
              <w:keepLines/>
              <w:jc w:val="center"/>
              <w:rPr>
                <w:rFonts w:ascii="Arial Narrow" w:eastAsiaTheme="majorEastAsia" w:hAnsi="Arial Narrow" w:cs="Times New Roman"/>
                <w:b/>
                <w:iCs/>
                <w:sz w:val="18"/>
                <w:szCs w:val="18"/>
                <w:lang w:val="en-US"/>
              </w:rPr>
            </w:pPr>
            <w:r w:rsidRPr="008408CA">
              <w:rPr>
                <w:rFonts w:ascii="Arial Narrow" w:eastAsiaTheme="majorEastAsia" w:hAnsi="Arial Narrow" w:cs="Times New Roman"/>
                <w:b/>
                <w:iCs/>
                <w:sz w:val="18"/>
                <w:szCs w:val="18"/>
                <w:lang w:val="en-US"/>
              </w:rPr>
              <w:t>Placebo</w:t>
            </w:r>
            <w:r w:rsidR="00306E37">
              <w:rPr>
                <w:rFonts w:ascii="Arial Narrow" w:eastAsiaTheme="majorEastAsia" w:hAnsi="Arial Narrow" w:cs="Times New Roman"/>
                <w:b/>
                <w:iCs/>
                <w:sz w:val="18"/>
                <w:szCs w:val="18"/>
                <w:lang w:val="en-US"/>
              </w:rPr>
              <w:t xml:space="preserve"> </w:t>
            </w:r>
          </w:p>
          <w:p w14:paraId="5393C4C6" w14:textId="77777777" w:rsidR="007C38A3" w:rsidRDefault="007C38A3" w:rsidP="005224CD">
            <w:pPr>
              <w:keepNext/>
              <w:keepLines/>
              <w:jc w:val="center"/>
              <w:rPr>
                <w:rFonts w:ascii="Arial Narrow" w:eastAsiaTheme="majorEastAsia" w:hAnsi="Arial Narrow" w:cs="Times New Roman"/>
                <w:b/>
                <w:iCs/>
                <w:sz w:val="18"/>
                <w:szCs w:val="18"/>
                <w:lang w:val="en-US"/>
              </w:rPr>
            </w:pPr>
            <w:r w:rsidRPr="008408CA">
              <w:rPr>
                <w:rFonts w:ascii="Arial Narrow" w:eastAsiaTheme="majorEastAsia" w:hAnsi="Arial Narrow" w:cs="Times New Roman"/>
                <w:b/>
                <w:iCs/>
                <w:sz w:val="18"/>
                <w:szCs w:val="18"/>
                <w:lang w:val="en-US"/>
              </w:rPr>
              <w:t xml:space="preserve">(N = </w:t>
            </w:r>
            <w:r>
              <w:rPr>
                <w:rFonts w:ascii="Arial Narrow" w:eastAsiaTheme="majorEastAsia" w:hAnsi="Arial Narrow" w:cs="Times New Roman"/>
                <w:b/>
                <w:iCs/>
                <w:sz w:val="18"/>
                <w:szCs w:val="18"/>
                <w:lang w:val="en-US"/>
              </w:rPr>
              <w:t>687</w:t>
            </w:r>
            <w:r w:rsidRPr="008408CA">
              <w:rPr>
                <w:rFonts w:ascii="Arial Narrow" w:eastAsiaTheme="majorEastAsia" w:hAnsi="Arial Narrow" w:cs="Times New Roman"/>
                <w:b/>
                <w:iCs/>
                <w:sz w:val="18"/>
                <w:szCs w:val="18"/>
                <w:lang w:val="en-US"/>
              </w:rPr>
              <w:t>)</w:t>
            </w:r>
          </w:p>
          <w:p w14:paraId="66F0B0C6" w14:textId="77777777" w:rsidR="007C38A3" w:rsidRPr="008408CA" w:rsidRDefault="007C38A3" w:rsidP="005224CD">
            <w:pPr>
              <w:keepNext/>
              <w:keepLines/>
              <w:jc w:val="center"/>
              <w:rPr>
                <w:rFonts w:ascii="Arial Narrow" w:eastAsiaTheme="majorEastAsia" w:hAnsi="Arial Narrow" w:cs="Times New Roman"/>
                <w:b/>
                <w:iCs/>
                <w:sz w:val="18"/>
                <w:szCs w:val="18"/>
                <w:lang w:val="en-US"/>
              </w:rPr>
            </w:pPr>
            <w:r>
              <w:rPr>
                <w:rFonts w:ascii="Arial Narrow" w:eastAsiaTheme="majorEastAsia" w:hAnsi="Arial Narrow" w:cs="Times New Roman"/>
                <w:b/>
                <w:iCs/>
                <w:sz w:val="18"/>
                <w:szCs w:val="18"/>
                <w:lang w:val="en-US"/>
              </w:rPr>
              <w:t>n (%)</w:t>
            </w:r>
          </w:p>
        </w:tc>
      </w:tr>
      <w:tr w:rsidR="007C38A3" w:rsidRPr="00F35BB0" w14:paraId="43BDC939" w14:textId="77777777" w:rsidTr="007C38A3">
        <w:tc>
          <w:tcPr>
            <w:tcW w:w="1954" w:type="pct"/>
          </w:tcPr>
          <w:p w14:paraId="4B9B3F9C" w14:textId="21DCF285" w:rsidR="007C38A3" w:rsidRPr="00694F6C" w:rsidRDefault="007C38A3" w:rsidP="005224CD">
            <w:pPr>
              <w:widowControl w:val="0"/>
              <w:ind w:left="30"/>
              <w:jc w:val="left"/>
              <w:rPr>
                <w:rFonts w:ascii="Arial Narrow" w:eastAsiaTheme="majorEastAsia" w:hAnsi="Arial Narrow" w:cstheme="majorBidi"/>
                <w:sz w:val="20"/>
                <w:szCs w:val="20"/>
              </w:rPr>
            </w:pPr>
            <w:r w:rsidRPr="00694F6C">
              <w:rPr>
                <w:rFonts w:ascii="Arial Narrow" w:hAnsi="Arial Narrow"/>
                <w:sz w:val="20"/>
                <w:szCs w:val="20"/>
              </w:rPr>
              <w:t>At least 1 TEAE</w:t>
            </w:r>
          </w:p>
        </w:tc>
        <w:tc>
          <w:tcPr>
            <w:tcW w:w="1505" w:type="pct"/>
          </w:tcPr>
          <w:p w14:paraId="1DE42A1A" w14:textId="77777777" w:rsidR="007C38A3" w:rsidRPr="00694F6C" w:rsidRDefault="007C38A3" w:rsidP="005224CD">
            <w:pPr>
              <w:widowControl w:val="0"/>
              <w:jc w:val="center"/>
              <w:rPr>
                <w:rFonts w:ascii="Arial Narrow" w:eastAsiaTheme="majorEastAsia" w:hAnsi="Arial Narrow" w:cstheme="majorBidi"/>
                <w:sz w:val="20"/>
                <w:szCs w:val="20"/>
              </w:rPr>
            </w:pPr>
            <w:r w:rsidRPr="00694F6C">
              <w:rPr>
                <w:rFonts w:ascii="Arial Narrow" w:hAnsi="Arial Narrow"/>
                <w:sz w:val="20"/>
                <w:szCs w:val="20"/>
              </w:rPr>
              <w:t>627</w:t>
            </w:r>
            <w:r w:rsidRPr="00694F6C">
              <w:rPr>
                <w:rFonts w:ascii="Arial Narrow" w:hAnsi="Arial Narrow"/>
                <w:spacing w:val="-10"/>
                <w:sz w:val="20"/>
                <w:szCs w:val="20"/>
              </w:rPr>
              <w:t xml:space="preserve"> </w:t>
            </w:r>
            <w:r w:rsidRPr="00694F6C">
              <w:rPr>
                <w:rFonts w:ascii="Arial Narrow" w:hAnsi="Arial Narrow"/>
                <w:spacing w:val="-2"/>
                <w:sz w:val="20"/>
                <w:szCs w:val="20"/>
              </w:rPr>
              <w:t>(90.3)</w:t>
            </w:r>
          </w:p>
        </w:tc>
        <w:tc>
          <w:tcPr>
            <w:tcW w:w="1542" w:type="pct"/>
          </w:tcPr>
          <w:p w14:paraId="552FE689" w14:textId="77777777" w:rsidR="007C38A3" w:rsidRPr="00694F6C" w:rsidRDefault="007C38A3" w:rsidP="005224CD">
            <w:pPr>
              <w:widowControl w:val="0"/>
              <w:jc w:val="center"/>
              <w:rPr>
                <w:rFonts w:ascii="Arial Narrow" w:eastAsiaTheme="majorEastAsia" w:hAnsi="Arial Narrow" w:cstheme="majorBidi"/>
                <w:sz w:val="20"/>
                <w:szCs w:val="20"/>
              </w:rPr>
            </w:pPr>
            <w:r w:rsidRPr="00694F6C">
              <w:rPr>
                <w:rFonts w:ascii="Arial Narrow" w:hAnsi="Arial Narrow"/>
                <w:sz w:val="20"/>
                <w:szCs w:val="20"/>
              </w:rPr>
              <w:t>607</w:t>
            </w:r>
            <w:r w:rsidRPr="00694F6C">
              <w:rPr>
                <w:rFonts w:ascii="Arial Narrow" w:hAnsi="Arial Narrow"/>
                <w:spacing w:val="-10"/>
                <w:sz w:val="20"/>
                <w:szCs w:val="20"/>
              </w:rPr>
              <w:t xml:space="preserve"> </w:t>
            </w:r>
            <w:r w:rsidRPr="00694F6C">
              <w:rPr>
                <w:rFonts w:ascii="Arial Narrow" w:hAnsi="Arial Narrow"/>
                <w:spacing w:val="-2"/>
                <w:sz w:val="20"/>
                <w:szCs w:val="20"/>
              </w:rPr>
              <w:t>(88.4)</w:t>
            </w:r>
          </w:p>
        </w:tc>
      </w:tr>
      <w:tr w:rsidR="007C38A3" w:rsidRPr="00F35BB0" w14:paraId="4FE9A9D8" w14:textId="77777777" w:rsidTr="007C38A3">
        <w:tc>
          <w:tcPr>
            <w:tcW w:w="1954" w:type="pct"/>
          </w:tcPr>
          <w:p w14:paraId="62DD71A3" w14:textId="3450AC2A" w:rsidR="007C38A3" w:rsidRPr="00694F6C" w:rsidRDefault="007C38A3" w:rsidP="005224CD">
            <w:pPr>
              <w:widowControl w:val="0"/>
              <w:ind w:left="30"/>
              <w:jc w:val="left"/>
              <w:rPr>
                <w:rFonts w:ascii="Arial Narrow" w:eastAsiaTheme="majorEastAsia" w:hAnsi="Arial Narrow" w:cstheme="majorBidi"/>
                <w:sz w:val="20"/>
                <w:szCs w:val="20"/>
              </w:rPr>
            </w:pPr>
            <w:r w:rsidRPr="00694F6C">
              <w:rPr>
                <w:rFonts w:ascii="Arial Narrow" w:hAnsi="Arial Narrow"/>
                <w:sz w:val="20"/>
                <w:szCs w:val="20"/>
              </w:rPr>
              <w:t xml:space="preserve">At least 1 treatment-related TEAE </w:t>
            </w:r>
          </w:p>
        </w:tc>
        <w:tc>
          <w:tcPr>
            <w:tcW w:w="1505" w:type="pct"/>
          </w:tcPr>
          <w:p w14:paraId="645D6390" w14:textId="77777777" w:rsidR="007C38A3" w:rsidRPr="00694F6C" w:rsidRDefault="007C38A3" w:rsidP="005224CD">
            <w:pPr>
              <w:widowControl w:val="0"/>
              <w:jc w:val="center"/>
              <w:rPr>
                <w:rFonts w:ascii="Arial Narrow" w:eastAsiaTheme="majorEastAsia" w:hAnsi="Arial Narrow" w:cstheme="majorBidi"/>
                <w:sz w:val="20"/>
                <w:szCs w:val="20"/>
              </w:rPr>
            </w:pPr>
            <w:r w:rsidRPr="00694F6C">
              <w:rPr>
                <w:rFonts w:ascii="Arial Narrow" w:hAnsi="Arial Narrow"/>
                <w:sz w:val="20"/>
                <w:szCs w:val="20"/>
              </w:rPr>
              <w:t>296</w:t>
            </w:r>
            <w:r w:rsidRPr="00694F6C">
              <w:rPr>
                <w:rFonts w:ascii="Arial Narrow" w:hAnsi="Arial Narrow"/>
                <w:spacing w:val="-10"/>
                <w:sz w:val="20"/>
                <w:szCs w:val="20"/>
              </w:rPr>
              <w:t xml:space="preserve"> </w:t>
            </w:r>
            <w:r w:rsidRPr="00694F6C">
              <w:rPr>
                <w:rFonts w:ascii="Arial Narrow" w:hAnsi="Arial Narrow"/>
                <w:spacing w:val="-2"/>
                <w:sz w:val="20"/>
                <w:szCs w:val="20"/>
              </w:rPr>
              <w:t>(42.7)</w:t>
            </w:r>
          </w:p>
        </w:tc>
        <w:tc>
          <w:tcPr>
            <w:tcW w:w="1542" w:type="pct"/>
          </w:tcPr>
          <w:p w14:paraId="6DC173FC" w14:textId="77777777" w:rsidR="007C38A3" w:rsidRPr="00694F6C" w:rsidRDefault="007C38A3" w:rsidP="005224CD">
            <w:pPr>
              <w:widowControl w:val="0"/>
              <w:jc w:val="center"/>
              <w:rPr>
                <w:rFonts w:ascii="Arial Narrow" w:eastAsiaTheme="majorEastAsia" w:hAnsi="Arial Narrow" w:cstheme="majorBidi"/>
                <w:sz w:val="20"/>
                <w:szCs w:val="20"/>
              </w:rPr>
            </w:pPr>
            <w:r w:rsidRPr="00694F6C">
              <w:rPr>
                <w:rFonts w:ascii="Arial Narrow" w:hAnsi="Arial Narrow"/>
                <w:sz w:val="20"/>
                <w:szCs w:val="20"/>
              </w:rPr>
              <w:t>195</w:t>
            </w:r>
            <w:r w:rsidRPr="00694F6C">
              <w:rPr>
                <w:rFonts w:ascii="Arial Narrow" w:hAnsi="Arial Narrow"/>
                <w:spacing w:val="-10"/>
                <w:sz w:val="20"/>
                <w:szCs w:val="20"/>
              </w:rPr>
              <w:t xml:space="preserve"> </w:t>
            </w:r>
            <w:r w:rsidRPr="00694F6C">
              <w:rPr>
                <w:rFonts w:ascii="Arial Narrow" w:hAnsi="Arial Narrow"/>
                <w:spacing w:val="-2"/>
                <w:sz w:val="20"/>
                <w:szCs w:val="20"/>
              </w:rPr>
              <w:t>(28.4)</w:t>
            </w:r>
          </w:p>
        </w:tc>
      </w:tr>
      <w:tr w:rsidR="007C38A3" w:rsidRPr="00F35BB0" w14:paraId="69A44161" w14:textId="77777777" w:rsidTr="007C38A3">
        <w:tc>
          <w:tcPr>
            <w:tcW w:w="1954" w:type="pct"/>
          </w:tcPr>
          <w:p w14:paraId="5225B582" w14:textId="15E9848D" w:rsidR="007C38A3" w:rsidRPr="00694F6C" w:rsidRDefault="007C38A3" w:rsidP="005224CD">
            <w:pPr>
              <w:widowControl w:val="0"/>
              <w:ind w:left="30"/>
              <w:jc w:val="left"/>
              <w:rPr>
                <w:rFonts w:ascii="Arial Narrow" w:eastAsiaTheme="majorEastAsia" w:hAnsi="Arial Narrow" w:cstheme="majorBidi"/>
                <w:sz w:val="20"/>
                <w:szCs w:val="20"/>
              </w:rPr>
            </w:pPr>
            <w:r w:rsidRPr="00694F6C">
              <w:rPr>
                <w:rFonts w:ascii="Arial Narrow" w:hAnsi="Arial Narrow"/>
                <w:sz w:val="20"/>
                <w:szCs w:val="20"/>
              </w:rPr>
              <w:t>At least 1 Severe TEAE</w:t>
            </w:r>
          </w:p>
        </w:tc>
        <w:tc>
          <w:tcPr>
            <w:tcW w:w="1505" w:type="pct"/>
          </w:tcPr>
          <w:p w14:paraId="0BB1279A" w14:textId="77777777" w:rsidR="007C38A3" w:rsidRPr="00694F6C" w:rsidRDefault="007C38A3" w:rsidP="005224CD">
            <w:pPr>
              <w:widowControl w:val="0"/>
              <w:jc w:val="center"/>
              <w:rPr>
                <w:rFonts w:ascii="Arial Narrow" w:eastAsiaTheme="majorEastAsia" w:hAnsi="Arial Narrow" w:cstheme="majorBidi"/>
                <w:sz w:val="20"/>
                <w:szCs w:val="20"/>
              </w:rPr>
            </w:pPr>
            <w:r w:rsidRPr="00694F6C">
              <w:rPr>
                <w:rFonts w:ascii="Arial Narrow" w:hAnsi="Arial Narrow"/>
                <w:sz w:val="20"/>
                <w:szCs w:val="20"/>
              </w:rPr>
              <w:t>38</w:t>
            </w:r>
            <w:r w:rsidRPr="00694F6C">
              <w:rPr>
                <w:rFonts w:ascii="Arial Narrow" w:hAnsi="Arial Narrow"/>
                <w:spacing w:val="-7"/>
                <w:sz w:val="20"/>
                <w:szCs w:val="20"/>
              </w:rPr>
              <w:t xml:space="preserve"> </w:t>
            </w:r>
            <w:r w:rsidRPr="00694F6C">
              <w:rPr>
                <w:rFonts w:ascii="Arial Narrow" w:hAnsi="Arial Narrow"/>
                <w:spacing w:val="-2"/>
                <w:sz w:val="20"/>
                <w:szCs w:val="20"/>
              </w:rPr>
              <w:t>(5.5)</w:t>
            </w:r>
          </w:p>
        </w:tc>
        <w:tc>
          <w:tcPr>
            <w:tcW w:w="1542" w:type="pct"/>
          </w:tcPr>
          <w:p w14:paraId="2648FD96" w14:textId="77777777" w:rsidR="007C38A3" w:rsidRPr="00694F6C" w:rsidRDefault="007C38A3" w:rsidP="005224CD">
            <w:pPr>
              <w:widowControl w:val="0"/>
              <w:jc w:val="center"/>
              <w:rPr>
                <w:rFonts w:ascii="Arial Narrow" w:eastAsiaTheme="majorEastAsia" w:hAnsi="Arial Narrow" w:cstheme="majorBidi"/>
                <w:sz w:val="20"/>
                <w:szCs w:val="20"/>
              </w:rPr>
            </w:pPr>
            <w:r w:rsidRPr="00694F6C">
              <w:rPr>
                <w:rFonts w:ascii="Arial Narrow" w:hAnsi="Arial Narrow"/>
                <w:sz w:val="20"/>
                <w:szCs w:val="20"/>
              </w:rPr>
              <w:t>37</w:t>
            </w:r>
            <w:r w:rsidRPr="00694F6C">
              <w:rPr>
                <w:rFonts w:ascii="Arial Narrow" w:hAnsi="Arial Narrow"/>
                <w:spacing w:val="-7"/>
                <w:sz w:val="20"/>
                <w:szCs w:val="20"/>
              </w:rPr>
              <w:t xml:space="preserve"> </w:t>
            </w:r>
            <w:r w:rsidRPr="00694F6C">
              <w:rPr>
                <w:rFonts w:ascii="Arial Narrow" w:hAnsi="Arial Narrow"/>
                <w:spacing w:val="-2"/>
                <w:sz w:val="20"/>
                <w:szCs w:val="20"/>
              </w:rPr>
              <w:t>(5.4)</w:t>
            </w:r>
          </w:p>
        </w:tc>
      </w:tr>
      <w:tr w:rsidR="007C38A3" w:rsidRPr="00F35BB0" w14:paraId="32DB09CF" w14:textId="77777777" w:rsidTr="007C38A3">
        <w:tc>
          <w:tcPr>
            <w:tcW w:w="1954" w:type="pct"/>
          </w:tcPr>
          <w:p w14:paraId="5D6D05EC" w14:textId="3A8EDF07" w:rsidR="007C38A3" w:rsidRPr="00694F6C" w:rsidRDefault="007C38A3" w:rsidP="005224CD">
            <w:pPr>
              <w:widowControl w:val="0"/>
              <w:ind w:left="30"/>
              <w:jc w:val="left"/>
              <w:rPr>
                <w:rFonts w:ascii="Arial Narrow" w:eastAsiaTheme="majorEastAsia" w:hAnsi="Arial Narrow" w:cstheme="majorBidi"/>
                <w:sz w:val="20"/>
                <w:szCs w:val="20"/>
              </w:rPr>
            </w:pPr>
            <w:r w:rsidRPr="00694F6C">
              <w:rPr>
                <w:rFonts w:ascii="Arial Narrow" w:hAnsi="Arial Narrow"/>
                <w:sz w:val="20"/>
                <w:szCs w:val="20"/>
              </w:rPr>
              <w:t>At least 1 Severe treatment-related TEAE</w:t>
            </w:r>
          </w:p>
        </w:tc>
        <w:tc>
          <w:tcPr>
            <w:tcW w:w="1505" w:type="pct"/>
          </w:tcPr>
          <w:p w14:paraId="3A8906DA" w14:textId="77777777" w:rsidR="007C38A3" w:rsidRPr="00694F6C" w:rsidRDefault="007C38A3" w:rsidP="005224CD">
            <w:pPr>
              <w:widowControl w:val="0"/>
              <w:jc w:val="center"/>
              <w:rPr>
                <w:rFonts w:ascii="Arial Narrow" w:eastAsiaTheme="majorEastAsia" w:hAnsi="Arial Narrow" w:cstheme="majorBidi"/>
                <w:sz w:val="20"/>
                <w:szCs w:val="20"/>
              </w:rPr>
            </w:pPr>
            <w:r w:rsidRPr="00694F6C">
              <w:rPr>
                <w:rFonts w:ascii="Arial Narrow" w:hAnsi="Arial Narrow"/>
                <w:sz w:val="20"/>
                <w:szCs w:val="20"/>
              </w:rPr>
              <w:t>7</w:t>
            </w:r>
            <w:r w:rsidRPr="00694F6C">
              <w:rPr>
                <w:rFonts w:ascii="Arial Narrow" w:hAnsi="Arial Narrow"/>
                <w:spacing w:val="-4"/>
                <w:sz w:val="20"/>
                <w:szCs w:val="20"/>
              </w:rPr>
              <w:t xml:space="preserve"> </w:t>
            </w:r>
            <w:r w:rsidRPr="00694F6C">
              <w:rPr>
                <w:rFonts w:ascii="Arial Narrow" w:hAnsi="Arial Narrow"/>
                <w:spacing w:val="-2"/>
                <w:sz w:val="20"/>
                <w:szCs w:val="20"/>
              </w:rPr>
              <w:t>(1.0)</w:t>
            </w:r>
          </w:p>
        </w:tc>
        <w:tc>
          <w:tcPr>
            <w:tcW w:w="1542" w:type="pct"/>
          </w:tcPr>
          <w:p w14:paraId="35D8A40D" w14:textId="77777777" w:rsidR="007C38A3" w:rsidRPr="00694F6C" w:rsidRDefault="007C38A3" w:rsidP="005224CD">
            <w:pPr>
              <w:widowControl w:val="0"/>
              <w:jc w:val="center"/>
              <w:rPr>
                <w:rFonts w:ascii="Arial Narrow" w:eastAsiaTheme="majorEastAsia" w:hAnsi="Arial Narrow" w:cstheme="majorBidi"/>
                <w:sz w:val="20"/>
                <w:szCs w:val="20"/>
              </w:rPr>
            </w:pPr>
            <w:r w:rsidRPr="00694F6C">
              <w:rPr>
                <w:rFonts w:ascii="Arial Narrow" w:hAnsi="Arial Narrow"/>
                <w:sz w:val="20"/>
                <w:szCs w:val="20"/>
              </w:rPr>
              <w:t>2</w:t>
            </w:r>
            <w:r w:rsidRPr="00694F6C">
              <w:rPr>
                <w:rFonts w:ascii="Arial Narrow" w:hAnsi="Arial Narrow"/>
                <w:spacing w:val="-4"/>
                <w:sz w:val="20"/>
                <w:szCs w:val="20"/>
              </w:rPr>
              <w:t xml:space="preserve"> </w:t>
            </w:r>
            <w:r w:rsidRPr="00694F6C">
              <w:rPr>
                <w:rFonts w:ascii="Arial Narrow" w:hAnsi="Arial Narrow"/>
                <w:spacing w:val="-2"/>
                <w:sz w:val="20"/>
                <w:szCs w:val="20"/>
              </w:rPr>
              <w:t>(0.3)</w:t>
            </w:r>
          </w:p>
        </w:tc>
      </w:tr>
      <w:tr w:rsidR="007C38A3" w:rsidRPr="00F35BB0" w14:paraId="75378B85" w14:textId="77777777" w:rsidTr="007C38A3">
        <w:tc>
          <w:tcPr>
            <w:tcW w:w="1954" w:type="pct"/>
          </w:tcPr>
          <w:p w14:paraId="18141A3A" w14:textId="160EE62A" w:rsidR="007C38A3" w:rsidRPr="00694F6C" w:rsidRDefault="007C38A3" w:rsidP="005224CD">
            <w:pPr>
              <w:widowControl w:val="0"/>
              <w:ind w:left="30"/>
              <w:jc w:val="left"/>
              <w:rPr>
                <w:rFonts w:ascii="Arial Narrow" w:eastAsiaTheme="majorEastAsia" w:hAnsi="Arial Narrow" w:cstheme="majorBidi"/>
                <w:sz w:val="20"/>
                <w:szCs w:val="20"/>
              </w:rPr>
            </w:pPr>
            <w:r w:rsidRPr="00694F6C">
              <w:rPr>
                <w:rFonts w:ascii="Arial Narrow" w:hAnsi="Arial Narrow"/>
                <w:sz w:val="20"/>
                <w:szCs w:val="20"/>
              </w:rPr>
              <w:t>At least 1 Serious TEAE</w:t>
            </w:r>
          </w:p>
        </w:tc>
        <w:tc>
          <w:tcPr>
            <w:tcW w:w="1505" w:type="pct"/>
          </w:tcPr>
          <w:p w14:paraId="563ED63F" w14:textId="77777777" w:rsidR="007C38A3" w:rsidRPr="00694F6C" w:rsidRDefault="007C38A3" w:rsidP="005224CD">
            <w:pPr>
              <w:widowControl w:val="0"/>
              <w:jc w:val="center"/>
              <w:rPr>
                <w:rFonts w:ascii="Arial Narrow" w:eastAsiaTheme="majorEastAsia" w:hAnsi="Arial Narrow" w:cstheme="majorBidi"/>
                <w:sz w:val="20"/>
                <w:szCs w:val="20"/>
              </w:rPr>
            </w:pPr>
            <w:r w:rsidRPr="00694F6C">
              <w:rPr>
                <w:rFonts w:ascii="Arial Narrow" w:hAnsi="Arial Narrow"/>
                <w:sz w:val="20"/>
                <w:szCs w:val="20"/>
              </w:rPr>
              <w:t>62</w:t>
            </w:r>
            <w:r w:rsidRPr="00694F6C">
              <w:rPr>
                <w:rFonts w:ascii="Arial Narrow" w:hAnsi="Arial Narrow"/>
                <w:spacing w:val="-7"/>
                <w:sz w:val="20"/>
                <w:szCs w:val="20"/>
              </w:rPr>
              <w:t xml:space="preserve"> </w:t>
            </w:r>
            <w:r w:rsidRPr="00694F6C">
              <w:rPr>
                <w:rFonts w:ascii="Arial Narrow" w:hAnsi="Arial Narrow"/>
                <w:spacing w:val="-2"/>
                <w:sz w:val="20"/>
                <w:szCs w:val="20"/>
              </w:rPr>
              <w:t>(8.9)</w:t>
            </w:r>
          </w:p>
        </w:tc>
        <w:tc>
          <w:tcPr>
            <w:tcW w:w="1542" w:type="pct"/>
          </w:tcPr>
          <w:p w14:paraId="43AE0B0C" w14:textId="77777777" w:rsidR="007C38A3" w:rsidRPr="00694F6C" w:rsidRDefault="007C38A3" w:rsidP="005224CD">
            <w:pPr>
              <w:widowControl w:val="0"/>
              <w:jc w:val="center"/>
              <w:rPr>
                <w:rFonts w:ascii="Arial Narrow" w:eastAsiaTheme="majorEastAsia" w:hAnsi="Arial Narrow" w:cstheme="majorBidi"/>
                <w:sz w:val="20"/>
                <w:szCs w:val="20"/>
              </w:rPr>
            </w:pPr>
            <w:r w:rsidRPr="00694F6C">
              <w:rPr>
                <w:rFonts w:ascii="Arial Narrow" w:hAnsi="Arial Narrow"/>
                <w:sz w:val="20"/>
                <w:szCs w:val="20"/>
              </w:rPr>
              <w:t>66</w:t>
            </w:r>
            <w:r w:rsidRPr="00694F6C">
              <w:rPr>
                <w:rFonts w:ascii="Arial Narrow" w:hAnsi="Arial Narrow"/>
                <w:spacing w:val="-7"/>
                <w:sz w:val="20"/>
                <w:szCs w:val="20"/>
              </w:rPr>
              <w:t xml:space="preserve"> </w:t>
            </w:r>
            <w:r w:rsidRPr="00694F6C">
              <w:rPr>
                <w:rFonts w:ascii="Arial Narrow" w:hAnsi="Arial Narrow"/>
                <w:spacing w:val="-2"/>
                <w:sz w:val="20"/>
                <w:szCs w:val="20"/>
              </w:rPr>
              <w:t>(9.6)</w:t>
            </w:r>
          </w:p>
        </w:tc>
      </w:tr>
      <w:tr w:rsidR="007C38A3" w:rsidRPr="00F35BB0" w14:paraId="4B60F55F" w14:textId="77777777" w:rsidTr="007C38A3">
        <w:tc>
          <w:tcPr>
            <w:tcW w:w="1954" w:type="pct"/>
          </w:tcPr>
          <w:p w14:paraId="6EF06D84" w14:textId="54A08BD5" w:rsidR="007C38A3" w:rsidRPr="00694F6C" w:rsidRDefault="007C38A3" w:rsidP="005224CD">
            <w:pPr>
              <w:widowControl w:val="0"/>
              <w:ind w:left="30"/>
              <w:jc w:val="left"/>
              <w:rPr>
                <w:rFonts w:ascii="Arial Narrow" w:eastAsiaTheme="majorEastAsia" w:hAnsi="Arial Narrow" w:cstheme="majorBidi"/>
                <w:sz w:val="20"/>
                <w:szCs w:val="20"/>
              </w:rPr>
            </w:pPr>
            <w:r w:rsidRPr="00694F6C">
              <w:rPr>
                <w:rFonts w:ascii="Arial Narrow" w:hAnsi="Arial Narrow"/>
                <w:sz w:val="20"/>
                <w:szCs w:val="20"/>
              </w:rPr>
              <w:t>Adverse events leading to death</w:t>
            </w:r>
          </w:p>
        </w:tc>
        <w:tc>
          <w:tcPr>
            <w:tcW w:w="1505" w:type="pct"/>
          </w:tcPr>
          <w:p w14:paraId="18A65911" w14:textId="77777777" w:rsidR="007C38A3" w:rsidRPr="00694F6C" w:rsidRDefault="007C38A3" w:rsidP="005224CD">
            <w:pPr>
              <w:widowControl w:val="0"/>
              <w:jc w:val="center"/>
              <w:rPr>
                <w:rFonts w:ascii="Arial Narrow" w:eastAsiaTheme="majorEastAsia" w:hAnsi="Arial Narrow" w:cstheme="majorBidi"/>
                <w:sz w:val="20"/>
                <w:szCs w:val="20"/>
              </w:rPr>
            </w:pPr>
            <w:r w:rsidRPr="00694F6C">
              <w:rPr>
                <w:rFonts w:ascii="Arial Narrow" w:hAnsi="Arial Narrow"/>
                <w:sz w:val="20"/>
                <w:szCs w:val="20"/>
              </w:rPr>
              <w:t>3</w:t>
            </w:r>
            <w:r w:rsidRPr="00694F6C">
              <w:rPr>
                <w:rFonts w:ascii="Arial Narrow" w:hAnsi="Arial Narrow"/>
                <w:spacing w:val="-4"/>
                <w:sz w:val="20"/>
                <w:szCs w:val="20"/>
              </w:rPr>
              <w:t xml:space="preserve"> </w:t>
            </w:r>
            <w:r w:rsidRPr="00694F6C">
              <w:rPr>
                <w:rFonts w:ascii="Arial Narrow" w:hAnsi="Arial Narrow"/>
                <w:spacing w:val="-2"/>
                <w:sz w:val="20"/>
                <w:szCs w:val="20"/>
              </w:rPr>
              <w:t>(0.4)</w:t>
            </w:r>
          </w:p>
        </w:tc>
        <w:tc>
          <w:tcPr>
            <w:tcW w:w="1542" w:type="pct"/>
          </w:tcPr>
          <w:p w14:paraId="40B39B3F" w14:textId="77777777" w:rsidR="007C38A3" w:rsidRPr="00694F6C" w:rsidRDefault="007C38A3" w:rsidP="005224CD">
            <w:pPr>
              <w:widowControl w:val="0"/>
              <w:jc w:val="center"/>
              <w:rPr>
                <w:rFonts w:ascii="Arial Narrow" w:eastAsiaTheme="majorEastAsia" w:hAnsi="Arial Narrow" w:cstheme="majorBidi"/>
                <w:sz w:val="20"/>
                <w:szCs w:val="20"/>
              </w:rPr>
            </w:pPr>
            <w:r w:rsidRPr="00694F6C">
              <w:rPr>
                <w:rFonts w:ascii="Arial Narrow" w:hAnsi="Arial Narrow"/>
                <w:sz w:val="20"/>
                <w:szCs w:val="20"/>
              </w:rPr>
              <w:t>3</w:t>
            </w:r>
            <w:r w:rsidRPr="00694F6C">
              <w:rPr>
                <w:rFonts w:ascii="Arial Narrow" w:hAnsi="Arial Narrow"/>
                <w:spacing w:val="-4"/>
                <w:sz w:val="20"/>
                <w:szCs w:val="20"/>
              </w:rPr>
              <w:t xml:space="preserve"> </w:t>
            </w:r>
            <w:r w:rsidRPr="00694F6C">
              <w:rPr>
                <w:rFonts w:ascii="Arial Narrow" w:hAnsi="Arial Narrow"/>
                <w:spacing w:val="-2"/>
                <w:sz w:val="20"/>
                <w:szCs w:val="20"/>
              </w:rPr>
              <w:t>(0.4)</w:t>
            </w:r>
          </w:p>
        </w:tc>
      </w:tr>
      <w:tr w:rsidR="007C38A3" w:rsidRPr="00F35BB0" w14:paraId="736E5969" w14:textId="77777777" w:rsidTr="007C38A3">
        <w:tc>
          <w:tcPr>
            <w:tcW w:w="1954" w:type="pct"/>
          </w:tcPr>
          <w:p w14:paraId="61B22CB4" w14:textId="77777777" w:rsidR="007C38A3" w:rsidRPr="00694F6C" w:rsidRDefault="007C38A3" w:rsidP="005224CD">
            <w:pPr>
              <w:widowControl w:val="0"/>
              <w:ind w:left="30"/>
              <w:jc w:val="left"/>
              <w:rPr>
                <w:rFonts w:ascii="Arial Narrow" w:eastAsiaTheme="majorEastAsia" w:hAnsi="Arial Narrow" w:cstheme="majorBidi"/>
                <w:sz w:val="20"/>
                <w:szCs w:val="20"/>
              </w:rPr>
            </w:pPr>
            <w:r w:rsidRPr="00694F6C">
              <w:rPr>
                <w:rFonts w:ascii="Arial Narrow" w:hAnsi="Arial Narrow"/>
                <w:sz w:val="20"/>
                <w:szCs w:val="20"/>
              </w:rPr>
              <w:t>At least 1 AE leading to discontinuation</w:t>
            </w:r>
          </w:p>
        </w:tc>
        <w:tc>
          <w:tcPr>
            <w:tcW w:w="1505" w:type="pct"/>
          </w:tcPr>
          <w:p w14:paraId="0B69E483" w14:textId="77777777" w:rsidR="007C38A3" w:rsidRPr="00694F6C" w:rsidRDefault="007C38A3" w:rsidP="005224CD">
            <w:pPr>
              <w:widowControl w:val="0"/>
              <w:jc w:val="center"/>
              <w:rPr>
                <w:rFonts w:ascii="Arial Narrow" w:eastAsiaTheme="majorEastAsia" w:hAnsi="Arial Narrow" w:cstheme="majorBidi"/>
                <w:sz w:val="20"/>
                <w:szCs w:val="20"/>
              </w:rPr>
            </w:pPr>
            <w:r w:rsidRPr="00694F6C">
              <w:rPr>
                <w:rFonts w:ascii="Arial Narrow" w:hAnsi="Arial Narrow"/>
                <w:sz w:val="20"/>
                <w:szCs w:val="20"/>
              </w:rPr>
              <w:t>68</w:t>
            </w:r>
            <w:r w:rsidRPr="00694F6C">
              <w:rPr>
                <w:rFonts w:ascii="Arial Narrow" w:hAnsi="Arial Narrow"/>
                <w:spacing w:val="-7"/>
                <w:sz w:val="20"/>
                <w:szCs w:val="20"/>
              </w:rPr>
              <w:t xml:space="preserve"> </w:t>
            </w:r>
            <w:r w:rsidRPr="00694F6C">
              <w:rPr>
                <w:rFonts w:ascii="Arial Narrow" w:hAnsi="Arial Narrow"/>
                <w:spacing w:val="-2"/>
                <w:sz w:val="20"/>
                <w:szCs w:val="20"/>
              </w:rPr>
              <w:t>(9.8)</w:t>
            </w:r>
          </w:p>
        </w:tc>
        <w:tc>
          <w:tcPr>
            <w:tcW w:w="1542" w:type="pct"/>
          </w:tcPr>
          <w:p w14:paraId="78703760" w14:textId="77777777" w:rsidR="007C38A3" w:rsidRPr="00694F6C" w:rsidRDefault="007C38A3" w:rsidP="005224CD">
            <w:pPr>
              <w:widowControl w:val="0"/>
              <w:jc w:val="center"/>
              <w:rPr>
                <w:rFonts w:ascii="Arial Narrow" w:eastAsiaTheme="majorEastAsia" w:hAnsi="Arial Narrow" w:cstheme="majorBidi"/>
                <w:sz w:val="20"/>
                <w:szCs w:val="20"/>
              </w:rPr>
            </w:pPr>
            <w:r w:rsidRPr="00694F6C">
              <w:rPr>
                <w:rFonts w:ascii="Arial Narrow" w:hAnsi="Arial Narrow"/>
                <w:sz w:val="20"/>
                <w:szCs w:val="20"/>
              </w:rPr>
              <w:t>42</w:t>
            </w:r>
            <w:r w:rsidRPr="00694F6C">
              <w:rPr>
                <w:rFonts w:ascii="Arial Narrow" w:hAnsi="Arial Narrow"/>
                <w:spacing w:val="-7"/>
                <w:sz w:val="20"/>
                <w:szCs w:val="20"/>
              </w:rPr>
              <w:t xml:space="preserve"> </w:t>
            </w:r>
            <w:r w:rsidRPr="00694F6C">
              <w:rPr>
                <w:rFonts w:ascii="Arial Narrow" w:hAnsi="Arial Narrow"/>
                <w:spacing w:val="-2"/>
                <w:sz w:val="20"/>
                <w:szCs w:val="20"/>
              </w:rPr>
              <w:t>(6.1)</w:t>
            </w:r>
          </w:p>
        </w:tc>
      </w:tr>
    </w:tbl>
    <w:p w14:paraId="6B690787" w14:textId="77777777" w:rsidR="00327DD7" w:rsidRDefault="00327DD7" w:rsidP="00327DD7">
      <w:pPr>
        <w:pStyle w:val="TableFigureFooter"/>
        <w:spacing w:after="120"/>
      </w:pPr>
      <w:r>
        <w:t>Source: Table 2-29, p115 of the submission; Table 14, pp72 of the ACTIVE Clinical Study Report Addendum</w:t>
      </w:r>
    </w:p>
    <w:p w14:paraId="3752C5F2" w14:textId="20319B69" w:rsidR="00327DD7" w:rsidRDefault="00327DD7" w:rsidP="00327DD7">
      <w:pPr>
        <w:pStyle w:val="TableFigureFooter"/>
        <w:spacing w:after="120"/>
      </w:pPr>
      <w:r>
        <w:t>GCP = Good Clinical Practice; TEAE = treatment emergent adverse event</w:t>
      </w:r>
    </w:p>
    <w:p w14:paraId="3C0C20A1" w14:textId="1A01A049" w:rsidR="00327DD7" w:rsidRDefault="00327DD7" w:rsidP="00327DD7">
      <w:pPr>
        <w:pStyle w:val="TableFigureFooter"/>
        <w:spacing w:after="120"/>
      </w:pPr>
      <w:r>
        <w:t>Note: Safety population excluding two non-GCP sites</w:t>
      </w:r>
    </w:p>
    <w:p w14:paraId="0171717D" w14:textId="77777777" w:rsidR="00327DD7" w:rsidRDefault="00327DD7" w:rsidP="00327DD7">
      <w:pPr>
        <w:pStyle w:val="TableFigureFooter"/>
        <w:spacing w:after="120"/>
      </w:pPr>
    </w:p>
    <w:p w14:paraId="71A4FD7B" w14:textId="7206402B" w:rsidR="00644233" w:rsidRPr="00F25E15" w:rsidRDefault="00644233" w:rsidP="005224CD">
      <w:pPr>
        <w:pStyle w:val="3-BodyText"/>
      </w:pPr>
      <w:r w:rsidRPr="00F25E15">
        <w:t>In ACTIVE, the</w:t>
      </w:r>
      <w:r w:rsidR="00751521" w:rsidRPr="00F25E15">
        <w:t xml:space="preserve"> assessment of harms in the abaloparatide and placebo arms was double-blinded. The</w:t>
      </w:r>
      <w:r w:rsidRPr="00F25E15">
        <w:t xml:space="preserve">re were higher incidence rates of </w:t>
      </w:r>
      <w:r w:rsidR="00751521" w:rsidRPr="00F25E15">
        <w:t xml:space="preserve">at least 1 </w:t>
      </w:r>
      <w:r w:rsidRPr="00F25E15">
        <w:t xml:space="preserve">treatment related TEAE, severe treatment related TEAEs, and ≥1 AE leading to discontinuation in the abaloparatide arm compared to placebo. </w:t>
      </w:r>
      <w:r w:rsidR="00751521" w:rsidRPr="00F25E15">
        <w:t xml:space="preserve">Serious TAEs and </w:t>
      </w:r>
      <w:r w:rsidR="00827864">
        <w:t>AEs</w:t>
      </w:r>
      <w:r w:rsidR="00751521" w:rsidRPr="00F25E15">
        <w:t xml:space="preserve"> leading to deaths were similar between the abaloparatide and placebo trial arms. </w:t>
      </w:r>
      <w:r w:rsidRPr="00F25E15">
        <w:t>Abaloparatide</w:t>
      </w:r>
      <w:r w:rsidR="00751521" w:rsidRPr="00F25E15">
        <w:t>-</w:t>
      </w:r>
      <w:r w:rsidRPr="00F25E15">
        <w:t xml:space="preserve">treated patients also had </w:t>
      </w:r>
      <w:r w:rsidR="00751521" w:rsidRPr="00F25E15">
        <w:t xml:space="preserve">a </w:t>
      </w:r>
      <w:r w:rsidRPr="00F25E15">
        <w:t xml:space="preserve">higher incidence of severe treatment related TEAEs and ≥1 AE leading to discontinuation compared to teriparatide treated patients. </w:t>
      </w:r>
    </w:p>
    <w:p w14:paraId="6226E321" w14:textId="1151CBCE" w:rsidR="00974123" w:rsidRPr="00F25E15" w:rsidRDefault="00EE01F3" w:rsidP="00DF06B0">
      <w:pPr>
        <w:pStyle w:val="3-BodyText"/>
      </w:pPr>
      <w:r w:rsidRPr="00F25E15">
        <w:t>In ACTIVE, patients receiving abaloparatide had higher incidence in treatment related AEs</w:t>
      </w:r>
      <w:r w:rsidR="00550109" w:rsidRPr="00F25E15">
        <w:t xml:space="preserve"> compared to placebo,</w:t>
      </w:r>
      <w:r w:rsidRPr="00F25E15">
        <w:t xml:space="preserve"> includ</w:t>
      </w:r>
      <w:r w:rsidR="00550109" w:rsidRPr="00F25E15">
        <w:t>ing</w:t>
      </w:r>
      <w:r w:rsidRPr="00F25E15">
        <w:t xml:space="preserve"> tachycardia</w:t>
      </w:r>
      <w:r w:rsidR="00664973" w:rsidRPr="00F25E15">
        <w:t xml:space="preserve"> (1% vs 0)</w:t>
      </w:r>
      <w:r w:rsidRPr="00F25E15">
        <w:t>, right bundle branch block</w:t>
      </w:r>
      <w:r w:rsidR="00664973" w:rsidRPr="00F25E15">
        <w:t xml:space="preserve"> (0.3% vs 0)</w:t>
      </w:r>
      <w:r w:rsidRPr="00F25E15">
        <w:t>, orthostatic hypotension</w:t>
      </w:r>
      <w:r w:rsidR="00664973" w:rsidRPr="00F25E15">
        <w:t xml:space="preserve"> (1.0% vs 0.4%)</w:t>
      </w:r>
      <w:r w:rsidRPr="00F25E15">
        <w:t>, fatigue</w:t>
      </w:r>
      <w:r w:rsidR="00664973" w:rsidRPr="00F25E15">
        <w:t xml:space="preserve"> (1.2% vs 0.3%)</w:t>
      </w:r>
      <w:r w:rsidRPr="00F25E15">
        <w:t>, muscle spasm</w:t>
      </w:r>
      <w:r w:rsidR="00664973" w:rsidRPr="00F25E15">
        <w:t xml:space="preserve"> (1.6% vs 0.7%)</w:t>
      </w:r>
      <w:r w:rsidRPr="00F25E15">
        <w:t>, headache</w:t>
      </w:r>
      <w:r w:rsidR="00664973" w:rsidRPr="00F25E15">
        <w:t xml:space="preserve"> (4.5% vs 2.2%)</w:t>
      </w:r>
      <w:r w:rsidRPr="00F25E15">
        <w:t xml:space="preserve"> and hypercalciuria</w:t>
      </w:r>
      <w:r w:rsidR="00664973" w:rsidRPr="00F25E15">
        <w:t xml:space="preserve"> (11.7% vs 8.0%)</w:t>
      </w:r>
      <w:r w:rsidRPr="00F25E15">
        <w:t>, and notably higher incidence in treatment related palpitations</w:t>
      </w:r>
      <w:r w:rsidR="00664973" w:rsidRPr="00F25E15">
        <w:t xml:space="preserve"> (3.6% vs 0.3%</w:t>
      </w:r>
      <w:r w:rsidR="006F4798" w:rsidRPr="00F25E15">
        <w:t xml:space="preserve"> in placebo</w:t>
      </w:r>
      <w:r w:rsidR="00664973" w:rsidRPr="00F25E15">
        <w:t>)</w:t>
      </w:r>
      <w:r w:rsidRPr="00F25E15">
        <w:t>, nausea</w:t>
      </w:r>
      <w:r w:rsidR="00664973" w:rsidRPr="00F25E15">
        <w:t xml:space="preserve"> (5.5% vs 1.3%</w:t>
      </w:r>
      <w:r w:rsidR="006F4798" w:rsidRPr="00F25E15">
        <w:t xml:space="preserve"> in placebo</w:t>
      </w:r>
      <w:r w:rsidR="00664973" w:rsidRPr="00F25E15">
        <w:t>)</w:t>
      </w:r>
      <w:r w:rsidRPr="00F25E15">
        <w:t>, dizziness</w:t>
      </w:r>
      <w:r w:rsidR="00664973" w:rsidRPr="00F25E15">
        <w:t xml:space="preserve"> (7.3% vs 2.6%</w:t>
      </w:r>
      <w:r w:rsidR="006F4798" w:rsidRPr="00F25E15">
        <w:t xml:space="preserve"> in placebo</w:t>
      </w:r>
      <w:r w:rsidR="00664973" w:rsidRPr="00F25E15">
        <w:t>)</w:t>
      </w:r>
      <w:r w:rsidRPr="00F25E15">
        <w:t>, and hypercalcaemia</w:t>
      </w:r>
      <w:r w:rsidR="00664973" w:rsidRPr="00F25E15">
        <w:t xml:space="preserve"> (1.4% vs 0.3%</w:t>
      </w:r>
      <w:r w:rsidR="006F4798" w:rsidRPr="00F25E15">
        <w:t xml:space="preserve"> in placebo</w:t>
      </w:r>
      <w:r w:rsidR="00664973" w:rsidRPr="00F25E15">
        <w:t>)</w:t>
      </w:r>
      <w:r w:rsidRPr="00F25E15">
        <w:t xml:space="preserve">. </w:t>
      </w:r>
      <w:r w:rsidR="00DF06B0" w:rsidRPr="00F25E15">
        <w:t xml:space="preserve">The incidence of fall reported in patients receiving abaloparatide in ACTIVE was low (3 patients, 0.4%) and was comparable to the other two treatment arms. </w:t>
      </w:r>
    </w:p>
    <w:p w14:paraId="44F1BA19" w14:textId="4770DCBB" w:rsidR="00897E68" w:rsidRPr="00F25E15" w:rsidRDefault="00A406C2" w:rsidP="00897E68">
      <w:pPr>
        <w:pStyle w:val="3-BodyText"/>
      </w:pPr>
      <w:r w:rsidRPr="00F25E15">
        <w:t xml:space="preserve">Adverse events of special interest (AESIs) in ACTIVE were not presented in the submission. These AESIs included: hypercalcemia, hypercalciuria, hypophosphatemia, hypersensitivity, orthostatic hypotension, renal impairment, palpitations, nausea, </w:t>
      </w:r>
      <w:r w:rsidR="00556306" w:rsidRPr="00F25E15">
        <w:t xml:space="preserve">and </w:t>
      </w:r>
      <w:r w:rsidRPr="00F25E15">
        <w:t xml:space="preserve">dizziness. </w:t>
      </w:r>
    </w:p>
    <w:p w14:paraId="03A747B8" w14:textId="7D448677" w:rsidR="00897E68" w:rsidRPr="00F25E15" w:rsidRDefault="00FE0077" w:rsidP="00897E68">
      <w:pPr>
        <w:pStyle w:val="3-BodyText"/>
      </w:pPr>
      <w:r w:rsidRPr="00F25E15">
        <w:fldChar w:fldCharType="begin"/>
      </w:r>
      <w:r w:rsidRPr="00F25E15">
        <w:instrText xml:space="preserve"> REF _Ref195782752 \h </w:instrText>
      </w:r>
      <w:r w:rsidR="006F11C5" w:rsidRPr="00F25E15">
        <w:instrText xml:space="preserve"> \* MERGEFORMAT </w:instrText>
      </w:r>
      <w:r w:rsidRPr="00F25E15">
        <w:fldChar w:fldCharType="separate"/>
      </w:r>
      <w:r w:rsidR="005B625A" w:rsidRPr="00D86D87">
        <w:t xml:space="preserve">Table </w:t>
      </w:r>
      <w:r w:rsidR="005B625A">
        <w:rPr>
          <w:noProof/>
        </w:rPr>
        <w:t>8</w:t>
      </w:r>
      <w:r w:rsidRPr="00F25E15">
        <w:fldChar w:fldCharType="end"/>
      </w:r>
      <w:r w:rsidR="00897E68" w:rsidRPr="00F25E15">
        <w:t xml:space="preserve"> summarises the incidence rates of AESIs in</w:t>
      </w:r>
      <w:r w:rsidR="0076480C" w:rsidRPr="00F25E15">
        <w:t xml:space="preserve"> the</w:t>
      </w:r>
      <w:r w:rsidR="00897E68" w:rsidRPr="00F25E15">
        <w:t xml:space="preserve"> ACTIVE</w:t>
      </w:r>
      <w:r w:rsidR="0076480C" w:rsidRPr="00F25E15">
        <w:t xml:space="preserve"> trial</w:t>
      </w:r>
      <w:r w:rsidR="00897E68" w:rsidRPr="00F25E15">
        <w:t>.</w:t>
      </w:r>
    </w:p>
    <w:p w14:paraId="236E1F9B" w14:textId="3C1749F3" w:rsidR="00897E68" w:rsidRDefault="00FE0077" w:rsidP="00897E68">
      <w:pPr>
        <w:pStyle w:val="Caption"/>
        <w:spacing w:before="120"/>
      </w:pPr>
      <w:bookmarkStart w:id="41" w:name="_Ref195782752"/>
      <w:bookmarkStart w:id="42" w:name="_Ref195368564"/>
      <w:r w:rsidRPr="00D86D87">
        <w:t xml:space="preserve">Table </w:t>
      </w:r>
      <w:r w:rsidR="001C1C72">
        <w:fldChar w:fldCharType="begin"/>
      </w:r>
      <w:r w:rsidR="001C1C72">
        <w:instrText xml:space="preserve"> SEQ Table \* ARABIC </w:instrText>
      </w:r>
      <w:r w:rsidR="001C1C72">
        <w:fldChar w:fldCharType="separate"/>
      </w:r>
      <w:r w:rsidR="005B625A">
        <w:rPr>
          <w:noProof/>
        </w:rPr>
        <w:t>8</w:t>
      </w:r>
      <w:r w:rsidR="001C1C72">
        <w:rPr>
          <w:noProof/>
        </w:rPr>
        <w:fldChar w:fldCharType="end"/>
      </w:r>
      <w:bookmarkEnd w:id="41"/>
      <w:r w:rsidRPr="00D86D87">
        <w:t>:</w:t>
      </w:r>
      <w:r w:rsidRPr="00D86D87">
        <w:rPr>
          <w:rStyle w:val="CommentReference"/>
          <w:b/>
          <w:szCs w:val="24"/>
        </w:rPr>
        <w:t xml:space="preserve"> </w:t>
      </w:r>
      <w:bookmarkEnd w:id="42"/>
      <w:r w:rsidR="00897E68">
        <w:t>Incidence of AESIs in ACTIVE (Safety population, excluding 2 non-GCP sites)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Incidence of AESIs in ACTIVE (Safety population, excluding 2 non-GCP sites)"/>
      </w:tblPr>
      <w:tblGrid>
        <w:gridCol w:w="3122"/>
        <w:gridCol w:w="2124"/>
        <w:gridCol w:w="1987"/>
        <w:gridCol w:w="1784"/>
      </w:tblGrid>
      <w:tr w:rsidR="00897E68" w:rsidRPr="00DC7B06" w14:paraId="2CBDFB01" w14:textId="77777777" w:rsidTr="00897E68">
        <w:tc>
          <w:tcPr>
            <w:tcW w:w="1731" w:type="pct"/>
            <w:vAlign w:val="center"/>
          </w:tcPr>
          <w:p w14:paraId="4AE8BC90" w14:textId="77777777" w:rsidR="00897E68" w:rsidRPr="008408CA" w:rsidRDefault="00897E68" w:rsidP="005224CD">
            <w:pPr>
              <w:keepNext/>
              <w:keepLines/>
              <w:jc w:val="center"/>
              <w:rPr>
                <w:rFonts w:ascii="Arial Narrow" w:eastAsiaTheme="majorEastAsia" w:hAnsi="Arial Narrow" w:cs="Times New Roman"/>
                <w:b/>
                <w:iCs/>
                <w:sz w:val="18"/>
                <w:szCs w:val="18"/>
                <w:lang w:val="en-US"/>
              </w:rPr>
            </w:pPr>
            <w:r>
              <w:rPr>
                <w:rFonts w:ascii="Arial Narrow" w:eastAsiaTheme="majorEastAsia" w:hAnsi="Arial Narrow" w:cs="Times New Roman"/>
                <w:b/>
                <w:iCs/>
                <w:sz w:val="18"/>
                <w:szCs w:val="18"/>
                <w:lang w:val="en-US"/>
              </w:rPr>
              <w:t>AESI</w:t>
            </w:r>
          </w:p>
        </w:tc>
        <w:tc>
          <w:tcPr>
            <w:tcW w:w="1178" w:type="pct"/>
            <w:vAlign w:val="center"/>
          </w:tcPr>
          <w:p w14:paraId="5D96BE32" w14:textId="77777777" w:rsidR="00897E68" w:rsidRPr="008408CA" w:rsidRDefault="00897E68" w:rsidP="005224CD">
            <w:pPr>
              <w:keepNext/>
              <w:keepLines/>
              <w:jc w:val="center"/>
              <w:rPr>
                <w:rFonts w:ascii="Arial Narrow" w:eastAsiaTheme="majorEastAsia" w:hAnsi="Arial Narrow" w:cs="Times New Roman"/>
                <w:b/>
                <w:iCs/>
                <w:sz w:val="18"/>
                <w:szCs w:val="18"/>
                <w:lang w:val="en-US"/>
              </w:rPr>
            </w:pPr>
            <w:r w:rsidRPr="008408CA">
              <w:rPr>
                <w:rFonts w:ascii="Arial Narrow" w:eastAsiaTheme="majorEastAsia" w:hAnsi="Arial Narrow" w:cs="Times New Roman"/>
                <w:b/>
                <w:iCs/>
                <w:sz w:val="18"/>
                <w:szCs w:val="18"/>
                <w:lang w:val="en-US"/>
              </w:rPr>
              <w:t>Abaloparatide</w:t>
            </w:r>
          </w:p>
          <w:p w14:paraId="7B0B74DA" w14:textId="77777777" w:rsidR="00897E68" w:rsidRDefault="00897E68" w:rsidP="005224CD">
            <w:pPr>
              <w:keepNext/>
              <w:keepLines/>
              <w:jc w:val="center"/>
              <w:rPr>
                <w:rFonts w:ascii="Arial Narrow" w:eastAsiaTheme="majorEastAsia" w:hAnsi="Arial Narrow" w:cs="Times New Roman"/>
                <w:b/>
                <w:iCs/>
                <w:sz w:val="18"/>
                <w:szCs w:val="18"/>
                <w:lang w:val="en-US"/>
              </w:rPr>
            </w:pPr>
            <w:r w:rsidRPr="008408CA">
              <w:rPr>
                <w:rFonts w:ascii="Arial Narrow" w:eastAsiaTheme="majorEastAsia" w:hAnsi="Arial Narrow" w:cs="Times New Roman"/>
                <w:b/>
                <w:iCs/>
                <w:sz w:val="18"/>
                <w:szCs w:val="18"/>
                <w:lang w:val="en-US"/>
              </w:rPr>
              <w:t xml:space="preserve">(N = </w:t>
            </w:r>
            <w:r>
              <w:rPr>
                <w:rFonts w:ascii="Arial Narrow" w:eastAsiaTheme="majorEastAsia" w:hAnsi="Arial Narrow" w:cs="Times New Roman"/>
                <w:b/>
                <w:iCs/>
                <w:sz w:val="18"/>
                <w:szCs w:val="18"/>
                <w:lang w:val="en-US"/>
              </w:rPr>
              <w:t>694</w:t>
            </w:r>
            <w:r w:rsidRPr="008408CA">
              <w:rPr>
                <w:rFonts w:ascii="Arial Narrow" w:eastAsiaTheme="majorEastAsia" w:hAnsi="Arial Narrow" w:cs="Times New Roman"/>
                <w:b/>
                <w:iCs/>
                <w:sz w:val="18"/>
                <w:szCs w:val="18"/>
                <w:lang w:val="en-US"/>
              </w:rPr>
              <w:t>)</w:t>
            </w:r>
          </w:p>
          <w:p w14:paraId="018ED698" w14:textId="77777777" w:rsidR="00897E68" w:rsidRPr="008408CA" w:rsidRDefault="00897E68" w:rsidP="005224CD">
            <w:pPr>
              <w:keepNext/>
              <w:keepLines/>
              <w:jc w:val="center"/>
              <w:rPr>
                <w:rFonts w:ascii="Arial Narrow" w:eastAsiaTheme="majorEastAsia" w:hAnsi="Arial Narrow" w:cs="Times New Roman"/>
                <w:b/>
                <w:iCs/>
                <w:sz w:val="18"/>
                <w:szCs w:val="18"/>
                <w:lang w:val="en-US"/>
              </w:rPr>
            </w:pPr>
            <w:r>
              <w:rPr>
                <w:rFonts w:ascii="Arial Narrow" w:eastAsiaTheme="majorEastAsia" w:hAnsi="Arial Narrow" w:cs="Times New Roman"/>
                <w:b/>
                <w:iCs/>
                <w:sz w:val="18"/>
                <w:szCs w:val="18"/>
                <w:lang w:val="en-US"/>
              </w:rPr>
              <w:t>n (%)</w:t>
            </w:r>
          </w:p>
        </w:tc>
        <w:tc>
          <w:tcPr>
            <w:tcW w:w="1102" w:type="pct"/>
            <w:vAlign w:val="center"/>
          </w:tcPr>
          <w:p w14:paraId="5FCB4162" w14:textId="4C2A5264" w:rsidR="00897E68" w:rsidRPr="008408CA" w:rsidRDefault="00897E68" w:rsidP="005224CD">
            <w:pPr>
              <w:keepNext/>
              <w:keepLines/>
              <w:jc w:val="center"/>
              <w:rPr>
                <w:rFonts w:ascii="Arial Narrow" w:eastAsiaTheme="majorEastAsia" w:hAnsi="Arial Narrow" w:cs="Times New Roman"/>
                <w:b/>
                <w:iCs/>
                <w:sz w:val="18"/>
                <w:szCs w:val="18"/>
                <w:lang w:val="en-US"/>
              </w:rPr>
            </w:pPr>
            <w:r w:rsidRPr="008408CA">
              <w:rPr>
                <w:rFonts w:ascii="Arial Narrow" w:eastAsiaTheme="majorEastAsia" w:hAnsi="Arial Narrow" w:cs="Times New Roman"/>
                <w:b/>
                <w:iCs/>
                <w:sz w:val="18"/>
                <w:szCs w:val="18"/>
                <w:lang w:val="en-US"/>
              </w:rPr>
              <w:t>Placebo</w:t>
            </w:r>
            <w:r w:rsidR="00306E37">
              <w:rPr>
                <w:rFonts w:ascii="Arial Narrow" w:eastAsiaTheme="majorEastAsia" w:hAnsi="Arial Narrow" w:cs="Times New Roman"/>
                <w:b/>
                <w:iCs/>
                <w:sz w:val="18"/>
                <w:szCs w:val="18"/>
                <w:lang w:val="en-US"/>
              </w:rPr>
              <w:t xml:space="preserve"> </w:t>
            </w:r>
          </w:p>
          <w:p w14:paraId="13984757" w14:textId="77777777" w:rsidR="00897E68" w:rsidRDefault="00897E68" w:rsidP="005224CD">
            <w:pPr>
              <w:keepNext/>
              <w:keepLines/>
              <w:jc w:val="center"/>
              <w:rPr>
                <w:rFonts w:ascii="Arial Narrow" w:eastAsiaTheme="majorEastAsia" w:hAnsi="Arial Narrow" w:cs="Times New Roman"/>
                <w:b/>
                <w:iCs/>
                <w:sz w:val="18"/>
                <w:szCs w:val="18"/>
                <w:lang w:val="en-US"/>
              </w:rPr>
            </w:pPr>
            <w:r w:rsidRPr="008408CA">
              <w:rPr>
                <w:rFonts w:ascii="Arial Narrow" w:eastAsiaTheme="majorEastAsia" w:hAnsi="Arial Narrow" w:cs="Times New Roman"/>
                <w:b/>
                <w:iCs/>
                <w:sz w:val="18"/>
                <w:szCs w:val="18"/>
                <w:lang w:val="en-US"/>
              </w:rPr>
              <w:t xml:space="preserve">(N = </w:t>
            </w:r>
            <w:r>
              <w:rPr>
                <w:rFonts w:ascii="Arial Narrow" w:eastAsiaTheme="majorEastAsia" w:hAnsi="Arial Narrow" w:cs="Times New Roman"/>
                <w:b/>
                <w:iCs/>
                <w:sz w:val="18"/>
                <w:szCs w:val="18"/>
                <w:lang w:val="en-US"/>
              </w:rPr>
              <w:t>687</w:t>
            </w:r>
            <w:r w:rsidRPr="008408CA">
              <w:rPr>
                <w:rFonts w:ascii="Arial Narrow" w:eastAsiaTheme="majorEastAsia" w:hAnsi="Arial Narrow" w:cs="Times New Roman"/>
                <w:b/>
                <w:iCs/>
                <w:sz w:val="18"/>
                <w:szCs w:val="18"/>
                <w:lang w:val="en-US"/>
              </w:rPr>
              <w:t>)</w:t>
            </w:r>
          </w:p>
          <w:p w14:paraId="53F58169" w14:textId="77777777" w:rsidR="00897E68" w:rsidRDefault="00897E68" w:rsidP="005224CD">
            <w:pPr>
              <w:keepNext/>
              <w:keepLines/>
              <w:jc w:val="center"/>
              <w:rPr>
                <w:rFonts w:ascii="Arial Narrow" w:eastAsiaTheme="majorEastAsia" w:hAnsi="Arial Narrow" w:cs="Times New Roman"/>
                <w:b/>
                <w:iCs/>
                <w:sz w:val="18"/>
                <w:szCs w:val="18"/>
                <w:lang w:val="en-US"/>
              </w:rPr>
            </w:pPr>
            <w:r>
              <w:rPr>
                <w:rFonts w:ascii="Arial Narrow" w:eastAsiaTheme="majorEastAsia" w:hAnsi="Arial Narrow" w:cs="Times New Roman"/>
                <w:b/>
                <w:iCs/>
                <w:sz w:val="18"/>
                <w:szCs w:val="18"/>
                <w:lang w:val="en-US"/>
              </w:rPr>
              <w:t>n (%)</w:t>
            </w:r>
          </w:p>
        </w:tc>
        <w:tc>
          <w:tcPr>
            <w:tcW w:w="990" w:type="pct"/>
          </w:tcPr>
          <w:p w14:paraId="0C728AD0" w14:textId="77777777" w:rsidR="00897E68" w:rsidRDefault="00897E68" w:rsidP="005224CD">
            <w:pPr>
              <w:keepNext/>
              <w:keepLines/>
              <w:jc w:val="center"/>
              <w:rPr>
                <w:rFonts w:ascii="Arial Narrow" w:eastAsiaTheme="majorEastAsia" w:hAnsi="Arial Narrow" w:cs="Times New Roman"/>
                <w:b/>
                <w:iCs/>
                <w:sz w:val="18"/>
                <w:szCs w:val="18"/>
                <w:lang w:val="en-US"/>
              </w:rPr>
            </w:pPr>
            <w:r>
              <w:rPr>
                <w:rFonts w:ascii="Arial Narrow" w:eastAsiaTheme="majorEastAsia" w:hAnsi="Arial Narrow" w:cs="Times New Roman"/>
                <w:b/>
                <w:iCs/>
                <w:sz w:val="18"/>
                <w:szCs w:val="18"/>
                <w:lang w:val="en-US"/>
              </w:rPr>
              <w:t>Teriparatide</w:t>
            </w:r>
          </w:p>
          <w:p w14:paraId="21441618" w14:textId="77777777" w:rsidR="00897E68" w:rsidRDefault="00897E68" w:rsidP="005224CD">
            <w:pPr>
              <w:keepNext/>
              <w:keepLines/>
              <w:jc w:val="center"/>
              <w:rPr>
                <w:rFonts w:ascii="Arial Narrow" w:eastAsiaTheme="majorEastAsia" w:hAnsi="Arial Narrow" w:cs="Times New Roman"/>
                <w:b/>
                <w:iCs/>
                <w:sz w:val="18"/>
                <w:szCs w:val="18"/>
                <w:lang w:val="en-US"/>
              </w:rPr>
            </w:pPr>
            <w:r>
              <w:rPr>
                <w:rFonts w:ascii="Arial Narrow" w:eastAsiaTheme="majorEastAsia" w:hAnsi="Arial Narrow" w:cs="Times New Roman"/>
                <w:b/>
                <w:iCs/>
                <w:sz w:val="18"/>
                <w:szCs w:val="18"/>
                <w:lang w:val="en-US"/>
              </w:rPr>
              <w:t>(N = 686)</w:t>
            </w:r>
          </w:p>
          <w:p w14:paraId="4C1069F7" w14:textId="77777777" w:rsidR="00897E68" w:rsidRDefault="00897E68" w:rsidP="005224CD">
            <w:pPr>
              <w:keepNext/>
              <w:keepLines/>
              <w:jc w:val="center"/>
              <w:rPr>
                <w:rFonts w:ascii="Arial Narrow" w:eastAsiaTheme="majorEastAsia" w:hAnsi="Arial Narrow" w:cs="Times New Roman"/>
                <w:b/>
                <w:iCs/>
                <w:sz w:val="18"/>
                <w:szCs w:val="18"/>
                <w:lang w:val="en-US"/>
              </w:rPr>
            </w:pPr>
            <w:r>
              <w:rPr>
                <w:rFonts w:ascii="Arial Narrow" w:eastAsiaTheme="majorEastAsia" w:hAnsi="Arial Narrow" w:cs="Times New Roman"/>
                <w:b/>
                <w:iCs/>
                <w:sz w:val="18"/>
                <w:szCs w:val="18"/>
                <w:lang w:val="en-US"/>
              </w:rPr>
              <w:t>n (%)</w:t>
            </w:r>
          </w:p>
        </w:tc>
      </w:tr>
      <w:tr w:rsidR="00897E68" w:rsidRPr="00F35BB0" w14:paraId="140B3FA0" w14:textId="77777777" w:rsidTr="00897E68">
        <w:tc>
          <w:tcPr>
            <w:tcW w:w="1731" w:type="pct"/>
          </w:tcPr>
          <w:p w14:paraId="0F5319C7" w14:textId="77777777" w:rsidR="00897E68" w:rsidRPr="00CA6CF9" w:rsidRDefault="00897E68" w:rsidP="005224CD">
            <w:pPr>
              <w:widowControl w:val="0"/>
              <w:ind w:left="30"/>
              <w:jc w:val="left"/>
              <w:rPr>
                <w:rFonts w:ascii="Arial Narrow" w:eastAsiaTheme="majorEastAsia" w:hAnsi="Arial Narrow" w:cstheme="majorBidi"/>
                <w:sz w:val="20"/>
                <w:szCs w:val="20"/>
              </w:rPr>
            </w:pPr>
            <w:r>
              <w:rPr>
                <w:rFonts w:ascii="Arial Narrow" w:eastAsiaTheme="majorEastAsia" w:hAnsi="Arial Narrow" w:cstheme="majorBidi"/>
                <w:sz w:val="20"/>
                <w:szCs w:val="20"/>
              </w:rPr>
              <w:t>Hypercalcaemia</w:t>
            </w:r>
          </w:p>
        </w:tc>
        <w:tc>
          <w:tcPr>
            <w:tcW w:w="1178" w:type="pct"/>
          </w:tcPr>
          <w:p w14:paraId="0210948E" w14:textId="77777777" w:rsidR="00897E68" w:rsidRPr="00CA6CF9" w:rsidRDefault="00897E68" w:rsidP="005224CD">
            <w:pPr>
              <w:widowControl w:val="0"/>
              <w:jc w:val="center"/>
              <w:rPr>
                <w:rFonts w:ascii="Arial Narrow" w:eastAsiaTheme="majorEastAsia" w:hAnsi="Arial Narrow" w:cstheme="majorBidi"/>
                <w:sz w:val="20"/>
                <w:szCs w:val="20"/>
              </w:rPr>
            </w:pPr>
          </w:p>
        </w:tc>
        <w:tc>
          <w:tcPr>
            <w:tcW w:w="1102" w:type="pct"/>
          </w:tcPr>
          <w:p w14:paraId="511FB3F9" w14:textId="77777777" w:rsidR="00897E68" w:rsidRDefault="00897E68" w:rsidP="005224CD">
            <w:pPr>
              <w:widowControl w:val="0"/>
              <w:jc w:val="center"/>
              <w:rPr>
                <w:rFonts w:ascii="Arial Narrow" w:hAnsi="Arial Narrow"/>
                <w:sz w:val="20"/>
                <w:szCs w:val="20"/>
              </w:rPr>
            </w:pPr>
          </w:p>
        </w:tc>
        <w:tc>
          <w:tcPr>
            <w:tcW w:w="990" w:type="pct"/>
          </w:tcPr>
          <w:p w14:paraId="48482DA0" w14:textId="77777777" w:rsidR="00897E68" w:rsidRDefault="00897E68" w:rsidP="005224CD">
            <w:pPr>
              <w:widowControl w:val="0"/>
              <w:jc w:val="center"/>
              <w:rPr>
                <w:rFonts w:ascii="Arial Narrow" w:hAnsi="Arial Narrow"/>
                <w:sz w:val="20"/>
                <w:szCs w:val="20"/>
              </w:rPr>
            </w:pPr>
          </w:p>
        </w:tc>
      </w:tr>
      <w:tr w:rsidR="00897E68" w:rsidRPr="00F35BB0" w14:paraId="5315ED3F" w14:textId="77777777" w:rsidTr="00897E68">
        <w:tc>
          <w:tcPr>
            <w:tcW w:w="1731" w:type="pct"/>
          </w:tcPr>
          <w:p w14:paraId="0E949134" w14:textId="77777777" w:rsidR="00897E68" w:rsidRPr="00CA6CF9"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1 treatment related AE</w:t>
            </w:r>
          </w:p>
        </w:tc>
        <w:tc>
          <w:tcPr>
            <w:tcW w:w="1178" w:type="pct"/>
          </w:tcPr>
          <w:p w14:paraId="74933494" w14:textId="77777777" w:rsidR="00897E68" w:rsidRPr="00CA6CF9"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13 (1.9)</w:t>
            </w:r>
          </w:p>
        </w:tc>
        <w:tc>
          <w:tcPr>
            <w:tcW w:w="1102" w:type="pct"/>
          </w:tcPr>
          <w:p w14:paraId="4E5516EA"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3 (0.4)</w:t>
            </w:r>
          </w:p>
        </w:tc>
        <w:tc>
          <w:tcPr>
            <w:tcW w:w="990" w:type="pct"/>
          </w:tcPr>
          <w:p w14:paraId="315CE04E"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29 (4.2)</w:t>
            </w:r>
          </w:p>
        </w:tc>
      </w:tr>
      <w:tr w:rsidR="00897E68" w:rsidRPr="00F35BB0" w14:paraId="10959AD6" w14:textId="77777777" w:rsidTr="00897E68">
        <w:tc>
          <w:tcPr>
            <w:tcW w:w="1731" w:type="pct"/>
          </w:tcPr>
          <w:p w14:paraId="0B3B6CB8" w14:textId="77777777" w:rsidR="00897E68" w:rsidRPr="00CA6CF9"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1 serious AE</w:t>
            </w:r>
          </w:p>
        </w:tc>
        <w:tc>
          <w:tcPr>
            <w:tcW w:w="1178" w:type="pct"/>
          </w:tcPr>
          <w:p w14:paraId="01C698BA" w14:textId="77777777" w:rsidR="00897E68" w:rsidRPr="00CA6CF9"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0</w:t>
            </w:r>
          </w:p>
        </w:tc>
        <w:tc>
          <w:tcPr>
            <w:tcW w:w="1102" w:type="pct"/>
          </w:tcPr>
          <w:p w14:paraId="3ADDCECB"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0</w:t>
            </w:r>
          </w:p>
        </w:tc>
        <w:tc>
          <w:tcPr>
            <w:tcW w:w="990" w:type="pct"/>
          </w:tcPr>
          <w:p w14:paraId="6A531691"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1 (0.1)</w:t>
            </w:r>
          </w:p>
        </w:tc>
      </w:tr>
      <w:tr w:rsidR="00897E68" w:rsidRPr="00F35BB0" w14:paraId="0D7F6BB2" w14:textId="77777777" w:rsidTr="00897E68">
        <w:tc>
          <w:tcPr>
            <w:tcW w:w="1731" w:type="pct"/>
          </w:tcPr>
          <w:p w14:paraId="5661B545" w14:textId="77777777" w:rsidR="00897E68" w:rsidRPr="00CA6CF9"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1 serious treatment related AE</w:t>
            </w:r>
          </w:p>
        </w:tc>
        <w:tc>
          <w:tcPr>
            <w:tcW w:w="1178" w:type="pct"/>
          </w:tcPr>
          <w:p w14:paraId="7D73F460" w14:textId="77777777" w:rsidR="00897E68" w:rsidRPr="00CA6CF9"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0</w:t>
            </w:r>
          </w:p>
        </w:tc>
        <w:tc>
          <w:tcPr>
            <w:tcW w:w="1102" w:type="pct"/>
          </w:tcPr>
          <w:p w14:paraId="6472FEAF"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0</w:t>
            </w:r>
          </w:p>
        </w:tc>
        <w:tc>
          <w:tcPr>
            <w:tcW w:w="990" w:type="pct"/>
          </w:tcPr>
          <w:p w14:paraId="2AA16A80"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1 (0.1)</w:t>
            </w:r>
          </w:p>
        </w:tc>
      </w:tr>
      <w:tr w:rsidR="00897E68" w:rsidRPr="00F35BB0" w14:paraId="78C806CF" w14:textId="77777777" w:rsidTr="00897E68">
        <w:tc>
          <w:tcPr>
            <w:tcW w:w="1731" w:type="pct"/>
          </w:tcPr>
          <w:p w14:paraId="6C53522B" w14:textId="0A7D87D5" w:rsidR="00897E68"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xml:space="preserve">≥ 1 AE leading </w:t>
            </w:r>
            <w:r w:rsidR="00A86CF1">
              <w:rPr>
                <w:rFonts w:ascii="Arial Narrow" w:eastAsiaTheme="majorEastAsia" w:hAnsi="Arial Narrow" w:cstheme="majorBidi"/>
                <w:sz w:val="20"/>
                <w:szCs w:val="20"/>
              </w:rPr>
              <w:t xml:space="preserve">to </w:t>
            </w:r>
            <w:r>
              <w:rPr>
                <w:rFonts w:ascii="Arial Narrow" w:eastAsiaTheme="majorEastAsia" w:hAnsi="Arial Narrow" w:cstheme="majorBidi"/>
                <w:sz w:val="20"/>
                <w:szCs w:val="20"/>
              </w:rPr>
              <w:t>discontinuation</w:t>
            </w:r>
          </w:p>
        </w:tc>
        <w:tc>
          <w:tcPr>
            <w:tcW w:w="1178" w:type="pct"/>
          </w:tcPr>
          <w:p w14:paraId="538438E6" w14:textId="77777777" w:rsidR="00897E68" w:rsidRPr="00CA6CF9"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2 (0.3)</w:t>
            </w:r>
          </w:p>
        </w:tc>
        <w:tc>
          <w:tcPr>
            <w:tcW w:w="1102" w:type="pct"/>
          </w:tcPr>
          <w:p w14:paraId="1287C45F"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0</w:t>
            </w:r>
          </w:p>
        </w:tc>
        <w:tc>
          <w:tcPr>
            <w:tcW w:w="990" w:type="pct"/>
          </w:tcPr>
          <w:p w14:paraId="7D852ACD"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4 (0.6)</w:t>
            </w:r>
          </w:p>
        </w:tc>
      </w:tr>
      <w:tr w:rsidR="00897E68" w14:paraId="33CF9195" w14:textId="77777777" w:rsidTr="00897E68">
        <w:tc>
          <w:tcPr>
            <w:tcW w:w="1731" w:type="pct"/>
            <w:tcBorders>
              <w:top w:val="single" w:sz="4" w:space="0" w:color="auto"/>
              <w:left w:val="single" w:sz="4" w:space="0" w:color="auto"/>
              <w:bottom w:val="single" w:sz="4" w:space="0" w:color="auto"/>
              <w:right w:val="single" w:sz="4" w:space="0" w:color="auto"/>
            </w:tcBorders>
          </w:tcPr>
          <w:p w14:paraId="2CBA3BA5" w14:textId="77777777" w:rsidR="00897E68" w:rsidRPr="00CA6CF9" w:rsidRDefault="00897E68" w:rsidP="005224CD">
            <w:pPr>
              <w:widowControl w:val="0"/>
              <w:ind w:left="30"/>
              <w:jc w:val="left"/>
              <w:rPr>
                <w:rFonts w:ascii="Arial Narrow" w:eastAsiaTheme="majorEastAsia" w:hAnsi="Arial Narrow" w:cstheme="majorBidi"/>
                <w:sz w:val="20"/>
                <w:szCs w:val="20"/>
              </w:rPr>
            </w:pPr>
            <w:r>
              <w:rPr>
                <w:rFonts w:ascii="Arial Narrow" w:eastAsiaTheme="majorEastAsia" w:hAnsi="Arial Narrow" w:cstheme="majorBidi"/>
                <w:sz w:val="20"/>
                <w:szCs w:val="20"/>
              </w:rPr>
              <w:t>Hypercalciuria</w:t>
            </w:r>
          </w:p>
        </w:tc>
        <w:tc>
          <w:tcPr>
            <w:tcW w:w="1178" w:type="pct"/>
            <w:tcBorders>
              <w:top w:val="single" w:sz="4" w:space="0" w:color="auto"/>
              <w:left w:val="single" w:sz="4" w:space="0" w:color="auto"/>
              <w:bottom w:val="single" w:sz="4" w:space="0" w:color="auto"/>
              <w:right w:val="single" w:sz="4" w:space="0" w:color="auto"/>
            </w:tcBorders>
          </w:tcPr>
          <w:p w14:paraId="7F8EF9EF" w14:textId="77777777" w:rsidR="00897E68" w:rsidRPr="00CA6CF9" w:rsidRDefault="00897E68" w:rsidP="005224CD">
            <w:pPr>
              <w:widowControl w:val="0"/>
              <w:jc w:val="center"/>
              <w:rPr>
                <w:rFonts w:ascii="Arial Narrow" w:eastAsiaTheme="majorEastAsia" w:hAnsi="Arial Narrow" w:cstheme="majorBidi"/>
                <w:sz w:val="20"/>
                <w:szCs w:val="20"/>
              </w:rPr>
            </w:pPr>
          </w:p>
        </w:tc>
        <w:tc>
          <w:tcPr>
            <w:tcW w:w="1102" w:type="pct"/>
            <w:tcBorders>
              <w:top w:val="single" w:sz="4" w:space="0" w:color="auto"/>
              <w:left w:val="single" w:sz="4" w:space="0" w:color="auto"/>
              <w:bottom w:val="single" w:sz="4" w:space="0" w:color="auto"/>
              <w:right w:val="single" w:sz="4" w:space="0" w:color="auto"/>
            </w:tcBorders>
          </w:tcPr>
          <w:p w14:paraId="2B175397" w14:textId="77777777" w:rsidR="00897E68" w:rsidRDefault="00897E68" w:rsidP="005224CD">
            <w:pPr>
              <w:widowControl w:val="0"/>
              <w:jc w:val="center"/>
              <w:rPr>
                <w:rFonts w:ascii="Arial Narrow" w:hAnsi="Arial Narrow"/>
                <w:sz w:val="20"/>
                <w:szCs w:val="20"/>
              </w:rPr>
            </w:pPr>
          </w:p>
        </w:tc>
        <w:tc>
          <w:tcPr>
            <w:tcW w:w="990" w:type="pct"/>
            <w:tcBorders>
              <w:top w:val="single" w:sz="4" w:space="0" w:color="auto"/>
              <w:left w:val="single" w:sz="4" w:space="0" w:color="auto"/>
              <w:bottom w:val="single" w:sz="4" w:space="0" w:color="auto"/>
              <w:right w:val="single" w:sz="4" w:space="0" w:color="auto"/>
            </w:tcBorders>
          </w:tcPr>
          <w:p w14:paraId="38EE94CF" w14:textId="77777777" w:rsidR="00897E68" w:rsidRDefault="00897E68" w:rsidP="005224CD">
            <w:pPr>
              <w:widowControl w:val="0"/>
              <w:jc w:val="center"/>
              <w:rPr>
                <w:rFonts w:ascii="Arial Narrow" w:hAnsi="Arial Narrow"/>
                <w:sz w:val="20"/>
                <w:szCs w:val="20"/>
              </w:rPr>
            </w:pPr>
          </w:p>
        </w:tc>
      </w:tr>
      <w:tr w:rsidR="00897E68" w14:paraId="460A5810" w14:textId="77777777" w:rsidTr="00897E68">
        <w:tc>
          <w:tcPr>
            <w:tcW w:w="1731" w:type="pct"/>
            <w:tcBorders>
              <w:top w:val="single" w:sz="4" w:space="0" w:color="auto"/>
              <w:left w:val="single" w:sz="4" w:space="0" w:color="auto"/>
              <w:bottom w:val="single" w:sz="4" w:space="0" w:color="auto"/>
              <w:right w:val="single" w:sz="4" w:space="0" w:color="auto"/>
            </w:tcBorders>
          </w:tcPr>
          <w:p w14:paraId="3D10C670" w14:textId="77777777" w:rsidR="00897E68" w:rsidRPr="00CA6CF9"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1 treatment related AE</w:t>
            </w:r>
          </w:p>
        </w:tc>
        <w:tc>
          <w:tcPr>
            <w:tcW w:w="1178" w:type="pct"/>
            <w:tcBorders>
              <w:top w:val="single" w:sz="4" w:space="0" w:color="auto"/>
              <w:left w:val="single" w:sz="4" w:space="0" w:color="auto"/>
              <w:bottom w:val="single" w:sz="4" w:space="0" w:color="auto"/>
              <w:right w:val="single" w:sz="4" w:space="0" w:color="auto"/>
            </w:tcBorders>
          </w:tcPr>
          <w:p w14:paraId="47999133" w14:textId="77777777" w:rsidR="00897E68" w:rsidRPr="00CA6CF9"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87 (12.5)</w:t>
            </w:r>
          </w:p>
        </w:tc>
        <w:tc>
          <w:tcPr>
            <w:tcW w:w="1102" w:type="pct"/>
            <w:tcBorders>
              <w:top w:val="single" w:sz="4" w:space="0" w:color="auto"/>
              <w:left w:val="single" w:sz="4" w:space="0" w:color="auto"/>
              <w:bottom w:val="single" w:sz="4" w:space="0" w:color="auto"/>
              <w:right w:val="single" w:sz="4" w:space="0" w:color="auto"/>
            </w:tcBorders>
          </w:tcPr>
          <w:p w14:paraId="69643B8C"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57 (8.3)</w:t>
            </w:r>
          </w:p>
        </w:tc>
        <w:tc>
          <w:tcPr>
            <w:tcW w:w="990" w:type="pct"/>
            <w:tcBorders>
              <w:top w:val="single" w:sz="4" w:space="0" w:color="auto"/>
              <w:left w:val="single" w:sz="4" w:space="0" w:color="auto"/>
              <w:bottom w:val="single" w:sz="4" w:space="0" w:color="auto"/>
              <w:right w:val="single" w:sz="4" w:space="0" w:color="auto"/>
            </w:tcBorders>
          </w:tcPr>
          <w:p w14:paraId="454D6AE3"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96 (14.0)</w:t>
            </w:r>
          </w:p>
        </w:tc>
      </w:tr>
      <w:tr w:rsidR="00897E68" w14:paraId="7AC96552" w14:textId="77777777" w:rsidTr="00897E68">
        <w:tc>
          <w:tcPr>
            <w:tcW w:w="1731" w:type="pct"/>
            <w:tcBorders>
              <w:top w:val="single" w:sz="4" w:space="0" w:color="auto"/>
              <w:left w:val="single" w:sz="4" w:space="0" w:color="auto"/>
              <w:bottom w:val="single" w:sz="4" w:space="0" w:color="auto"/>
              <w:right w:val="single" w:sz="4" w:space="0" w:color="auto"/>
            </w:tcBorders>
          </w:tcPr>
          <w:p w14:paraId="15E1303D" w14:textId="77777777" w:rsidR="00897E68" w:rsidRPr="00CA6CF9"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1 serious AE</w:t>
            </w:r>
          </w:p>
        </w:tc>
        <w:tc>
          <w:tcPr>
            <w:tcW w:w="1178" w:type="pct"/>
            <w:tcBorders>
              <w:top w:val="single" w:sz="4" w:space="0" w:color="auto"/>
              <w:left w:val="single" w:sz="4" w:space="0" w:color="auto"/>
              <w:bottom w:val="single" w:sz="4" w:space="0" w:color="auto"/>
              <w:right w:val="single" w:sz="4" w:space="0" w:color="auto"/>
            </w:tcBorders>
          </w:tcPr>
          <w:p w14:paraId="7B044024" w14:textId="77777777" w:rsidR="00897E68" w:rsidRPr="00CA6CF9"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0</w:t>
            </w:r>
          </w:p>
        </w:tc>
        <w:tc>
          <w:tcPr>
            <w:tcW w:w="1102" w:type="pct"/>
            <w:tcBorders>
              <w:top w:val="single" w:sz="4" w:space="0" w:color="auto"/>
              <w:left w:val="single" w:sz="4" w:space="0" w:color="auto"/>
              <w:bottom w:val="single" w:sz="4" w:space="0" w:color="auto"/>
              <w:right w:val="single" w:sz="4" w:space="0" w:color="auto"/>
            </w:tcBorders>
          </w:tcPr>
          <w:p w14:paraId="6D1D96D1"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0</w:t>
            </w:r>
          </w:p>
        </w:tc>
        <w:tc>
          <w:tcPr>
            <w:tcW w:w="990" w:type="pct"/>
            <w:tcBorders>
              <w:top w:val="single" w:sz="4" w:space="0" w:color="auto"/>
              <w:left w:val="single" w:sz="4" w:space="0" w:color="auto"/>
              <w:bottom w:val="single" w:sz="4" w:space="0" w:color="auto"/>
              <w:right w:val="single" w:sz="4" w:space="0" w:color="auto"/>
            </w:tcBorders>
          </w:tcPr>
          <w:p w14:paraId="232FC5F1"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1 (0.1)</w:t>
            </w:r>
          </w:p>
        </w:tc>
      </w:tr>
      <w:tr w:rsidR="00897E68" w14:paraId="4DB6F9C6" w14:textId="77777777" w:rsidTr="00897E68">
        <w:tc>
          <w:tcPr>
            <w:tcW w:w="1731" w:type="pct"/>
            <w:tcBorders>
              <w:top w:val="single" w:sz="4" w:space="0" w:color="auto"/>
              <w:left w:val="single" w:sz="4" w:space="0" w:color="auto"/>
              <w:bottom w:val="single" w:sz="4" w:space="0" w:color="auto"/>
              <w:right w:val="single" w:sz="4" w:space="0" w:color="auto"/>
            </w:tcBorders>
          </w:tcPr>
          <w:p w14:paraId="1B40F287" w14:textId="77777777" w:rsidR="00897E68" w:rsidRPr="00CA6CF9"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1 serious treatment related AE</w:t>
            </w:r>
          </w:p>
        </w:tc>
        <w:tc>
          <w:tcPr>
            <w:tcW w:w="1178" w:type="pct"/>
            <w:tcBorders>
              <w:top w:val="single" w:sz="4" w:space="0" w:color="auto"/>
              <w:left w:val="single" w:sz="4" w:space="0" w:color="auto"/>
              <w:bottom w:val="single" w:sz="4" w:space="0" w:color="auto"/>
              <w:right w:val="single" w:sz="4" w:space="0" w:color="auto"/>
            </w:tcBorders>
          </w:tcPr>
          <w:p w14:paraId="25A4E2B6" w14:textId="77777777" w:rsidR="00897E68" w:rsidRPr="00CA6CF9"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0</w:t>
            </w:r>
          </w:p>
        </w:tc>
        <w:tc>
          <w:tcPr>
            <w:tcW w:w="1102" w:type="pct"/>
            <w:tcBorders>
              <w:top w:val="single" w:sz="4" w:space="0" w:color="auto"/>
              <w:left w:val="single" w:sz="4" w:space="0" w:color="auto"/>
              <w:bottom w:val="single" w:sz="4" w:space="0" w:color="auto"/>
              <w:right w:val="single" w:sz="4" w:space="0" w:color="auto"/>
            </w:tcBorders>
          </w:tcPr>
          <w:p w14:paraId="419A2666"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0</w:t>
            </w:r>
          </w:p>
        </w:tc>
        <w:tc>
          <w:tcPr>
            <w:tcW w:w="990" w:type="pct"/>
            <w:tcBorders>
              <w:top w:val="single" w:sz="4" w:space="0" w:color="auto"/>
              <w:left w:val="single" w:sz="4" w:space="0" w:color="auto"/>
              <w:bottom w:val="single" w:sz="4" w:space="0" w:color="auto"/>
              <w:right w:val="single" w:sz="4" w:space="0" w:color="auto"/>
            </w:tcBorders>
          </w:tcPr>
          <w:p w14:paraId="51BFFF6E"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1 (0.1)</w:t>
            </w:r>
          </w:p>
        </w:tc>
      </w:tr>
      <w:tr w:rsidR="00897E68" w14:paraId="608B105A" w14:textId="77777777" w:rsidTr="00897E68">
        <w:tc>
          <w:tcPr>
            <w:tcW w:w="1731" w:type="pct"/>
            <w:tcBorders>
              <w:top w:val="single" w:sz="4" w:space="0" w:color="auto"/>
              <w:left w:val="single" w:sz="4" w:space="0" w:color="auto"/>
              <w:bottom w:val="single" w:sz="4" w:space="0" w:color="auto"/>
              <w:right w:val="single" w:sz="4" w:space="0" w:color="auto"/>
            </w:tcBorders>
          </w:tcPr>
          <w:p w14:paraId="7F990076" w14:textId="4B4C6A6F" w:rsidR="00897E68"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xml:space="preserve">≥ 1 AE leading </w:t>
            </w:r>
            <w:r w:rsidR="00A86CF1">
              <w:rPr>
                <w:rFonts w:ascii="Arial Narrow" w:eastAsiaTheme="majorEastAsia" w:hAnsi="Arial Narrow" w:cstheme="majorBidi"/>
                <w:sz w:val="20"/>
                <w:szCs w:val="20"/>
              </w:rPr>
              <w:t xml:space="preserve">to </w:t>
            </w:r>
            <w:r>
              <w:rPr>
                <w:rFonts w:ascii="Arial Narrow" w:eastAsiaTheme="majorEastAsia" w:hAnsi="Arial Narrow" w:cstheme="majorBidi"/>
                <w:sz w:val="20"/>
                <w:szCs w:val="20"/>
              </w:rPr>
              <w:t>discontinuation</w:t>
            </w:r>
          </w:p>
        </w:tc>
        <w:tc>
          <w:tcPr>
            <w:tcW w:w="1178" w:type="pct"/>
            <w:tcBorders>
              <w:top w:val="single" w:sz="4" w:space="0" w:color="auto"/>
              <w:left w:val="single" w:sz="4" w:space="0" w:color="auto"/>
              <w:bottom w:val="single" w:sz="4" w:space="0" w:color="auto"/>
              <w:right w:val="single" w:sz="4" w:space="0" w:color="auto"/>
            </w:tcBorders>
          </w:tcPr>
          <w:p w14:paraId="2BB39F69" w14:textId="77777777" w:rsidR="00897E68" w:rsidRPr="00CA6CF9"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1 (0.1)</w:t>
            </w:r>
          </w:p>
        </w:tc>
        <w:tc>
          <w:tcPr>
            <w:tcW w:w="1102" w:type="pct"/>
            <w:tcBorders>
              <w:top w:val="single" w:sz="4" w:space="0" w:color="auto"/>
              <w:left w:val="single" w:sz="4" w:space="0" w:color="auto"/>
              <w:bottom w:val="single" w:sz="4" w:space="0" w:color="auto"/>
              <w:right w:val="single" w:sz="4" w:space="0" w:color="auto"/>
            </w:tcBorders>
          </w:tcPr>
          <w:p w14:paraId="24F75264"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0</w:t>
            </w:r>
          </w:p>
        </w:tc>
        <w:tc>
          <w:tcPr>
            <w:tcW w:w="990" w:type="pct"/>
            <w:tcBorders>
              <w:top w:val="single" w:sz="4" w:space="0" w:color="auto"/>
              <w:left w:val="single" w:sz="4" w:space="0" w:color="auto"/>
              <w:bottom w:val="single" w:sz="4" w:space="0" w:color="auto"/>
              <w:right w:val="single" w:sz="4" w:space="0" w:color="auto"/>
            </w:tcBorders>
          </w:tcPr>
          <w:p w14:paraId="3F20989A"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4 (0.6)</w:t>
            </w:r>
          </w:p>
        </w:tc>
      </w:tr>
      <w:tr w:rsidR="00897E68" w14:paraId="434CCCD8" w14:textId="77777777" w:rsidTr="00897E68">
        <w:tc>
          <w:tcPr>
            <w:tcW w:w="1731" w:type="pct"/>
            <w:tcBorders>
              <w:top w:val="single" w:sz="4" w:space="0" w:color="auto"/>
              <w:left w:val="single" w:sz="4" w:space="0" w:color="auto"/>
              <w:bottom w:val="single" w:sz="4" w:space="0" w:color="auto"/>
              <w:right w:val="single" w:sz="4" w:space="0" w:color="auto"/>
            </w:tcBorders>
          </w:tcPr>
          <w:p w14:paraId="51FF46AE" w14:textId="77777777" w:rsidR="00897E68" w:rsidRPr="00CA6CF9" w:rsidRDefault="00897E68" w:rsidP="005224CD">
            <w:pPr>
              <w:widowControl w:val="0"/>
              <w:ind w:left="30"/>
              <w:jc w:val="left"/>
              <w:rPr>
                <w:rFonts w:ascii="Arial Narrow" w:eastAsiaTheme="majorEastAsia" w:hAnsi="Arial Narrow" w:cstheme="majorBidi"/>
                <w:sz w:val="20"/>
                <w:szCs w:val="20"/>
              </w:rPr>
            </w:pPr>
            <w:r>
              <w:rPr>
                <w:rFonts w:ascii="Arial Narrow" w:eastAsiaTheme="majorEastAsia" w:hAnsi="Arial Narrow" w:cstheme="majorBidi"/>
                <w:sz w:val="20"/>
                <w:szCs w:val="20"/>
              </w:rPr>
              <w:t>Hypersensitivity</w:t>
            </w:r>
          </w:p>
        </w:tc>
        <w:tc>
          <w:tcPr>
            <w:tcW w:w="1178" w:type="pct"/>
            <w:tcBorders>
              <w:top w:val="single" w:sz="4" w:space="0" w:color="auto"/>
              <w:left w:val="single" w:sz="4" w:space="0" w:color="auto"/>
              <w:bottom w:val="single" w:sz="4" w:space="0" w:color="auto"/>
              <w:right w:val="single" w:sz="4" w:space="0" w:color="auto"/>
            </w:tcBorders>
          </w:tcPr>
          <w:p w14:paraId="49474FF6" w14:textId="77777777" w:rsidR="00897E68" w:rsidRPr="00CA6CF9" w:rsidRDefault="00897E68" w:rsidP="005224CD">
            <w:pPr>
              <w:widowControl w:val="0"/>
              <w:jc w:val="center"/>
              <w:rPr>
                <w:rFonts w:ascii="Arial Narrow" w:eastAsiaTheme="majorEastAsia" w:hAnsi="Arial Narrow" w:cstheme="majorBidi"/>
                <w:sz w:val="20"/>
                <w:szCs w:val="20"/>
              </w:rPr>
            </w:pPr>
          </w:p>
        </w:tc>
        <w:tc>
          <w:tcPr>
            <w:tcW w:w="1102" w:type="pct"/>
            <w:tcBorders>
              <w:top w:val="single" w:sz="4" w:space="0" w:color="auto"/>
              <w:left w:val="single" w:sz="4" w:space="0" w:color="auto"/>
              <w:bottom w:val="single" w:sz="4" w:space="0" w:color="auto"/>
              <w:right w:val="single" w:sz="4" w:space="0" w:color="auto"/>
            </w:tcBorders>
          </w:tcPr>
          <w:p w14:paraId="4FD36689" w14:textId="77777777" w:rsidR="00897E68" w:rsidRDefault="00897E68" w:rsidP="005224CD">
            <w:pPr>
              <w:widowControl w:val="0"/>
              <w:jc w:val="center"/>
              <w:rPr>
                <w:rFonts w:ascii="Arial Narrow" w:hAnsi="Arial Narrow"/>
                <w:sz w:val="20"/>
                <w:szCs w:val="20"/>
              </w:rPr>
            </w:pPr>
          </w:p>
        </w:tc>
        <w:tc>
          <w:tcPr>
            <w:tcW w:w="990" w:type="pct"/>
            <w:tcBorders>
              <w:top w:val="single" w:sz="4" w:space="0" w:color="auto"/>
              <w:left w:val="single" w:sz="4" w:space="0" w:color="auto"/>
              <w:bottom w:val="single" w:sz="4" w:space="0" w:color="auto"/>
              <w:right w:val="single" w:sz="4" w:space="0" w:color="auto"/>
            </w:tcBorders>
          </w:tcPr>
          <w:p w14:paraId="7C116B42" w14:textId="77777777" w:rsidR="00897E68" w:rsidRDefault="00897E68" w:rsidP="005224CD">
            <w:pPr>
              <w:widowControl w:val="0"/>
              <w:jc w:val="center"/>
              <w:rPr>
                <w:rFonts w:ascii="Arial Narrow" w:hAnsi="Arial Narrow"/>
                <w:sz w:val="20"/>
                <w:szCs w:val="20"/>
              </w:rPr>
            </w:pPr>
          </w:p>
        </w:tc>
      </w:tr>
      <w:tr w:rsidR="00897E68" w14:paraId="3A1DD92D" w14:textId="77777777" w:rsidTr="00897E68">
        <w:tc>
          <w:tcPr>
            <w:tcW w:w="1731" w:type="pct"/>
            <w:tcBorders>
              <w:top w:val="single" w:sz="4" w:space="0" w:color="auto"/>
              <w:left w:val="single" w:sz="4" w:space="0" w:color="auto"/>
              <w:bottom w:val="single" w:sz="4" w:space="0" w:color="auto"/>
              <w:right w:val="single" w:sz="4" w:space="0" w:color="auto"/>
            </w:tcBorders>
          </w:tcPr>
          <w:p w14:paraId="745B5CB2" w14:textId="77777777" w:rsidR="00897E68" w:rsidRPr="00CA6CF9"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1 treatment related AE</w:t>
            </w:r>
          </w:p>
        </w:tc>
        <w:tc>
          <w:tcPr>
            <w:tcW w:w="1178" w:type="pct"/>
            <w:tcBorders>
              <w:top w:val="single" w:sz="4" w:space="0" w:color="auto"/>
              <w:left w:val="single" w:sz="4" w:space="0" w:color="auto"/>
              <w:bottom w:val="single" w:sz="4" w:space="0" w:color="auto"/>
              <w:right w:val="single" w:sz="4" w:space="0" w:color="auto"/>
            </w:tcBorders>
          </w:tcPr>
          <w:p w14:paraId="70001DE2" w14:textId="77777777" w:rsidR="00897E68" w:rsidRPr="00CA6CF9"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22 (3.2)</w:t>
            </w:r>
          </w:p>
        </w:tc>
        <w:tc>
          <w:tcPr>
            <w:tcW w:w="1102" w:type="pct"/>
            <w:tcBorders>
              <w:top w:val="single" w:sz="4" w:space="0" w:color="auto"/>
              <w:left w:val="single" w:sz="4" w:space="0" w:color="auto"/>
              <w:bottom w:val="single" w:sz="4" w:space="0" w:color="auto"/>
              <w:right w:val="single" w:sz="4" w:space="0" w:color="auto"/>
            </w:tcBorders>
          </w:tcPr>
          <w:p w14:paraId="4F8765CE"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11 (1.6)</w:t>
            </w:r>
          </w:p>
        </w:tc>
        <w:tc>
          <w:tcPr>
            <w:tcW w:w="990" w:type="pct"/>
            <w:tcBorders>
              <w:top w:val="single" w:sz="4" w:space="0" w:color="auto"/>
              <w:left w:val="single" w:sz="4" w:space="0" w:color="auto"/>
              <w:bottom w:val="single" w:sz="4" w:space="0" w:color="auto"/>
              <w:right w:val="single" w:sz="4" w:space="0" w:color="auto"/>
            </w:tcBorders>
          </w:tcPr>
          <w:p w14:paraId="18596FAC"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32 (4.7)</w:t>
            </w:r>
          </w:p>
        </w:tc>
      </w:tr>
      <w:tr w:rsidR="00897E68" w14:paraId="6BC7F67F" w14:textId="77777777" w:rsidTr="00897E68">
        <w:tc>
          <w:tcPr>
            <w:tcW w:w="1731" w:type="pct"/>
            <w:tcBorders>
              <w:top w:val="single" w:sz="4" w:space="0" w:color="auto"/>
              <w:left w:val="single" w:sz="4" w:space="0" w:color="auto"/>
              <w:bottom w:val="single" w:sz="4" w:space="0" w:color="auto"/>
              <w:right w:val="single" w:sz="4" w:space="0" w:color="auto"/>
            </w:tcBorders>
          </w:tcPr>
          <w:p w14:paraId="262155F6" w14:textId="77777777" w:rsidR="00897E68"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1 severe AE</w:t>
            </w:r>
          </w:p>
        </w:tc>
        <w:tc>
          <w:tcPr>
            <w:tcW w:w="1178" w:type="pct"/>
            <w:tcBorders>
              <w:top w:val="single" w:sz="4" w:space="0" w:color="auto"/>
              <w:left w:val="single" w:sz="4" w:space="0" w:color="auto"/>
              <w:bottom w:val="single" w:sz="4" w:space="0" w:color="auto"/>
              <w:right w:val="single" w:sz="4" w:space="0" w:color="auto"/>
            </w:tcBorders>
          </w:tcPr>
          <w:p w14:paraId="67EB8433" w14:textId="77777777" w:rsidR="00897E68"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1 (0.1)</w:t>
            </w:r>
          </w:p>
        </w:tc>
        <w:tc>
          <w:tcPr>
            <w:tcW w:w="1102" w:type="pct"/>
            <w:tcBorders>
              <w:top w:val="single" w:sz="4" w:space="0" w:color="auto"/>
              <w:left w:val="single" w:sz="4" w:space="0" w:color="auto"/>
              <w:bottom w:val="single" w:sz="4" w:space="0" w:color="auto"/>
              <w:right w:val="single" w:sz="4" w:space="0" w:color="auto"/>
            </w:tcBorders>
          </w:tcPr>
          <w:p w14:paraId="513B7D74" w14:textId="43F78556" w:rsidR="00897E68" w:rsidRDefault="008C7AE5" w:rsidP="005224CD">
            <w:pPr>
              <w:widowControl w:val="0"/>
              <w:jc w:val="center"/>
              <w:rPr>
                <w:rFonts w:ascii="Arial Narrow" w:hAnsi="Arial Narrow"/>
                <w:sz w:val="20"/>
                <w:szCs w:val="20"/>
              </w:rPr>
            </w:pPr>
            <w:r>
              <w:rPr>
                <w:rFonts w:ascii="Arial Narrow" w:hAnsi="Arial Narrow"/>
                <w:sz w:val="20"/>
                <w:szCs w:val="20"/>
              </w:rPr>
              <w:t>0</w:t>
            </w:r>
          </w:p>
        </w:tc>
        <w:tc>
          <w:tcPr>
            <w:tcW w:w="990" w:type="pct"/>
            <w:tcBorders>
              <w:top w:val="single" w:sz="4" w:space="0" w:color="auto"/>
              <w:left w:val="single" w:sz="4" w:space="0" w:color="auto"/>
              <w:bottom w:val="single" w:sz="4" w:space="0" w:color="auto"/>
              <w:right w:val="single" w:sz="4" w:space="0" w:color="auto"/>
            </w:tcBorders>
          </w:tcPr>
          <w:p w14:paraId="7248BEAD"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2 (0.3)</w:t>
            </w:r>
          </w:p>
        </w:tc>
      </w:tr>
      <w:tr w:rsidR="00897E68" w14:paraId="7661FB11" w14:textId="77777777" w:rsidTr="00897E68">
        <w:tc>
          <w:tcPr>
            <w:tcW w:w="1731" w:type="pct"/>
            <w:tcBorders>
              <w:top w:val="single" w:sz="4" w:space="0" w:color="auto"/>
              <w:left w:val="single" w:sz="4" w:space="0" w:color="auto"/>
              <w:bottom w:val="single" w:sz="4" w:space="0" w:color="auto"/>
              <w:right w:val="single" w:sz="4" w:space="0" w:color="auto"/>
            </w:tcBorders>
          </w:tcPr>
          <w:p w14:paraId="71484585" w14:textId="77777777" w:rsidR="00897E68" w:rsidRPr="00CA6CF9"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1 serious AE</w:t>
            </w:r>
          </w:p>
        </w:tc>
        <w:tc>
          <w:tcPr>
            <w:tcW w:w="1178" w:type="pct"/>
            <w:tcBorders>
              <w:top w:val="single" w:sz="4" w:space="0" w:color="auto"/>
              <w:left w:val="single" w:sz="4" w:space="0" w:color="auto"/>
              <w:bottom w:val="single" w:sz="4" w:space="0" w:color="auto"/>
              <w:right w:val="single" w:sz="4" w:space="0" w:color="auto"/>
            </w:tcBorders>
          </w:tcPr>
          <w:p w14:paraId="7C9FE1FE" w14:textId="77777777" w:rsidR="00897E68" w:rsidRPr="00CA6CF9"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2 (0.3)</w:t>
            </w:r>
          </w:p>
        </w:tc>
        <w:tc>
          <w:tcPr>
            <w:tcW w:w="1102" w:type="pct"/>
            <w:tcBorders>
              <w:top w:val="single" w:sz="4" w:space="0" w:color="auto"/>
              <w:left w:val="single" w:sz="4" w:space="0" w:color="auto"/>
              <w:bottom w:val="single" w:sz="4" w:space="0" w:color="auto"/>
              <w:right w:val="single" w:sz="4" w:space="0" w:color="auto"/>
            </w:tcBorders>
          </w:tcPr>
          <w:p w14:paraId="1CADD605"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1 (0.1)</w:t>
            </w:r>
          </w:p>
        </w:tc>
        <w:tc>
          <w:tcPr>
            <w:tcW w:w="990" w:type="pct"/>
            <w:tcBorders>
              <w:top w:val="single" w:sz="4" w:space="0" w:color="auto"/>
              <w:left w:val="single" w:sz="4" w:space="0" w:color="auto"/>
              <w:bottom w:val="single" w:sz="4" w:space="0" w:color="auto"/>
              <w:right w:val="single" w:sz="4" w:space="0" w:color="auto"/>
            </w:tcBorders>
          </w:tcPr>
          <w:p w14:paraId="53F84453"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2 (0.3)</w:t>
            </w:r>
          </w:p>
        </w:tc>
      </w:tr>
      <w:tr w:rsidR="00897E68" w14:paraId="08F6C015" w14:textId="77777777" w:rsidTr="00897E68">
        <w:tc>
          <w:tcPr>
            <w:tcW w:w="1731" w:type="pct"/>
            <w:tcBorders>
              <w:top w:val="single" w:sz="4" w:space="0" w:color="auto"/>
              <w:left w:val="single" w:sz="4" w:space="0" w:color="auto"/>
              <w:bottom w:val="single" w:sz="4" w:space="0" w:color="auto"/>
              <w:right w:val="single" w:sz="4" w:space="0" w:color="auto"/>
            </w:tcBorders>
          </w:tcPr>
          <w:p w14:paraId="27E9AFFE" w14:textId="77777777" w:rsidR="00897E68" w:rsidRPr="00CA6CF9"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1 serious treatment related AE</w:t>
            </w:r>
          </w:p>
        </w:tc>
        <w:tc>
          <w:tcPr>
            <w:tcW w:w="1178" w:type="pct"/>
            <w:tcBorders>
              <w:top w:val="single" w:sz="4" w:space="0" w:color="auto"/>
              <w:left w:val="single" w:sz="4" w:space="0" w:color="auto"/>
              <w:bottom w:val="single" w:sz="4" w:space="0" w:color="auto"/>
              <w:right w:val="single" w:sz="4" w:space="0" w:color="auto"/>
            </w:tcBorders>
          </w:tcPr>
          <w:p w14:paraId="4B115DA4" w14:textId="77777777" w:rsidR="00897E68" w:rsidRPr="00CA6CF9"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0</w:t>
            </w:r>
          </w:p>
        </w:tc>
        <w:tc>
          <w:tcPr>
            <w:tcW w:w="1102" w:type="pct"/>
            <w:tcBorders>
              <w:top w:val="single" w:sz="4" w:space="0" w:color="auto"/>
              <w:left w:val="single" w:sz="4" w:space="0" w:color="auto"/>
              <w:bottom w:val="single" w:sz="4" w:space="0" w:color="auto"/>
              <w:right w:val="single" w:sz="4" w:space="0" w:color="auto"/>
            </w:tcBorders>
          </w:tcPr>
          <w:p w14:paraId="74424985"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1 (0.1)</w:t>
            </w:r>
          </w:p>
        </w:tc>
        <w:tc>
          <w:tcPr>
            <w:tcW w:w="990" w:type="pct"/>
            <w:tcBorders>
              <w:top w:val="single" w:sz="4" w:space="0" w:color="auto"/>
              <w:left w:val="single" w:sz="4" w:space="0" w:color="auto"/>
              <w:bottom w:val="single" w:sz="4" w:space="0" w:color="auto"/>
              <w:right w:val="single" w:sz="4" w:space="0" w:color="auto"/>
            </w:tcBorders>
          </w:tcPr>
          <w:p w14:paraId="2E0B7791"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1 (0.1)</w:t>
            </w:r>
          </w:p>
        </w:tc>
      </w:tr>
      <w:tr w:rsidR="00897E68" w14:paraId="25F39560" w14:textId="77777777" w:rsidTr="00897E68">
        <w:tc>
          <w:tcPr>
            <w:tcW w:w="1731" w:type="pct"/>
            <w:tcBorders>
              <w:top w:val="single" w:sz="4" w:space="0" w:color="auto"/>
              <w:left w:val="single" w:sz="4" w:space="0" w:color="auto"/>
              <w:bottom w:val="single" w:sz="4" w:space="0" w:color="auto"/>
              <w:right w:val="single" w:sz="4" w:space="0" w:color="auto"/>
            </w:tcBorders>
          </w:tcPr>
          <w:p w14:paraId="7D33A743" w14:textId="77777777" w:rsidR="00897E68"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1 AE leading to death</w:t>
            </w:r>
          </w:p>
        </w:tc>
        <w:tc>
          <w:tcPr>
            <w:tcW w:w="1178" w:type="pct"/>
            <w:tcBorders>
              <w:top w:val="single" w:sz="4" w:space="0" w:color="auto"/>
              <w:left w:val="single" w:sz="4" w:space="0" w:color="auto"/>
              <w:bottom w:val="single" w:sz="4" w:space="0" w:color="auto"/>
              <w:right w:val="single" w:sz="4" w:space="0" w:color="auto"/>
            </w:tcBorders>
          </w:tcPr>
          <w:p w14:paraId="41A4BA0A" w14:textId="77777777" w:rsidR="00897E68" w:rsidRPr="00CA6CF9"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0</w:t>
            </w:r>
          </w:p>
        </w:tc>
        <w:tc>
          <w:tcPr>
            <w:tcW w:w="1102" w:type="pct"/>
            <w:tcBorders>
              <w:top w:val="single" w:sz="4" w:space="0" w:color="auto"/>
              <w:left w:val="single" w:sz="4" w:space="0" w:color="auto"/>
              <w:bottom w:val="single" w:sz="4" w:space="0" w:color="auto"/>
              <w:right w:val="single" w:sz="4" w:space="0" w:color="auto"/>
            </w:tcBorders>
          </w:tcPr>
          <w:p w14:paraId="6781DF7B"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0</w:t>
            </w:r>
          </w:p>
        </w:tc>
        <w:tc>
          <w:tcPr>
            <w:tcW w:w="990" w:type="pct"/>
            <w:tcBorders>
              <w:top w:val="single" w:sz="4" w:space="0" w:color="auto"/>
              <w:left w:val="single" w:sz="4" w:space="0" w:color="auto"/>
              <w:bottom w:val="single" w:sz="4" w:space="0" w:color="auto"/>
              <w:right w:val="single" w:sz="4" w:space="0" w:color="auto"/>
            </w:tcBorders>
          </w:tcPr>
          <w:p w14:paraId="7C676751"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1 (0.1)</w:t>
            </w:r>
          </w:p>
        </w:tc>
      </w:tr>
      <w:tr w:rsidR="00897E68" w14:paraId="29979901" w14:textId="77777777" w:rsidTr="00897E68">
        <w:tc>
          <w:tcPr>
            <w:tcW w:w="1731" w:type="pct"/>
            <w:tcBorders>
              <w:top w:val="single" w:sz="4" w:space="0" w:color="auto"/>
              <w:left w:val="single" w:sz="4" w:space="0" w:color="auto"/>
              <w:bottom w:val="single" w:sz="4" w:space="0" w:color="auto"/>
              <w:right w:val="single" w:sz="4" w:space="0" w:color="auto"/>
            </w:tcBorders>
          </w:tcPr>
          <w:p w14:paraId="0CB63C99" w14:textId="77777777" w:rsidR="00897E68"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1 AE leading to discontinuation</w:t>
            </w:r>
          </w:p>
        </w:tc>
        <w:tc>
          <w:tcPr>
            <w:tcW w:w="1178" w:type="pct"/>
            <w:tcBorders>
              <w:top w:val="single" w:sz="4" w:space="0" w:color="auto"/>
              <w:left w:val="single" w:sz="4" w:space="0" w:color="auto"/>
              <w:bottom w:val="single" w:sz="4" w:space="0" w:color="auto"/>
              <w:right w:val="single" w:sz="4" w:space="0" w:color="auto"/>
            </w:tcBorders>
          </w:tcPr>
          <w:p w14:paraId="463F8050" w14:textId="77777777" w:rsidR="00897E68" w:rsidRPr="00CA6CF9"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6 (0.9)</w:t>
            </w:r>
          </w:p>
        </w:tc>
        <w:tc>
          <w:tcPr>
            <w:tcW w:w="1102" w:type="pct"/>
            <w:tcBorders>
              <w:top w:val="single" w:sz="4" w:space="0" w:color="auto"/>
              <w:left w:val="single" w:sz="4" w:space="0" w:color="auto"/>
              <w:bottom w:val="single" w:sz="4" w:space="0" w:color="auto"/>
              <w:right w:val="single" w:sz="4" w:space="0" w:color="auto"/>
            </w:tcBorders>
          </w:tcPr>
          <w:p w14:paraId="0D2A68E3"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3 (0.4)</w:t>
            </w:r>
          </w:p>
        </w:tc>
        <w:tc>
          <w:tcPr>
            <w:tcW w:w="990" w:type="pct"/>
            <w:tcBorders>
              <w:top w:val="single" w:sz="4" w:space="0" w:color="auto"/>
              <w:left w:val="single" w:sz="4" w:space="0" w:color="auto"/>
              <w:bottom w:val="single" w:sz="4" w:space="0" w:color="auto"/>
              <w:right w:val="single" w:sz="4" w:space="0" w:color="auto"/>
            </w:tcBorders>
          </w:tcPr>
          <w:p w14:paraId="2F068E8E"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4 (0.6)</w:t>
            </w:r>
          </w:p>
        </w:tc>
      </w:tr>
      <w:tr w:rsidR="00897E68" w14:paraId="506CB4E6" w14:textId="77777777" w:rsidTr="00897E68">
        <w:tc>
          <w:tcPr>
            <w:tcW w:w="1731" w:type="pct"/>
            <w:tcBorders>
              <w:top w:val="single" w:sz="4" w:space="0" w:color="auto"/>
              <w:left w:val="single" w:sz="4" w:space="0" w:color="auto"/>
              <w:bottom w:val="single" w:sz="4" w:space="0" w:color="auto"/>
              <w:right w:val="single" w:sz="4" w:space="0" w:color="auto"/>
            </w:tcBorders>
          </w:tcPr>
          <w:p w14:paraId="37D596C7" w14:textId="77777777" w:rsidR="00897E68" w:rsidRPr="00CA6CF9" w:rsidRDefault="00897E68" w:rsidP="005224CD">
            <w:pPr>
              <w:widowControl w:val="0"/>
              <w:ind w:left="30"/>
              <w:jc w:val="left"/>
              <w:rPr>
                <w:rFonts w:ascii="Arial Narrow" w:eastAsiaTheme="majorEastAsia" w:hAnsi="Arial Narrow" w:cstheme="majorBidi"/>
                <w:sz w:val="20"/>
                <w:szCs w:val="20"/>
              </w:rPr>
            </w:pPr>
            <w:r>
              <w:rPr>
                <w:rFonts w:ascii="Arial Narrow" w:eastAsiaTheme="majorEastAsia" w:hAnsi="Arial Narrow" w:cstheme="majorBidi"/>
                <w:sz w:val="20"/>
                <w:szCs w:val="20"/>
              </w:rPr>
              <w:t>Orthostatic hypotension</w:t>
            </w:r>
          </w:p>
        </w:tc>
        <w:tc>
          <w:tcPr>
            <w:tcW w:w="1178" w:type="pct"/>
            <w:tcBorders>
              <w:top w:val="single" w:sz="4" w:space="0" w:color="auto"/>
              <w:left w:val="single" w:sz="4" w:space="0" w:color="auto"/>
              <w:bottom w:val="single" w:sz="4" w:space="0" w:color="auto"/>
              <w:right w:val="single" w:sz="4" w:space="0" w:color="auto"/>
            </w:tcBorders>
          </w:tcPr>
          <w:p w14:paraId="18061AD9" w14:textId="77777777" w:rsidR="00897E68" w:rsidRPr="00CA6CF9" w:rsidRDefault="00897E68" w:rsidP="005224CD">
            <w:pPr>
              <w:widowControl w:val="0"/>
              <w:jc w:val="center"/>
              <w:rPr>
                <w:rFonts w:ascii="Arial Narrow" w:eastAsiaTheme="majorEastAsia" w:hAnsi="Arial Narrow" w:cstheme="majorBidi"/>
                <w:sz w:val="20"/>
                <w:szCs w:val="20"/>
              </w:rPr>
            </w:pPr>
          </w:p>
        </w:tc>
        <w:tc>
          <w:tcPr>
            <w:tcW w:w="1102" w:type="pct"/>
            <w:tcBorders>
              <w:top w:val="single" w:sz="4" w:space="0" w:color="auto"/>
              <w:left w:val="single" w:sz="4" w:space="0" w:color="auto"/>
              <w:bottom w:val="single" w:sz="4" w:space="0" w:color="auto"/>
              <w:right w:val="single" w:sz="4" w:space="0" w:color="auto"/>
            </w:tcBorders>
          </w:tcPr>
          <w:p w14:paraId="3D40C668" w14:textId="77777777" w:rsidR="00897E68" w:rsidRDefault="00897E68" w:rsidP="005224CD">
            <w:pPr>
              <w:widowControl w:val="0"/>
              <w:jc w:val="center"/>
              <w:rPr>
                <w:rFonts w:ascii="Arial Narrow" w:hAnsi="Arial Narrow"/>
                <w:sz w:val="20"/>
                <w:szCs w:val="20"/>
              </w:rPr>
            </w:pPr>
          </w:p>
        </w:tc>
        <w:tc>
          <w:tcPr>
            <w:tcW w:w="990" w:type="pct"/>
            <w:tcBorders>
              <w:top w:val="single" w:sz="4" w:space="0" w:color="auto"/>
              <w:left w:val="single" w:sz="4" w:space="0" w:color="auto"/>
              <w:bottom w:val="single" w:sz="4" w:space="0" w:color="auto"/>
              <w:right w:val="single" w:sz="4" w:space="0" w:color="auto"/>
            </w:tcBorders>
          </w:tcPr>
          <w:p w14:paraId="790859DF" w14:textId="77777777" w:rsidR="00897E68" w:rsidRDefault="00897E68" w:rsidP="005224CD">
            <w:pPr>
              <w:widowControl w:val="0"/>
              <w:jc w:val="center"/>
              <w:rPr>
                <w:rFonts w:ascii="Arial Narrow" w:hAnsi="Arial Narrow"/>
                <w:sz w:val="20"/>
                <w:szCs w:val="20"/>
              </w:rPr>
            </w:pPr>
          </w:p>
        </w:tc>
      </w:tr>
      <w:tr w:rsidR="00897E68" w14:paraId="73CFA8FA" w14:textId="77777777" w:rsidTr="00897E68">
        <w:tc>
          <w:tcPr>
            <w:tcW w:w="1731" w:type="pct"/>
            <w:tcBorders>
              <w:top w:val="single" w:sz="4" w:space="0" w:color="auto"/>
              <w:left w:val="single" w:sz="4" w:space="0" w:color="auto"/>
              <w:bottom w:val="single" w:sz="4" w:space="0" w:color="auto"/>
              <w:right w:val="single" w:sz="4" w:space="0" w:color="auto"/>
            </w:tcBorders>
          </w:tcPr>
          <w:p w14:paraId="7564C32D" w14:textId="77777777" w:rsidR="00897E68" w:rsidRPr="00CA6CF9"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1 treatment related AE</w:t>
            </w:r>
          </w:p>
        </w:tc>
        <w:tc>
          <w:tcPr>
            <w:tcW w:w="1178" w:type="pct"/>
            <w:tcBorders>
              <w:top w:val="single" w:sz="4" w:space="0" w:color="auto"/>
              <w:left w:val="single" w:sz="4" w:space="0" w:color="auto"/>
              <w:bottom w:val="single" w:sz="4" w:space="0" w:color="auto"/>
              <w:right w:val="single" w:sz="4" w:space="0" w:color="auto"/>
            </w:tcBorders>
          </w:tcPr>
          <w:p w14:paraId="35A09D91" w14:textId="77777777" w:rsidR="00897E68" w:rsidRPr="00CA6CF9" w:rsidRDefault="00897E68" w:rsidP="005224CD">
            <w:pPr>
              <w:widowControl w:val="0"/>
              <w:jc w:val="center"/>
              <w:rPr>
                <w:rFonts w:ascii="Arial Narrow" w:eastAsiaTheme="majorEastAsia" w:hAnsi="Arial Narrow" w:cstheme="majorBidi"/>
                <w:sz w:val="20"/>
                <w:szCs w:val="20"/>
              </w:rPr>
            </w:pPr>
            <w:r w:rsidRPr="004C02CB">
              <w:rPr>
                <w:rFonts w:ascii="Arial Narrow" w:eastAsiaTheme="majorEastAsia" w:hAnsi="Arial Narrow" w:cstheme="majorBidi"/>
                <w:sz w:val="20"/>
                <w:szCs w:val="20"/>
              </w:rPr>
              <w:t>112 (16.1)</w:t>
            </w:r>
          </w:p>
        </w:tc>
        <w:tc>
          <w:tcPr>
            <w:tcW w:w="1102" w:type="pct"/>
            <w:tcBorders>
              <w:top w:val="single" w:sz="4" w:space="0" w:color="auto"/>
              <w:left w:val="single" w:sz="4" w:space="0" w:color="auto"/>
              <w:bottom w:val="single" w:sz="4" w:space="0" w:color="auto"/>
              <w:right w:val="single" w:sz="4" w:space="0" w:color="auto"/>
            </w:tcBorders>
          </w:tcPr>
          <w:p w14:paraId="6DC9A634"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34 (4.9)</w:t>
            </w:r>
          </w:p>
        </w:tc>
        <w:tc>
          <w:tcPr>
            <w:tcW w:w="990" w:type="pct"/>
            <w:tcBorders>
              <w:top w:val="single" w:sz="4" w:space="0" w:color="auto"/>
              <w:left w:val="single" w:sz="4" w:space="0" w:color="auto"/>
              <w:bottom w:val="single" w:sz="4" w:space="0" w:color="auto"/>
              <w:right w:val="single" w:sz="4" w:space="0" w:color="auto"/>
            </w:tcBorders>
          </w:tcPr>
          <w:p w14:paraId="6BFA139F"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71 (10.3)</w:t>
            </w:r>
          </w:p>
        </w:tc>
      </w:tr>
      <w:tr w:rsidR="00897E68" w14:paraId="18A319E3" w14:textId="77777777" w:rsidTr="00897E68">
        <w:tc>
          <w:tcPr>
            <w:tcW w:w="1731" w:type="pct"/>
            <w:tcBorders>
              <w:top w:val="single" w:sz="4" w:space="0" w:color="auto"/>
              <w:left w:val="single" w:sz="4" w:space="0" w:color="auto"/>
              <w:bottom w:val="single" w:sz="4" w:space="0" w:color="auto"/>
              <w:right w:val="single" w:sz="4" w:space="0" w:color="auto"/>
            </w:tcBorders>
          </w:tcPr>
          <w:p w14:paraId="00928685" w14:textId="77777777" w:rsidR="00897E68"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1 severe AE</w:t>
            </w:r>
          </w:p>
        </w:tc>
        <w:tc>
          <w:tcPr>
            <w:tcW w:w="1178" w:type="pct"/>
            <w:tcBorders>
              <w:top w:val="single" w:sz="4" w:space="0" w:color="auto"/>
              <w:left w:val="single" w:sz="4" w:space="0" w:color="auto"/>
              <w:bottom w:val="single" w:sz="4" w:space="0" w:color="auto"/>
              <w:right w:val="single" w:sz="4" w:space="0" w:color="auto"/>
            </w:tcBorders>
          </w:tcPr>
          <w:p w14:paraId="103F4DFF" w14:textId="77777777" w:rsidR="00897E68"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6 (0.9)</w:t>
            </w:r>
          </w:p>
        </w:tc>
        <w:tc>
          <w:tcPr>
            <w:tcW w:w="1102" w:type="pct"/>
            <w:tcBorders>
              <w:top w:val="single" w:sz="4" w:space="0" w:color="auto"/>
              <w:left w:val="single" w:sz="4" w:space="0" w:color="auto"/>
              <w:bottom w:val="single" w:sz="4" w:space="0" w:color="auto"/>
              <w:right w:val="single" w:sz="4" w:space="0" w:color="auto"/>
            </w:tcBorders>
          </w:tcPr>
          <w:p w14:paraId="679FF385"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4 (0.6)</w:t>
            </w:r>
          </w:p>
        </w:tc>
        <w:tc>
          <w:tcPr>
            <w:tcW w:w="990" w:type="pct"/>
            <w:tcBorders>
              <w:top w:val="single" w:sz="4" w:space="0" w:color="auto"/>
              <w:left w:val="single" w:sz="4" w:space="0" w:color="auto"/>
              <w:bottom w:val="single" w:sz="4" w:space="0" w:color="auto"/>
              <w:right w:val="single" w:sz="4" w:space="0" w:color="auto"/>
            </w:tcBorders>
          </w:tcPr>
          <w:p w14:paraId="7E4E3062"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0</w:t>
            </w:r>
          </w:p>
        </w:tc>
      </w:tr>
      <w:tr w:rsidR="00897E68" w14:paraId="0C31091C" w14:textId="77777777" w:rsidTr="00897E68">
        <w:tc>
          <w:tcPr>
            <w:tcW w:w="1731" w:type="pct"/>
            <w:tcBorders>
              <w:top w:val="single" w:sz="4" w:space="0" w:color="auto"/>
              <w:left w:val="single" w:sz="4" w:space="0" w:color="auto"/>
              <w:bottom w:val="single" w:sz="4" w:space="0" w:color="auto"/>
              <w:right w:val="single" w:sz="4" w:space="0" w:color="auto"/>
            </w:tcBorders>
          </w:tcPr>
          <w:p w14:paraId="4424DDB9" w14:textId="77777777" w:rsidR="00897E68" w:rsidRPr="00CA6CF9"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1 serious AE</w:t>
            </w:r>
          </w:p>
        </w:tc>
        <w:tc>
          <w:tcPr>
            <w:tcW w:w="1178" w:type="pct"/>
            <w:tcBorders>
              <w:top w:val="single" w:sz="4" w:space="0" w:color="auto"/>
              <w:left w:val="single" w:sz="4" w:space="0" w:color="auto"/>
              <w:bottom w:val="single" w:sz="4" w:space="0" w:color="auto"/>
              <w:right w:val="single" w:sz="4" w:space="0" w:color="auto"/>
            </w:tcBorders>
          </w:tcPr>
          <w:p w14:paraId="555AEE41" w14:textId="77777777" w:rsidR="00897E68" w:rsidRPr="00CA6CF9"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2 (0.3)</w:t>
            </w:r>
          </w:p>
        </w:tc>
        <w:tc>
          <w:tcPr>
            <w:tcW w:w="1102" w:type="pct"/>
            <w:tcBorders>
              <w:top w:val="single" w:sz="4" w:space="0" w:color="auto"/>
              <w:left w:val="single" w:sz="4" w:space="0" w:color="auto"/>
              <w:bottom w:val="single" w:sz="4" w:space="0" w:color="auto"/>
              <w:right w:val="single" w:sz="4" w:space="0" w:color="auto"/>
            </w:tcBorders>
          </w:tcPr>
          <w:p w14:paraId="1C730A9C"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2 (0.3)</w:t>
            </w:r>
          </w:p>
        </w:tc>
        <w:tc>
          <w:tcPr>
            <w:tcW w:w="990" w:type="pct"/>
            <w:tcBorders>
              <w:top w:val="single" w:sz="4" w:space="0" w:color="auto"/>
              <w:left w:val="single" w:sz="4" w:space="0" w:color="auto"/>
              <w:bottom w:val="single" w:sz="4" w:space="0" w:color="auto"/>
              <w:right w:val="single" w:sz="4" w:space="0" w:color="auto"/>
            </w:tcBorders>
          </w:tcPr>
          <w:p w14:paraId="046AB1BB"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4 (0.6)</w:t>
            </w:r>
          </w:p>
        </w:tc>
      </w:tr>
      <w:tr w:rsidR="00897E68" w14:paraId="5A3368D8" w14:textId="77777777" w:rsidTr="00897E68">
        <w:tc>
          <w:tcPr>
            <w:tcW w:w="1731" w:type="pct"/>
            <w:tcBorders>
              <w:top w:val="single" w:sz="4" w:space="0" w:color="auto"/>
              <w:left w:val="single" w:sz="4" w:space="0" w:color="auto"/>
              <w:bottom w:val="single" w:sz="4" w:space="0" w:color="auto"/>
              <w:right w:val="single" w:sz="4" w:space="0" w:color="auto"/>
            </w:tcBorders>
          </w:tcPr>
          <w:p w14:paraId="50373729" w14:textId="1C1004A8" w:rsidR="00897E68"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1 AE leading</w:t>
            </w:r>
            <w:r w:rsidR="00A86CF1">
              <w:rPr>
                <w:rFonts w:ascii="Arial Narrow" w:eastAsiaTheme="majorEastAsia" w:hAnsi="Arial Narrow" w:cstheme="majorBidi"/>
                <w:sz w:val="20"/>
                <w:szCs w:val="20"/>
              </w:rPr>
              <w:t xml:space="preserve"> to</w:t>
            </w:r>
            <w:r>
              <w:rPr>
                <w:rFonts w:ascii="Arial Narrow" w:eastAsiaTheme="majorEastAsia" w:hAnsi="Arial Narrow" w:cstheme="majorBidi"/>
                <w:sz w:val="20"/>
                <w:szCs w:val="20"/>
              </w:rPr>
              <w:t xml:space="preserve"> discontinuation</w:t>
            </w:r>
          </w:p>
        </w:tc>
        <w:tc>
          <w:tcPr>
            <w:tcW w:w="1178" w:type="pct"/>
            <w:tcBorders>
              <w:top w:val="single" w:sz="4" w:space="0" w:color="auto"/>
              <w:left w:val="single" w:sz="4" w:space="0" w:color="auto"/>
              <w:bottom w:val="single" w:sz="4" w:space="0" w:color="auto"/>
              <w:right w:val="single" w:sz="4" w:space="0" w:color="auto"/>
            </w:tcBorders>
          </w:tcPr>
          <w:p w14:paraId="714BFE60" w14:textId="77777777" w:rsidR="00897E68" w:rsidRPr="00CA6CF9"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25 (3.6)</w:t>
            </w:r>
          </w:p>
        </w:tc>
        <w:tc>
          <w:tcPr>
            <w:tcW w:w="1102" w:type="pct"/>
            <w:tcBorders>
              <w:top w:val="single" w:sz="4" w:space="0" w:color="auto"/>
              <w:left w:val="single" w:sz="4" w:space="0" w:color="auto"/>
              <w:bottom w:val="single" w:sz="4" w:space="0" w:color="auto"/>
              <w:right w:val="single" w:sz="4" w:space="0" w:color="auto"/>
            </w:tcBorders>
          </w:tcPr>
          <w:p w14:paraId="0B6AAAF4"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6 (0.9)</w:t>
            </w:r>
          </w:p>
        </w:tc>
        <w:tc>
          <w:tcPr>
            <w:tcW w:w="990" w:type="pct"/>
            <w:tcBorders>
              <w:top w:val="single" w:sz="4" w:space="0" w:color="auto"/>
              <w:left w:val="single" w:sz="4" w:space="0" w:color="auto"/>
              <w:bottom w:val="single" w:sz="4" w:space="0" w:color="auto"/>
              <w:right w:val="single" w:sz="4" w:space="0" w:color="auto"/>
            </w:tcBorders>
          </w:tcPr>
          <w:p w14:paraId="162D12B5"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12 (1.7)</w:t>
            </w:r>
          </w:p>
        </w:tc>
      </w:tr>
      <w:tr w:rsidR="00897E68" w14:paraId="481E573C" w14:textId="77777777" w:rsidTr="00897E68">
        <w:tc>
          <w:tcPr>
            <w:tcW w:w="1731" w:type="pct"/>
            <w:tcBorders>
              <w:top w:val="single" w:sz="4" w:space="0" w:color="auto"/>
              <w:left w:val="single" w:sz="4" w:space="0" w:color="auto"/>
              <w:bottom w:val="single" w:sz="4" w:space="0" w:color="auto"/>
              <w:right w:val="single" w:sz="4" w:space="0" w:color="auto"/>
            </w:tcBorders>
          </w:tcPr>
          <w:p w14:paraId="0149FE10" w14:textId="77777777" w:rsidR="00897E68" w:rsidRPr="00CA6CF9" w:rsidRDefault="00897E68" w:rsidP="005224CD">
            <w:pPr>
              <w:widowControl w:val="0"/>
              <w:ind w:left="30"/>
              <w:jc w:val="left"/>
              <w:rPr>
                <w:rFonts w:ascii="Arial Narrow" w:eastAsiaTheme="majorEastAsia" w:hAnsi="Arial Narrow" w:cstheme="majorBidi"/>
                <w:sz w:val="20"/>
                <w:szCs w:val="20"/>
              </w:rPr>
            </w:pPr>
            <w:r>
              <w:rPr>
                <w:rFonts w:ascii="Arial Narrow" w:eastAsiaTheme="majorEastAsia" w:hAnsi="Arial Narrow" w:cstheme="majorBidi"/>
                <w:sz w:val="20"/>
                <w:szCs w:val="20"/>
              </w:rPr>
              <w:t>Renal impairment</w:t>
            </w:r>
          </w:p>
        </w:tc>
        <w:tc>
          <w:tcPr>
            <w:tcW w:w="1178" w:type="pct"/>
            <w:tcBorders>
              <w:top w:val="single" w:sz="4" w:space="0" w:color="auto"/>
              <w:left w:val="single" w:sz="4" w:space="0" w:color="auto"/>
              <w:bottom w:val="single" w:sz="4" w:space="0" w:color="auto"/>
              <w:right w:val="single" w:sz="4" w:space="0" w:color="auto"/>
            </w:tcBorders>
          </w:tcPr>
          <w:p w14:paraId="0EA46C41" w14:textId="77777777" w:rsidR="00897E68" w:rsidRPr="00CA6CF9" w:rsidRDefault="00897E68" w:rsidP="005224CD">
            <w:pPr>
              <w:widowControl w:val="0"/>
              <w:jc w:val="center"/>
              <w:rPr>
                <w:rFonts w:ascii="Arial Narrow" w:eastAsiaTheme="majorEastAsia" w:hAnsi="Arial Narrow" w:cstheme="majorBidi"/>
                <w:sz w:val="20"/>
                <w:szCs w:val="20"/>
              </w:rPr>
            </w:pPr>
          </w:p>
        </w:tc>
        <w:tc>
          <w:tcPr>
            <w:tcW w:w="1102" w:type="pct"/>
            <w:tcBorders>
              <w:top w:val="single" w:sz="4" w:space="0" w:color="auto"/>
              <w:left w:val="single" w:sz="4" w:space="0" w:color="auto"/>
              <w:bottom w:val="single" w:sz="4" w:space="0" w:color="auto"/>
              <w:right w:val="single" w:sz="4" w:space="0" w:color="auto"/>
            </w:tcBorders>
          </w:tcPr>
          <w:p w14:paraId="54D9B52E" w14:textId="77777777" w:rsidR="00897E68" w:rsidRDefault="00897E68" w:rsidP="005224CD">
            <w:pPr>
              <w:widowControl w:val="0"/>
              <w:jc w:val="center"/>
              <w:rPr>
                <w:rFonts w:ascii="Arial Narrow" w:hAnsi="Arial Narrow"/>
                <w:sz w:val="20"/>
                <w:szCs w:val="20"/>
              </w:rPr>
            </w:pPr>
          </w:p>
        </w:tc>
        <w:tc>
          <w:tcPr>
            <w:tcW w:w="990" w:type="pct"/>
            <w:tcBorders>
              <w:top w:val="single" w:sz="4" w:space="0" w:color="auto"/>
              <w:left w:val="single" w:sz="4" w:space="0" w:color="auto"/>
              <w:bottom w:val="single" w:sz="4" w:space="0" w:color="auto"/>
              <w:right w:val="single" w:sz="4" w:space="0" w:color="auto"/>
            </w:tcBorders>
          </w:tcPr>
          <w:p w14:paraId="3F089A90" w14:textId="77777777" w:rsidR="00897E68" w:rsidRDefault="00897E68" w:rsidP="005224CD">
            <w:pPr>
              <w:widowControl w:val="0"/>
              <w:jc w:val="center"/>
              <w:rPr>
                <w:rFonts w:ascii="Arial Narrow" w:hAnsi="Arial Narrow"/>
                <w:sz w:val="20"/>
                <w:szCs w:val="20"/>
              </w:rPr>
            </w:pPr>
          </w:p>
        </w:tc>
      </w:tr>
      <w:tr w:rsidR="00897E68" w14:paraId="0A10833F" w14:textId="77777777" w:rsidTr="00897E68">
        <w:tc>
          <w:tcPr>
            <w:tcW w:w="1731" w:type="pct"/>
            <w:tcBorders>
              <w:top w:val="single" w:sz="4" w:space="0" w:color="auto"/>
              <w:left w:val="single" w:sz="4" w:space="0" w:color="auto"/>
              <w:bottom w:val="single" w:sz="4" w:space="0" w:color="auto"/>
              <w:right w:val="single" w:sz="4" w:space="0" w:color="auto"/>
            </w:tcBorders>
          </w:tcPr>
          <w:p w14:paraId="4F05793B" w14:textId="77777777" w:rsidR="00897E68" w:rsidRPr="00CA6CF9"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1 AE related to renal impairment</w:t>
            </w:r>
          </w:p>
        </w:tc>
        <w:tc>
          <w:tcPr>
            <w:tcW w:w="1178" w:type="pct"/>
            <w:tcBorders>
              <w:top w:val="single" w:sz="4" w:space="0" w:color="auto"/>
              <w:left w:val="single" w:sz="4" w:space="0" w:color="auto"/>
              <w:bottom w:val="single" w:sz="4" w:space="0" w:color="auto"/>
              <w:right w:val="single" w:sz="4" w:space="0" w:color="auto"/>
            </w:tcBorders>
          </w:tcPr>
          <w:p w14:paraId="20089D82" w14:textId="77777777" w:rsidR="00897E68" w:rsidRPr="00CA6CF9"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46 (6.6)</w:t>
            </w:r>
          </w:p>
        </w:tc>
        <w:tc>
          <w:tcPr>
            <w:tcW w:w="1102" w:type="pct"/>
            <w:tcBorders>
              <w:top w:val="single" w:sz="4" w:space="0" w:color="auto"/>
              <w:left w:val="single" w:sz="4" w:space="0" w:color="auto"/>
              <w:bottom w:val="single" w:sz="4" w:space="0" w:color="auto"/>
              <w:right w:val="single" w:sz="4" w:space="0" w:color="auto"/>
            </w:tcBorders>
          </w:tcPr>
          <w:p w14:paraId="058F4C3D"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47 (6.8)</w:t>
            </w:r>
          </w:p>
        </w:tc>
        <w:tc>
          <w:tcPr>
            <w:tcW w:w="990" w:type="pct"/>
            <w:tcBorders>
              <w:top w:val="single" w:sz="4" w:space="0" w:color="auto"/>
              <w:left w:val="single" w:sz="4" w:space="0" w:color="auto"/>
              <w:bottom w:val="single" w:sz="4" w:space="0" w:color="auto"/>
              <w:right w:val="single" w:sz="4" w:space="0" w:color="auto"/>
            </w:tcBorders>
          </w:tcPr>
          <w:p w14:paraId="656C62A0"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30 (4.4)</w:t>
            </w:r>
          </w:p>
        </w:tc>
      </w:tr>
      <w:tr w:rsidR="00897E68" w14:paraId="05A7601B" w14:textId="77777777" w:rsidTr="00897E68">
        <w:tc>
          <w:tcPr>
            <w:tcW w:w="1731" w:type="pct"/>
            <w:tcBorders>
              <w:top w:val="single" w:sz="4" w:space="0" w:color="auto"/>
              <w:left w:val="single" w:sz="4" w:space="0" w:color="auto"/>
              <w:bottom w:val="single" w:sz="4" w:space="0" w:color="auto"/>
              <w:right w:val="single" w:sz="4" w:space="0" w:color="auto"/>
            </w:tcBorders>
          </w:tcPr>
          <w:p w14:paraId="3687C9AD" w14:textId="77777777" w:rsidR="00897E68" w:rsidRPr="00CA6CF9"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1 treatment related AE</w:t>
            </w:r>
          </w:p>
        </w:tc>
        <w:tc>
          <w:tcPr>
            <w:tcW w:w="1178" w:type="pct"/>
            <w:tcBorders>
              <w:top w:val="single" w:sz="4" w:space="0" w:color="auto"/>
              <w:left w:val="single" w:sz="4" w:space="0" w:color="auto"/>
              <w:bottom w:val="single" w:sz="4" w:space="0" w:color="auto"/>
              <w:right w:val="single" w:sz="4" w:space="0" w:color="auto"/>
            </w:tcBorders>
          </w:tcPr>
          <w:p w14:paraId="1250B7C2" w14:textId="77777777" w:rsidR="00897E68" w:rsidRPr="00CA6CF9"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4 (0.6)</w:t>
            </w:r>
          </w:p>
        </w:tc>
        <w:tc>
          <w:tcPr>
            <w:tcW w:w="1102" w:type="pct"/>
            <w:tcBorders>
              <w:top w:val="single" w:sz="4" w:space="0" w:color="auto"/>
              <w:left w:val="single" w:sz="4" w:space="0" w:color="auto"/>
              <w:bottom w:val="single" w:sz="4" w:space="0" w:color="auto"/>
              <w:right w:val="single" w:sz="4" w:space="0" w:color="auto"/>
            </w:tcBorders>
          </w:tcPr>
          <w:p w14:paraId="3DA65303"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8 (1.2)</w:t>
            </w:r>
          </w:p>
        </w:tc>
        <w:tc>
          <w:tcPr>
            <w:tcW w:w="990" w:type="pct"/>
            <w:tcBorders>
              <w:top w:val="single" w:sz="4" w:space="0" w:color="auto"/>
              <w:left w:val="single" w:sz="4" w:space="0" w:color="auto"/>
              <w:bottom w:val="single" w:sz="4" w:space="0" w:color="auto"/>
              <w:right w:val="single" w:sz="4" w:space="0" w:color="auto"/>
            </w:tcBorders>
          </w:tcPr>
          <w:p w14:paraId="30CB6325"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2 (0.3)</w:t>
            </w:r>
          </w:p>
        </w:tc>
      </w:tr>
      <w:tr w:rsidR="00897E68" w14:paraId="7019D3FF" w14:textId="77777777" w:rsidTr="00897E68">
        <w:tc>
          <w:tcPr>
            <w:tcW w:w="1731" w:type="pct"/>
            <w:tcBorders>
              <w:top w:val="single" w:sz="4" w:space="0" w:color="auto"/>
              <w:left w:val="single" w:sz="4" w:space="0" w:color="auto"/>
              <w:bottom w:val="single" w:sz="4" w:space="0" w:color="auto"/>
              <w:right w:val="single" w:sz="4" w:space="0" w:color="auto"/>
            </w:tcBorders>
          </w:tcPr>
          <w:p w14:paraId="011EA13D" w14:textId="77777777" w:rsidR="00897E68" w:rsidRPr="00CA6CF9" w:rsidRDefault="00897E68" w:rsidP="005224CD">
            <w:pPr>
              <w:widowControl w:val="0"/>
              <w:ind w:left="30"/>
              <w:jc w:val="left"/>
              <w:rPr>
                <w:rFonts w:ascii="Arial Narrow" w:eastAsiaTheme="majorEastAsia" w:hAnsi="Arial Narrow" w:cstheme="majorBidi"/>
                <w:sz w:val="20"/>
                <w:szCs w:val="20"/>
              </w:rPr>
            </w:pPr>
            <w:r>
              <w:rPr>
                <w:rFonts w:ascii="Arial Narrow" w:eastAsiaTheme="majorEastAsia" w:hAnsi="Arial Narrow" w:cstheme="majorBidi"/>
                <w:sz w:val="20"/>
                <w:szCs w:val="20"/>
              </w:rPr>
              <w:t>Palpitations</w:t>
            </w:r>
          </w:p>
        </w:tc>
        <w:tc>
          <w:tcPr>
            <w:tcW w:w="1178" w:type="pct"/>
            <w:tcBorders>
              <w:top w:val="single" w:sz="4" w:space="0" w:color="auto"/>
              <w:left w:val="single" w:sz="4" w:space="0" w:color="auto"/>
              <w:bottom w:val="single" w:sz="4" w:space="0" w:color="auto"/>
              <w:right w:val="single" w:sz="4" w:space="0" w:color="auto"/>
            </w:tcBorders>
          </w:tcPr>
          <w:p w14:paraId="0F1C41D5" w14:textId="77777777" w:rsidR="00897E68" w:rsidRPr="00CA6CF9" w:rsidRDefault="00897E68" w:rsidP="005224CD">
            <w:pPr>
              <w:widowControl w:val="0"/>
              <w:jc w:val="center"/>
              <w:rPr>
                <w:rFonts w:ascii="Arial Narrow" w:eastAsiaTheme="majorEastAsia" w:hAnsi="Arial Narrow" w:cstheme="majorBidi"/>
                <w:sz w:val="20"/>
                <w:szCs w:val="20"/>
              </w:rPr>
            </w:pPr>
          </w:p>
        </w:tc>
        <w:tc>
          <w:tcPr>
            <w:tcW w:w="1102" w:type="pct"/>
            <w:tcBorders>
              <w:top w:val="single" w:sz="4" w:space="0" w:color="auto"/>
              <w:left w:val="single" w:sz="4" w:space="0" w:color="auto"/>
              <w:bottom w:val="single" w:sz="4" w:space="0" w:color="auto"/>
              <w:right w:val="single" w:sz="4" w:space="0" w:color="auto"/>
            </w:tcBorders>
          </w:tcPr>
          <w:p w14:paraId="4A164359" w14:textId="77777777" w:rsidR="00897E68" w:rsidRDefault="00897E68" w:rsidP="005224CD">
            <w:pPr>
              <w:widowControl w:val="0"/>
              <w:jc w:val="center"/>
              <w:rPr>
                <w:rFonts w:ascii="Arial Narrow" w:hAnsi="Arial Narrow"/>
                <w:sz w:val="20"/>
                <w:szCs w:val="20"/>
              </w:rPr>
            </w:pPr>
          </w:p>
        </w:tc>
        <w:tc>
          <w:tcPr>
            <w:tcW w:w="990" w:type="pct"/>
            <w:tcBorders>
              <w:top w:val="single" w:sz="4" w:space="0" w:color="auto"/>
              <w:left w:val="single" w:sz="4" w:space="0" w:color="auto"/>
              <w:bottom w:val="single" w:sz="4" w:space="0" w:color="auto"/>
              <w:right w:val="single" w:sz="4" w:space="0" w:color="auto"/>
            </w:tcBorders>
          </w:tcPr>
          <w:p w14:paraId="532290CC" w14:textId="77777777" w:rsidR="00897E68" w:rsidRDefault="00897E68" w:rsidP="005224CD">
            <w:pPr>
              <w:widowControl w:val="0"/>
              <w:jc w:val="center"/>
              <w:rPr>
                <w:rFonts w:ascii="Arial Narrow" w:hAnsi="Arial Narrow"/>
                <w:sz w:val="20"/>
                <w:szCs w:val="20"/>
              </w:rPr>
            </w:pPr>
          </w:p>
        </w:tc>
      </w:tr>
      <w:tr w:rsidR="00897E68" w14:paraId="48E59E24" w14:textId="77777777" w:rsidTr="00897E68">
        <w:tc>
          <w:tcPr>
            <w:tcW w:w="1731" w:type="pct"/>
            <w:tcBorders>
              <w:top w:val="single" w:sz="4" w:space="0" w:color="auto"/>
              <w:left w:val="single" w:sz="4" w:space="0" w:color="auto"/>
              <w:bottom w:val="single" w:sz="4" w:space="0" w:color="auto"/>
              <w:right w:val="single" w:sz="4" w:space="0" w:color="auto"/>
            </w:tcBorders>
          </w:tcPr>
          <w:p w14:paraId="29E6E170" w14:textId="77777777" w:rsidR="00897E68" w:rsidRPr="00CA6CF9"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1 AE related to palpitation</w:t>
            </w:r>
          </w:p>
        </w:tc>
        <w:tc>
          <w:tcPr>
            <w:tcW w:w="1178" w:type="pct"/>
            <w:tcBorders>
              <w:top w:val="single" w:sz="4" w:space="0" w:color="auto"/>
              <w:left w:val="single" w:sz="4" w:space="0" w:color="auto"/>
              <w:bottom w:val="single" w:sz="4" w:space="0" w:color="auto"/>
              <w:right w:val="single" w:sz="4" w:space="0" w:color="auto"/>
            </w:tcBorders>
          </w:tcPr>
          <w:p w14:paraId="19634CA6" w14:textId="77777777" w:rsidR="00897E68" w:rsidRPr="00CA6CF9"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59 (8.5)</w:t>
            </w:r>
          </w:p>
        </w:tc>
        <w:tc>
          <w:tcPr>
            <w:tcW w:w="1102" w:type="pct"/>
            <w:tcBorders>
              <w:top w:val="single" w:sz="4" w:space="0" w:color="auto"/>
              <w:left w:val="single" w:sz="4" w:space="0" w:color="auto"/>
              <w:bottom w:val="single" w:sz="4" w:space="0" w:color="auto"/>
              <w:right w:val="single" w:sz="4" w:space="0" w:color="auto"/>
            </w:tcBorders>
          </w:tcPr>
          <w:p w14:paraId="1180304F"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16 (2.3)</w:t>
            </w:r>
          </w:p>
        </w:tc>
        <w:tc>
          <w:tcPr>
            <w:tcW w:w="990" w:type="pct"/>
            <w:tcBorders>
              <w:top w:val="single" w:sz="4" w:space="0" w:color="auto"/>
              <w:left w:val="single" w:sz="4" w:space="0" w:color="auto"/>
              <w:bottom w:val="single" w:sz="4" w:space="0" w:color="auto"/>
              <w:right w:val="single" w:sz="4" w:space="0" w:color="auto"/>
            </w:tcBorders>
          </w:tcPr>
          <w:p w14:paraId="7DC9FC6B"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24 (3.5)</w:t>
            </w:r>
          </w:p>
        </w:tc>
      </w:tr>
      <w:tr w:rsidR="00897E68" w14:paraId="51A08B46" w14:textId="77777777" w:rsidTr="00897E68">
        <w:tc>
          <w:tcPr>
            <w:tcW w:w="1731" w:type="pct"/>
            <w:tcBorders>
              <w:top w:val="single" w:sz="4" w:space="0" w:color="auto"/>
              <w:left w:val="single" w:sz="4" w:space="0" w:color="auto"/>
              <w:bottom w:val="single" w:sz="4" w:space="0" w:color="auto"/>
              <w:right w:val="single" w:sz="4" w:space="0" w:color="auto"/>
            </w:tcBorders>
          </w:tcPr>
          <w:p w14:paraId="2BF09BED" w14:textId="77777777" w:rsidR="00897E68"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1 treatment related AE</w:t>
            </w:r>
          </w:p>
        </w:tc>
        <w:tc>
          <w:tcPr>
            <w:tcW w:w="1178" w:type="pct"/>
            <w:tcBorders>
              <w:top w:val="single" w:sz="4" w:space="0" w:color="auto"/>
              <w:left w:val="single" w:sz="4" w:space="0" w:color="auto"/>
              <w:bottom w:val="single" w:sz="4" w:space="0" w:color="auto"/>
              <w:right w:val="single" w:sz="4" w:space="0" w:color="auto"/>
            </w:tcBorders>
          </w:tcPr>
          <w:p w14:paraId="489AAC90" w14:textId="77777777" w:rsidR="00897E68" w:rsidRPr="00CA6CF9"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35 (5.0)</w:t>
            </w:r>
          </w:p>
        </w:tc>
        <w:tc>
          <w:tcPr>
            <w:tcW w:w="1102" w:type="pct"/>
            <w:tcBorders>
              <w:top w:val="single" w:sz="4" w:space="0" w:color="auto"/>
              <w:left w:val="single" w:sz="4" w:space="0" w:color="auto"/>
              <w:bottom w:val="single" w:sz="4" w:space="0" w:color="auto"/>
              <w:right w:val="single" w:sz="4" w:space="0" w:color="auto"/>
            </w:tcBorders>
          </w:tcPr>
          <w:p w14:paraId="70DAE581"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4 (0.6)</w:t>
            </w:r>
          </w:p>
        </w:tc>
        <w:tc>
          <w:tcPr>
            <w:tcW w:w="990" w:type="pct"/>
            <w:tcBorders>
              <w:top w:val="single" w:sz="4" w:space="0" w:color="auto"/>
              <w:left w:val="single" w:sz="4" w:space="0" w:color="auto"/>
              <w:bottom w:val="single" w:sz="4" w:space="0" w:color="auto"/>
              <w:right w:val="single" w:sz="4" w:space="0" w:color="auto"/>
            </w:tcBorders>
          </w:tcPr>
          <w:p w14:paraId="18A373DC"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13 (1.9)</w:t>
            </w:r>
          </w:p>
        </w:tc>
      </w:tr>
      <w:tr w:rsidR="00897E68" w14:paraId="4EDB8A5F" w14:textId="77777777" w:rsidTr="00897E68">
        <w:tc>
          <w:tcPr>
            <w:tcW w:w="1731" w:type="pct"/>
            <w:tcBorders>
              <w:top w:val="single" w:sz="4" w:space="0" w:color="auto"/>
              <w:left w:val="single" w:sz="4" w:space="0" w:color="auto"/>
              <w:bottom w:val="single" w:sz="4" w:space="0" w:color="auto"/>
              <w:right w:val="single" w:sz="4" w:space="0" w:color="auto"/>
            </w:tcBorders>
          </w:tcPr>
          <w:p w14:paraId="170BD9CB" w14:textId="77777777" w:rsidR="00897E68"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1 severe AE</w:t>
            </w:r>
          </w:p>
        </w:tc>
        <w:tc>
          <w:tcPr>
            <w:tcW w:w="1178" w:type="pct"/>
            <w:tcBorders>
              <w:top w:val="single" w:sz="4" w:space="0" w:color="auto"/>
              <w:left w:val="single" w:sz="4" w:space="0" w:color="auto"/>
              <w:bottom w:val="single" w:sz="4" w:space="0" w:color="auto"/>
              <w:right w:val="single" w:sz="4" w:space="0" w:color="auto"/>
            </w:tcBorders>
          </w:tcPr>
          <w:p w14:paraId="3CAF00A9" w14:textId="77777777" w:rsidR="00897E68" w:rsidRPr="00CA6CF9"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1 (0.1)</w:t>
            </w:r>
          </w:p>
        </w:tc>
        <w:tc>
          <w:tcPr>
            <w:tcW w:w="1102" w:type="pct"/>
            <w:tcBorders>
              <w:top w:val="single" w:sz="4" w:space="0" w:color="auto"/>
              <w:left w:val="single" w:sz="4" w:space="0" w:color="auto"/>
              <w:bottom w:val="single" w:sz="4" w:space="0" w:color="auto"/>
              <w:right w:val="single" w:sz="4" w:space="0" w:color="auto"/>
            </w:tcBorders>
          </w:tcPr>
          <w:p w14:paraId="20B92AEA"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0</w:t>
            </w:r>
          </w:p>
        </w:tc>
        <w:tc>
          <w:tcPr>
            <w:tcW w:w="990" w:type="pct"/>
            <w:tcBorders>
              <w:top w:val="single" w:sz="4" w:space="0" w:color="auto"/>
              <w:left w:val="single" w:sz="4" w:space="0" w:color="auto"/>
              <w:bottom w:val="single" w:sz="4" w:space="0" w:color="auto"/>
              <w:right w:val="single" w:sz="4" w:space="0" w:color="auto"/>
            </w:tcBorders>
          </w:tcPr>
          <w:p w14:paraId="7AB00C79"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1 (0.;1)</w:t>
            </w:r>
          </w:p>
        </w:tc>
      </w:tr>
      <w:tr w:rsidR="00897E68" w14:paraId="5E750552" w14:textId="77777777" w:rsidTr="00897E68">
        <w:tc>
          <w:tcPr>
            <w:tcW w:w="1731" w:type="pct"/>
            <w:tcBorders>
              <w:top w:val="single" w:sz="4" w:space="0" w:color="auto"/>
              <w:left w:val="single" w:sz="4" w:space="0" w:color="auto"/>
              <w:bottom w:val="single" w:sz="4" w:space="0" w:color="auto"/>
              <w:right w:val="single" w:sz="4" w:space="0" w:color="auto"/>
            </w:tcBorders>
          </w:tcPr>
          <w:p w14:paraId="575847A3" w14:textId="77777777" w:rsidR="00897E68" w:rsidRPr="00CA6CF9"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1 serious AE</w:t>
            </w:r>
          </w:p>
        </w:tc>
        <w:tc>
          <w:tcPr>
            <w:tcW w:w="1178" w:type="pct"/>
            <w:tcBorders>
              <w:top w:val="single" w:sz="4" w:space="0" w:color="auto"/>
              <w:left w:val="single" w:sz="4" w:space="0" w:color="auto"/>
              <w:bottom w:val="single" w:sz="4" w:space="0" w:color="auto"/>
              <w:right w:val="single" w:sz="4" w:space="0" w:color="auto"/>
            </w:tcBorders>
          </w:tcPr>
          <w:p w14:paraId="70C10BFB" w14:textId="77777777" w:rsidR="00897E68" w:rsidRPr="00CA6CF9"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1 (0.1)</w:t>
            </w:r>
          </w:p>
        </w:tc>
        <w:tc>
          <w:tcPr>
            <w:tcW w:w="1102" w:type="pct"/>
            <w:tcBorders>
              <w:top w:val="single" w:sz="4" w:space="0" w:color="auto"/>
              <w:left w:val="single" w:sz="4" w:space="0" w:color="auto"/>
              <w:bottom w:val="single" w:sz="4" w:space="0" w:color="auto"/>
              <w:right w:val="single" w:sz="4" w:space="0" w:color="auto"/>
            </w:tcBorders>
          </w:tcPr>
          <w:p w14:paraId="38F59F3C"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0</w:t>
            </w:r>
          </w:p>
        </w:tc>
        <w:tc>
          <w:tcPr>
            <w:tcW w:w="990" w:type="pct"/>
            <w:tcBorders>
              <w:top w:val="single" w:sz="4" w:space="0" w:color="auto"/>
              <w:left w:val="single" w:sz="4" w:space="0" w:color="auto"/>
              <w:bottom w:val="single" w:sz="4" w:space="0" w:color="auto"/>
              <w:right w:val="single" w:sz="4" w:space="0" w:color="auto"/>
            </w:tcBorders>
          </w:tcPr>
          <w:p w14:paraId="41EA8ECC"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2 (0.3)</w:t>
            </w:r>
          </w:p>
        </w:tc>
      </w:tr>
      <w:tr w:rsidR="00897E68" w14:paraId="7D43D9A0" w14:textId="77777777" w:rsidTr="00897E68">
        <w:tc>
          <w:tcPr>
            <w:tcW w:w="1731" w:type="pct"/>
            <w:tcBorders>
              <w:top w:val="single" w:sz="4" w:space="0" w:color="auto"/>
              <w:left w:val="single" w:sz="4" w:space="0" w:color="auto"/>
              <w:bottom w:val="single" w:sz="4" w:space="0" w:color="auto"/>
              <w:right w:val="single" w:sz="4" w:space="0" w:color="auto"/>
            </w:tcBorders>
          </w:tcPr>
          <w:p w14:paraId="4A59F321" w14:textId="77777777" w:rsidR="00897E68"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1 AE leading discontinuation</w:t>
            </w:r>
          </w:p>
        </w:tc>
        <w:tc>
          <w:tcPr>
            <w:tcW w:w="1178" w:type="pct"/>
            <w:tcBorders>
              <w:top w:val="single" w:sz="4" w:space="0" w:color="auto"/>
              <w:left w:val="single" w:sz="4" w:space="0" w:color="auto"/>
              <w:bottom w:val="single" w:sz="4" w:space="0" w:color="auto"/>
              <w:right w:val="single" w:sz="4" w:space="0" w:color="auto"/>
            </w:tcBorders>
          </w:tcPr>
          <w:p w14:paraId="77D118BE" w14:textId="77777777" w:rsidR="00897E68" w:rsidRPr="00CA6CF9"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8 (1.2)</w:t>
            </w:r>
          </w:p>
        </w:tc>
        <w:tc>
          <w:tcPr>
            <w:tcW w:w="1102" w:type="pct"/>
            <w:tcBorders>
              <w:top w:val="single" w:sz="4" w:space="0" w:color="auto"/>
              <w:left w:val="single" w:sz="4" w:space="0" w:color="auto"/>
              <w:bottom w:val="single" w:sz="4" w:space="0" w:color="auto"/>
              <w:right w:val="single" w:sz="4" w:space="0" w:color="auto"/>
            </w:tcBorders>
          </w:tcPr>
          <w:p w14:paraId="2BAF3679"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2 (0.3)</w:t>
            </w:r>
          </w:p>
        </w:tc>
        <w:tc>
          <w:tcPr>
            <w:tcW w:w="990" w:type="pct"/>
            <w:tcBorders>
              <w:top w:val="single" w:sz="4" w:space="0" w:color="auto"/>
              <w:left w:val="single" w:sz="4" w:space="0" w:color="auto"/>
              <w:bottom w:val="single" w:sz="4" w:space="0" w:color="auto"/>
              <w:right w:val="single" w:sz="4" w:space="0" w:color="auto"/>
            </w:tcBorders>
          </w:tcPr>
          <w:p w14:paraId="7BC986C3"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0</w:t>
            </w:r>
          </w:p>
        </w:tc>
      </w:tr>
      <w:tr w:rsidR="00897E68" w14:paraId="6B2A7636" w14:textId="77777777" w:rsidTr="00897E68">
        <w:tc>
          <w:tcPr>
            <w:tcW w:w="1731" w:type="pct"/>
            <w:tcBorders>
              <w:top w:val="single" w:sz="4" w:space="0" w:color="auto"/>
              <w:left w:val="single" w:sz="4" w:space="0" w:color="auto"/>
              <w:bottom w:val="single" w:sz="4" w:space="0" w:color="auto"/>
              <w:right w:val="single" w:sz="4" w:space="0" w:color="auto"/>
            </w:tcBorders>
          </w:tcPr>
          <w:p w14:paraId="2F00D9D2" w14:textId="77777777" w:rsidR="00897E68" w:rsidRPr="00CA6CF9" w:rsidRDefault="00897E68" w:rsidP="005224CD">
            <w:pPr>
              <w:widowControl w:val="0"/>
              <w:ind w:left="30"/>
              <w:jc w:val="left"/>
              <w:rPr>
                <w:rFonts w:ascii="Arial Narrow" w:eastAsiaTheme="majorEastAsia" w:hAnsi="Arial Narrow" w:cstheme="majorBidi"/>
                <w:sz w:val="20"/>
                <w:szCs w:val="20"/>
              </w:rPr>
            </w:pPr>
            <w:r>
              <w:rPr>
                <w:rFonts w:ascii="Arial Narrow" w:eastAsiaTheme="majorEastAsia" w:hAnsi="Arial Narrow" w:cstheme="majorBidi"/>
                <w:sz w:val="20"/>
                <w:szCs w:val="20"/>
              </w:rPr>
              <w:t>Nausea</w:t>
            </w:r>
          </w:p>
        </w:tc>
        <w:tc>
          <w:tcPr>
            <w:tcW w:w="1178" w:type="pct"/>
            <w:tcBorders>
              <w:top w:val="single" w:sz="4" w:space="0" w:color="auto"/>
              <w:left w:val="single" w:sz="4" w:space="0" w:color="auto"/>
              <w:bottom w:val="single" w:sz="4" w:space="0" w:color="auto"/>
              <w:right w:val="single" w:sz="4" w:space="0" w:color="auto"/>
            </w:tcBorders>
          </w:tcPr>
          <w:p w14:paraId="4EB10928" w14:textId="77777777" w:rsidR="00897E68" w:rsidRPr="00CA6CF9" w:rsidRDefault="00897E68" w:rsidP="005224CD">
            <w:pPr>
              <w:widowControl w:val="0"/>
              <w:jc w:val="center"/>
              <w:rPr>
                <w:rFonts w:ascii="Arial Narrow" w:eastAsiaTheme="majorEastAsia" w:hAnsi="Arial Narrow" w:cstheme="majorBidi"/>
                <w:sz w:val="20"/>
                <w:szCs w:val="20"/>
              </w:rPr>
            </w:pPr>
          </w:p>
        </w:tc>
        <w:tc>
          <w:tcPr>
            <w:tcW w:w="1102" w:type="pct"/>
            <w:tcBorders>
              <w:top w:val="single" w:sz="4" w:space="0" w:color="auto"/>
              <w:left w:val="single" w:sz="4" w:space="0" w:color="auto"/>
              <w:bottom w:val="single" w:sz="4" w:space="0" w:color="auto"/>
              <w:right w:val="single" w:sz="4" w:space="0" w:color="auto"/>
            </w:tcBorders>
          </w:tcPr>
          <w:p w14:paraId="78B92263" w14:textId="77777777" w:rsidR="00897E68" w:rsidRDefault="00897E68" w:rsidP="005224CD">
            <w:pPr>
              <w:widowControl w:val="0"/>
              <w:jc w:val="center"/>
              <w:rPr>
                <w:rFonts w:ascii="Arial Narrow" w:hAnsi="Arial Narrow"/>
                <w:sz w:val="20"/>
                <w:szCs w:val="20"/>
              </w:rPr>
            </w:pPr>
          </w:p>
        </w:tc>
        <w:tc>
          <w:tcPr>
            <w:tcW w:w="990" w:type="pct"/>
            <w:tcBorders>
              <w:top w:val="single" w:sz="4" w:space="0" w:color="auto"/>
              <w:left w:val="single" w:sz="4" w:space="0" w:color="auto"/>
              <w:bottom w:val="single" w:sz="4" w:space="0" w:color="auto"/>
              <w:right w:val="single" w:sz="4" w:space="0" w:color="auto"/>
            </w:tcBorders>
          </w:tcPr>
          <w:p w14:paraId="71692E84" w14:textId="77777777" w:rsidR="00897E68" w:rsidRDefault="00897E68" w:rsidP="005224CD">
            <w:pPr>
              <w:widowControl w:val="0"/>
              <w:jc w:val="center"/>
              <w:rPr>
                <w:rFonts w:ascii="Arial Narrow" w:hAnsi="Arial Narrow"/>
                <w:sz w:val="20"/>
                <w:szCs w:val="20"/>
              </w:rPr>
            </w:pPr>
          </w:p>
        </w:tc>
      </w:tr>
      <w:tr w:rsidR="00897E68" w14:paraId="3F1D9386" w14:textId="77777777" w:rsidTr="00897E68">
        <w:tc>
          <w:tcPr>
            <w:tcW w:w="1731" w:type="pct"/>
            <w:tcBorders>
              <w:top w:val="single" w:sz="4" w:space="0" w:color="auto"/>
              <w:left w:val="single" w:sz="4" w:space="0" w:color="auto"/>
              <w:bottom w:val="single" w:sz="4" w:space="0" w:color="auto"/>
              <w:right w:val="single" w:sz="4" w:space="0" w:color="auto"/>
            </w:tcBorders>
          </w:tcPr>
          <w:p w14:paraId="5705E3FC" w14:textId="77777777" w:rsidR="00897E68"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1 AE related to nausea</w:t>
            </w:r>
          </w:p>
        </w:tc>
        <w:tc>
          <w:tcPr>
            <w:tcW w:w="1178" w:type="pct"/>
            <w:tcBorders>
              <w:top w:val="single" w:sz="4" w:space="0" w:color="auto"/>
              <w:left w:val="single" w:sz="4" w:space="0" w:color="auto"/>
              <w:bottom w:val="single" w:sz="4" w:space="0" w:color="auto"/>
              <w:right w:val="single" w:sz="4" w:space="0" w:color="auto"/>
            </w:tcBorders>
          </w:tcPr>
          <w:p w14:paraId="180829D1" w14:textId="77777777" w:rsidR="00897E68" w:rsidRPr="00CA6CF9"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62 (8.9)</w:t>
            </w:r>
          </w:p>
        </w:tc>
        <w:tc>
          <w:tcPr>
            <w:tcW w:w="1102" w:type="pct"/>
            <w:tcBorders>
              <w:top w:val="single" w:sz="4" w:space="0" w:color="auto"/>
              <w:left w:val="single" w:sz="4" w:space="0" w:color="auto"/>
              <w:bottom w:val="single" w:sz="4" w:space="0" w:color="auto"/>
              <w:right w:val="single" w:sz="4" w:space="0" w:color="auto"/>
            </w:tcBorders>
          </w:tcPr>
          <w:p w14:paraId="0C3906A7"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24 (3.5)</w:t>
            </w:r>
          </w:p>
        </w:tc>
        <w:tc>
          <w:tcPr>
            <w:tcW w:w="990" w:type="pct"/>
            <w:tcBorders>
              <w:top w:val="single" w:sz="4" w:space="0" w:color="auto"/>
              <w:left w:val="single" w:sz="4" w:space="0" w:color="auto"/>
              <w:bottom w:val="single" w:sz="4" w:space="0" w:color="auto"/>
              <w:right w:val="single" w:sz="4" w:space="0" w:color="auto"/>
            </w:tcBorders>
          </w:tcPr>
          <w:p w14:paraId="02C0F257"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44 (6.4)</w:t>
            </w:r>
          </w:p>
        </w:tc>
      </w:tr>
      <w:tr w:rsidR="00897E68" w14:paraId="0A5450E1" w14:textId="77777777" w:rsidTr="00897E68">
        <w:tc>
          <w:tcPr>
            <w:tcW w:w="1731" w:type="pct"/>
            <w:tcBorders>
              <w:top w:val="single" w:sz="4" w:space="0" w:color="auto"/>
              <w:left w:val="single" w:sz="4" w:space="0" w:color="auto"/>
              <w:bottom w:val="single" w:sz="4" w:space="0" w:color="auto"/>
              <w:right w:val="single" w:sz="4" w:space="0" w:color="auto"/>
            </w:tcBorders>
          </w:tcPr>
          <w:p w14:paraId="6CB1640E" w14:textId="77777777" w:rsidR="00897E68" w:rsidRPr="00CA6CF9"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1 treatment related AE</w:t>
            </w:r>
          </w:p>
        </w:tc>
        <w:tc>
          <w:tcPr>
            <w:tcW w:w="1178" w:type="pct"/>
            <w:tcBorders>
              <w:top w:val="single" w:sz="4" w:space="0" w:color="auto"/>
              <w:left w:val="single" w:sz="4" w:space="0" w:color="auto"/>
              <w:bottom w:val="single" w:sz="4" w:space="0" w:color="auto"/>
              <w:right w:val="single" w:sz="4" w:space="0" w:color="auto"/>
            </w:tcBorders>
          </w:tcPr>
          <w:p w14:paraId="6C585EE6" w14:textId="77777777" w:rsidR="00897E68" w:rsidRPr="00CA6CF9"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39 (5.6)</w:t>
            </w:r>
          </w:p>
        </w:tc>
        <w:tc>
          <w:tcPr>
            <w:tcW w:w="1102" w:type="pct"/>
            <w:tcBorders>
              <w:top w:val="single" w:sz="4" w:space="0" w:color="auto"/>
              <w:left w:val="single" w:sz="4" w:space="0" w:color="auto"/>
              <w:bottom w:val="single" w:sz="4" w:space="0" w:color="auto"/>
              <w:right w:val="single" w:sz="4" w:space="0" w:color="auto"/>
            </w:tcBorders>
          </w:tcPr>
          <w:p w14:paraId="153D9A77"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10 (1.5)</w:t>
            </w:r>
          </w:p>
        </w:tc>
        <w:tc>
          <w:tcPr>
            <w:tcW w:w="990" w:type="pct"/>
            <w:tcBorders>
              <w:top w:val="single" w:sz="4" w:space="0" w:color="auto"/>
              <w:left w:val="single" w:sz="4" w:space="0" w:color="auto"/>
              <w:bottom w:val="single" w:sz="4" w:space="0" w:color="auto"/>
              <w:right w:val="single" w:sz="4" w:space="0" w:color="auto"/>
            </w:tcBorders>
          </w:tcPr>
          <w:p w14:paraId="775B72E9"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27 (3.9)</w:t>
            </w:r>
          </w:p>
        </w:tc>
      </w:tr>
      <w:tr w:rsidR="00897E68" w14:paraId="30549278" w14:textId="77777777" w:rsidTr="00897E68">
        <w:tc>
          <w:tcPr>
            <w:tcW w:w="1731" w:type="pct"/>
            <w:tcBorders>
              <w:top w:val="single" w:sz="4" w:space="0" w:color="auto"/>
              <w:left w:val="single" w:sz="4" w:space="0" w:color="auto"/>
              <w:bottom w:val="single" w:sz="4" w:space="0" w:color="auto"/>
              <w:right w:val="single" w:sz="4" w:space="0" w:color="auto"/>
            </w:tcBorders>
          </w:tcPr>
          <w:p w14:paraId="5FAF8182" w14:textId="77777777" w:rsidR="00897E68" w:rsidRPr="00CA6CF9"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1 severe AE</w:t>
            </w:r>
          </w:p>
        </w:tc>
        <w:tc>
          <w:tcPr>
            <w:tcW w:w="1178" w:type="pct"/>
            <w:tcBorders>
              <w:top w:val="single" w:sz="4" w:space="0" w:color="auto"/>
              <w:left w:val="single" w:sz="4" w:space="0" w:color="auto"/>
              <w:bottom w:val="single" w:sz="4" w:space="0" w:color="auto"/>
              <w:right w:val="single" w:sz="4" w:space="0" w:color="auto"/>
            </w:tcBorders>
          </w:tcPr>
          <w:p w14:paraId="6B0833C9" w14:textId="77777777" w:rsidR="00897E68" w:rsidRPr="00CA6CF9"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1 (0.1)</w:t>
            </w:r>
          </w:p>
        </w:tc>
        <w:tc>
          <w:tcPr>
            <w:tcW w:w="1102" w:type="pct"/>
            <w:tcBorders>
              <w:top w:val="single" w:sz="4" w:space="0" w:color="auto"/>
              <w:left w:val="single" w:sz="4" w:space="0" w:color="auto"/>
              <w:bottom w:val="single" w:sz="4" w:space="0" w:color="auto"/>
              <w:right w:val="single" w:sz="4" w:space="0" w:color="auto"/>
            </w:tcBorders>
          </w:tcPr>
          <w:p w14:paraId="34B7A4E0"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0</w:t>
            </w:r>
          </w:p>
        </w:tc>
        <w:tc>
          <w:tcPr>
            <w:tcW w:w="990" w:type="pct"/>
            <w:tcBorders>
              <w:top w:val="single" w:sz="4" w:space="0" w:color="auto"/>
              <w:left w:val="single" w:sz="4" w:space="0" w:color="auto"/>
              <w:bottom w:val="single" w:sz="4" w:space="0" w:color="auto"/>
              <w:right w:val="single" w:sz="4" w:space="0" w:color="auto"/>
            </w:tcBorders>
          </w:tcPr>
          <w:p w14:paraId="043CECC9"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0</w:t>
            </w:r>
          </w:p>
        </w:tc>
      </w:tr>
      <w:tr w:rsidR="00897E68" w14:paraId="4AC6FE9F" w14:textId="77777777" w:rsidTr="00897E68">
        <w:tc>
          <w:tcPr>
            <w:tcW w:w="1731" w:type="pct"/>
            <w:tcBorders>
              <w:top w:val="single" w:sz="4" w:space="0" w:color="auto"/>
              <w:left w:val="single" w:sz="4" w:space="0" w:color="auto"/>
              <w:bottom w:val="single" w:sz="4" w:space="0" w:color="auto"/>
              <w:right w:val="single" w:sz="4" w:space="0" w:color="auto"/>
            </w:tcBorders>
          </w:tcPr>
          <w:p w14:paraId="3783C8F5" w14:textId="77777777" w:rsidR="00897E68" w:rsidRPr="00CA6CF9"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1 serious AE</w:t>
            </w:r>
          </w:p>
        </w:tc>
        <w:tc>
          <w:tcPr>
            <w:tcW w:w="1178" w:type="pct"/>
            <w:tcBorders>
              <w:top w:val="single" w:sz="4" w:space="0" w:color="auto"/>
              <w:left w:val="single" w:sz="4" w:space="0" w:color="auto"/>
              <w:bottom w:val="single" w:sz="4" w:space="0" w:color="auto"/>
              <w:right w:val="single" w:sz="4" w:space="0" w:color="auto"/>
            </w:tcBorders>
          </w:tcPr>
          <w:p w14:paraId="55C11DCB" w14:textId="77777777" w:rsidR="00897E68" w:rsidRPr="00CA6CF9"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1 (0.1)</w:t>
            </w:r>
          </w:p>
        </w:tc>
        <w:tc>
          <w:tcPr>
            <w:tcW w:w="1102" w:type="pct"/>
            <w:tcBorders>
              <w:top w:val="single" w:sz="4" w:space="0" w:color="auto"/>
              <w:left w:val="single" w:sz="4" w:space="0" w:color="auto"/>
              <w:bottom w:val="single" w:sz="4" w:space="0" w:color="auto"/>
              <w:right w:val="single" w:sz="4" w:space="0" w:color="auto"/>
            </w:tcBorders>
          </w:tcPr>
          <w:p w14:paraId="6CA0D6D3"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0</w:t>
            </w:r>
          </w:p>
        </w:tc>
        <w:tc>
          <w:tcPr>
            <w:tcW w:w="990" w:type="pct"/>
            <w:tcBorders>
              <w:top w:val="single" w:sz="4" w:space="0" w:color="auto"/>
              <w:left w:val="single" w:sz="4" w:space="0" w:color="auto"/>
              <w:bottom w:val="single" w:sz="4" w:space="0" w:color="auto"/>
              <w:right w:val="single" w:sz="4" w:space="0" w:color="auto"/>
            </w:tcBorders>
          </w:tcPr>
          <w:p w14:paraId="715E53EF"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0</w:t>
            </w:r>
          </w:p>
        </w:tc>
      </w:tr>
      <w:tr w:rsidR="00897E68" w14:paraId="7B3E8E9E" w14:textId="77777777" w:rsidTr="00897E68">
        <w:tc>
          <w:tcPr>
            <w:tcW w:w="1731" w:type="pct"/>
            <w:tcBorders>
              <w:top w:val="single" w:sz="4" w:space="0" w:color="auto"/>
              <w:left w:val="single" w:sz="4" w:space="0" w:color="auto"/>
              <w:bottom w:val="single" w:sz="4" w:space="0" w:color="auto"/>
              <w:right w:val="single" w:sz="4" w:space="0" w:color="auto"/>
            </w:tcBorders>
          </w:tcPr>
          <w:p w14:paraId="4F22EAE9" w14:textId="142ADB54" w:rsidR="00897E68"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xml:space="preserve">≥ 1 AE leading </w:t>
            </w:r>
            <w:r w:rsidR="00A86CF1">
              <w:rPr>
                <w:rFonts w:ascii="Arial Narrow" w:eastAsiaTheme="majorEastAsia" w:hAnsi="Arial Narrow" w:cstheme="majorBidi"/>
                <w:sz w:val="20"/>
                <w:szCs w:val="20"/>
              </w:rPr>
              <w:t xml:space="preserve">to </w:t>
            </w:r>
            <w:r>
              <w:rPr>
                <w:rFonts w:ascii="Arial Narrow" w:eastAsiaTheme="majorEastAsia" w:hAnsi="Arial Narrow" w:cstheme="majorBidi"/>
                <w:sz w:val="20"/>
                <w:szCs w:val="20"/>
              </w:rPr>
              <w:t>discontinuation</w:t>
            </w:r>
          </w:p>
        </w:tc>
        <w:tc>
          <w:tcPr>
            <w:tcW w:w="1178" w:type="pct"/>
            <w:tcBorders>
              <w:top w:val="single" w:sz="4" w:space="0" w:color="auto"/>
              <w:left w:val="single" w:sz="4" w:space="0" w:color="auto"/>
              <w:bottom w:val="single" w:sz="4" w:space="0" w:color="auto"/>
              <w:right w:val="single" w:sz="4" w:space="0" w:color="auto"/>
            </w:tcBorders>
          </w:tcPr>
          <w:p w14:paraId="099ABB9F" w14:textId="77777777" w:rsidR="00897E68" w:rsidRPr="00CA6CF9"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11 (1.6)</w:t>
            </w:r>
          </w:p>
        </w:tc>
        <w:tc>
          <w:tcPr>
            <w:tcW w:w="1102" w:type="pct"/>
            <w:tcBorders>
              <w:top w:val="single" w:sz="4" w:space="0" w:color="auto"/>
              <w:left w:val="single" w:sz="4" w:space="0" w:color="auto"/>
              <w:bottom w:val="single" w:sz="4" w:space="0" w:color="auto"/>
              <w:right w:val="single" w:sz="4" w:space="0" w:color="auto"/>
            </w:tcBorders>
          </w:tcPr>
          <w:p w14:paraId="101C8779"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2 (0.3)</w:t>
            </w:r>
          </w:p>
        </w:tc>
        <w:tc>
          <w:tcPr>
            <w:tcW w:w="990" w:type="pct"/>
            <w:tcBorders>
              <w:top w:val="single" w:sz="4" w:space="0" w:color="auto"/>
              <w:left w:val="single" w:sz="4" w:space="0" w:color="auto"/>
              <w:bottom w:val="single" w:sz="4" w:space="0" w:color="auto"/>
              <w:right w:val="single" w:sz="4" w:space="0" w:color="auto"/>
            </w:tcBorders>
          </w:tcPr>
          <w:p w14:paraId="3185F617"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4 (0.6)</w:t>
            </w:r>
          </w:p>
        </w:tc>
      </w:tr>
      <w:tr w:rsidR="00897E68" w14:paraId="4EF0B021" w14:textId="77777777" w:rsidTr="00897E68">
        <w:tc>
          <w:tcPr>
            <w:tcW w:w="1731" w:type="pct"/>
            <w:tcBorders>
              <w:top w:val="single" w:sz="4" w:space="0" w:color="auto"/>
              <w:left w:val="single" w:sz="4" w:space="0" w:color="auto"/>
              <w:bottom w:val="single" w:sz="4" w:space="0" w:color="auto"/>
              <w:right w:val="single" w:sz="4" w:space="0" w:color="auto"/>
            </w:tcBorders>
          </w:tcPr>
          <w:p w14:paraId="29F2416E" w14:textId="77777777" w:rsidR="00897E68" w:rsidRPr="00CA6CF9" w:rsidRDefault="00897E68" w:rsidP="005224CD">
            <w:pPr>
              <w:widowControl w:val="0"/>
              <w:jc w:val="left"/>
              <w:rPr>
                <w:rFonts w:ascii="Arial Narrow" w:eastAsiaTheme="majorEastAsia" w:hAnsi="Arial Narrow" w:cstheme="majorBidi"/>
                <w:sz w:val="20"/>
                <w:szCs w:val="20"/>
              </w:rPr>
            </w:pPr>
            <w:r>
              <w:rPr>
                <w:rFonts w:ascii="Arial Narrow" w:eastAsiaTheme="majorEastAsia" w:hAnsi="Arial Narrow" w:cstheme="majorBidi"/>
                <w:sz w:val="20"/>
                <w:szCs w:val="20"/>
              </w:rPr>
              <w:t>Dizziness</w:t>
            </w:r>
          </w:p>
        </w:tc>
        <w:tc>
          <w:tcPr>
            <w:tcW w:w="1178" w:type="pct"/>
            <w:tcBorders>
              <w:top w:val="single" w:sz="4" w:space="0" w:color="auto"/>
              <w:left w:val="single" w:sz="4" w:space="0" w:color="auto"/>
              <w:bottom w:val="single" w:sz="4" w:space="0" w:color="auto"/>
              <w:right w:val="single" w:sz="4" w:space="0" w:color="auto"/>
            </w:tcBorders>
          </w:tcPr>
          <w:p w14:paraId="4DC4E084" w14:textId="77777777" w:rsidR="00897E68" w:rsidRPr="00CA6CF9" w:rsidRDefault="00897E68" w:rsidP="005224CD">
            <w:pPr>
              <w:widowControl w:val="0"/>
              <w:jc w:val="center"/>
              <w:rPr>
                <w:rFonts w:ascii="Arial Narrow" w:eastAsiaTheme="majorEastAsia" w:hAnsi="Arial Narrow" w:cstheme="majorBidi"/>
                <w:sz w:val="20"/>
                <w:szCs w:val="20"/>
              </w:rPr>
            </w:pPr>
          </w:p>
        </w:tc>
        <w:tc>
          <w:tcPr>
            <w:tcW w:w="1102" w:type="pct"/>
            <w:tcBorders>
              <w:top w:val="single" w:sz="4" w:space="0" w:color="auto"/>
              <w:left w:val="single" w:sz="4" w:space="0" w:color="auto"/>
              <w:bottom w:val="single" w:sz="4" w:space="0" w:color="auto"/>
              <w:right w:val="single" w:sz="4" w:space="0" w:color="auto"/>
            </w:tcBorders>
          </w:tcPr>
          <w:p w14:paraId="14E613B4" w14:textId="77777777" w:rsidR="00897E68" w:rsidRDefault="00897E68" w:rsidP="005224CD">
            <w:pPr>
              <w:widowControl w:val="0"/>
              <w:jc w:val="center"/>
              <w:rPr>
                <w:rFonts w:ascii="Arial Narrow" w:hAnsi="Arial Narrow"/>
                <w:sz w:val="20"/>
                <w:szCs w:val="20"/>
              </w:rPr>
            </w:pPr>
          </w:p>
        </w:tc>
        <w:tc>
          <w:tcPr>
            <w:tcW w:w="990" w:type="pct"/>
            <w:tcBorders>
              <w:top w:val="single" w:sz="4" w:space="0" w:color="auto"/>
              <w:left w:val="single" w:sz="4" w:space="0" w:color="auto"/>
              <w:bottom w:val="single" w:sz="4" w:space="0" w:color="auto"/>
              <w:right w:val="single" w:sz="4" w:space="0" w:color="auto"/>
            </w:tcBorders>
          </w:tcPr>
          <w:p w14:paraId="598E9B82" w14:textId="77777777" w:rsidR="00897E68" w:rsidRDefault="00897E68" w:rsidP="005224CD">
            <w:pPr>
              <w:widowControl w:val="0"/>
              <w:jc w:val="center"/>
              <w:rPr>
                <w:rFonts w:ascii="Arial Narrow" w:hAnsi="Arial Narrow"/>
                <w:sz w:val="20"/>
                <w:szCs w:val="20"/>
              </w:rPr>
            </w:pPr>
          </w:p>
        </w:tc>
      </w:tr>
      <w:tr w:rsidR="00897E68" w14:paraId="0AF0E10E" w14:textId="77777777" w:rsidTr="00897E68">
        <w:tc>
          <w:tcPr>
            <w:tcW w:w="1731" w:type="pct"/>
            <w:tcBorders>
              <w:top w:val="single" w:sz="4" w:space="0" w:color="auto"/>
              <w:left w:val="single" w:sz="4" w:space="0" w:color="auto"/>
              <w:bottom w:val="single" w:sz="4" w:space="0" w:color="auto"/>
              <w:right w:val="single" w:sz="4" w:space="0" w:color="auto"/>
            </w:tcBorders>
          </w:tcPr>
          <w:p w14:paraId="02A1BD08" w14:textId="77777777" w:rsidR="00897E68"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1 AE related to dizziness</w:t>
            </w:r>
          </w:p>
        </w:tc>
        <w:tc>
          <w:tcPr>
            <w:tcW w:w="1178" w:type="pct"/>
            <w:tcBorders>
              <w:top w:val="single" w:sz="4" w:space="0" w:color="auto"/>
              <w:left w:val="single" w:sz="4" w:space="0" w:color="auto"/>
              <w:bottom w:val="single" w:sz="4" w:space="0" w:color="auto"/>
              <w:right w:val="single" w:sz="4" w:space="0" w:color="auto"/>
            </w:tcBorders>
          </w:tcPr>
          <w:p w14:paraId="11DD839F" w14:textId="77777777" w:rsidR="00897E68" w:rsidRPr="00CA6CF9"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77 (11.1)</w:t>
            </w:r>
          </w:p>
        </w:tc>
        <w:tc>
          <w:tcPr>
            <w:tcW w:w="1102" w:type="pct"/>
            <w:tcBorders>
              <w:top w:val="single" w:sz="4" w:space="0" w:color="auto"/>
              <w:left w:val="single" w:sz="4" w:space="0" w:color="auto"/>
              <w:bottom w:val="single" w:sz="4" w:space="0" w:color="auto"/>
              <w:right w:val="single" w:sz="4" w:space="0" w:color="auto"/>
            </w:tcBorders>
          </w:tcPr>
          <w:p w14:paraId="7A0F2894"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49 (7.1)</w:t>
            </w:r>
          </w:p>
        </w:tc>
        <w:tc>
          <w:tcPr>
            <w:tcW w:w="990" w:type="pct"/>
            <w:tcBorders>
              <w:top w:val="single" w:sz="4" w:space="0" w:color="auto"/>
              <w:left w:val="single" w:sz="4" w:space="0" w:color="auto"/>
              <w:bottom w:val="single" w:sz="4" w:space="0" w:color="auto"/>
              <w:right w:val="single" w:sz="4" w:space="0" w:color="auto"/>
            </w:tcBorders>
          </w:tcPr>
          <w:p w14:paraId="3294A0FD"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57 (8.3)</w:t>
            </w:r>
          </w:p>
        </w:tc>
      </w:tr>
      <w:tr w:rsidR="00897E68" w14:paraId="43BE6533" w14:textId="77777777" w:rsidTr="00897E68">
        <w:tc>
          <w:tcPr>
            <w:tcW w:w="1731" w:type="pct"/>
            <w:tcBorders>
              <w:top w:val="single" w:sz="4" w:space="0" w:color="auto"/>
              <w:left w:val="single" w:sz="4" w:space="0" w:color="auto"/>
              <w:bottom w:val="single" w:sz="4" w:space="0" w:color="auto"/>
              <w:right w:val="single" w:sz="4" w:space="0" w:color="auto"/>
            </w:tcBorders>
          </w:tcPr>
          <w:p w14:paraId="55F69314" w14:textId="77777777" w:rsidR="00897E68" w:rsidRPr="00CA6CF9"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1 treatment related AE</w:t>
            </w:r>
          </w:p>
        </w:tc>
        <w:tc>
          <w:tcPr>
            <w:tcW w:w="1178" w:type="pct"/>
            <w:tcBorders>
              <w:top w:val="single" w:sz="4" w:space="0" w:color="auto"/>
              <w:left w:val="single" w:sz="4" w:space="0" w:color="auto"/>
              <w:bottom w:val="single" w:sz="4" w:space="0" w:color="auto"/>
              <w:right w:val="single" w:sz="4" w:space="0" w:color="auto"/>
            </w:tcBorders>
          </w:tcPr>
          <w:p w14:paraId="6F753A8F" w14:textId="77777777" w:rsidR="00897E68" w:rsidRPr="00CA6CF9"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51 (7.3)</w:t>
            </w:r>
          </w:p>
        </w:tc>
        <w:tc>
          <w:tcPr>
            <w:tcW w:w="1102" w:type="pct"/>
            <w:tcBorders>
              <w:top w:val="single" w:sz="4" w:space="0" w:color="auto"/>
              <w:left w:val="single" w:sz="4" w:space="0" w:color="auto"/>
              <w:bottom w:val="single" w:sz="4" w:space="0" w:color="auto"/>
              <w:right w:val="single" w:sz="4" w:space="0" w:color="auto"/>
            </w:tcBorders>
          </w:tcPr>
          <w:p w14:paraId="7F54670C"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18 (2.6)</w:t>
            </w:r>
          </w:p>
        </w:tc>
        <w:tc>
          <w:tcPr>
            <w:tcW w:w="990" w:type="pct"/>
            <w:tcBorders>
              <w:top w:val="single" w:sz="4" w:space="0" w:color="auto"/>
              <w:left w:val="single" w:sz="4" w:space="0" w:color="auto"/>
              <w:bottom w:val="single" w:sz="4" w:space="0" w:color="auto"/>
              <w:right w:val="single" w:sz="4" w:space="0" w:color="auto"/>
            </w:tcBorders>
          </w:tcPr>
          <w:p w14:paraId="64023529"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39 (5.7)</w:t>
            </w:r>
          </w:p>
        </w:tc>
      </w:tr>
      <w:tr w:rsidR="00897E68" w14:paraId="2F141D2A" w14:textId="77777777" w:rsidTr="00897E68">
        <w:tc>
          <w:tcPr>
            <w:tcW w:w="1731" w:type="pct"/>
            <w:tcBorders>
              <w:top w:val="single" w:sz="4" w:space="0" w:color="auto"/>
              <w:left w:val="single" w:sz="4" w:space="0" w:color="auto"/>
              <w:bottom w:val="single" w:sz="4" w:space="0" w:color="auto"/>
              <w:right w:val="single" w:sz="4" w:space="0" w:color="auto"/>
            </w:tcBorders>
          </w:tcPr>
          <w:p w14:paraId="7A3D204D" w14:textId="77777777" w:rsidR="00897E68" w:rsidRPr="00CA6CF9"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1 severe AE</w:t>
            </w:r>
          </w:p>
        </w:tc>
        <w:tc>
          <w:tcPr>
            <w:tcW w:w="1178" w:type="pct"/>
            <w:tcBorders>
              <w:top w:val="single" w:sz="4" w:space="0" w:color="auto"/>
              <w:left w:val="single" w:sz="4" w:space="0" w:color="auto"/>
              <w:bottom w:val="single" w:sz="4" w:space="0" w:color="auto"/>
              <w:right w:val="single" w:sz="4" w:space="0" w:color="auto"/>
            </w:tcBorders>
          </w:tcPr>
          <w:p w14:paraId="160D34D1" w14:textId="77777777" w:rsidR="00897E68" w:rsidRPr="00CA6CF9"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2 (0.3)</w:t>
            </w:r>
          </w:p>
        </w:tc>
        <w:tc>
          <w:tcPr>
            <w:tcW w:w="1102" w:type="pct"/>
            <w:tcBorders>
              <w:top w:val="single" w:sz="4" w:space="0" w:color="auto"/>
              <w:left w:val="single" w:sz="4" w:space="0" w:color="auto"/>
              <w:bottom w:val="single" w:sz="4" w:space="0" w:color="auto"/>
              <w:right w:val="single" w:sz="4" w:space="0" w:color="auto"/>
            </w:tcBorders>
          </w:tcPr>
          <w:p w14:paraId="13AFFFBC"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1 (0.1)</w:t>
            </w:r>
          </w:p>
        </w:tc>
        <w:tc>
          <w:tcPr>
            <w:tcW w:w="990" w:type="pct"/>
            <w:tcBorders>
              <w:top w:val="single" w:sz="4" w:space="0" w:color="auto"/>
              <w:left w:val="single" w:sz="4" w:space="0" w:color="auto"/>
              <w:bottom w:val="single" w:sz="4" w:space="0" w:color="auto"/>
              <w:right w:val="single" w:sz="4" w:space="0" w:color="auto"/>
            </w:tcBorders>
          </w:tcPr>
          <w:p w14:paraId="61F27F8D"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0</w:t>
            </w:r>
          </w:p>
        </w:tc>
      </w:tr>
      <w:tr w:rsidR="00897E68" w14:paraId="532466F0" w14:textId="77777777" w:rsidTr="00897E68">
        <w:tc>
          <w:tcPr>
            <w:tcW w:w="1731" w:type="pct"/>
            <w:tcBorders>
              <w:top w:val="single" w:sz="4" w:space="0" w:color="auto"/>
              <w:left w:val="single" w:sz="4" w:space="0" w:color="auto"/>
              <w:bottom w:val="single" w:sz="4" w:space="0" w:color="auto"/>
              <w:right w:val="single" w:sz="4" w:space="0" w:color="auto"/>
            </w:tcBorders>
          </w:tcPr>
          <w:p w14:paraId="31AF9F0A" w14:textId="77777777" w:rsidR="00897E68" w:rsidRPr="00CA6CF9"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1 serious AE</w:t>
            </w:r>
          </w:p>
        </w:tc>
        <w:tc>
          <w:tcPr>
            <w:tcW w:w="1178" w:type="pct"/>
            <w:tcBorders>
              <w:top w:val="single" w:sz="4" w:space="0" w:color="auto"/>
              <w:left w:val="single" w:sz="4" w:space="0" w:color="auto"/>
              <w:bottom w:val="single" w:sz="4" w:space="0" w:color="auto"/>
              <w:right w:val="single" w:sz="4" w:space="0" w:color="auto"/>
            </w:tcBorders>
          </w:tcPr>
          <w:p w14:paraId="397500C0" w14:textId="77777777" w:rsidR="00897E68" w:rsidRPr="00CA6CF9"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0</w:t>
            </w:r>
          </w:p>
        </w:tc>
        <w:tc>
          <w:tcPr>
            <w:tcW w:w="1102" w:type="pct"/>
            <w:tcBorders>
              <w:top w:val="single" w:sz="4" w:space="0" w:color="auto"/>
              <w:left w:val="single" w:sz="4" w:space="0" w:color="auto"/>
              <w:bottom w:val="single" w:sz="4" w:space="0" w:color="auto"/>
              <w:right w:val="single" w:sz="4" w:space="0" w:color="auto"/>
            </w:tcBorders>
          </w:tcPr>
          <w:p w14:paraId="58AA8F7A"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1 (0.1)</w:t>
            </w:r>
          </w:p>
        </w:tc>
        <w:tc>
          <w:tcPr>
            <w:tcW w:w="990" w:type="pct"/>
            <w:tcBorders>
              <w:top w:val="single" w:sz="4" w:space="0" w:color="auto"/>
              <w:left w:val="single" w:sz="4" w:space="0" w:color="auto"/>
              <w:bottom w:val="single" w:sz="4" w:space="0" w:color="auto"/>
              <w:right w:val="single" w:sz="4" w:space="0" w:color="auto"/>
            </w:tcBorders>
          </w:tcPr>
          <w:p w14:paraId="224F3156"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2 (0.3)</w:t>
            </w:r>
          </w:p>
        </w:tc>
      </w:tr>
      <w:tr w:rsidR="00897E68" w14:paraId="37878332" w14:textId="77777777" w:rsidTr="00897E68">
        <w:tc>
          <w:tcPr>
            <w:tcW w:w="1731" w:type="pct"/>
            <w:tcBorders>
              <w:top w:val="single" w:sz="4" w:space="0" w:color="auto"/>
              <w:left w:val="single" w:sz="4" w:space="0" w:color="auto"/>
              <w:bottom w:val="single" w:sz="4" w:space="0" w:color="auto"/>
              <w:right w:val="single" w:sz="4" w:space="0" w:color="auto"/>
            </w:tcBorders>
          </w:tcPr>
          <w:p w14:paraId="368DF5F5" w14:textId="6A306337" w:rsidR="00897E68" w:rsidRDefault="00897E68" w:rsidP="005224CD">
            <w:pPr>
              <w:widowControl w:val="0"/>
              <w:ind w:left="314"/>
              <w:jc w:val="left"/>
              <w:rPr>
                <w:rFonts w:ascii="Arial Narrow" w:eastAsiaTheme="majorEastAsia" w:hAnsi="Arial Narrow" w:cstheme="majorBidi"/>
                <w:sz w:val="20"/>
                <w:szCs w:val="20"/>
              </w:rPr>
            </w:pPr>
            <w:r>
              <w:rPr>
                <w:rFonts w:ascii="Arial Narrow" w:eastAsiaTheme="majorEastAsia" w:hAnsi="Arial Narrow" w:cstheme="majorBidi"/>
                <w:sz w:val="20"/>
                <w:szCs w:val="20"/>
              </w:rPr>
              <w:t xml:space="preserve">≥ 1 AE leading </w:t>
            </w:r>
            <w:r w:rsidR="00A86CF1">
              <w:rPr>
                <w:rFonts w:ascii="Arial Narrow" w:eastAsiaTheme="majorEastAsia" w:hAnsi="Arial Narrow" w:cstheme="majorBidi"/>
                <w:sz w:val="20"/>
                <w:szCs w:val="20"/>
              </w:rPr>
              <w:t xml:space="preserve">to </w:t>
            </w:r>
            <w:r>
              <w:rPr>
                <w:rFonts w:ascii="Arial Narrow" w:eastAsiaTheme="majorEastAsia" w:hAnsi="Arial Narrow" w:cstheme="majorBidi"/>
                <w:sz w:val="20"/>
                <w:szCs w:val="20"/>
              </w:rPr>
              <w:t>discontinuation</w:t>
            </w:r>
          </w:p>
        </w:tc>
        <w:tc>
          <w:tcPr>
            <w:tcW w:w="1178" w:type="pct"/>
            <w:tcBorders>
              <w:top w:val="single" w:sz="4" w:space="0" w:color="auto"/>
              <w:left w:val="single" w:sz="4" w:space="0" w:color="auto"/>
              <w:bottom w:val="single" w:sz="4" w:space="0" w:color="auto"/>
              <w:right w:val="single" w:sz="4" w:space="0" w:color="auto"/>
            </w:tcBorders>
          </w:tcPr>
          <w:p w14:paraId="7F2179A3" w14:textId="77777777" w:rsidR="00897E68" w:rsidRPr="00CA6CF9" w:rsidRDefault="00897E68" w:rsidP="005224CD">
            <w:pPr>
              <w:widowControl w:val="0"/>
              <w:jc w:val="center"/>
              <w:rPr>
                <w:rFonts w:ascii="Arial Narrow" w:eastAsiaTheme="majorEastAsia" w:hAnsi="Arial Narrow" w:cstheme="majorBidi"/>
                <w:sz w:val="20"/>
                <w:szCs w:val="20"/>
              </w:rPr>
            </w:pPr>
            <w:r>
              <w:rPr>
                <w:rFonts w:ascii="Arial Narrow" w:eastAsiaTheme="majorEastAsia" w:hAnsi="Arial Narrow" w:cstheme="majorBidi"/>
                <w:sz w:val="20"/>
                <w:szCs w:val="20"/>
              </w:rPr>
              <w:t>10 (1.4)</w:t>
            </w:r>
          </w:p>
        </w:tc>
        <w:tc>
          <w:tcPr>
            <w:tcW w:w="1102" w:type="pct"/>
            <w:tcBorders>
              <w:top w:val="single" w:sz="4" w:space="0" w:color="auto"/>
              <w:left w:val="single" w:sz="4" w:space="0" w:color="auto"/>
              <w:bottom w:val="single" w:sz="4" w:space="0" w:color="auto"/>
              <w:right w:val="single" w:sz="4" w:space="0" w:color="auto"/>
            </w:tcBorders>
          </w:tcPr>
          <w:p w14:paraId="424466EA"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3 (0.4)</w:t>
            </w:r>
          </w:p>
        </w:tc>
        <w:tc>
          <w:tcPr>
            <w:tcW w:w="990" w:type="pct"/>
            <w:tcBorders>
              <w:top w:val="single" w:sz="4" w:space="0" w:color="auto"/>
              <w:left w:val="single" w:sz="4" w:space="0" w:color="auto"/>
              <w:bottom w:val="single" w:sz="4" w:space="0" w:color="auto"/>
              <w:right w:val="single" w:sz="4" w:space="0" w:color="auto"/>
            </w:tcBorders>
          </w:tcPr>
          <w:p w14:paraId="552CECDB" w14:textId="77777777" w:rsidR="00897E68" w:rsidRDefault="00897E68" w:rsidP="005224CD">
            <w:pPr>
              <w:widowControl w:val="0"/>
              <w:jc w:val="center"/>
              <w:rPr>
                <w:rFonts w:ascii="Arial Narrow" w:hAnsi="Arial Narrow"/>
                <w:sz w:val="20"/>
                <w:szCs w:val="20"/>
              </w:rPr>
            </w:pPr>
            <w:r>
              <w:rPr>
                <w:rFonts w:ascii="Arial Narrow" w:hAnsi="Arial Narrow"/>
                <w:sz w:val="20"/>
                <w:szCs w:val="20"/>
              </w:rPr>
              <w:t>8 (1.2)</w:t>
            </w:r>
          </w:p>
        </w:tc>
      </w:tr>
    </w:tbl>
    <w:p w14:paraId="64C0F5BF" w14:textId="77777777" w:rsidR="00897E68" w:rsidRPr="006C792A" w:rsidRDefault="00897E68" w:rsidP="00897E68">
      <w:pPr>
        <w:pStyle w:val="TableFigureFooter"/>
        <w:spacing w:after="120"/>
      </w:pPr>
      <w:r w:rsidRPr="006C792A">
        <w:t>Source: Table 19, pp82-83 of the ACTIVE Clinical Study Report Addendum</w:t>
      </w:r>
    </w:p>
    <w:p w14:paraId="746F5AD8" w14:textId="63CB56C4" w:rsidR="0095640F" w:rsidRPr="00F25E15" w:rsidRDefault="00DF06B0" w:rsidP="005224CD">
      <w:pPr>
        <w:pStyle w:val="3-BodyText"/>
      </w:pPr>
      <w:r w:rsidRPr="00F25E15">
        <w:t>In ACTIVE, incidence of all AESIs were higher</w:t>
      </w:r>
      <w:r w:rsidR="00CD09CE">
        <w:t xml:space="preserve">, </w:t>
      </w:r>
      <w:r w:rsidR="00CD09CE" w:rsidRPr="00134998">
        <w:t>or similar</w:t>
      </w:r>
      <w:r w:rsidR="00CD09CE">
        <w:t>,</w:t>
      </w:r>
      <w:r w:rsidR="00EC107C">
        <w:t xml:space="preserve"> </w:t>
      </w:r>
      <w:r w:rsidRPr="00F25E15">
        <w:t xml:space="preserve">in patients receiving abaloparatide compared to placebo. Incidence of orthostatic hypotension, palpitations, nausea, and dizziness leading to discontinuation were </w:t>
      </w:r>
      <w:r w:rsidR="00664973" w:rsidRPr="00F25E15">
        <w:t xml:space="preserve">noticeably </w:t>
      </w:r>
      <w:r w:rsidRPr="00F25E15">
        <w:t>higher in the abaloparatide arm compared to placebo.</w:t>
      </w:r>
      <w:r w:rsidR="00CD22EC" w:rsidRPr="00F25E15">
        <w:t xml:space="preserve"> </w:t>
      </w:r>
    </w:p>
    <w:p w14:paraId="19175813" w14:textId="6D023E7D" w:rsidR="00C85A1E" w:rsidRPr="00F25E15" w:rsidRDefault="00C85A1E" w:rsidP="00C85A1E">
      <w:pPr>
        <w:pStyle w:val="3-BodyText"/>
      </w:pPr>
      <w:r w:rsidRPr="00F25E15">
        <w:t>The incidence of fall as a TEAE potentially associated with orthostatic hypotension reported in ACTIVE was low (4 [0.5%] in the abaloparatide arm vs 2 [0.2%] in the placebo arm). Risk for falls generally increases in people with decreased muscle strength, decreased mobility, poor nutrition, poor vision or cognition, continence challenges, history of falls (especially injurious falls), chronic medical condition(s) causing fragility, or in people receiving medications that can cause dizziness or hypotension</w:t>
      </w:r>
      <w:r w:rsidRPr="00F25E15">
        <w:rPr>
          <w:rStyle w:val="FootnoteReference"/>
        </w:rPr>
        <w:footnoteReference w:id="19"/>
      </w:r>
      <w:r w:rsidRPr="00F25E15">
        <w:t xml:space="preserve"> . In ACTIVE, however, </w:t>
      </w:r>
      <w:proofErr w:type="gramStart"/>
      <w:r w:rsidRPr="00F25E15">
        <w:t>the majority of</w:t>
      </w:r>
      <w:proofErr w:type="gramEnd"/>
      <w:r w:rsidRPr="00F25E15">
        <w:t xml:space="preserve"> enrolled patients were aged below 75 years (80.1% and 80.6% in the abaloparatide and placebo arms, respectively) and were generally healthy, ambulatory, and without major chronic health condition</w:t>
      </w:r>
      <w:r w:rsidR="0024206F" w:rsidRPr="00F25E15">
        <w:t>s</w:t>
      </w:r>
      <w:r w:rsidRPr="00F25E15">
        <w:t>. History of prior falls in enrolled patients was unknown.</w:t>
      </w:r>
      <w:r w:rsidR="0095640F" w:rsidRPr="00F25E15">
        <w:t xml:space="preserve"> The FRAX</w:t>
      </w:r>
      <w:r w:rsidR="0095640F" w:rsidRPr="00F25E15">
        <w:rPr>
          <w:rFonts w:cstheme="minorHAnsi"/>
        </w:rPr>
        <w:t>®</w:t>
      </w:r>
      <w:r w:rsidR="0095640F" w:rsidRPr="00F25E15">
        <w:t xml:space="preserve"> tool used to predict </w:t>
      </w:r>
      <w:r w:rsidR="0097781E" w:rsidRPr="00F25E15">
        <w:t xml:space="preserve">patients’ </w:t>
      </w:r>
      <w:r w:rsidR="0095640F" w:rsidRPr="00F25E15">
        <w:t>fracture risk in ACTIVE</w:t>
      </w:r>
      <w:r w:rsidR="0097781E" w:rsidRPr="00F25E15">
        <w:t xml:space="preserve"> does not take history of falls into account for risk prediction.</w:t>
      </w:r>
      <w:r w:rsidR="00214C4C" w:rsidRPr="00F25E15">
        <w:t xml:space="preserve"> The incidence of treatment related fall </w:t>
      </w:r>
      <w:r w:rsidR="00D8106D" w:rsidRPr="00F25E15">
        <w:t xml:space="preserve">is </w:t>
      </w:r>
      <w:r w:rsidR="00214C4C" w:rsidRPr="00F25E15">
        <w:t>expected to be higher in real world practice.</w:t>
      </w:r>
    </w:p>
    <w:p w14:paraId="43787E60" w14:textId="5CEFCAE5" w:rsidR="00214C4C" w:rsidRPr="00F25E15" w:rsidRDefault="00E21089" w:rsidP="005224CD">
      <w:pPr>
        <w:pStyle w:val="3-BodyText"/>
      </w:pPr>
      <w:r w:rsidRPr="00F25E15">
        <w:t>T</w:t>
      </w:r>
      <w:r w:rsidR="00513FA4" w:rsidRPr="00F25E15">
        <w:t>he mechanism of action of abaloparatide</w:t>
      </w:r>
      <w:r w:rsidR="00636A5D" w:rsidRPr="00F25E15">
        <w:t xml:space="preserve"> involves it</w:t>
      </w:r>
      <w:r w:rsidR="00513FA4" w:rsidRPr="00F25E15">
        <w:t xml:space="preserve"> work</w:t>
      </w:r>
      <w:r w:rsidR="00636A5D" w:rsidRPr="00F25E15">
        <w:t>ing</w:t>
      </w:r>
      <w:r w:rsidR="00513FA4" w:rsidRPr="00F25E15">
        <w:t xml:space="preserve"> as the agonist of the parathyroid hormone receptor</w:t>
      </w:r>
      <w:r w:rsidR="00E142E8" w:rsidRPr="00F25E15">
        <w:t>;</w:t>
      </w:r>
      <w:r w:rsidR="00513FA4" w:rsidRPr="00F25E15">
        <w:t xml:space="preserve"> </w:t>
      </w:r>
      <w:r w:rsidR="00E142E8" w:rsidRPr="00F25E15">
        <w:t>therefore, it</w:t>
      </w:r>
      <w:r w:rsidR="00513FA4" w:rsidRPr="00F25E15">
        <w:t xml:space="preserve"> can cause hypercalcaemia that results in increased renal calcification and stone formation</w:t>
      </w:r>
      <w:r w:rsidR="0097781E" w:rsidRPr="00F25E15">
        <w:t>. When used in patients with mild or moderate renal impairment, drug-related hypercalcaemia may cause muscle weakness and drowsiness. However, the incidence of TEAEs, serious AEs, treatment related TEAEs, AEs leading to death or AEs leading to study discontinuation were comparable for each treatment arm between the different renal impairment groups in ACTIVE (p84 of the ACTIVE CSR Addendum</w:t>
      </w:r>
      <w:r w:rsidR="00513FA4" w:rsidRPr="00F25E15">
        <w:t>)</w:t>
      </w:r>
      <w:r w:rsidR="00214C4C" w:rsidRPr="00F25E15">
        <w:t>.</w:t>
      </w:r>
    </w:p>
    <w:p w14:paraId="7E3DF7BA" w14:textId="2246165F" w:rsidR="00245853" w:rsidRPr="00F25E15" w:rsidRDefault="00245853" w:rsidP="00245853">
      <w:pPr>
        <w:pStyle w:val="3-BodyText"/>
      </w:pPr>
      <w:r w:rsidRPr="00F25E15">
        <w:t>In general, the safety profile of abaloparatide in ACTIVE aligns with the known safety profile of the drug. The vasodilating effect of abaloparatide on vascular smooth muscle and positive chronotropic/inotropic effects on cardiac muscle can affect the stability of blood pressure or cardiac rhythm which may cause dizziness, fainting, and weakness.</w:t>
      </w:r>
      <w:r w:rsidR="00BE1312" w:rsidRPr="00F25E15">
        <w:t xml:space="preserve"> Despite b</w:t>
      </w:r>
      <w:r w:rsidR="00A65CBA" w:rsidRPr="00F25E15">
        <w:t>eing part of the known safety profile, these adverse effects are of particular concern</w:t>
      </w:r>
      <w:r w:rsidRPr="00F25E15">
        <w:t xml:space="preserve"> </w:t>
      </w:r>
      <w:r w:rsidR="00A65CBA" w:rsidRPr="00F25E15">
        <w:t>i</w:t>
      </w:r>
      <w:r w:rsidR="0097781E" w:rsidRPr="00F25E15">
        <w:t xml:space="preserve">n </w:t>
      </w:r>
      <w:r w:rsidR="00BB10A8" w:rsidRPr="00F25E15">
        <w:t>patients</w:t>
      </w:r>
      <w:r w:rsidR="0097781E" w:rsidRPr="00F25E15">
        <w:t xml:space="preserve"> </w:t>
      </w:r>
      <w:r w:rsidR="005C5CD4" w:rsidRPr="00F25E15">
        <w:t xml:space="preserve">who </w:t>
      </w:r>
      <w:r w:rsidR="0097781E" w:rsidRPr="00F25E15">
        <w:t xml:space="preserve">are mostly advanced in age and are at risk for fall because of decreased muscle strength or mobility, </w:t>
      </w:r>
      <w:r w:rsidR="00A4017A" w:rsidRPr="00F25E15">
        <w:t>poor vision or cognition, continence challenges, history of falls (especially injurious falls), and major chronic medical condition(s) causing fragility</w:t>
      </w:r>
      <w:r w:rsidR="0097781E" w:rsidRPr="00F25E15">
        <w:t>.</w:t>
      </w:r>
    </w:p>
    <w:p w14:paraId="1FAE1CCB" w14:textId="54AF70F4" w:rsidR="00953C6A" w:rsidRPr="00F25E15" w:rsidRDefault="00897E68" w:rsidP="00953C6A">
      <w:pPr>
        <w:pStyle w:val="3-BodyText"/>
      </w:pPr>
      <w:r w:rsidRPr="00F25E15">
        <w:t xml:space="preserve">In </w:t>
      </w:r>
      <w:r w:rsidR="00387A34" w:rsidRPr="00F25E15">
        <w:t xml:space="preserve">the </w:t>
      </w:r>
      <w:r w:rsidRPr="00F25E15">
        <w:t>ACTIVE</w:t>
      </w:r>
      <w:r w:rsidR="00387A34" w:rsidRPr="00F25E15">
        <w:t xml:space="preserve"> trial</w:t>
      </w:r>
      <w:r w:rsidRPr="00F25E15">
        <w:t xml:space="preserve">, the abaloparatide arm had </w:t>
      </w:r>
      <w:r w:rsidR="00A3243B" w:rsidRPr="00F25E15">
        <w:t xml:space="preserve">a </w:t>
      </w:r>
      <w:r w:rsidRPr="00F25E15">
        <w:t>highe</w:t>
      </w:r>
      <w:r w:rsidR="00A3243B" w:rsidRPr="00F25E15">
        <w:t>r</w:t>
      </w:r>
      <w:r w:rsidRPr="00F25E15">
        <w:t xml:space="preserve"> rate of TEAEs leading to discontinuation</w:t>
      </w:r>
      <w:r w:rsidR="00387A34" w:rsidRPr="00F25E15">
        <w:t xml:space="preserve"> compared to placebo</w:t>
      </w:r>
      <w:r w:rsidRPr="00F25E15">
        <w:t xml:space="preserve"> (9.8% vs 6.0% in placebo). In the abaloparatide arm, the most common TEAEs leading to discontinuation were nausea (1.6%</w:t>
      </w:r>
      <w:r w:rsidR="0077010D" w:rsidRPr="00F25E15">
        <w:t xml:space="preserve"> vs</w:t>
      </w:r>
      <w:r w:rsidR="006F4798" w:rsidRPr="00F25E15">
        <w:t xml:space="preserve"> 0.3% in placebo</w:t>
      </w:r>
      <w:r w:rsidR="0077010D" w:rsidRPr="00F25E15">
        <w:t xml:space="preserve"> </w:t>
      </w:r>
      <w:r w:rsidRPr="00F25E15">
        <w:t>), dizziness (1.4%</w:t>
      </w:r>
      <w:r w:rsidR="006F4798" w:rsidRPr="00F25E15">
        <w:t xml:space="preserve"> vs 0.4% in placebo</w:t>
      </w:r>
      <w:r w:rsidRPr="00F25E15">
        <w:t>), headache (1.2%</w:t>
      </w:r>
      <w:r w:rsidR="006F4798" w:rsidRPr="00F25E15">
        <w:t xml:space="preserve"> vs 0.3% in placebo</w:t>
      </w:r>
      <w:r w:rsidRPr="00F25E15">
        <w:t>), and palpitations (0.9%</w:t>
      </w:r>
      <w:r w:rsidR="006F4798" w:rsidRPr="00F25E15">
        <w:t xml:space="preserve"> vs 0.1% in placebo</w:t>
      </w:r>
      <w:r w:rsidRPr="00F25E15">
        <w:t xml:space="preserve">). Six patients discontinued due to </w:t>
      </w:r>
      <w:r w:rsidR="00A86CF1" w:rsidRPr="00F25E15">
        <w:t xml:space="preserve">a </w:t>
      </w:r>
      <w:r w:rsidRPr="00F25E15">
        <w:t>TEAE of QT prolongation (3 [0.4%] on abaloparatide</w:t>
      </w:r>
      <w:r w:rsidR="00F44E66" w:rsidRPr="00F25E15">
        <w:t xml:space="preserve"> and</w:t>
      </w:r>
      <w:r w:rsidRPr="00F25E15">
        <w:t xml:space="preserve"> 2 [0.2%] on placebo).</w:t>
      </w:r>
    </w:p>
    <w:p w14:paraId="685F76E9" w14:textId="12C1CD94" w:rsidR="00953C6A" w:rsidRPr="003B6279" w:rsidRDefault="00897E68" w:rsidP="00214C4C">
      <w:pPr>
        <w:pStyle w:val="3-BodyText"/>
        <w:rPr>
          <w:i/>
          <w:iCs/>
        </w:rPr>
      </w:pPr>
      <w:r>
        <w:t xml:space="preserve">There were eight deaths reported during the ACTIVE study period. </w:t>
      </w:r>
      <w:r w:rsidRPr="00651D3B">
        <w:t>None of the deaths were considered by the investigators to be related to</w:t>
      </w:r>
      <w:r>
        <w:t xml:space="preserve"> </w:t>
      </w:r>
      <w:r w:rsidRPr="00651D3B">
        <w:t>study medication.</w:t>
      </w:r>
      <w:r>
        <w:t xml:space="preserve"> Three deaths </w:t>
      </w:r>
      <w:r w:rsidRPr="00FF1F0A">
        <w:t>occurred in each of the abaloparatide</w:t>
      </w:r>
      <w:r>
        <w:t xml:space="preserve"> and </w:t>
      </w:r>
      <w:r w:rsidRPr="00FF1F0A">
        <w:t>placebo</w:t>
      </w:r>
      <w:r>
        <w:t xml:space="preserve"> arms. Causes of death in the abaloparatide arm were sepsis, bronchiectasis, and ischaemic heart disease. Causes of death in the placebo arm were bowel cancer, intestinal obstruction, and sudden death. Causes of death in the teriparatide arm were pancreatic cancer and cardio-respiratory arrest.</w:t>
      </w:r>
    </w:p>
    <w:p w14:paraId="78F9C43F" w14:textId="13C46FEB" w:rsidR="008C563E" w:rsidRDefault="008C563E" w:rsidP="005C047E">
      <w:pPr>
        <w:pStyle w:val="5-SubsectionSubheading"/>
      </w:pPr>
      <w:r>
        <w:rPr>
          <w:lang w:eastAsia="en-US"/>
        </w:rPr>
        <w:t>Romosozumab safety</w:t>
      </w:r>
    </w:p>
    <w:p w14:paraId="46CDC525" w14:textId="46A85D76" w:rsidR="008060E5" w:rsidRPr="00F25E15" w:rsidRDefault="006C0217" w:rsidP="00953C6A">
      <w:pPr>
        <w:pStyle w:val="3-BodyText"/>
      </w:pPr>
      <w:r w:rsidRPr="00134998">
        <w:t xml:space="preserve">The analysis of </w:t>
      </w:r>
      <w:r w:rsidR="00427191" w:rsidRPr="00134998">
        <w:t xml:space="preserve">romosozumab </w:t>
      </w:r>
      <w:r w:rsidR="009E19B6" w:rsidRPr="00134998">
        <w:t>safety</w:t>
      </w:r>
      <w:r w:rsidR="00427191" w:rsidRPr="00134998">
        <w:t xml:space="preserve"> was based on </w:t>
      </w:r>
      <w:r w:rsidR="00427191" w:rsidRPr="00134998">
        <w:rPr>
          <w:bCs/>
        </w:rPr>
        <w:t>pooled trial data</w:t>
      </w:r>
      <w:r w:rsidR="00427191" w:rsidRPr="00134998">
        <w:t xml:space="preserve"> from the </w:t>
      </w:r>
      <w:r w:rsidR="00427191" w:rsidRPr="00134998">
        <w:rPr>
          <w:bCs/>
        </w:rPr>
        <w:t>Product Information.</w:t>
      </w:r>
      <w:r w:rsidR="00427191" w:rsidRPr="004B1583">
        <w:rPr>
          <w:bCs/>
        </w:rPr>
        <w:t xml:space="preserve"> </w:t>
      </w:r>
      <w:r w:rsidR="00E7036E" w:rsidRPr="00F25E15">
        <w:t>Common adverse events observed in romosozumab</w:t>
      </w:r>
      <w:r w:rsidR="00CC674E" w:rsidRPr="00F25E15">
        <w:t>-</w:t>
      </w:r>
      <w:r w:rsidR="00E7036E" w:rsidRPr="00F25E15">
        <w:t xml:space="preserve">treated patients included </w:t>
      </w:r>
      <w:r w:rsidR="00CD4F25" w:rsidRPr="00F25E15">
        <w:t>hypersensitivity reactions (rash or dermatitis), headache, cough, arthralgia, neck pain, muscle spasms, and injection site reactions including pain and erythema (Table 2, approved romosozumab PI</w:t>
      </w:r>
      <w:r w:rsidR="00B51D8A" w:rsidRPr="00F25E15">
        <w:rPr>
          <w:rStyle w:val="FootnoteReference"/>
        </w:rPr>
        <w:footnoteReference w:id="20"/>
      </w:r>
      <w:r w:rsidR="00CD4F25" w:rsidRPr="00F25E15">
        <w:t xml:space="preserve">). </w:t>
      </w:r>
      <w:r w:rsidR="00F25659" w:rsidRPr="00F25E15">
        <w:t xml:space="preserve">Romosozumab has a different mechanism of action compared to abaloparatide and therefore the known safety profile of romosozumab is different, as per the approved romosozumab PI. </w:t>
      </w:r>
    </w:p>
    <w:p w14:paraId="39CFC953" w14:textId="37ADDA1E" w:rsidR="005916F7" w:rsidRPr="00F25E15" w:rsidRDefault="00CD4F25" w:rsidP="005B4162">
      <w:pPr>
        <w:pStyle w:val="3-BodyText"/>
        <w:spacing w:before="0"/>
      </w:pPr>
      <w:r w:rsidRPr="00F25E15">
        <w:t xml:space="preserve">Regarding </w:t>
      </w:r>
      <w:r w:rsidR="00FE0077" w:rsidRPr="00F25E15">
        <w:t xml:space="preserve">the </w:t>
      </w:r>
      <w:r w:rsidRPr="00F25E15">
        <w:t>cardiovascular safety</w:t>
      </w:r>
      <w:r w:rsidR="00FE0077" w:rsidRPr="00F25E15">
        <w:t xml:space="preserve"> of romosozumab</w:t>
      </w:r>
      <w:r w:rsidRPr="00F25E15">
        <w:t>, the approved romosozumab PI</w:t>
      </w:r>
      <w:r w:rsidR="008060E5" w:rsidRPr="00F25E15">
        <w:t xml:space="preserve"> state</w:t>
      </w:r>
      <w:r w:rsidR="00CB4361" w:rsidRPr="00F25E15">
        <w:t>s</w:t>
      </w:r>
      <w:r w:rsidR="005916F7" w:rsidRPr="00F25E15">
        <w:t>:</w:t>
      </w:r>
      <w:r w:rsidR="00495D1D" w:rsidRPr="00F25E15">
        <w:rPr>
          <w:rStyle w:val="FootnoteReference"/>
        </w:rPr>
        <w:footnoteReference w:id="21"/>
      </w:r>
      <w:r w:rsidRPr="00F25E15">
        <w:t xml:space="preserve"> </w:t>
      </w:r>
    </w:p>
    <w:p w14:paraId="0CD9B7B5" w14:textId="3F9E47CD" w:rsidR="00304D68" w:rsidRDefault="00CD4F25" w:rsidP="005B4162">
      <w:pPr>
        <w:pStyle w:val="3-BodyText"/>
        <w:numPr>
          <w:ilvl w:val="0"/>
          <w:numId w:val="0"/>
        </w:numPr>
        <w:spacing w:before="0"/>
        <w:ind w:left="1440"/>
        <w:rPr>
          <w:i/>
          <w:iCs/>
        </w:rPr>
      </w:pPr>
      <w:r w:rsidRPr="00F25E15">
        <w:t>“In the active-controlled trial of romosozumab for the treatment of severe osteoporosis in postmenopausal women during the 12-month double-blind romosozumab treatment phase, 16 women (0.8%) had myocardial infarction in the romosozumab arm versus 5 women (0.2%) in the alendronate arm and 13 women (0.6%) had stroke in the romosozumab arm versus 7 women (0.3%) in the alendronate arm. These events occurred in patients with and without a history of myocardial infarction or stroke. Cardiovascular death occurred in 17 women (0.8%) in the romosozumab group and 12 women (0.6%) in the alendronate group. The number of women with major adverse cardiac events (MACE = positively adjudicated cardiovascular death, myocardial infarction or stroke) was 41 (2.0%) in the romosozumab group and 22 (1.1%) in the alendronate group, yielding a hazard ratio of 1.87 (95% confidence interval [1.11, 3.14]) for romosozumab compared to alendronate. All-cause death occurred in 30 women (1.5%) in the romosozumab group and 22 women (1.1%) in the alendronate group”</w:t>
      </w:r>
      <w:r w:rsidR="00E7036E" w:rsidRPr="00F25E15">
        <w:t xml:space="preserve"> </w:t>
      </w:r>
      <w:r w:rsidR="00201877" w:rsidRPr="00F25E15">
        <w:t>(p10 of the approved romosozumab PI)</w:t>
      </w:r>
      <w:r w:rsidR="00F80164" w:rsidRPr="00F25E15">
        <w:t>.</w:t>
      </w:r>
    </w:p>
    <w:p w14:paraId="7A1772B6" w14:textId="23BB3145" w:rsidR="00B60939" w:rsidRPr="00D86D87" w:rsidRDefault="00B60939" w:rsidP="00E9094A">
      <w:pPr>
        <w:pStyle w:val="4-SubsectionHeading"/>
      </w:pPr>
      <w:bookmarkStart w:id="43" w:name="_Toc22897644"/>
      <w:bookmarkStart w:id="44" w:name="_Toc198219107"/>
      <w:r w:rsidRPr="00D86D87">
        <w:t>Clinical claim</w:t>
      </w:r>
      <w:bookmarkEnd w:id="43"/>
      <w:bookmarkEnd w:id="44"/>
    </w:p>
    <w:p w14:paraId="5102AC7D" w14:textId="77777777" w:rsidR="0027031D" w:rsidRDefault="005F7588" w:rsidP="00E9094A">
      <w:pPr>
        <w:pStyle w:val="3-BodyText"/>
        <w:rPr>
          <w:rFonts w:eastAsia="Calibri"/>
        </w:rPr>
      </w:pPr>
      <w:r w:rsidRPr="00D86D87">
        <w:rPr>
          <w:rFonts w:eastAsia="Calibri"/>
        </w:rPr>
        <w:t xml:space="preserve">The submission described </w:t>
      </w:r>
      <w:r w:rsidR="00201877">
        <w:rPr>
          <w:rFonts w:eastAsia="Calibri"/>
        </w:rPr>
        <w:t>abaloparati</w:t>
      </w:r>
      <w:r w:rsidR="00E05B05">
        <w:rPr>
          <w:rFonts w:eastAsia="Calibri"/>
        </w:rPr>
        <w:t>d</w:t>
      </w:r>
      <w:r w:rsidR="00201877">
        <w:rPr>
          <w:rFonts w:eastAsia="Calibri"/>
        </w:rPr>
        <w:t xml:space="preserve">e as non-inferior in terms of efficacy compared to romosozumab. </w:t>
      </w:r>
    </w:p>
    <w:p w14:paraId="1C0FDF5C" w14:textId="63AD3FDC" w:rsidR="002C628F" w:rsidRPr="00F25E15" w:rsidRDefault="00D12359" w:rsidP="00E9094A">
      <w:pPr>
        <w:pStyle w:val="3-BodyText"/>
        <w:rPr>
          <w:rFonts w:eastAsia="Calibri"/>
        </w:rPr>
      </w:pPr>
      <w:bookmarkStart w:id="45" w:name="_Ref201243462"/>
      <w:r>
        <w:rPr>
          <w:rFonts w:eastAsia="Calibri"/>
        </w:rPr>
        <w:t>E</w:t>
      </w:r>
      <w:r w:rsidR="00150974" w:rsidRPr="00134998">
        <w:rPr>
          <w:rFonts w:eastAsia="Calibri"/>
        </w:rPr>
        <w:t>fficacy results in the indirect comparison in terms of preventing new vertebral fractures</w:t>
      </w:r>
      <w:r w:rsidR="00A40E4E" w:rsidRPr="00134998">
        <w:rPr>
          <w:rFonts w:eastAsia="Calibri"/>
        </w:rPr>
        <w:t xml:space="preserve"> showed</w:t>
      </w:r>
      <w:r w:rsidR="008D5D60" w:rsidRPr="00134998">
        <w:rPr>
          <w:rFonts w:eastAsia="Calibri"/>
        </w:rPr>
        <w:t xml:space="preserve"> </w:t>
      </w:r>
      <w:r w:rsidR="00A40E4E" w:rsidRPr="00134998">
        <w:rPr>
          <w:rFonts w:eastAsia="Calibri"/>
        </w:rPr>
        <w:t>no statistical difference</w:t>
      </w:r>
      <w:r w:rsidR="0054126E" w:rsidRPr="00134998">
        <w:rPr>
          <w:rFonts w:eastAsia="Calibri"/>
        </w:rPr>
        <w:t xml:space="preserve"> </w:t>
      </w:r>
      <w:r w:rsidR="00A40E4E" w:rsidRPr="00134998">
        <w:rPr>
          <w:rFonts w:eastAsia="Calibri"/>
        </w:rPr>
        <w:t xml:space="preserve">between </w:t>
      </w:r>
      <w:r w:rsidR="008F51A4" w:rsidRPr="00134998">
        <w:rPr>
          <w:rFonts w:eastAsia="Calibri"/>
        </w:rPr>
        <w:t>treatments</w:t>
      </w:r>
      <w:r w:rsidR="008F2656" w:rsidRPr="00134998">
        <w:rPr>
          <w:rFonts w:eastAsia="Calibri"/>
        </w:rPr>
        <w:t xml:space="preserve"> using relative measures and </w:t>
      </w:r>
      <w:r w:rsidR="0056690E" w:rsidRPr="00134998">
        <w:rPr>
          <w:rFonts w:eastAsia="Calibri"/>
        </w:rPr>
        <w:t xml:space="preserve">a statistical advantage for </w:t>
      </w:r>
      <w:r w:rsidR="00287AA3" w:rsidRPr="00134998">
        <w:rPr>
          <w:rFonts w:eastAsia="Calibri"/>
        </w:rPr>
        <w:t>abaloparatide</w:t>
      </w:r>
      <w:r w:rsidR="000038BD" w:rsidRPr="00134998">
        <w:rPr>
          <w:rFonts w:eastAsia="Calibri"/>
        </w:rPr>
        <w:t xml:space="preserve"> over romos</w:t>
      </w:r>
      <w:r w:rsidR="005A0086" w:rsidRPr="00134998">
        <w:rPr>
          <w:rFonts w:eastAsia="Calibri"/>
        </w:rPr>
        <w:t>ozumab</w:t>
      </w:r>
      <w:r w:rsidR="00287AA3" w:rsidRPr="00134998">
        <w:rPr>
          <w:rFonts w:eastAsia="Calibri"/>
        </w:rPr>
        <w:t xml:space="preserve"> using absolute risk difference</w:t>
      </w:r>
      <w:r w:rsidR="00083CD6">
        <w:rPr>
          <w:rFonts w:eastAsia="Calibri"/>
        </w:rPr>
        <w:t>.</w:t>
      </w:r>
      <w:r w:rsidR="00150974" w:rsidRPr="00134998">
        <w:rPr>
          <w:rFonts w:ascii="Calibri" w:eastAsia="Calibri" w:hAnsi="Calibri" w:cs="Arial"/>
          <w:szCs w:val="24"/>
        </w:rPr>
        <w:t xml:space="preserve"> </w:t>
      </w:r>
      <w:r w:rsidR="00B94F03">
        <w:rPr>
          <w:rFonts w:ascii="Calibri" w:eastAsia="Calibri" w:hAnsi="Calibri" w:cs="Arial"/>
          <w:szCs w:val="24"/>
        </w:rPr>
        <w:t xml:space="preserve">However, </w:t>
      </w:r>
      <w:r w:rsidR="00B94F03">
        <w:rPr>
          <w:rFonts w:eastAsia="Calibri"/>
        </w:rPr>
        <w:t>t</w:t>
      </w:r>
      <w:r w:rsidR="00B94F03" w:rsidRPr="00134998">
        <w:rPr>
          <w:rFonts w:eastAsia="Calibri"/>
        </w:rPr>
        <w:t xml:space="preserve">he ESC agreed with the evaluation that </w:t>
      </w:r>
      <w:r w:rsidR="00150974" w:rsidRPr="00F25E15">
        <w:rPr>
          <w:rFonts w:eastAsia="Calibri"/>
        </w:rPr>
        <w:t xml:space="preserve">there were concerns </w:t>
      </w:r>
      <w:r w:rsidR="00E25E2C" w:rsidRPr="00F25E15">
        <w:rPr>
          <w:rFonts w:eastAsia="Calibri"/>
        </w:rPr>
        <w:t>th</w:t>
      </w:r>
      <w:r w:rsidR="002E2AAE" w:rsidRPr="00F25E15">
        <w:rPr>
          <w:rFonts w:eastAsia="Calibri"/>
        </w:rPr>
        <w:t>at</w:t>
      </w:r>
      <w:r w:rsidR="00E25E2C" w:rsidRPr="00F25E15">
        <w:rPr>
          <w:rFonts w:eastAsia="Calibri"/>
        </w:rPr>
        <w:t xml:space="preserve"> compromise</w:t>
      </w:r>
      <w:r w:rsidR="00150974" w:rsidRPr="00F25E15">
        <w:rPr>
          <w:rFonts w:eastAsia="Calibri"/>
        </w:rPr>
        <w:t xml:space="preserve"> the transitivity of the abaloparatide </w:t>
      </w:r>
      <w:r w:rsidR="0027031D" w:rsidRPr="00F25E15">
        <w:rPr>
          <w:rFonts w:eastAsia="Calibri"/>
        </w:rPr>
        <w:t>(ACTIVE)</w:t>
      </w:r>
      <w:r w:rsidR="00150974" w:rsidRPr="00F25E15">
        <w:rPr>
          <w:rFonts w:eastAsia="Calibri"/>
        </w:rPr>
        <w:t xml:space="preserve"> and romosozumab </w:t>
      </w:r>
      <w:r w:rsidR="0027031D" w:rsidRPr="00F25E15">
        <w:rPr>
          <w:rFonts w:eastAsia="Calibri"/>
        </w:rPr>
        <w:t>(FRAME)</w:t>
      </w:r>
      <w:r w:rsidR="00460F5E" w:rsidRPr="00F25E15">
        <w:rPr>
          <w:rFonts w:eastAsia="Calibri"/>
        </w:rPr>
        <w:t xml:space="preserve"> trials</w:t>
      </w:r>
      <w:r w:rsidR="00B84B6E" w:rsidRPr="00F25E15">
        <w:rPr>
          <w:rFonts w:eastAsia="Calibri"/>
        </w:rPr>
        <w:t xml:space="preserve"> </w:t>
      </w:r>
      <w:r w:rsidR="00B84B6E" w:rsidRPr="00F25E15">
        <w:t>and may impact the validity of the findings from the indirect comparison</w:t>
      </w:r>
      <w:r w:rsidR="007B3145" w:rsidRPr="00F25E15">
        <w:rPr>
          <w:rFonts w:eastAsia="Calibri"/>
        </w:rPr>
        <w:t xml:space="preserve">. </w:t>
      </w:r>
      <w:r w:rsidR="007B3145" w:rsidRPr="00F25E15">
        <w:t>Differences between the two trials</w:t>
      </w:r>
      <w:r w:rsidR="00E63783" w:rsidRPr="00F25E15">
        <w:t xml:space="preserve"> are described b</w:t>
      </w:r>
      <w:r w:rsidR="00F90C7B" w:rsidRPr="00F25E15">
        <w:t>elow.</w:t>
      </w:r>
      <w:bookmarkEnd w:id="45"/>
      <w:r w:rsidR="007B3145" w:rsidRPr="00F25E15">
        <w:t xml:space="preserve"> </w:t>
      </w:r>
    </w:p>
    <w:p w14:paraId="74B8DDF3" w14:textId="34E2AD03" w:rsidR="00F21DB6" w:rsidRPr="00134998" w:rsidRDefault="00A34190" w:rsidP="00523719">
      <w:pPr>
        <w:pStyle w:val="3-BodyText"/>
        <w:numPr>
          <w:ilvl w:val="0"/>
          <w:numId w:val="20"/>
        </w:numPr>
      </w:pPr>
      <w:r w:rsidRPr="00F25E15">
        <w:t>S</w:t>
      </w:r>
      <w:r w:rsidR="007B3145" w:rsidRPr="00F25E15">
        <w:t>tudy populations’ baseline disease severity and risk for further fractures</w:t>
      </w:r>
      <w:r w:rsidR="006122BE" w:rsidRPr="00F25E15">
        <w:t>:</w:t>
      </w:r>
      <w:r w:rsidR="00640B70" w:rsidRPr="00F25E15">
        <w:t xml:space="preserve"> </w:t>
      </w:r>
      <w:r w:rsidR="00452A57" w:rsidRPr="00134998">
        <w:rPr>
          <w:lang w:val="en-GB"/>
        </w:rPr>
        <w:t xml:space="preserve">patients in the ACTIVE trial had a history that included higher incidence of nonvertebral fracture, and placebo treated patients in ACTIVE </w:t>
      </w:r>
      <w:r w:rsidR="00452A57" w:rsidRPr="00134998">
        <w:t>reported a higher rate of both nonvertebral and clinical fractures</w:t>
      </w:r>
      <w:r w:rsidR="0073091D" w:rsidRPr="00134998">
        <w:t>,</w:t>
      </w:r>
      <w:r w:rsidR="00452A57" w:rsidRPr="00134998">
        <w:t xml:space="preserve"> than patients in FRAME. The lowest baseline mean BMD T-score was </w:t>
      </w:r>
      <w:r w:rsidR="00A42183" w:rsidRPr="00134998">
        <w:rPr>
          <w:rFonts w:cs="Calibri"/>
          <w:szCs w:val="20"/>
          <w:lang w:eastAsia="zh-CN" w:bidi="th-TH"/>
        </w:rPr>
        <w:noBreakHyphen/>
      </w:r>
      <w:r w:rsidR="00452A57" w:rsidRPr="00134998">
        <w:rPr>
          <w:rFonts w:cs="Calibri"/>
          <w:szCs w:val="20"/>
          <w:lang w:eastAsia="zh-CN" w:bidi="th-TH"/>
        </w:rPr>
        <w:t>2.94</w:t>
      </w:r>
      <w:r w:rsidR="00452A57" w:rsidRPr="00134998">
        <w:t xml:space="preserve"> for patients in ACTIVE and </w:t>
      </w:r>
      <w:r w:rsidR="00A42183" w:rsidRPr="00134998">
        <w:noBreakHyphen/>
      </w:r>
      <w:r w:rsidR="00452A57" w:rsidRPr="00134998">
        <w:t xml:space="preserve">2.76 for patients in FRAME, indicating that patients in ACTIVE had a higher risk for fracture. </w:t>
      </w:r>
      <w:r w:rsidR="00863672" w:rsidRPr="00134998">
        <w:t>D</w:t>
      </w:r>
      <w:r w:rsidR="00640B70" w:rsidRPr="00134998">
        <w:t>ue to the different requirements of history of fracture at baseline and the different treatment outcome in the placebo arms in the two trials, ACTIVE may have enrolled a population with a slightly higher risk for further fracture at baseline compared to FRAME.</w:t>
      </w:r>
      <w:r w:rsidR="007B45B6" w:rsidRPr="00134998">
        <w:t xml:space="preserve"> </w:t>
      </w:r>
      <w:r w:rsidR="0043439D" w:rsidRPr="00134998">
        <w:t xml:space="preserve">The PSCR stated that the PBAC has previously noted the </w:t>
      </w:r>
      <w:r w:rsidR="006622FF" w:rsidRPr="00134998">
        <w:t>broadly similar risk of fractu</w:t>
      </w:r>
      <w:r w:rsidR="00335A6B" w:rsidRPr="00134998">
        <w:t>re in the two studies</w:t>
      </w:r>
      <w:r w:rsidR="003C1BB6" w:rsidRPr="00134998">
        <w:t xml:space="preserve"> (</w:t>
      </w:r>
      <w:r w:rsidR="00D15DA3" w:rsidRPr="00134998">
        <w:t>paragraph 6.1</w:t>
      </w:r>
      <w:r w:rsidR="00070DC7" w:rsidRPr="00134998">
        <w:t>9</w:t>
      </w:r>
      <w:r w:rsidR="00D15DA3" w:rsidRPr="00134998">
        <w:t>, romosozumab PSD, March 2020</w:t>
      </w:r>
      <w:r w:rsidR="003C1BB6" w:rsidRPr="00134998">
        <w:t>) while acknowledging some specific</w:t>
      </w:r>
      <w:r w:rsidR="00831D0B" w:rsidRPr="00134998">
        <w:t xml:space="preserve"> between-trial population</w:t>
      </w:r>
      <w:r w:rsidR="003C1BB6" w:rsidRPr="00134998">
        <w:t xml:space="preserve"> differences.</w:t>
      </w:r>
    </w:p>
    <w:p w14:paraId="625021B1" w14:textId="4EE0CCFE" w:rsidR="00640B70" w:rsidRPr="00134998" w:rsidRDefault="00A34190" w:rsidP="00523719">
      <w:pPr>
        <w:pStyle w:val="3-BodyText"/>
        <w:numPr>
          <w:ilvl w:val="0"/>
          <w:numId w:val="20"/>
        </w:numPr>
        <w:rPr>
          <w:rFonts w:eastAsia="Calibri"/>
        </w:rPr>
      </w:pPr>
      <w:r w:rsidRPr="00134998">
        <w:t>T</w:t>
      </w:r>
      <w:r w:rsidR="007B3145" w:rsidRPr="00134998">
        <w:t>reatment sequence</w:t>
      </w:r>
      <w:r w:rsidR="006122BE" w:rsidRPr="00134998">
        <w:t>:</w:t>
      </w:r>
      <w:r w:rsidR="00640B70" w:rsidRPr="00134998">
        <w:t xml:space="preserve"> </w:t>
      </w:r>
      <w:r w:rsidR="00640B70" w:rsidRPr="00134998">
        <w:rPr>
          <w:rFonts w:eastAsia="Calibri"/>
        </w:rPr>
        <w:t>the subsequent treatment after cessation of abaloparatide in ACTIVExtend was alendronate</w:t>
      </w:r>
      <w:r w:rsidR="0071533B">
        <w:rPr>
          <w:rFonts w:eastAsia="Calibri"/>
        </w:rPr>
        <w:t>,</w:t>
      </w:r>
      <w:r w:rsidR="00640B70" w:rsidRPr="00134998">
        <w:rPr>
          <w:rFonts w:eastAsia="Calibri"/>
        </w:rPr>
        <w:t xml:space="preserve"> </w:t>
      </w:r>
      <w:r w:rsidR="0071533B">
        <w:rPr>
          <w:rFonts w:eastAsia="Calibri"/>
        </w:rPr>
        <w:t>while it was</w:t>
      </w:r>
      <w:r w:rsidR="0071533B" w:rsidRPr="00134998">
        <w:rPr>
          <w:rFonts w:eastAsia="Calibri"/>
        </w:rPr>
        <w:t xml:space="preserve"> </w:t>
      </w:r>
      <w:r w:rsidR="00640B70" w:rsidRPr="00134998">
        <w:rPr>
          <w:rFonts w:eastAsia="Calibri"/>
        </w:rPr>
        <w:t xml:space="preserve">denosumab after cessation of romosozumab in the FRAME extension study. </w:t>
      </w:r>
      <w:r w:rsidR="004E659D" w:rsidRPr="00134998">
        <w:rPr>
          <w:rFonts w:eastAsia="Calibri"/>
        </w:rPr>
        <w:t>The PSCR stated</w:t>
      </w:r>
      <w:r w:rsidR="00306E37">
        <w:rPr>
          <w:rFonts w:eastAsia="Calibri"/>
        </w:rPr>
        <w:t xml:space="preserve"> </w:t>
      </w:r>
      <w:r w:rsidR="004E659D" w:rsidRPr="00134998">
        <w:rPr>
          <w:rFonts w:eastAsia="Calibri"/>
        </w:rPr>
        <w:t xml:space="preserve">that </w:t>
      </w:r>
      <w:r w:rsidR="009F089D" w:rsidRPr="00134998">
        <w:rPr>
          <w:rFonts w:eastAsia="Calibri"/>
        </w:rPr>
        <w:t>t</w:t>
      </w:r>
      <w:r w:rsidR="00F8682E" w:rsidRPr="00134998">
        <w:rPr>
          <w:rFonts w:eastAsia="Calibri"/>
        </w:rPr>
        <w:t>he PBAC ha</w:t>
      </w:r>
      <w:r w:rsidR="00A05FAC" w:rsidRPr="00134998">
        <w:rPr>
          <w:rFonts w:eastAsia="Calibri"/>
        </w:rPr>
        <w:t>s</w:t>
      </w:r>
      <w:r w:rsidR="000B4789" w:rsidRPr="00134998">
        <w:rPr>
          <w:rFonts w:eastAsia="Calibri"/>
        </w:rPr>
        <w:t xml:space="preserve"> previously</w:t>
      </w:r>
      <w:r w:rsidR="00A05FAC" w:rsidRPr="00134998">
        <w:rPr>
          <w:rFonts w:eastAsia="Calibri"/>
        </w:rPr>
        <w:t xml:space="preserve"> </w:t>
      </w:r>
      <w:r w:rsidR="00F8682E" w:rsidRPr="00134998">
        <w:rPr>
          <w:rFonts w:eastAsia="Calibri"/>
        </w:rPr>
        <w:t xml:space="preserve">accepted that alendronate </w:t>
      </w:r>
      <w:r w:rsidR="00A05FAC" w:rsidRPr="00134998">
        <w:rPr>
          <w:rFonts w:eastAsia="Calibri"/>
        </w:rPr>
        <w:t>is</w:t>
      </w:r>
      <w:r w:rsidR="00F8682E" w:rsidRPr="00134998">
        <w:rPr>
          <w:rFonts w:eastAsia="Calibri"/>
        </w:rPr>
        <w:t xml:space="preserve"> an appropriate proxy for antiresorptive therapy (</w:t>
      </w:r>
      <w:r w:rsidR="009F089D" w:rsidRPr="00134998">
        <w:rPr>
          <w:rFonts w:eastAsia="Calibri"/>
        </w:rPr>
        <w:t xml:space="preserve">paragraph </w:t>
      </w:r>
      <w:r w:rsidR="00F8682E" w:rsidRPr="00134998">
        <w:rPr>
          <w:rFonts w:eastAsia="Calibri"/>
        </w:rPr>
        <w:t>5.3</w:t>
      </w:r>
      <w:r w:rsidR="009F089D" w:rsidRPr="00134998">
        <w:rPr>
          <w:rFonts w:eastAsia="Calibri"/>
        </w:rPr>
        <w:t>,</w:t>
      </w:r>
      <w:r w:rsidR="00F8682E" w:rsidRPr="00134998">
        <w:rPr>
          <w:rFonts w:eastAsia="Calibri"/>
        </w:rPr>
        <w:t xml:space="preserve"> </w:t>
      </w:r>
      <w:r w:rsidR="009F089D" w:rsidRPr="00134998">
        <w:rPr>
          <w:rFonts w:eastAsia="Calibri"/>
        </w:rPr>
        <w:t>romosozumab PSD,</w:t>
      </w:r>
      <w:r w:rsidR="00F8682E" w:rsidRPr="00134998">
        <w:rPr>
          <w:rFonts w:eastAsia="Calibri"/>
        </w:rPr>
        <w:t xml:space="preserve"> March 2024)</w:t>
      </w:r>
      <w:r w:rsidR="00201582" w:rsidRPr="00134998">
        <w:rPr>
          <w:rFonts w:eastAsia="Calibri"/>
        </w:rPr>
        <w:t>, and that</w:t>
      </w:r>
      <w:r w:rsidR="007B459B" w:rsidRPr="00134998">
        <w:rPr>
          <w:rFonts w:eastAsia="Calibri"/>
        </w:rPr>
        <w:t xml:space="preserve"> denosumab has improved BMD outcomes </w:t>
      </w:r>
      <w:r w:rsidR="009E00F6" w:rsidRPr="00134998">
        <w:rPr>
          <w:rFonts w:eastAsia="Calibri"/>
        </w:rPr>
        <w:t xml:space="preserve">over alendronate (p6, denosumab PSD, </w:t>
      </w:r>
      <w:r w:rsidR="00FB5BD8" w:rsidRPr="00134998">
        <w:rPr>
          <w:rFonts w:eastAsia="Calibri"/>
        </w:rPr>
        <w:t>July</w:t>
      </w:r>
      <w:r w:rsidR="009E00F6" w:rsidRPr="00134998">
        <w:rPr>
          <w:rFonts w:eastAsia="Calibri"/>
        </w:rPr>
        <w:t xml:space="preserve"> </w:t>
      </w:r>
      <w:r w:rsidR="00FB5BD8" w:rsidRPr="00134998">
        <w:rPr>
          <w:rFonts w:eastAsia="Calibri"/>
        </w:rPr>
        <w:t>2010</w:t>
      </w:r>
      <w:r w:rsidR="009E00F6" w:rsidRPr="00134998">
        <w:rPr>
          <w:rFonts w:eastAsia="Calibri"/>
        </w:rPr>
        <w:t>)</w:t>
      </w:r>
      <w:r w:rsidR="00F8682E" w:rsidRPr="00134998">
        <w:rPr>
          <w:rFonts w:eastAsia="Calibri"/>
        </w:rPr>
        <w:t>.</w:t>
      </w:r>
    </w:p>
    <w:p w14:paraId="74D65662" w14:textId="18321E65" w:rsidR="00891867" w:rsidRPr="00134998" w:rsidRDefault="00A34190" w:rsidP="00523719">
      <w:pPr>
        <w:pStyle w:val="3-BodyText"/>
        <w:numPr>
          <w:ilvl w:val="0"/>
          <w:numId w:val="20"/>
        </w:numPr>
        <w:rPr>
          <w:rFonts w:eastAsia="Calibri"/>
        </w:rPr>
      </w:pPr>
      <w:r w:rsidRPr="00134998">
        <w:t>D</w:t>
      </w:r>
      <w:r w:rsidR="007B3145" w:rsidRPr="00134998">
        <w:t>efinition of the clinical fracture endpoint</w:t>
      </w:r>
      <w:r w:rsidR="006122BE" w:rsidRPr="00134998">
        <w:t>:</w:t>
      </w:r>
      <w:r w:rsidR="007B3145" w:rsidRPr="00134998">
        <w:t xml:space="preserve"> </w:t>
      </w:r>
      <w:r w:rsidR="00640B70" w:rsidRPr="00134998">
        <w:rPr>
          <w:rFonts w:eastAsia="Calibri"/>
        </w:rPr>
        <w:t>clinical fracture i</w:t>
      </w:r>
      <w:r w:rsidR="00891867" w:rsidRPr="00134998">
        <w:rPr>
          <w:rFonts w:eastAsia="Calibri"/>
        </w:rPr>
        <w:t>n ACTIVE</w:t>
      </w:r>
      <w:r w:rsidR="00640B70" w:rsidRPr="00134998">
        <w:rPr>
          <w:rFonts w:eastAsia="Calibri"/>
        </w:rPr>
        <w:t xml:space="preserve"> was defined as</w:t>
      </w:r>
      <w:r w:rsidR="00891867" w:rsidRPr="00134998">
        <w:rPr>
          <w:rFonts w:eastAsia="Calibri"/>
        </w:rPr>
        <w:t xml:space="preserve"> all fractures and all levels of trauma causing the fractures</w:t>
      </w:r>
      <w:r w:rsidR="00E140B8" w:rsidRPr="00134998">
        <w:rPr>
          <w:rFonts w:eastAsia="Calibri"/>
        </w:rPr>
        <w:t>,</w:t>
      </w:r>
      <w:r w:rsidR="00640B70" w:rsidRPr="00134998">
        <w:rPr>
          <w:rFonts w:eastAsia="Calibri"/>
        </w:rPr>
        <w:t xml:space="preserve"> </w:t>
      </w:r>
      <w:r w:rsidR="004127A9">
        <w:rPr>
          <w:rFonts w:eastAsia="Calibri"/>
        </w:rPr>
        <w:t>while it was</w:t>
      </w:r>
      <w:r w:rsidR="004127A9" w:rsidRPr="00134998">
        <w:rPr>
          <w:rFonts w:eastAsia="Calibri"/>
        </w:rPr>
        <w:t xml:space="preserve"> </w:t>
      </w:r>
      <w:r w:rsidR="00640B70" w:rsidRPr="00134998">
        <w:rPr>
          <w:rFonts w:eastAsia="Calibri"/>
        </w:rPr>
        <w:t>only clinical (symptomatic) vertebral fractures and nonvertebral fractures not associated with severe trauma i</w:t>
      </w:r>
      <w:r w:rsidR="00891867" w:rsidRPr="00134998">
        <w:rPr>
          <w:rFonts w:eastAsia="Calibri"/>
        </w:rPr>
        <w:t>n FRAME.</w:t>
      </w:r>
    </w:p>
    <w:p w14:paraId="2F90628F" w14:textId="642409DA" w:rsidR="00C52C5F" w:rsidRPr="00134998" w:rsidRDefault="00A34190" w:rsidP="00523719">
      <w:pPr>
        <w:pStyle w:val="3-BodyText"/>
        <w:numPr>
          <w:ilvl w:val="0"/>
          <w:numId w:val="20"/>
        </w:numPr>
        <w:rPr>
          <w:rFonts w:eastAsia="Calibri"/>
        </w:rPr>
      </w:pPr>
      <w:r w:rsidRPr="00134998">
        <w:t>T</w:t>
      </w:r>
      <w:r w:rsidR="007B3145" w:rsidRPr="00134998">
        <w:t>iming and frequency of fracture assessment</w:t>
      </w:r>
      <w:r w:rsidR="006122BE" w:rsidRPr="00134998">
        <w:t>:</w:t>
      </w:r>
      <w:r w:rsidR="007B3145" w:rsidRPr="00134998">
        <w:t xml:space="preserve"> </w:t>
      </w:r>
      <w:r w:rsidR="001F507E" w:rsidRPr="00134998">
        <w:t>After the baseline assessment, f</w:t>
      </w:r>
      <w:r w:rsidR="001F507E" w:rsidRPr="00134998">
        <w:rPr>
          <w:rFonts w:ascii="Calibri" w:eastAsia="Times New Roman" w:hAnsi="Calibri" w:cs="Arial"/>
          <w:szCs w:val="24"/>
        </w:rPr>
        <w:t xml:space="preserve">racture assessment </w:t>
      </w:r>
      <w:r w:rsidR="001F507E" w:rsidRPr="00134998">
        <w:rPr>
          <w:rFonts w:eastAsia="Calibri"/>
        </w:rPr>
        <w:t xml:space="preserve">only occurred at the end of treatment in ACTIVE, and twice in ACTIVExtend (Month 6 and Month 24), compared to the monthly assessments and the assessments outside of the scheduled timepoints when needed </w:t>
      </w:r>
      <w:r w:rsidR="00DE066C" w:rsidRPr="00134998">
        <w:rPr>
          <w:rFonts w:eastAsia="Calibri"/>
        </w:rPr>
        <w:t>in</w:t>
      </w:r>
      <w:r w:rsidR="001F507E" w:rsidRPr="00134998">
        <w:rPr>
          <w:rFonts w:eastAsia="Calibri"/>
        </w:rPr>
        <w:t xml:space="preserve"> FRAME</w:t>
      </w:r>
      <w:r w:rsidR="00891867" w:rsidRPr="00134998">
        <w:rPr>
          <w:rFonts w:eastAsia="Calibri"/>
        </w:rPr>
        <w:t xml:space="preserve">. </w:t>
      </w:r>
      <w:r w:rsidR="0098580E" w:rsidRPr="00134998">
        <w:rPr>
          <w:rFonts w:eastAsia="Calibri"/>
        </w:rPr>
        <w:t xml:space="preserve">The evaluation </w:t>
      </w:r>
      <w:r w:rsidR="007D46C3">
        <w:rPr>
          <w:rFonts w:eastAsia="Calibri"/>
        </w:rPr>
        <w:t>considered</w:t>
      </w:r>
      <w:r w:rsidR="007D46C3" w:rsidRPr="00134998">
        <w:rPr>
          <w:rFonts w:eastAsia="Calibri"/>
        </w:rPr>
        <w:t xml:space="preserve"> </w:t>
      </w:r>
      <w:r w:rsidR="0098580E" w:rsidRPr="00134998">
        <w:rPr>
          <w:rFonts w:eastAsia="Calibri"/>
        </w:rPr>
        <w:t>that</w:t>
      </w:r>
      <w:r w:rsidR="00CB6D9D" w:rsidRPr="00134998">
        <w:rPr>
          <w:rFonts w:eastAsia="Calibri"/>
        </w:rPr>
        <w:t xml:space="preserve"> compared to the FRAME trial, incidences of fracture in ACTIVE and ACTIVExtend are more likely to be unidentified and under</w:t>
      </w:r>
      <w:r w:rsidR="00954F99" w:rsidRPr="00134998">
        <w:rPr>
          <w:rFonts w:eastAsia="Calibri"/>
        </w:rPr>
        <w:t>-</w:t>
      </w:r>
      <w:r w:rsidR="00CB6D9D" w:rsidRPr="00134998">
        <w:rPr>
          <w:rFonts w:eastAsia="Calibri"/>
        </w:rPr>
        <w:t>reported.</w:t>
      </w:r>
    </w:p>
    <w:p w14:paraId="6263DE13" w14:textId="6960D833" w:rsidR="00C6697D" w:rsidRPr="00134998" w:rsidRDefault="00601F4A" w:rsidP="00B717C4">
      <w:pPr>
        <w:pStyle w:val="3-BodyText"/>
      </w:pPr>
      <w:r w:rsidRPr="00134998">
        <w:t>Furthermore,</w:t>
      </w:r>
      <w:r w:rsidR="00C85C11" w:rsidRPr="00134998">
        <w:t xml:space="preserve"> the evaluation noted that</w:t>
      </w:r>
      <w:r w:rsidRPr="00134998">
        <w:t xml:space="preserve"> in both</w:t>
      </w:r>
      <w:r w:rsidR="00BE284D" w:rsidRPr="00134998">
        <w:t xml:space="preserve"> the ACTIVE and FRAME</w:t>
      </w:r>
      <w:r w:rsidRPr="00134998">
        <w:t xml:space="preserve"> trials, patients who did not have a nonvertebral fracture or clinical fracture event were censored for outcome analyses at the last observation time, hence introducing uncertainties into the outcome analyses.</w:t>
      </w:r>
    </w:p>
    <w:p w14:paraId="0598484E" w14:textId="7660AD10" w:rsidR="007E1591" w:rsidRPr="00134998" w:rsidRDefault="007E1591" w:rsidP="007E1591">
      <w:pPr>
        <w:pStyle w:val="3-BodyText"/>
      </w:pPr>
      <w:r w:rsidRPr="00134998">
        <w:t>The</w:t>
      </w:r>
      <w:r w:rsidR="004F1539" w:rsidRPr="00134998">
        <w:t xml:space="preserve"> evaluation</w:t>
      </w:r>
      <w:r w:rsidR="00BD66C8" w:rsidRPr="00134998">
        <w:t xml:space="preserve"> and the ESC</w:t>
      </w:r>
      <w:r w:rsidR="004F1539" w:rsidRPr="00134998">
        <w:t xml:space="preserve"> noted that the</w:t>
      </w:r>
      <w:r w:rsidRPr="00134998">
        <w:t xml:space="preserve"> following factors may affect the applicability of the</w:t>
      </w:r>
      <w:r w:rsidR="00E7532B" w:rsidRPr="00134998">
        <w:t xml:space="preserve"> ACTIVE</w:t>
      </w:r>
      <w:r w:rsidRPr="00134998">
        <w:t xml:space="preserve"> trial results</w:t>
      </w:r>
      <w:r w:rsidR="00E7532B" w:rsidRPr="00134998">
        <w:t xml:space="preserve"> to the proposed Australian population</w:t>
      </w:r>
      <w:r w:rsidRPr="00134998">
        <w:t>:</w:t>
      </w:r>
    </w:p>
    <w:p w14:paraId="3E1A8405" w14:textId="513B2FE5" w:rsidR="007E1591" w:rsidRPr="00134998" w:rsidRDefault="007E1591" w:rsidP="00523719">
      <w:pPr>
        <w:pStyle w:val="ListParagraph"/>
        <w:numPr>
          <w:ilvl w:val="0"/>
          <w:numId w:val="25"/>
        </w:numPr>
        <w:ind w:right="170"/>
        <w:jc w:val="both"/>
        <w:rPr>
          <w:bCs/>
        </w:rPr>
      </w:pPr>
      <w:r w:rsidRPr="00134998">
        <w:rPr>
          <w:bCs/>
        </w:rPr>
        <w:t>The ACTIVE trial included patients who were generally healthy and ambulatory, and excluded the more fragile patients including those with ≥4 spine fractures (of any severity) or any severe fracture, and those with comorbidities in other organ systems. In the Australian setting, however, patients with medical conditions that can cause fragility may receive abaloparatide, as per the requested restriction.</w:t>
      </w:r>
    </w:p>
    <w:p w14:paraId="1A4789B0" w14:textId="12DC7112" w:rsidR="007E1591" w:rsidRPr="00134998" w:rsidRDefault="007E1591" w:rsidP="00523719">
      <w:pPr>
        <w:pStyle w:val="ListParagraph"/>
        <w:numPr>
          <w:ilvl w:val="0"/>
          <w:numId w:val="25"/>
        </w:numPr>
        <w:ind w:right="170"/>
        <w:jc w:val="both"/>
        <w:rPr>
          <w:bCs/>
        </w:rPr>
      </w:pPr>
      <w:r w:rsidRPr="00134998">
        <w:rPr>
          <w:bCs/>
        </w:rPr>
        <w:t>The FRAX</w:t>
      </w:r>
      <w:r w:rsidRPr="00134998">
        <w:rPr>
          <w:rFonts w:cstheme="minorHAnsi"/>
          <w:bCs/>
        </w:rPr>
        <w:t>®</w:t>
      </w:r>
      <w:r w:rsidRPr="00134998">
        <w:rPr>
          <w:bCs/>
        </w:rPr>
        <w:t xml:space="preserve"> fracture risk score in the study population was lower than the RACGP guideline-suggested FRAX</w:t>
      </w:r>
      <w:r w:rsidRPr="00134998">
        <w:rPr>
          <w:rFonts w:cstheme="minorHAnsi"/>
          <w:bCs/>
        </w:rPr>
        <w:t>®</w:t>
      </w:r>
      <w:r w:rsidRPr="00134998">
        <w:rPr>
          <w:bCs/>
        </w:rPr>
        <w:t xml:space="preserve"> fracture risk score, indicating a lower fracture risk among the ACTIVE study population compared to the requested treated population who must have a ‘very high risk for fracture’.</w:t>
      </w:r>
    </w:p>
    <w:p w14:paraId="5968C0FC" w14:textId="4579DE8F" w:rsidR="000F6A24" w:rsidRPr="00134998" w:rsidRDefault="007E1591" w:rsidP="00523719">
      <w:pPr>
        <w:pStyle w:val="ListParagraph"/>
        <w:numPr>
          <w:ilvl w:val="0"/>
          <w:numId w:val="25"/>
        </w:numPr>
        <w:ind w:right="170"/>
        <w:jc w:val="both"/>
        <w:rPr>
          <w:bCs/>
        </w:rPr>
      </w:pPr>
      <w:r w:rsidRPr="00134998">
        <w:rPr>
          <w:bCs/>
        </w:rPr>
        <w:t>The need to inject abaloparatide daily may be burdensome to some patients and reduce compliance in real-world practice. A reduction in compliance relative to what was observed in the ACTIVE trial may impact its relative treatment effect and the claim of non-inferior effectiveness versus romosozumab.</w:t>
      </w:r>
    </w:p>
    <w:p w14:paraId="09D2ADEE" w14:textId="3C127036" w:rsidR="00453DE7" w:rsidRPr="00954CBF" w:rsidRDefault="006536E0" w:rsidP="00E9094A">
      <w:pPr>
        <w:pStyle w:val="3-BodyText"/>
        <w:rPr>
          <w:rFonts w:eastAsia="Calibri"/>
          <w:iCs/>
        </w:rPr>
      </w:pPr>
      <w:r w:rsidRPr="00393C29">
        <w:rPr>
          <w:snapToGrid w:val="0"/>
          <w:lang w:val="en-GB"/>
        </w:rPr>
        <w:t>T</w:t>
      </w:r>
      <w:r w:rsidR="00453DE7" w:rsidRPr="00393C29">
        <w:rPr>
          <w:snapToGrid w:val="0"/>
          <w:lang w:val="en-GB"/>
        </w:rPr>
        <w:t>he PBAC acknowledged the differences between the ACTIVE and FRAME trials that may limit the reliability of the ITC, as well as differences between the ACTIVE trial population and Australian patients that may limit the applicability of the trial results. However, it considered that</w:t>
      </w:r>
      <w:r w:rsidR="00EA66D0" w:rsidRPr="00393C29">
        <w:rPr>
          <w:rFonts w:eastAsia="Times New Roman"/>
          <w:snapToGrid w:val="0"/>
        </w:rPr>
        <w:t xml:space="preserve"> it is likely that abaloparatide has non-inferior effectiveness compared to </w:t>
      </w:r>
      <w:r w:rsidR="002B36F1" w:rsidRPr="00393C29">
        <w:rPr>
          <w:rFonts w:eastAsia="Times New Roman"/>
          <w:snapToGrid w:val="0"/>
        </w:rPr>
        <w:t>romosozumab</w:t>
      </w:r>
      <w:r w:rsidR="002C19F0" w:rsidRPr="00393C29">
        <w:rPr>
          <w:rFonts w:eastAsia="Times New Roman"/>
          <w:snapToGrid w:val="0"/>
        </w:rPr>
        <w:t>,</w:t>
      </w:r>
      <w:r w:rsidR="002C19F0" w:rsidRPr="00393C29">
        <w:rPr>
          <w:snapToGrid w:val="0"/>
        </w:rPr>
        <w:t xml:space="preserve"> and</w:t>
      </w:r>
      <w:r w:rsidR="009A7ACA" w:rsidRPr="00393C29">
        <w:rPr>
          <w:snapToGrid w:val="0"/>
        </w:rPr>
        <w:t xml:space="preserve"> that</w:t>
      </w:r>
      <w:r w:rsidR="00453DE7" w:rsidRPr="00393C29">
        <w:rPr>
          <w:snapToGrid w:val="0"/>
        </w:rPr>
        <w:t xml:space="preserve"> the ACTIVE </w:t>
      </w:r>
      <w:r w:rsidR="00453DE7" w:rsidRPr="00393C29">
        <w:rPr>
          <w:rFonts w:eastAsia="Times New Roman"/>
          <w:snapToGrid w:val="0"/>
        </w:rPr>
        <w:t>trial population and processes of care were</w:t>
      </w:r>
      <w:r w:rsidR="00453DE7" w:rsidRPr="00393C29">
        <w:rPr>
          <w:snapToGrid w:val="0"/>
        </w:rPr>
        <w:t xml:space="preserve"> sufficiently</w:t>
      </w:r>
      <w:r w:rsidR="00453DE7" w:rsidRPr="00393C29">
        <w:rPr>
          <w:rFonts w:eastAsia="Times New Roman"/>
          <w:snapToGrid w:val="0"/>
        </w:rPr>
        <w:t xml:space="preserve"> representative of that seen in Australia</w:t>
      </w:r>
      <w:r w:rsidR="00453DE7" w:rsidRPr="00393C29">
        <w:rPr>
          <w:snapToGrid w:val="0"/>
        </w:rPr>
        <w:t>.</w:t>
      </w:r>
      <w:r w:rsidR="00BF091F">
        <w:rPr>
          <w:snapToGrid w:val="0"/>
        </w:rPr>
        <w:t xml:space="preserve"> </w:t>
      </w:r>
      <w:r w:rsidR="00EA43C8">
        <w:rPr>
          <w:snapToGrid w:val="0"/>
        </w:rPr>
        <w:t>While t</w:t>
      </w:r>
      <w:r w:rsidR="0092375A">
        <w:rPr>
          <w:snapToGrid w:val="0"/>
        </w:rPr>
        <w:t>he PBAC noted that patients</w:t>
      </w:r>
      <w:r w:rsidR="000A2538">
        <w:rPr>
          <w:snapToGrid w:val="0"/>
        </w:rPr>
        <w:t xml:space="preserve"> assigned to the teriparatide arm in the ACTIVE trial received</w:t>
      </w:r>
      <w:r w:rsidR="00964586">
        <w:rPr>
          <w:snapToGrid w:val="0"/>
        </w:rPr>
        <w:t xml:space="preserve"> open-label </w:t>
      </w:r>
      <w:r w:rsidR="000A2538">
        <w:rPr>
          <w:snapToGrid w:val="0"/>
        </w:rPr>
        <w:t xml:space="preserve">treatment, </w:t>
      </w:r>
      <w:r w:rsidR="00EA43C8">
        <w:rPr>
          <w:snapToGrid w:val="0"/>
        </w:rPr>
        <w:t>the Committee nevertheless</w:t>
      </w:r>
      <w:r w:rsidR="00BF091F">
        <w:rPr>
          <w:snapToGrid w:val="0"/>
        </w:rPr>
        <w:t xml:space="preserve"> considered that</w:t>
      </w:r>
      <w:r w:rsidR="002B0066">
        <w:rPr>
          <w:snapToGrid w:val="0"/>
        </w:rPr>
        <w:t xml:space="preserve"> </w:t>
      </w:r>
      <w:r w:rsidR="007F104A">
        <w:rPr>
          <w:snapToGrid w:val="0"/>
        </w:rPr>
        <w:t xml:space="preserve">the data suggested that </w:t>
      </w:r>
      <w:r w:rsidR="00332DD2">
        <w:rPr>
          <w:snapToGrid w:val="0"/>
        </w:rPr>
        <w:t xml:space="preserve">abaloparatide was likely </w:t>
      </w:r>
      <w:r w:rsidR="0052275D">
        <w:rPr>
          <w:snapToGrid w:val="0"/>
        </w:rPr>
        <w:t xml:space="preserve">to be </w:t>
      </w:r>
      <w:r w:rsidR="00332DD2">
        <w:rPr>
          <w:snapToGrid w:val="0"/>
        </w:rPr>
        <w:t>non-inferior to teriparatide.</w:t>
      </w:r>
      <w:r w:rsidR="00615AB3">
        <w:rPr>
          <w:snapToGrid w:val="0"/>
        </w:rPr>
        <w:t xml:space="preserve"> </w:t>
      </w:r>
    </w:p>
    <w:p w14:paraId="127D61F6" w14:textId="486F7446" w:rsidR="00626C85" w:rsidRPr="000D45AD" w:rsidRDefault="005F7588" w:rsidP="000D45AD">
      <w:pPr>
        <w:pStyle w:val="3-BodyText"/>
        <w:rPr>
          <w:iCs/>
        </w:rPr>
      </w:pPr>
      <w:r w:rsidRPr="00AA0DC3">
        <w:t xml:space="preserve">The submission described </w:t>
      </w:r>
      <w:r w:rsidR="00150974" w:rsidRPr="00AA0DC3">
        <w:t>abaloparatide</w:t>
      </w:r>
      <w:r w:rsidRPr="00AA0DC3">
        <w:t xml:space="preserve"> as superior in term</w:t>
      </w:r>
      <w:r w:rsidR="00156F8F" w:rsidRPr="00AA0DC3">
        <w:t>s</w:t>
      </w:r>
      <w:r w:rsidRPr="00AA0DC3">
        <w:t xml:space="preserve"> of safety compared to </w:t>
      </w:r>
      <w:r w:rsidR="00150974" w:rsidRPr="00AA0DC3">
        <w:t xml:space="preserve">romosozumab. </w:t>
      </w:r>
      <w:r w:rsidR="00AF038F" w:rsidRPr="00AA0DC3">
        <w:t>The evaluation</w:t>
      </w:r>
      <w:r w:rsidR="00F96C3C" w:rsidRPr="00AA0DC3">
        <w:t xml:space="preserve"> and the ESC</w:t>
      </w:r>
      <w:r w:rsidR="00AF038F" w:rsidRPr="00AA0DC3">
        <w:t xml:space="preserve"> considered that </w:t>
      </w:r>
      <w:r w:rsidR="00AF038F" w:rsidRPr="00AA0DC3">
        <w:rPr>
          <w:iCs/>
        </w:rPr>
        <w:t>t</w:t>
      </w:r>
      <w:r w:rsidRPr="00AA0DC3">
        <w:rPr>
          <w:iCs/>
        </w:rPr>
        <w:t xml:space="preserve">his claim was </w:t>
      </w:r>
      <w:r w:rsidR="007C70FF" w:rsidRPr="00AA0DC3">
        <w:rPr>
          <w:iCs/>
        </w:rPr>
        <w:t xml:space="preserve">not </w:t>
      </w:r>
      <w:r w:rsidRPr="00AA0DC3">
        <w:rPr>
          <w:iCs/>
        </w:rPr>
        <w:t>adequately supported</w:t>
      </w:r>
      <w:r w:rsidR="0001426B" w:rsidRPr="00AA0DC3">
        <w:rPr>
          <w:iCs/>
        </w:rPr>
        <w:t>, as it</w:t>
      </w:r>
      <w:r w:rsidR="00150974" w:rsidRPr="00AA0DC3">
        <w:rPr>
          <w:iCs/>
        </w:rPr>
        <w:t xml:space="preserve"> </w:t>
      </w:r>
      <w:r w:rsidR="00227057" w:rsidRPr="00AA0DC3">
        <w:rPr>
          <w:bCs/>
          <w:iCs/>
        </w:rPr>
        <w:t>was not based on comparative evidence from the key trial</w:t>
      </w:r>
      <w:r w:rsidR="000F2E89" w:rsidRPr="00AA0DC3">
        <w:rPr>
          <w:bCs/>
          <w:iCs/>
        </w:rPr>
        <w:t>s</w:t>
      </w:r>
      <w:r w:rsidR="00227057" w:rsidRPr="00AA0DC3">
        <w:rPr>
          <w:bCs/>
          <w:iCs/>
        </w:rPr>
        <w:t xml:space="preserve"> or the indirect comparison</w:t>
      </w:r>
      <w:r w:rsidR="002D0430" w:rsidRPr="00AA0DC3">
        <w:rPr>
          <w:bCs/>
          <w:iCs/>
        </w:rPr>
        <w:t xml:space="preserve">, but </w:t>
      </w:r>
      <w:r w:rsidR="005E4601" w:rsidRPr="00AA0DC3">
        <w:t>on data from the ACTIVE trial compared to pooled data from the romosozumab Product Information</w:t>
      </w:r>
      <w:r w:rsidR="00227057" w:rsidRPr="00AA0DC3">
        <w:rPr>
          <w:bCs/>
          <w:iCs/>
        </w:rPr>
        <w:t xml:space="preserve">. </w:t>
      </w:r>
      <w:r w:rsidR="00150974" w:rsidRPr="00AA0DC3">
        <w:rPr>
          <w:iCs/>
        </w:rPr>
        <w:t xml:space="preserve">Due to the different mechanisms of action of the two drugs, abaloparatide and romosozumab have different TEAE profiles. </w:t>
      </w:r>
      <w:r w:rsidR="00227057" w:rsidRPr="00AA0DC3">
        <w:rPr>
          <w:iCs/>
        </w:rPr>
        <w:t>T</w:t>
      </w:r>
      <w:r w:rsidR="00150974" w:rsidRPr="00AA0DC3">
        <w:rPr>
          <w:iCs/>
        </w:rPr>
        <w:t>he</w:t>
      </w:r>
      <w:r w:rsidR="001661E5" w:rsidRPr="00AA0DC3">
        <w:rPr>
          <w:iCs/>
        </w:rPr>
        <w:t xml:space="preserve"> evaluation noted that</w:t>
      </w:r>
      <w:r w:rsidR="00150974" w:rsidRPr="00AA0DC3">
        <w:rPr>
          <w:iCs/>
        </w:rPr>
        <w:t xml:space="preserve"> TEAEs associated with abaloparatide treatment may cause disturbance in cardiac rhythm</w:t>
      </w:r>
      <w:r w:rsidR="00150974" w:rsidRPr="00AA0DC3">
        <w:rPr>
          <w:rFonts w:ascii="Calibri" w:eastAsia="Times New Roman" w:hAnsi="Calibri" w:cs="Arial"/>
          <w:iCs/>
          <w:szCs w:val="24"/>
        </w:rPr>
        <w:t xml:space="preserve"> </w:t>
      </w:r>
      <w:r w:rsidR="00150974" w:rsidRPr="00AA0DC3">
        <w:rPr>
          <w:iCs/>
        </w:rPr>
        <w:t>and blood pressure instability, as well as dizziness, fatigue, and weakness</w:t>
      </w:r>
      <w:r w:rsidR="001661E5" w:rsidRPr="00AA0DC3">
        <w:rPr>
          <w:iCs/>
        </w:rPr>
        <w:t>, and</w:t>
      </w:r>
      <w:r w:rsidR="00895B79" w:rsidRPr="00AA0DC3">
        <w:rPr>
          <w:iCs/>
        </w:rPr>
        <w:t xml:space="preserve"> considered that</w:t>
      </w:r>
      <w:r w:rsidR="00150974" w:rsidRPr="00AA0DC3">
        <w:rPr>
          <w:iCs/>
        </w:rPr>
        <w:t xml:space="preserve"> occurrence of these AEs may increase the risk for falls in this vulnerable population.</w:t>
      </w:r>
      <w:r w:rsidR="00E145E2" w:rsidRPr="00AA0DC3">
        <w:rPr>
          <w:iCs/>
        </w:rPr>
        <w:t xml:space="preserve"> However, the PBAC </w:t>
      </w:r>
      <w:r w:rsidR="002B6E88" w:rsidRPr="00AA0DC3">
        <w:rPr>
          <w:iCs/>
        </w:rPr>
        <w:t>considered that the superiority claim</w:t>
      </w:r>
      <w:r w:rsidR="0090090D" w:rsidRPr="00AA0DC3">
        <w:rPr>
          <w:iCs/>
        </w:rPr>
        <w:t xml:space="preserve"> could be</w:t>
      </w:r>
      <w:r w:rsidR="002B6E88" w:rsidRPr="00AA0DC3">
        <w:rPr>
          <w:iCs/>
        </w:rPr>
        <w:t xml:space="preserve"> reasonabl</w:t>
      </w:r>
      <w:r w:rsidR="0090090D" w:rsidRPr="00AA0DC3">
        <w:rPr>
          <w:iCs/>
        </w:rPr>
        <w:t>y applied to</w:t>
      </w:r>
      <w:r w:rsidR="000D45AD">
        <w:rPr>
          <w:iCs/>
        </w:rPr>
        <w:t xml:space="preserve"> </w:t>
      </w:r>
      <w:r w:rsidR="000D45AD" w:rsidRPr="00AA0DC3">
        <w:t xml:space="preserve">CV-related adverse events, as </w:t>
      </w:r>
      <w:r w:rsidR="000D45AD">
        <w:t>CV-events</w:t>
      </w:r>
      <w:r w:rsidR="000D45AD" w:rsidRPr="00AA0DC3">
        <w:t xml:space="preserve"> are well documented with romosozumab and there is no CV safety concern with abaloparatide. </w:t>
      </w:r>
      <w:r w:rsidR="00B651E8">
        <w:rPr>
          <w:rFonts w:eastAsia="Times New Roman"/>
        </w:rPr>
        <w:t>F</w:t>
      </w:r>
      <w:r w:rsidR="00B651E8" w:rsidRPr="00AA0DC3">
        <w:rPr>
          <w:rFonts w:eastAsia="Times New Roman"/>
        </w:rPr>
        <w:t xml:space="preserve">or </w:t>
      </w:r>
      <w:r w:rsidR="00B651E8">
        <w:t>non-CV-related safety</w:t>
      </w:r>
      <w:r w:rsidR="000D45AD" w:rsidRPr="00AA0DC3">
        <w:t>, the PBAC considered that abaloparatide is</w:t>
      </w:r>
      <w:r w:rsidR="000D45AD" w:rsidRPr="00AA0DC3">
        <w:rPr>
          <w:rFonts w:eastAsia="Times New Roman"/>
        </w:rPr>
        <w:t xml:space="preserve"> non-inferior</w:t>
      </w:r>
      <w:r w:rsidR="000D45AD" w:rsidRPr="00AA0DC3">
        <w:t xml:space="preserve"> to romosozumab</w:t>
      </w:r>
      <w:r w:rsidR="000D45AD" w:rsidRPr="00AA0DC3">
        <w:rPr>
          <w:rFonts w:eastAsia="Times New Roman"/>
        </w:rPr>
        <w:t xml:space="preserve"> </w:t>
      </w:r>
      <w:r w:rsidR="000D45AD" w:rsidRPr="00AA0DC3">
        <w:t>based on data presented in the submission.</w:t>
      </w:r>
      <w:r w:rsidR="00F85676">
        <w:t xml:space="preserve"> The PBAC further considered that based on the results of the ACTIVE trial that abaloparatide is likely </w:t>
      </w:r>
      <w:r w:rsidR="0052275D">
        <w:t xml:space="preserve">to be </w:t>
      </w:r>
      <w:r w:rsidR="00F85676">
        <w:t>non-inferior to teriparatide with respect to safety.</w:t>
      </w:r>
    </w:p>
    <w:p w14:paraId="74A1172E" w14:textId="128C170E" w:rsidR="00B60939" w:rsidRPr="00D86D87" w:rsidRDefault="00B60939" w:rsidP="00E9094A">
      <w:pPr>
        <w:pStyle w:val="4-SubsectionHeading"/>
      </w:pPr>
      <w:bookmarkStart w:id="46" w:name="_Toc22897645"/>
      <w:bookmarkStart w:id="47" w:name="_Toc198219108"/>
      <w:r w:rsidRPr="00D86D87">
        <w:t>Economic analysis</w:t>
      </w:r>
      <w:bookmarkEnd w:id="46"/>
      <w:bookmarkEnd w:id="47"/>
      <w:r w:rsidR="00491B3A" w:rsidRPr="00D86D87">
        <w:t xml:space="preserve"> </w:t>
      </w:r>
    </w:p>
    <w:p w14:paraId="192916AA" w14:textId="240C3AB1" w:rsidR="006F6C8B" w:rsidRPr="00F25E15" w:rsidRDefault="006F6C8B" w:rsidP="006F6C8B">
      <w:pPr>
        <w:pStyle w:val="3-BodyText"/>
      </w:pPr>
      <w:bookmarkStart w:id="48" w:name="_Toc22897648"/>
      <w:r>
        <w:t>The submission presented a CMA to support the listing of abaloparatide for the first</w:t>
      </w:r>
      <w:r w:rsidR="009C3B6C">
        <w:t>-</w:t>
      </w:r>
      <w:r>
        <w:t xml:space="preserve">line treatment of severe osteoporosis. This was based on the claim of non-inferior effectiveness and superior safety compared to romosozumab based on the indirect comparison of the ACTIVE and FRAME trials. </w:t>
      </w:r>
      <w:r w:rsidRPr="00F25E15">
        <w:t xml:space="preserve">Noting issues regarding the transitivity of the ACTIVE and FRAME </w:t>
      </w:r>
      <w:r w:rsidRPr="00134998">
        <w:t>trials</w:t>
      </w:r>
      <w:r w:rsidR="00861F54" w:rsidRPr="00134998">
        <w:t xml:space="preserve"> </w:t>
      </w:r>
      <w:r w:rsidR="00861F54" w:rsidRPr="001D758C">
        <w:t xml:space="preserve">(paragraph </w:t>
      </w:r>
      <w:r w:rsidR="00861F54" w:rsidRPr="001D758C">
        <w:fldChar w:fldCharType="begin"/>
      </w:r>
      <w:r w:rsidR="00861F54" w:rsidRPr="001D758C">
        <w:instrText xml:space="preserve"> REF _Ref201243462 \r \h  \* MERGEFORMAT </w:instrText>
      </w:r>
      <w:r w:rsidR="00861F54" w:rsidRPr="001D758C">
        <w:fldChar w:fldCharType="separate"/>
      </w:r>
      <w:r w:rsidR="005B625A">
        <w:t>6.38</w:t>
      </w:r>
      <w:r w:rsidR="00861F54" w:rsidRPr="001D758C">
        <w:fldChar w:fldCharType="end"/>
      </w:r>
      <w:r w:rsidR="00861F54" w:rsidRPr="001D758C">
        <w:t>)</w:t>
      </w:r>
      <w:r w:rsidRPr="001D758C">
        <w:t>,</w:t>
      </w:r>
      <w:r w:rsidRPr="00134998">
        <w:t xml:space="preserve"> the presentation</w:t>
      </w:r>
      <w:r w:rsidRPr="00F25E15">
        <w:t xml:space="preserve"> of a CMA is reasonable only if the PBAC accept the claim of non-inferior effectiveness.</w:t>
      </w:r>
    </w:p>
    <w:p w14:paraId="58572563" w14:textId="66F762D4" w:rsidR="006F6C8B" w:rsidRPr="008B4632" w:rsidRDefault="006F6C8B" w:rsidP="006F6C8B">
      <w:pPr>
        <w:pStyle w:val="3-BodyText"/>
      </w:pPr>
      <w:r w:rsidRPr="00AE7B86">
        <w:t>The key components of the approach are summarised in</w:t>
      </w:r>
      <w:r>
        <w:t xml:space="preserve"> </w:t>
      </w:r>
      <w:r>
        <w:fldChar w:fldCharType="begin"/>
      </w:r>
      <w:r>
        <w:instrText xml:space="preserve"> REF _Ref195277495 \h </w:instrText>
      </w:r>
      <w:r>
        <w:fldChar w:fldCharType="separate"/>
      </w:r>
      <w:r w:rsidR="005B625A" w:rsidRPr="00D86D87">
        <w:t xml:space="preserve">Table </w:t>
      </w:r>
      <w:r w:rsidR="005B625A">
        <w:rPr>
          <w:noProof/>
        </w:rPr>
        <w:t>9</w:t>
      </w:r>
      <w:r>
        <w:fldChar w:fldCharType="end"/>
      </w:r>
      <w:r w:rsidRPr="00AE7B86">
        <w:t>.</w:t>
      </w:r>
    </w:p>
    <w:p w14:paraId="2242388F" w14:textId="29CDB01C" w:rsidR="006F6C8B" w:rsidRPr="00D86D87" w:rsidRDefault="006F6C8B" w:rsidP="006F6C8B">
      <w:pPr>
        <w:pStyle w:val="TableFigureHeading"/>
        <w:rPr>
          <w:rStyle w:val="CommentReference"/>
          <w:b/>
          <w:szCs w:val="24"/>
        </w:rPr>
      </w:pPr>
      <w:bookmarkStart w:id="49" w:name="_Ref195277495"/>
      <w:r w:rsidRPr="00D86D87">
        <w:t xml:space="preserve">Table </w:t>
      </w:r>
      <w:r w:rsidR="001C1C72">
        <w:fldChar w:fldCharType="begin"/>
      </w:r>
      <w:r w:rsidR="001C1C72">
        <w:instrText xml:space="preserve"> SEQ Table \* ARABIC </w:instrText>
      </w:r>
      <w:r w:rsidR="001C1C72">
        <w:fldChar w:fldCharType="separate"/>
      </w:r>
      <w:r w:rsidR="005B625A">
        <w:rPr>
          <w:noProof/>
        </w:rPr>
        <w:t>9</w:t>
      </w:r>
      <w:r w:rsidR="001C1C72">
        <w:rPr>
          <w:noProof/>
        </w:rPr>
        <w:fldChar w:fldCharType="end"/>
      </w:r>
      <w:bookmarkEnd w:id="49"/>
      <w:r w:rsidRPr="00D86D87">
        <w:t>:</w:t>
      </w:r>
      <w:r w:rsidRPr="00D86D87">
        <w:rPr>
          <w:rStyle w:val="CommentReference"/>
          <w:b/>
          <w:szCs w:val="24"/>
        </w:rPr>
        <w:t xml:space="preserve"> </w:t>
      </w:r>
      <w:r w:rsidRPr="00DF421D">
        <w:rPr>
          <w:rStyle w:val="CommentReference"/>
          <w:b/>
          <w:szCs w:val="24"/>
        </w:rPr>
        <w:t>Key components and assumptions of the cost-minimisation approach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Key components and assumptions of the cost-minimisation approach"/>
      </w:tblPr>
      <w:tblGrid>
        <w:gridCol w:w="1805"/>
        <w:gridCol w:w="7212"/>
      </w:tblGrid>
      <w:tr w:rsidR="006F6C8B" w:rsidRPr="00D86D87" w14:paraId="72621FE6" w14:textId="77777777" w:rsidTr="00491C88">
        <w:tc>
          <w:tcPr>
            <w:tcW w:w="1001" w:type="pct"/>
            <w:vAlign w:val="center"/>
          </w:tcPr>
          <w:p w14:paraId="61808782" w14:textId="77777777" w:rsidR="006F6C8B" w:rsidRPr="00D86D87" w:rsidRDefault="006F6C8B">
            <w:pPr>
              <w:pStyle w:val="In-tableHeading"/>
              <w:rPr>
                <w:lang w:val="en-AU"/>
              </w:rPr>
            </w:pPr>
            <w:r w:rsidRPr="00D86D87">
              <w:rPr>
                <w:lang w:val="en-AU"/>
              </w:rPr>
              <w:t>Component</w:t>
            </w:r>
          </w:p>
        </w:tc>
        <w:tc>
          <w:tcPr>
            <w:tcW w:w="3999" w:type="pct"/>
            <w:vAlign w:val="center"/>
          </w:tcPr>
          <w:p w14:paraId="1ADB83F5" w14:textId="77777777" w:rsidR="006F6C8B" w:rsidRPr="00D86D87" w:rsidRDefault="006F6C8B">
            <w:pPr>
              <w:pStyle w:val="In-tableHeading"/>
              <w:rPr>
                <w:lang w:val="en-AU"/>
              </w:rPr>
            </w:pPr>
            <w:r w:rsidRPr="00D86D87">
              <w:rPr>
                <w:lang w:val="en-AU"/>
              </w:rPr>
              <w:t>Claim or assumption</w:t>
            </w:r>
          </w:p>
        </w:tc>
      </w:tr>
      <w:tr w:rsidR="006F6C8B" w:rsidRPr="00D86D87" w14:paraId="5AA78D53" w14:textId="77777777" w:rsidTr="00491C88">
        <w:tc>
          <w:tcPr>
            <w:tcW w:w="1001" w:type="pct"/>
            <w:vAlign w:val="center"/>
          </w:tcPr>
          <w:p w14:paraId="396EA8DA" w14:textId="77777777" w:rsidR="006F6C8B" w:rsidRPr="00D86D87" w:rsidRDefault="006F6C8B">
            <w:pPr>
              <w:pStyle w:val="TableText0"/>
            </w:pPr>
            <w:r w:rsidRPr="00D86D87">
              <w:t>Therapeutic claim: effectiveness</w:t>
            </w:r>
          </w:p>
        </w:tc>
        <w:tc>
          <w:tcPr>
            <w:tcW w:w="3999" w:type="pct"/>
            <w:vAlign w:val="center"/>
          </w:tcPr>
          <w:p w14:paraId="6550750E" w14:textId="4799AB02" w:rsidR="006F6C8B" w:rsidRPr="00D86D87" w:rsidRDefault="006F6C8B">
            <w:pPr>
              <w:pStyle w:val="TableText0"/>
            </w:pPr>
            <w:r w:rsidRPr="00D86D87">
              <w:t>Based on</w:t>
            </w:r>
            <w:r w:rsidR="004260DD">
              <w:t xml:space="preserve"> </w:t>
            </w:r>
            <w:r w:rsidR="004260DD" w:rsidRPr="00D70831">
              <w:t>the clinical</w:t>
            </w:r>
            <w:r w:rsidRPr="00D86D87">
              <w:t xml:space="preserve"> evidence </w:t>
            </w:r>
            <w:r w:rsidRPr="004260DD">
              <w:t>presented, comparative</w:t>
            </w:r>
            <w:r>
              <w:t xml:space="preserve"> </w:t>
            </w:r>
            <w:r w:rsidRPr="00D86D87">
              <w:t>effectiveness is assumed to be non-inferior</w:t>
            </w:r>
            <w:r>
              <w:t xml:space="preserve">. </w:t>
            </w:r>
            <w:r w:rsidRPr="009F3804">
              <w:t>Given the differences between key abaloparatide (ACTIVE) and romosozumab (FRAME) trials, this claim may not be adequately supported.</w:t>
            </w:r>
          </w:p>
        </w:tc>
      </w:tr>
      <w:tr w:rsidR="006F6C8B" w:rsidRPr="00D86D87" w14:paraId="7468DBF7" w14:textId="77777777" w:rsidTr="00491C88">
        <w:tc>
          <w:tcPr>
            <w:tcW w:w="1001" w:type="pct"/>
            <w:vAlign w:val="center"/>
          </w:tcPr>
          <w:p w14:paraId="68E590ED" w14:textId="77777777" w:rsidR="006F6C8B" w:rsidRPr="00D86D87" w:rsidRDefault="006F6C8B">
            <w:pPr>
              <w:pStyle w:val="TableText0"/>
            </w:pPr>
            <w:r w:rsidRPr="00D86D87">
              <w:t>Therapeutic claim: safety</w:t>
            </w:r>
          </w:p>
        </w:tc>
        <w:tc>
          <w:tcPr>
            <w:tcW w:w="3999" w:type="pct"/>
            <w:vAlign w:val="center"/>
          </w:tcPr>
          <w:p w14:paraId="49F5C3E4" w14:textId="30595E7C" w:rsidR="006F6C8B" w:rsidRPr="00D86D87" w:rsidRDefault="006F6C8B">
            <w:pPr>
              <w:pStyle w:val="TableText0"/>
            </w:pPr>
            <w:r w:rsidRPr="00D86D87">
              <w:t>Based on</w:t>
            </w:r>
            <w:r w:rsidR="00D73A9E">
              <w:t xml:space="preserve"> </w:t>
            </w:r>
            <w:r w:rsidR="00D73A9E" w:rsidRPr="00D70831">
              <w:t>the clinical</w:t>
            </w:r>
            <w:r w:rsidRPr="00D70831">
              <w:t xml:space="preserve"> </w:t>
            </w:r>
            <w:r w:rsidRPr="00D86D87">
              <w:t xml:space="preserve">evidence </w:t>
            </w:r>
            <w:r w:rsidRPr="00D73A9E">
              <w:t>presented, safety</w:t>
            </w:r>
            <w:r w:rsidRPr="00D86D87">
              <w:t xml:space="preserve"> is assumed to be superior</w:t>
            </w:r>
            <w:r>
              <w:t xml:space="preserve">. </w:t>
            </w:r>
            <w:r w:rsidRPr="009F3804">
              <w:t>This claim was not based on comparative evidence. Due to the different mechanisms of action of the two drugs, abaloparatide and romosozumab have different TEAE profiles.</w:t>
            </w:r>
          </w:p>
        </w:tc>
      </w:tr>
      <w:tr w:rsidR="006F6C8B" w:rsidRPr="00D86D87" w14:paraId="26FF1E92" w14:textId="77777777" w:rsidTr="00491C88">
        <w:tc>
          <w:tcPr>
            <w:tcW w:w="1001" w:type="pct"/>
            <w:vAlign w:val="center"/>
          </w:tcPr>
          <w:p w14:paraId="75CB8046" w14:textId="77777777" w:rsidR="006F6C8B" w:rsidRPr="00D86D87" w:rsidRDefault="006F6C8B">
            <w:pPr>
              <w:pStyle w:val="TableText0"/>
            </w:pPr>
            <w:r w:rsidRPr="00D86D87">
              <w:t>Evidence base</w:t>
            </w:r>
          </w:p>
        </w:tc>
        <w:tc>
          <w:tcPr>
            <w:tcW w:w="3999" w:type="pct"/>
            <w:vAlign w:val="center"/>
          </w:tcPr>
          <w:p w14:paraId="1B04ECDA" w14:textId="77777777" w:rsidR="006F6C8B" w:rsidRPr="00D86D87" w:rsidRDefault="006F6C8B">
            <w:pPr>
              <w:pStyle w:val="TableText0"/>
            </w:pPr>
            <w:r>
              <w:t>Ind</w:t>
            </w:r>
            <w:r w:rsidRPr="00D86D87">
              <w:t xml:space="preserve">irect comparison of </w:t>
            </w:r>
            <w:r>
              <w:t>abaloparatide (ACTIVE)</w:t>
            </w:r>
            <w:r w:rsidRPr="00D86D87">
              <w:t xml:space="preserve"> and </w:t>
            </w:r>
            <w:r>
              <w:t>romosozumab (FRAME)</w:t>
            </w:r>
          </w:p>
        </w:tc>
      </w:tr>
      <w:tr w:rsidR="006F6C8B" w:rsidRPr="00D86D87" w14:paraId="1D436B81" w14:textId="77777777" w:rsidTr="00491C88">
        <w:tc>
          <w:tcPr>
            <w:tcW w:w="1001" w:type="pct"/>
            <w:vAlign w:val="center"/>
          </w:tcPr>
          <w:p w14:paraId="2444836F" w14:textId="77777777" w:rsidR="006F6C8B" w:rsidRPr="00D86D87" w:rsidRDefault="006F6C8B">
            <w:pPr>
              <w:pStyle w:val="TableText0"/>
            </w:pPr>
            <w:r w:rsidRPr="00D86D87">
              <w:t>Equi-effective doses</w:t>
            </w:r>
          </w:p>
        </w:tc>
        <w:tc>
          <w:tcPr>
            <w:tcW w:w="3999" w:type="pct"/>
            <w:vAlign w:val="center"/>
          </w:tcPr>
          <w:p w14:paraId="7372FC3B" w14:textId="1053D2AD" w:rsidR="006F6C8B" w:rsidRPr="00D86D87" w:rsidRDefault="006F6C8B">
            <w:pPr>
              <w:pStyle w:val="TableText0"/>
            </w:pPr>
            <w:r w:rsidRPr="00FD459C">
              <w:t>14.97 scripts</w:t>
            </w:r>
            <w:r>
              <w:t xml:space="preserve"> (30 × 80 mcg injections per script)</w:t>
            </w:r>
            <w:r w:rsidRPr="00FD459C">
              <w:t xml:space="preserve"> of abaloparatide 80</w:t>
            </w:r>
            <w:r>
              <w:t> </w:t>
            </w:r>
            <w:r w:rsidRPr="00FD459C">
              <w:t xml:space="preserve">mcg once daily over </w:t>
            </w:r>
            <w:r>
              <w:t xml:space="preserve">18 months </w:t>
            </w:r>
            <w:r w:rsidRPr="00FD459C">
              <w:t xml:space="preserve">of therapy = 10.8 scripts </w:t>
            </w:r>
            <w:r>
              <w:t xml:space="preserve">(2 × </w:t>
            </w:r>
            <w:r w:rsidRPr="00560E2B">
              <w:t>105</w:t>
            </w:r>
            <w:r>
              <w:t> </w:t>
            </w:r>
            <w:r w:rsidRPr="00560E2B">
              <w:t>mg/1.17</w:t>
            </w:r>
            <w:r>
              <w:t> </w:t>
            </w:r>
            <w:r w:rsidRPr="00560E2B">
              <w:t>mL injection</w:t>
            </w:r>
            <w:r>
              <w:t xml:space="preserve">s per script) </w:t>
            </w:r>
            <w:r w:rsidRPr="00FD459C">
              <w:t>of romosozumab 210</w:t>
            </w:r>
            <w:r>
              <w:t> </w:t>
            </w:r>
            <w:r w:rsidRPr="00FD459C">
              <w:t xml:space="preserve">mg once monthly over </w:t>
            </w:r>
            <w:r>
              <w:t xml:space="preserve">12 months </w:t>
            </w:r>
            <w:r w:rsidRPr="00FD459C">
              <w:t>of therapy</w:t>
            </w:r>
          </w:p>
        </w:tc>
      </w:tr>
      <w:tr w:rsidR="006F6C8B" w:rsidRPr="00D86D87" w14:paraId="2BFB6B13" w14:textId="77777777" w:rsidTr="00491C88">
        <w:tc>
          <w:tcPr>
            <w:tcW w:w="1001" w:type="pct"/>
            <w:vAlign w:val="center"/>
          </w:tcPr>
          <w:p w14:paraId="3E80084F" w14:textId="77777777" w:rsidR="006F6C8B" w:rsidRPr="00D86D87" w:rsidRDefault="006F6C8B">
            <w:pPr>
              <w:pStyle w:val="TableText0"/>
            </w:pPr>
            <w:r w:rsidRPr="00D86D87">
              <w:t>Direct medicine costs</w:t>
            </w:r>
          </w:p>
        </w:tc>
        <w:tc>
          <w:tcPr>
            <w:tcW w:w="3999" w:type="pct"/>
            <w:vAlign w:val="center"/>
          </w:tcPr>
          <w:p w14:paraId="50CB8D60" w14:textId="6871E5BA" w:rsidR="006F6C8B" w:rsidRPr="00D86D87" w:rsidRDefault="006F6C8B">
            <w:pPr>
              <w:pStyle w:val="TableText0"/>
            </w:pPr>
            <w:r>
              <w:t xml:space="preserve">The cost of abaloparatide is higher per patient per course to account for a reduction in attendances for administrations, anti-resorptive therapies and cardiovascular monitoring and </w:t>
            </w:r>
            <w:r w:rsidRPr="00D73A9E">
              <w:t>events.</w:t>
            </w:r>
          </w:p>
        </w:tc>
      </w:tr>
      <w:tr w:rsidR="006F6C8B" w:rsidRPr="00D86D87" w14:paraId="6B8E0361" w14:textId="77777777" w:rsidTr="00491C88">
        <w:tc>
          <w:tcPr>
            <w:tcW w:w="1001" w:type="pct"/>
            <w:vAlign w:val="center"/>
          </w:tcPr>
          <w:p w14:paraId="67479184" w14:textId="77777777" w:rsidR="006F6C8B" w:rsidRPr="00D86D87" w:rsidRDefault="006F6C8B">
            <w:pPr>
              <w:pStyle w:val="TableText0"/>
            </w:pPr>
            <w:r w:rsidRPr="00D86D87">
              <w:t>Other costs or cost offsets</w:t>
            </w:r>
          </w:p>
        </w:tc>
        <w:tc>
          <w:tcPr>
            <w:tcW w:w="3999" w:type="pct"/>
            <w:vAlign w:val="center"/>
          </w:tcPr>
          <w:p w14:paraId="3FA65815" w14:textId="77777777" w:rsidR="006F6C8B" w:rsidRPr="00D86D87" w:rsidRDefault="006F6C8B">
            <w:pPr>
              <w:pStyle w:val="TableText0"/>
            </w:pPr>
            <w:r>
              <w:t xml:space="preserve">A reduction in the use and cost of health professional attendances for administration, anti-resorptive therapies (to balance treatment period), cardiovascular monitoring and cardiovascular event management. </w:t>
            </w:r>
          </w:p>
        </w:tc>
      </w:tr>
    </w:tbl>
    <w:p w14:paraId="422493B4" w14:textId="72FFEE1D" w:rsidR="006F6C8B" w:rsidRPr="00F25E15" w:rsidRDefault="006F6C8B" w:rsidP="006F6C8B">
      <w:pPr>
        <w:pStyle w:val="TableFigureFooter"/>
      </w:pPr>
      <w:r w:rsidRPr="00F25E15">
        <w:t xml:space="preserve">Source: Constructed during the </w:t>
      </w:r>
      <w:r w:rsidRPr="00656D63">
        <w:t>evaluation.</w:t>
      </w:r>
    </w:p>
    <w:p w14:paraId="104336C9" w14:textId="77777777" w:rsidR="006F6C8B" w:rsidRPr="00D86D87" w:rsidRDefault="006F6C8B" w:rsidP="006F6C8B">
      <w:pPr>
        <w:pStyle w:val="TableFigureFooter"/>
      </w:pPr>
      <w:r>
        <w:t>TEAE = treatment-related adverse event.</w:t>
      </w:r>
    </w:p>
    <w:p w14:paraId="6278884F" w14:textId="77777777" w:rsidR="00577296" w:rsidRDefault="006F6C8B" w:rsidP="006F6C8B">
      <w:pPr>
        <w:pStyle w:val="3-BodyText"/>
      </w:pPr>
      <w:r>
        <w:t>The submission proposed the equi-effective doses as</w:t>
      </w:r>
      <w:r w:rsidR="00577296">
        <w:t>:</w:t>
      </w:r>
      <w:r>
        <w:t xml:space="preserve"> </w:t>
      </w:r>
    </w:p>
    <w:p w14:paraId="64DE2CED" w14:textId="0E1D06BB" w:rsidR="00577296" w:rsidRDefault="006F6C8B" w:rsidP="006E3B58">
      <w:pPr>
        <w:pStyle w:val="3-BodyText"/>
        <w:numPr>
          <w:ilvl w:val="0"/>
          <w:numId w:val="0"/>
        </w:numPr>
        <w:spacing w:before="0" w:after="0"/>
        <w:ind w:left="1440"/>
      </w:pPr>
      <w:r>
        <w:t>30 abaloparatide injections (80 mcg per injection)</w:t>
      </w:r>
      <w:r w:rsidR="0058254D">
        <w:t xml:space="preserve"> </w:t>
      </w:r>
      <w:r w:rsidR="0058254D" w:rsidRPr="00134998">
        <w:t>monthly</w:t>
      </w:r>
      <w:r>
        <w:t xml:space="preserve"> = </w:t>
      </w:r>
    </w:p>
    <w:p w14:paraId="45B08BDA" w14:textId="7136F83D" w:rsidR="002A26A6" w:rsidRDefault="006F6C8B" w:rsidP="006E3B58">
      <w:pPr>
        <w:pStyle w:val="3-BodyText"/>
        <w:numPr>
          <w:ilvl w:val="0"/>
          <w:numId w:val="0"/>
        </w:numPr>
        <w:ind w:left="1440"/>
      </w:pPr>
      <w:r>
        <w:t xml:space="preserve">2 romosozumab injections (105 mg/1.17 mL per injection) monthly. </w:t>
      </w:r>
    </w:p>
    <w:p w14:paraId="3D89310A" w14:textId="6210F861" w:rsidR="00E97854" w:rsidRDefault="006F6C8B" w:rsidP="002A26A6">
      <w:pPr>
        <w:pStyle w:val="3-BodyText"/>
        <w:numPr>
          <w:ilvl w:val="0"/>
          <w:numId w:val="0"/>
        </w:numPr>
        <w:ind w:left="720"/>
      </w:pPr>
      <w:r>
        <w:t>However, including duration of therapy, t</w:t>
      </w:r>
      <w:r w:rsidRPr="00D86D87">
        <w:t>he equi-effective doses were estimated</w:t>
      </w:r>
      <w:r w:rsidR="007E3259">
        <w:t xml:space="preserve"> by the evaluation</w:t>
      </w:r>
      <w:r w:rsidRPr="00D86D87">
        <w:t xml:space="preserve"> as</w:t>
      </w:r>
      <w:r w:rsidR="006E3B58">
        <w:t>:</w:t>
      </w:r>
      <w:r w:rsidRPr="00D86D87">
        <w:t xml:space="preserve"> </w:t>
      </w:r>
    </w:p>
    <w:p w14:paraId="2D85AF76" w14:textId="07B1C532" w:rsidR="00E97854" w:rsidRPr="00C27745" w:rsidRDefault="00145539" w:rsidP="00E97854">
      <w:pPr>
        <w:pStyle w:val="3-BodyText"/>
        <w:numPr>
          <w:ilvl w:val="0"/>
          <w:numId w:val="0"/>
        </w:numPr>
        <w:spacing w:before="0" w:after="0"/>
        <w:ind w:left="1440"/>
      </w:pPr>
      <w:r>
        <w:t>A</w:t>
      </w:r>
      <w:r w:rsidR="006F6C8B">
        <w:t>baloparatide</w:t>
      </w:r>
      <w:r w:rsidR="006F6C8B" w:rsidRPr="00D86D87">
        <w:t xml:space="preserve"> </w:t>
      </w:r>
      <w:r w:rsidR="006F6C8B">
        <w:t>80 mcg injection</w:t>
      </w:r>
      <w:r w:rsidR="00A76947">
        <w:t xml:space="preserve"> </w:t>
      </w:r>
      <w:r w:rsidR="00A76947" w:rsidRPr="00C27745">
        <w:t xml:space="preserve">per </w:t>
      </w:r>
      <w:r w:rsidR="007E3259" w:rsidRPr="00C27745">
        <w:t xml:space="preserve">day </w:t>
      </w:r>
      <w:r w:rsidR="00B10CA7" w:rsidRPr="00C27745">
        <w:t>for 14.97</w:t>
      </w:r>
      <w:r w:rsidR="006F6C8B" w:rsidRPr="00C27745">
        <w:t xml:space="preserve"> </w:t>
      </w:r>
      <w:r w:rsidR="008B16E0" w:rsidRPr="00C27745">
        <w:t>month</w:t>
      </w:r>
      <w:r w:rsidR="00B10CA7" w:rsidRPr="00C27745">
        <w:t>s</w:t>
      </w:r>
      <w:r w:rsidR="006F6C8B" w:rsidRPr="00C27745">
        <w:t xml:space="preserve"> = </w:t>
      </w:r>
    </w:p>
    <w:p w14:paraId="79E42D90" w14:textId="7BFF3D01" w:rsidR="004E0639" w:rsidRPr="00C27745" w:rsidRDefault="00145539" w:rsidP="00E97854">
      <w:pPr>
        <w:pStyle w:val="3-BodyText"/>
        <w:numPr>
          <w:ilvl w:val="0"/>
          <w:numId w:val="0"/>
        </w:numPr>
        <w:ind w:left="1440"/>
      </w:pPr>
      <w:r w:rsidRPr="00C27745">
        <w:t>R</w:t>
      </w:r>
      <w:r w:rsidR="006F6C8B" w:rsidRPr="00C27745">
        <w:t xml:space="preserve">omosozumab 2 × 105 mg/1.17 mL injections per </w:t>
      </w:r>
      <w:r w:rsidR="008B16E0" w:rsidRPr="00C27745">
        <w:t>month</w:t>
      </w:r>
      <w:r w:rsidR="00CC64B3" w:rsidRPr="00C27745">
        <w:t xml:space="preserve"> for </w:t>
      </w:r>
      <w:r w:rsidR="008F12EA" w:rsidRPr="00C27745">
        <w:t>10.8</w:t>
      </w:r>
      <w:r w:rsidR="006F6C8B" w:rsidRPr="00C27745">
        <w:t xml:space="preserve"> months. </w:t>
      </w:r>
    </w:p>
    <w:p w14:paraId="7D99810D" w14:textId="4F26975C" w:rsidR="006F6C8B" w:rsidRPr="00F25E15" w:rsidRDefault="006F6C8B" w:rsidP="00E02273">
      <w:pPr>
        <w:pStyle w:val="3-BodyText"/>
      </w:pPr>
      <w:bookmarkStart w:id="50" w:name="_Ref203241442"/>
      <w:r w:rsidRPr="00C27745">
        <w:rPr>
          <w:snapToGrid w:val="0"/>
          <w:lang w:eastAsia="en-US"/>
        </w:rPr>
        <w:t xml:space="preserve">The </w:t>
      </w:r>
      <w:r w:rsidR="00FC21DA" w:rsidRPr="00C27745">
        <w:rPr>
          <w:snapToGrid w:val="0"/>
          <w:lang w:eastAsia="en-US"/>
        </w:rPr>
        <w:t>duration of therapy</w:t>
      </w:r>
      <w:r w:rsidRPr="00C27745">
        <w:rPr>
          <w:snapToGrid w:val="0"/>
          <w:lang w:eastAsia="en-US"/>
        </w:rPr>
        <w:t xml:space="preserve"> of abaloparatide</w:t>
      </w:r>
      <w:r w:rsidR="00DB633E" w:rsidRPr="00C27745">
        <w:rPr>
          <w:snapToGrid w:val="0"/>
          <w:lang w:eastAsia="en-US"/>
        </w:rPr>
        <w:t xml:space="preserve"> in the submission</w:t>
      </w:r>
      <w:r w:rsidRPr="00C27745">
        <w:rPr>
          <w:snapToGrid w:val="0"/>
          <w:lang w:eastAsia="en-US"/>
        </w:rPr>
        <w:t xml:space="preserve"> was based on the mean exposure to abaloparatide treatment observed in the ACTIVE trial (14.97 months</w:t>
      </w:r>
      <w:r>
        <w:rPr>
          <w:snapToGrid w:val="0"/>
          <w:lang w:eastAsia="en-US"/>
        </w:rPr>
        <w:t xml:space="preserve">). </w:t>
      </w:r>
      <w:r w:rsidRPr="00F25E15">
        <w:rPr>
          <w:snapToGrid w:val="0"/>
          <w:lang w:eastAsia="en-US"/>
        </w:rPr>
        <w:t xml:space="preserve">While this accounts for the total time on treatment, </w:t>
      </w:r>
      <w:r w:rsidR="002565DB">
        <w:rPr>
          <w:snapToGrid w:val="0"/>
          <w:lang w:eastAsia="en-US"/>
        </w:rPr>
        <w:t xml:space="preserve">the evaluation noted that </w:t>
      </w:r>
      <w:r w:rsidRPr="00F25E15">
        <w:rPr>
          <w:snapToGrid w:val="0"/>
          <w:lang w:eastAsia="en-US"/>
        </w:rPr>
        <w:t xml:space="preserve">it does not account for dose interruptions or reduced compliance to treatment. Compliance in the trial was high (97.8%), though is likely to be further reduced in practice. Based on the mean number of doses administered of 439.4, the number of scripts over 18 months was equal to 14.65. </w:t>
      </w:r>
      <w:r>
        <w:t xml:space="preserve">For romosozumab, the submission estimated the average number of scripts from the mean number of doses administered in the FRAME trial (10.8 doses over 12 months) (paragraph 6.42, romosozumab PSD, July 2019). </w:t>
      </w:r>
      <w:r w:rsidRPr="00F25E15">
        <w:rPr>
          <w:snapToGrid w:val="0"/>
          <w:lang w:eastAsia="en-US"/>
        </w:rPr>
        <w:t xml:space="preserve">The impact of differences between observed and expected compliance on the claim of similar comparative efficacy with romosozumab was not considered in the submission. Given the differences in the frequency of administration, </w:t>
      </w:r>
      <w:r w:rsidR="00BD174D">
        <w:rPr>
          <w:snapToGrid w:val="0"/>
          <w:lang w:eastAsia="en-US"/>
        </w:rPr>
        <w:t xml:space="preserve">the evaluation considered that </w:t>
      </w:r>
      <w:r w:rsidRPr="00F25E15">
        <w:rPr>
          <w:snapToGrid w:val="0"/>
          <w:lang w:eastAsia="en-US"/>
        </w:rPr>
        <w:t xml:space="preserve">it is plausible that compliance to abaloparatide in practice may be lower than compliance to romosozumab. </w:t>
      </w:r>
      <w:r w:rsidR="001F3622">
        <w:rPr>
          <w:snapToGrid w:val="0"/>
          <w:lang w:eastAsia="en-US"/>
        </w:rPr>
        <w:t xml:space="preserve">The PBAC considered that the </w:t>
      </w:r>
      <w:r w:rsidR="00DB633E">
        <w:rPr>
          <w:snapToGrid w:val="0"/>
          <w:lang w:eastAsia="en-US"/>
        </w:rPr>
        <w:t>durations of therapies of both the agents</w:t>
      </w:r>
      <w:r w:rsidR="006F1ED0">
        <w:rPr>
          <w:snapToGrid w:val="0"/>
          <w:lang w:eastAsia="en-US"/>
        </w:rPr>
        <w:t xml:space="preserve"> should be based on the maximum duration of therapy</w:t>
      </w:r>
      <w:r w:rsidR="008A495C">
        <w:rPr>
          <w:snapToGrid w:val="0"/>
          <w:lang w:eastAsia="en-US"/>
        </w:rPr>
        <w:t xml:space="preserve"> in the respective Product Information</w:t>
      </w:r>
      <w:r w:rsidR="005C5309">
        <w:rPr>
          <w:snapToGrid w:val="0"/>
          <w:lang w:eastAsia="en-US"/>
        </w:rPr>
        <w:t xml:space="preserve"> (18 months for abaloparatide and 12 months for romosozumab), as the persistence and adherence to each agent is uncertain.</w:t>
      </w:r>
      <w:bookmarkEnd w:id="50"/>
    </w:p>
    <w:p w14:paraId="04F8CD3B" w14:textId="24AA753C" w:rsidR="006F6C8B" w:rsidRPr="00F25E15" w:rsidRDefault="006F6C8B" w:rsidP="006F6C8B">
      <w:pPr>
        <w:pStyle w:val="3-BodyText"/>
      </w:pPr>
      <w:r>
        <w:t xml:space="preserve">The submission noted </w:t>
      </w:r>
      <w:r w:rsidR="00C134A8">
        <w:t>that romosozumab has a special pricing arrangement</w:t>
      </w:r>
      <w:r w:rsidR="00BF23A4">
        <w:t xml:space="preserve"> with the sponsor being unaware of the effective price, and </w:t>
      </w:r>
      <w:r>
        <w:t xml:space="preserve">that while romosozumab has the same published price across its </w:t>
      </w:r>
      <w:r w:rsidR="00423FFA">
        <w:t>first- and second-line</w:t>
      </w:r>
      <w:r>
        <w:t xml:space="preserve"> listings, effective pricing is weighted on use (75% and 25%, respectively in the </w:t>
      </w:r>
      <w:r w:rsidR="008D21C3">
        <w:t>first- and second-line</w:t>
      </w:r>
      <w:r>
        <w:t xml:space="preserve"> settings), with a slightly higher </w:t>
      </w:r>
      <w:r w:rsidRPr="000F350B">
        <w:t>indication-specific price in the second</w:t>
      </w:r>
      <w:r>
        <w:t xml:space="preserve"> </w:t>
      </w:r>
      <w:r w:rsidRPr="000F350B">
        <w:t>line setting</w:t>
      </w:r>
      <w:r>
        <w:t xml:space="preserve"> (paragraph 5.12, romosozumab PSD, March 2024). On this basis, the submission estimated a published approved ex-manufacturer price (AEMP) for romosozumab in the first</w:t>
      </w:r>
      <w:r w:rsidR="00CE4990">
        <w:t>-</w:t>
      </w:r>
      <w:r>
        <w:t>line setting, based on the expected distribution of use, assuming an AEMP in the first</w:t>
      </w:r>
      <w:r w:rsidR="005D59EB">
        <w:t>-</w:t>
      </w:r>
      <w:r>
        <w:t>line setting 10% lower than that in the second line setting. The estimated AEMP for romosozumab in the first</w:t>
      </w:r>
      <w:r w:rsidR="005D59EB">
        <w:t>-</w:t>
      </w:r>
      <w:r>
        <w:t>line setting</w:t>
      </w:r>
      <w:r w:rsidR="00EA43A7">
        <w:t xml:space="preserve">, which was assumed by the submission </w:t>
      </w:r>
      <w:proofErr w:type="gramStart"/>
      <w:r w:rsidR="00EA43A7">
        <w:t>on the basis of</w:t>
      </w:r>
      <w:proofErr w:type="gramEnd"/>
      <w:r w:rsidR="00EA43A7">
        <w:t xml:space="preserve"> the above and which was </w:t>
      </w:r>
      <w:r>
        <w:t>applied in the analysis</w:t>
      </w:r>
      <w:r w:rsidR="00EA43A7">
        <w:t>,</w:t>
      </w:r>
      <w:r>
        <w:t xml:space="preserve"> was $</w:t>
      </w:r>
      <w:r w:rsidR="008C0C40" w:rsidRPr="00306E37">
        <w:rPr>
          <w:color w:val="000000"/>
          <w:spacing w:val="6"/>
          <w:w w:val="60"/>
          <w:shd w:val="solid" w:color="000000" w:fill="000000"/>
          <w:fitText w:val="468" w:id="-623673342"/>
          <w14:textFill>
            <w14:solidFill>
              <w14:srgbClr w14:val="000000">
                <w14:alpha w14:val="100000"/>
              </w14:srgbClr>
            </w14:solidFill>
          </w14:textFill>
        </w:rPr>
        <w:t>|||</w:t>
      </w:r>
      <w:r w:rsidR="00306E37" w:rsidRPr="00306E37">
        <w:rPr>
          <w:color w:val="000000"/>
          <w:spacing w:val="6"/>
          <w:w w:val="60"/>
          <w:shd w:val="solid" w:color="000000" w:fill="000000"/>
          <w:fitText w:val="468" w:id="-623673342"/>
          <w14:textFill>
            <w14:solidFill>
              <w14:srgbClr w14:val="000000">
                <w14:alpha w14:val="100000"/>
              </w14:srgbClr>
            </w14:solidFill>
          </w14:textFill>
        </w:rPr>
        <w:t xml:space="preserve"> </w:t>
      </w:r>
      <w:r w:rsidR="008C0C40" w:rsidRPr="00306E37">
        <w:rPr>
          <w:color w:val="000000"/>
          <w:spacing w:val="6"/>
          <w:w w:val="60"/>
          <w:shd w:val="solid" w:color="000000" w:fill="000000"/>
          <w:fitText w:val="468" w:id="-623673342"/>
          <w14:textFill>
            <w14:solidFill>
              <w14:srgbClr w14:val="000000">
                <w14:alpha w14:val="100000"/>
              </w14:srgbClr>
            </w14:solidFill>
          </w14:textFill>
        </w:rPr>
        <w:t>||</w:t>
      </w:r>
      <w:r w:rsidR="008C0C40" w:rsidRPr="00306E37">
        <w:rPr>
          <w:color w:val="000000"/>
          <w:spacing w:val="2"/>
          <w:w w:val="60"/>
          <w:shd w:val="solid" w:color="000000" w:fill="000000"/>
          <w:fitText w:val="468" w:id="-623673342"/>
          <w14:textFill>
            <w14:solidFill>
              <w14:srgbClr w14:val="000000">
                <w14:alpha w14:val="100000"/>
              </w14:srgbClr>
            </w14:solidFill>
          </w14:textFill>
        </w:rPr>
        <w:t>|</w:t>
      </w:r>
      <w:r>
        <w:t xml:space="preserve">. </w:t>
      </w:r>
      <w:r w:rsidRPr="00F25E15">
        <w:t>In comparison, the published romosozumab AEMP for both first</w:t>
      </w:r>
      <w:r w:rsidR="006A17F6" w:rsidRPr="00F25E15">
        <w:t>-</w:t>
      </w:r>
      <w:r w:rsidRPr="00F25E15">
        <w:t xml:space="preserve"> and second</w:t>
      </w:r>
      <w:r w:rsidR="006A17F6" w:rsidRPr="00F25E15">
        <w:t>-</w:t>
      </w:r>
      <w:r w:rsidRPr="00F25E15">
        <w:t xml:space="preserve">line therapy is $352.24. </w:t>
      </w:r>
    </w:p>
    <w:p w14:paraId="57E60D80" w14:textId="3D9907EB" w:rsidR="006F6C8B" w:rsidRPr="00AA54B2" w:rsidRDefault="006F6C8B" w:rsidP="006F6C8B">
      <w:pPr>
        <w:pStyle w:val="3-BodyText"/>
      </w:pPr>
      <w:bookmarkStart w:id="51" w:name="_Ref201246626"/>
      <w:r w:rsidRPr="00F25E15">
        <w:t xml:space="preserve">The submission included the cost of health professional attendances for administration, and changes in the use and cost of anti-resorptive therapies, cardiovascular monitoring and cardiovascular event management. While the types of resources included were consistent </w:t>
      </w:r>
      <w:r w:rsidR="006D42C1">
        <w:t xml:space="preserve">with </w:t>
      </w:r>
      <w:r w:rsidRPr="00F25E15">
        <w:t>costs associated with romosozumab when previously considered by the PBAC (Table 8, romosozumab PSD, March 2020), conservative assumptions for these additional costs had been applied (paragraph 6.48, romosozumab PSD, March 2020). The</w:t>
      </w:r>
      <w:r w:rsidR="00D53B99">
        <w:t xml:space="preserve"> evaluation considered that the</w:t>
      </w:r>
      <w:r w:rsidRPr="00F25E15">
        <w:t>re is a risk that the extent of some of the cost offsets included in the present CMA may not be realised, which may lead to an overestimation in the cost-minimised price for abaloparatide.</w:t>
      </w:r>
      <w:r w:rsidR="00C1375B">
        <w:t xml:space="preserve"> </w:t>
      </w:r>
      <w:r w:rsidR="00C1375B" w:rsidRPr="00AA54B2">
        <w:t>The PSCR</w:t>
      </w:r>
      <w:r w:rsidR="00443032">
        <w:t xml:space="preserve"> and pre-PBAC response</w:t>
      </w:r>
      <w:r w:rsidR="00C1375B" w:rsidRPr="00AA54B2">
        <w:t xml:space="preserve"> </w:t>
      </w:r>
      <w:r w:rsidR="0084042B" w:rsidRPr="00AA54B2">
        <w:t>disagreed that conservative costs previously included in the cost-minimisation of romosozumab in the second-line setting versus teriparatide may not be realised for a</w:t>
      </w:r>
      <w:r w:rsidR="000603DB" w:rsidRPr="00AA54B2">
        <w:t>baloparatide</w:t>
      </w:r>
      <w:r w:rsidR="0084042B" w:rsidRPr="00AA54B2">
        <w:t>.</w:t>
      </w:r>
      <w:bookmarkEnd w:id="51"/>
    </w:p>
    <w:p w14:paraId="2FA0C2C4" w14:textId="4F1758F9" w:rsidR="006F6C8B" w:rsidRPr="00AA54B2" w:rsidRDefault="006F6C8B" w:rsidP="006F6C8B">
      <w:pPr>
        <w:pStyle w:val="3-BodyText"/>
      </w:pPr>
      <w:bookmarkStart w:id="52" w:name="_Ref195277578"/>
      <w:bookmarkStart w:id="53" w:name="_Ref201246635"/>
      <w:r w:rsidRPr="00F25E15">
        <w:t>The submission assumed that only the first dose of abaloparatide would require a health care professional attendance. Th</w:t>
      </w:r>
      <w:r w:rsidR="00B06746">
        <w:t xml:space="preserve">e </w:t>
      </w:r>
      <w:r w:rsidR="00B06746" w:rsidRPr="00AA54B2">
        <w:t>evaluation considered that</w:t>
      </w:r>
      <w:r w:rsidR="00B06746">
        <w:t xml:space="preserve"> th</w:t>
      </w:r>
      <w:r w:rsidRPr="00F25E15">
        <w:t xml:space="preserve">is was reasonable. </w:t>
      </w:r>
      <w:r w:rsidR="00B06746" w:rsidRPr="00AA54B2">
        <w:t>In contrast,</w:t>
      </w:r>
      <w:r w:rsidR="00B06746">
        <w:t xml:space="preserve"> </w:t>
      </w:r>
      <w:r w:rsidR="00113624">
        <w:t>every</w:t>
      </w:r>
      <w:r w:rsidR="00113624" w:rsidRPr="00F25E15">
        <w:t xml:space="preserve"> </w:t>
      </w:r>
      <w:r w:rsidRPr="00F25E15">
        <w:t xml:space="preserve">dose of romosozumab was assumed to require a health care professional attendance. While this was consistent with administration in the romosozumab trials and with previous PBAC consideration (paragraph 6.51, romosozumab PSD, July 2019), </w:t>
      </w:r>
      <w:r w:rsidR="00502407" w:rsidRPr="00AA54B2">
        <w:t>the evaluation noted that</w:t>
      </w:r>
      <w:r w:rsidR="00502407">
        <w:t xml:space="preserve"> </w:t>
      </w:r>
      <w:r w:rsidRPr="00F25E15">
        <w:t xml:space="preserve">romosozumab may be self-administered. This was not considered in the submission and may overestimate administration costs associated with romosozumab. The cost of administration per course of romosozumab was based on an average of the cost where administrations were provided by GPs only ($406.08, as reported in </w:t>
      </w:r>
      <w:r w:rsidRPr="00F25E15">
        <w:rPr>
          <w:snapToGrid w:val="0"/>
          <w:lang w:eastAsia="en-US"/>
        </w:rPr>
        <w:t xml:space="preserve">paragraph 6.56, romosozumab PSD, March 2020) and a weighted cost that included administration by both GPs (MBS item 23, $42.85 per administration in 31% of patients) and nurses (MBS item 82200, $14.20 per administration in 69% of patients). </w:t>
      </w:r>
      <w:bookmarkEnd w:id="52"/>
      <w:r w:rsidR="00E71ECF">
        <w:rPr>
          <w:snapToGrid w:val="0"/>
          <w:lang w:eastAsia="en-US"/>
        </w:rPr>
        <w:t>While t</w:t>
      </w:r>
      <w:r w:rsidR="0008778E" w:rsidRPr="00AA54B2">
        <w:rPr>
          <w:snapToGrid w:val="0"/>
          <w:lang w:eastAsia="en-US"/>
        </w:rPr>
        <w:t xml:space="preserve">he ESC considered that it was </w:t>
      </w:r>
      <w:r w:rsidR="0008778E" w:rsidRPr="00AA54B2">
        <w:rPr>
          <w:rFonts w:ascii="Calibri" w:hAnsi="Calibri" w:cs="Calibri"/>
        </w:rPr>
        <w:t xml:space="preserve">unrealistic to assume abaloparatide </w:t>
      </w:r>
      <w:r w:rsidR="00FC6E54" w:rsidRPr="00AA54B2">
        <w:rPr>
          <w:rFonts w:ascii="Calibri" w:hAnsi="Calibri" w:cs="Calibri"/>
        </w:rPr>
        <w:t>would</w:t>
      </w:r>
      <w:r w:rsidR="0008778E" w:rsidRPr="00AA54B2">
        <w:rPr>
          <w:rFonts w:ascii="Calibri" w:hAnsi="Calibri" w:cs="Calibri"/>
        </w:rPr>
        <w:t xml:space="preserve"> be administered completely by patients</w:t>
      </w:r>
      <w:r w:rsidR="00FC6E54" w:rsidRPr="00AA54B2">
        <w:rPr>
          <w:rFonts w:ascii="Calibri" w:hAnsi="Calibri" w:cs="Calibri"/>
        </w:rPr>
        <w:t xml:space="preserve"> (apart from the first dose)</w:t>
      </w:r>
      <w:r w:rsidR="0008778E" w:rsidRPr="00AA54B2">
        <w:rPr>
          <w:rFonts w:ascii="Calibri" w:hAnsi="Calibri" w:cs="Calibri"/>
        </w:rPr>
        <w:t xml:space="preserve"> and </w:t>
      </w:r>
      <w:r w:rsidR="00FC6E54" w:rsidRPr="00AA54B2">
        <w:rPr>
          <w:rFonts w:ascii="Calibri" w:hAnsi="Calibri" w:cs="Calibri"/>
        </w:rPr>
        <w:t>romosozumab would</w:t>
      </w:r>
      <w:r w:rsidR="0008778E" w:rsidRPr="00AA54B2">
        <w:rPr>
          <w:rFonts w:ascii="Calibri" w:hAnsi="Calibri" w:cs="Calibri"/>
        </w:rPr>
        <w:t xml:space="preserve"> never</w:t>
      </w:r>
      <w:r w:rsidR="00FC6E54" w:rsidRPr="00AA54B2">
        <w:rPr>
          <w:rFonts w:ascii="Calibri" w:hAnsi="Calibri" w:cs="Calibri"/>
        </w:rPr>
        <w:t xml:space="preserve"> be administered</w:t>
      </w:r>
      <w:r w:rsidR="0008778E" w:rsidRPr="00AA54B2">
        <w:rPr>
          <w:rFonts w:ascii="Calibri" w:hAnsi="Calibri" w:cs="Calibri"/>
        </w:rPr>
        <w:t xml:space="preserve"> by </w:t>
      </w:r>
      <w:r w:rsidR="00FC6E54" w:rsidRPr="00AA54B2">
        <w:rPr>
          <w:rFonts w:ascii="Calibri" w:hAnsi="Calibri" w:cs="Calibri"/>
        </w:rPr>
        <w:t>patients</w:t>
      </w:r>
      <w:r w:rsidR="00E71ECF">
        <w:rPr>
          <w:rFonts w:ascii="Calibri" w:hAnsi="Calibri" w:cs="Calibri"/>
        </w:rPr>
        <w:t>, the PBAC considered</w:t>
      </w:r>
      <w:r w:rsidR="002543CF">
        <w:rPr>
          <w:rFonts w:ascii="Calibri" w:hAnsi="Calibri" w:cs="Calibri"/>
        </w:rPr>
        <w:t xml:space="preserve"> that it would be reasonable to include</w:t>
      </w:r>
      <w:r w:rsidR="00E71ECF">
        <w:rPr>
          <w:rFonts w:ascii="Calibri" w:hAnsi="Calibri" w:cs="Calibri"/>
        </w:rPr>
        <w:t xml:space="preserve"> </w:t>
      </w:r>
      <w:r w:rsidR="009B5BCF">
        <w:rPr>
          <w:rFonts w:ascii="Calibri" w:hAnsi="Calibri" w:cs="Calibri"/>
        </w:rPr>
        <w:t>the treatment administration costs for both abaloparatide and romos</w:t>
      </w:r>
      <w:r w:rsidR="00CA389A">
        <w:rPr>
          <w:rFonts w:ascii="Calibri" w:hAnsi="Calibri" w:cs="Calibri"/>
        </w:rPr>
        <w:t>ozumab in the CMA as presented in the submissio</w:t>
      </w:r>
      <w:r w:rsidR="00A84A14">
        <w:rPr>
          <w:rFonts w:ascii="Calibri" w:hAnsi="Calibri" w:cs="Calibri"/>
        </w:rPr>
        <w:t>n</w:t>
      </w:r>
      <w:r w:rsidR="0008778E" w:rsidRPr="00AA54B2">
        <w:rPr>
          <w:rFonts w:ascii="Calibri" w:hAnsi="Calibri" w:cs="Calibri"/>
        </w:rPr>
        <w:t>.</w:t>
      </w:r>
      <w:bookmarkEnd w:id="53"/>
    </w:p>
    <w:p w14:paraId="455C95D2" w14:textId="138375A1" w:rsidR="006F6C8B" w:rsidRPr="00AA54B2" w:rsidRDefault="006F6C8B" w:rsidP="006F6C8B">
      <w:pPr>
        <w:pStyle w:val="3-BodyText"/>
      </w:pPr>
      <w:bookmarkStart w:id="54" w:name="_Ref203241813"/>
      <w:r w:rsidRPr="00F25E15">
        <w:t xml:space="preserve">Following completion of romosozumab treatment, the cost of subsequent </w:t>
      </w:r>
      <w:r w:rsidR="0077161F">
        <w:t>ART</w:t>
      </w:r>
      <w:r w:rsidRPr="00F25E15">
        <w:t xml:space="preserve"> was applied for the difference (175 days) in the maximum durations of abaloparatide (540 days) and romosozumab (365 days) treatment. </w:t>
      </w:r>
      <w:r w:rsidR="00151D8A">
        <w:t xml:space="preserve">The PBAC agreed with the evaluation that </w:t>
      </w:r>
      <w:r w:rsidR="00B95AFB">
        <w:t>i</w:t>
      </w:r>
      <w:r w:rsidRPr="00F25E15">
        <w:t xml:space="preserve">t </w:t>
      </w:r>
      <w:r w:rsidR="00B95AFB">
        <w:t>would not</w:t>
      </w:r>
      <w:r w:rsidRPr="00F25E15">
        <w:t xml:space="preserve"> be reasonable to include this cost</w:t>
      </w:r>
      <w:r w:rsidR="00F35C56">
        <w:t xml:space="preserve"> given that</w:t>
      </w:r>
      <w:r w:rsidRPr="00F25E15">
        <w:t xml:space="preserve"> </w:t>
      </w:r>
      <w:r w:rsidR="00F35C56">
        <w:t xml:space="preserve">use of </w:t>
      </w:r>
      <w:r w:rsidRPr="00F25E15">
        <w:t>romosozumab</w:t>
      </w:r>
      <w:r w:rsidR="00123CEB">
        <w:t xml:space="preserve"> for a shorter duration of time</w:t>
      </w:r>
      <w:r w:rsidR="002F44AE">
        <w:t xml:space="preserve"> </w:t>
      </w:r>
      <w:r w:rsidR="00123CEB">
        <w:t xml:space="preserve">(12 months) than </w:t>
      </w:r>
      <w:r w:rsidR="002F44AE">
        <w:t>abaloparatide (18 months)</w:t>
      </w:r>
      <w:r w:rsidR="00F35C56">
        <w:t xml:space="preserve"> would not</w:t>
      </w:r>
      <w:r w:rsidRPr="00F25E15">
        <w:t xml:space="preserve"> lead to an increased duration of </w:t>
      </w:r>
      <w:r w:rsidR="00105C8F">
        <w:t>ART</w:t>
      </w:r>
      <w:r w:rsidR="00C77429">
        <w:t>, it would</w:t>
      </w:r>
      <w:r w:rsidRPr="00F25E15">
        <w:t xml:space="preserve"> just</w:t>
      </w:r>
      <w:r w:rsidR="00C77429">
        <w:t xml:space="preserve"> be</w:t>
      </w:r>
      <w:r w:rsidRPr="00F25E15">
        <w:t xml:space="preserve"> earlier initiation of treatment. Further, </w:t>
      </w:r>
      <w:r w:rsidRPr="00F25E15">
        <w:rPr>
          <w:snapToGrid w:val="0"/>
          <w:lang w:eastAsia="en-US"/>
        </w:rPr>
        <w:t xml:space="preserve">the submission has assumed 100% compliance to subsequent </w:t>
      </w:r>
      <w:r w:rsidR="00105C8F">
        <w:rPr>
          <w:snapToGrid w:val="0"/>
          <w:lang w:eastAsia="en-US"/>
        </w:rPr>
        <w:t>ART</w:t>
      </w:r>
      <w:r w:rsidRPr="00F25E15">
        <w:rPr>
          <w:snapToGrid w:val="0"/>
          <w:lang w:eastAsia="en-US"/>
        </w:rPr>
        <w:t xml:space="preserve">, which is likely to be an overestimate. When romosozumab was considered in the first-line setting, adherence to subsequent </w:t>
      </w:r>
      <w:r w:rsidR="009D7999">
        <w:rPr>
          <w:snapToGrid w:val="0"/>
          <w:lang w:eastAsia="en-US"/>
        </w:rPr>
        <w:t>ART</w:t>
      </w:r>
      <w:r w:rsidRPr="00F25E15">
        <w:rPr>
          <w:snapToGrid w:val="0"/>
          <w:lang w:eastAsia="en-US"/>
        </w:rPr>
        <w:t xml:space="preserve"> assumed was 90% (Table 6, romosozumab PSD, March 2024). The average cost per day ($0.95) was based on the AEMP for denosumab 60 mg, alendronate 70 mg and risedronate (daily, weekly and monthly presentations), accounting for assumed days of coverage per script and distribution of use (59.8% denosumab, 6.5% alendronate, 34.0% risedronate). The PBS items used to derive the cost per day excluded alendronate with vitamin D formulations, though included the risedronate item for symptomatic Paget disease of bone. Further, the duration of 60-day alendronate scripts was not correctly accounted for. These changes reduced the cost per day to $0.90, driven by a higher proportion of alendronate scripts (13.6% vs 6.5%).</w:t>
      </w:r>
      <w:r w:rsidR="003D143F">
        <w:rPr>
          <w:snapToGrid w:val="0"/>
          <w:lang w:eastAsia="en-US"/>
        </w:rPr>
        <w:t xml:space="preserve"> </w:t>
      </w:r>
      <w:r w:rsidR="003D143F" w:rsidRPr="00AA54B2">
        <w:rPr>
          <w:snapToGrid w:val="0"/>
          <w:lang w:eastAsia="en-US"/>
        </w:rPr>
        <w:t xml:space="preserve">The PSCR stated (p5) that the Sponsor </w:t>
      </w:r>
      <w:r w:rsidR="004559FA" w:rsidRPr="00AA54B2">
        <w:rPr>
          <w:snapToGrid w:val="0"/>
          <w:lang w:eastAsia="en-US"/>
        </w:rPr>
        <w:t>accept</w:t>
      </w:r>
      <w:r w:rsidR="00B60032" w:rsidRPr="00AA54B2">
        <w:rPr>
          <w:snapToGrid w:val="0"/>
          <w:lang w:eastAsia="en-US"/>
        </w:rPr>
        <w:t>ed</w:t>
      </w:r>
      <w:r w:rsidR="004559FA" w:rsidRPr="00AA54B2">
        <w:rPr>
          <w:snapToGrid w:val="0"/>
          <w:lang w:eastAsia="en-US"/>
        </w:rPr>
        <w:t xml:space="preserve"> the evaluation’s changes to </w:t>
      </w:r>
      <w:r w:rsidR="00F22203" w:rsidRPr="00AA54B2">
        <w:rPr>
          <w:snapToGrid w:val="0"/>
          <w:lang w:eastAsia="en-US"/>
        </w:rPr>
        <w:t>the</w:t>
      </w:r>
      <w:r w:rsidR="004559FA" w:rsidRPr="00AA54B2">
        <w:rPr>
          <w:snapToGrid w:val="0"/>
          <w:lang w:eastAsia="en-US"/>
        </w:rPr>
        <w:t xml:space="preserve"> subsequent </w:t>
      </w:r>
      <w:r w:rsidR="00B60032" w:rsidRPr="00AA54B2">
        <w:rPr>
          <w:snapToGrid w:val="0"/>
          <w:lang w:eastAsia="en-US"/>
        </w:rPr>
        <w:t>ART</w:t>
      </w:r>
      <w:r w:rsidR="004559FA" w:rsidRPr="00AA54B2">
        <w:rPr>
          <w:snapToGrid w:val="0"/>
          <w:lang w:eastAsia="en-US"/>
        </w:rPr>
        <w:t xml:space="preserve"> cost</w:t>
      </w:r>
      <w:r w:rsidR="00F22203" w:rsidRPr="00AA54B2">
        <w:rPr>
          <w:snapToGrid w:val="0"/>
          <w:lang w:eastAsia="en-US"/>
        </w:rPr>
        <w:t>s in the CMA</w:t>
      </w:r>
      <w:r w:rsidR="004559FA" w:rsidRPr="00AA54B2">
        <w:rPr>
          <w:snapToGrid w:val="0"/>
          <w:lang w:eastAsia="en-US"/>
        </w:rPr>
        <w:t xml:space="preserve"> (from $0.95 to $0.90).</w:t>
      </w:r>
      <w:bookmarkEnd w:id="54"/>
    </w:p>
    <w:p w14:paraId="0BEC711C" w14:textId="0B98D7B4" w:rsidR="006F6C8B" w:rsidRPr="00AA54B2" w:rsidRDefault="006F6C8B" w:rsidP="00D14259">
      <w:pPr>
        <w:pStyle w:val="3-BodyText"/>
        <w:rPr>
          <w:snapToGrid w:val="0"/>
          <w:lang w:eastAsia="en-US"/>
        </w:rPr>
      </w:pPr>
      <w:bookmarkStart w:id="55" w:name="_Ref203242251"/>
      <w:r w:rsidRPr="00AA54B2">
        <w:t xml:space="preserve">The cost of additional </w:t>
      </w:r>
      <w:r w:rsidR="00B5546C" w:rsidRPr="00AA54B2">
        <w:t>ART</w:t>
      </w:r>
      <w:r w:rsidRPr="00AA54B2">
        <w:t xml:space="preserve"> was also applied in patients who</w:t>
      </w:r>
      <w:r w:rsidR="007E6681">
        <w:t xml:space="preserve"> prematurely</w:t>
      </w:r>
      <w:r w:rsidRPr="00AA54B2">
        <w:t xml:space="preserve"> discontinued either abaloparatide or romosozumab treatment (6 months in 20% of patients). No difference was assumed across the treatment arms. The</w:t>
      </w:r>
      <w:r w:rsidR="00B5546C" w:rsidRPr="00AA54B2">
        <w:t xml:space="preserve"> evaluation considered that the</w:t>
      </w:r>
      <w:r w:rsidRPr="00AA54B2">
        <w:t xml:space="preserve"> basis for the inclusion of this cost was not clear. Previously, additional costs were conservatively included to account for residual treatment effects associated with teriparatide but not romosozumab (paragraph 6.56, romosozumab PSD, March 2020).</w:t>
      </w:r>
      <w:r w:rsidR="00D4487B" w:rsidRPr="00AA54B2">
        <w:t xml:space="preserve"> </w:t>
      </w:r>
      <w:r w:rsidR="00D4487B" w:rsidRPr="00AA54B2">
        <w:rPr>
          <w:snapToGrid w:val="0"/>
          <w:lang w:eastAsia="en-US"/>
        </w:rPr>
        <w:t>The PSCR stated (p5) that the Sponsor accept</w:t>
      </w:r>
      <w:r w:rsidR="00B60032" w:rsidRPr="00AA54B2">
        <w:rPr>
          <w:snapToGrid w:val="0"/>
          <w:lang w:eastAsia="en-US"/>
        </w:rPr>
        <w:t>ed</w:t>
      </w:r>
      <w:r w:rsidR="00D4487B" w:rsidRPr="00AA54B2">
        <w:rPr>
          <w:snapToGrid w:val="0"/>
          <w:lang w:eastAsia="en-US"/>
        </w:rPr>
        <w:t xml:space="preserve"> </w:t>
      </w:r>
      <w:r w:rsidR="00222838" w:rsidRPr="00AA54B2">
        <w:rPr>
          <w:snapToGrid w:val="0"/>
          <w:lang w:eastAsia="en-US"/>
        </w:rPr>
        <w:t xml:space="preserve">removing the costs of additional </w:t>
      </w:r>
      <w:r w:rsidR="00C55B26" w:rsidRPr="00AA54B2">
        <w:rPr>
          <w:snapToGrid w:val="0"/>
          <w:lang w:eastAsia="en-US"/>
        </w:rPr>
        <w:t>ART</w:t>
      </w:r>
      <w:r w:rsidR="00222838" w:rsidRPr="00AA54B2">
        <w:rPr>
          <w:snapToGrid w:val="0"/>
          <w:lang w:eastAsia="en-US"/>
        </w:rPr>
        <w:t xml:space="preserve"> for patients who discontinued either </w:t>
      </w:r>
      <w:r w:rsidR="00C55B26" w:rsidRPr="00AA54B2">
        <w:rPr>
          <w:snapToGrid w:val="0"/>
          <w:lang w:eastAsia="en-US"/>
        </w:rPr>
        <w:t>abaloparatide</w:t>
      </w:r>
      <w:r w:rsidR="00222838" w:rsidRPr="00AA54B2">
        <w:rPr>
          <w:snapToGrid w:val="0"/>
          <w:lang w:eastAsia="en-US"/>
        </w:rPr>
        <w:t xml:space="preserve"> or </w:t>
      </w:r>
      <w:r w:rsidR="00C55B26" w:rsidRPr="00AA54B2">
        <w:rPr>
          <w:snapToGrid w:val="0"/>
          <w:lang w:eastAsia="en-US"/>
        </w:rPr>
        <w:t>romosozumab</w:t>
      </w:r>
      <w:r w:rsidR="00222838" w:rsidRPr="00AA54B2">
        <w:rPr>
          <w:snapToGrid w:val="0"/>
          <w:lang w:eastAsia="en-US"/>
        </w:rPr>
        <w:t xml:space="preserve"> treatment, noting that they cancel out in the CMA.</w:t>
      </w:r>
      <w:bookmarkEnd w:id="55"/>
    </w:p>
    <w:p w14:paraId="08BBEE28" w14:textId="2457466D" w:rsidR="006F6C8B" w:rsidRPr="00F25E15" w:rsidRDefault="006F6C8B" w:rsidP="006F6C8B">
      <w:pPr>
        <w:pStyle w:val="3-BodyText"/>
      </w:pPr>
      <w:bookmarkStart w:id="56" w:name="_Ref203242426"/>
      <w:r w:rsidRPr="00F25E15">
        <w:t>Given the potential cardiovascular risks associated with romosozumab use, the submission included the cost of cardiovascular monitoring while on romosozumab treatment and the cost of cardiovascular event management. Th</w:t>
      </w:r>
      <w:r w:rsidR="00A42C51">
        <w:t>e PBAC agreed with the evaluation that th</w:t>
      </w:r>
      <w:r w:rsidRPr="00F25E15">
        <w:t>is was reasonable. Resource use and sources for unit costs of monitoring were consistent with previous submissions to the PBAC for romosozumab (paragraph 6.48, romosozumab PSD, July 2019).</w:t>
      </w:r>
      <w:bookmarkEnd w:id="56"/>
      <w:r w:rsidRPr="00F25E15">
        <w:t xml:space="preserve"> </w:t>
      </w:r>
    </w:p>
    <w:p w14:paraId="2CAC23BD" w14:textId="0587773F" w:rsidR="006F6C8B" w:rsidRPr="00F25E15" w:rsidRDefault="006F6C8B" w:rsidP="006F6C8B">
      <w:pPr>
        <w:pStyle w:val="3-BodyText"/>
        <w:widowControl w:val="0"/>
      </w:pPr>
      <w:bookmarkStart w:id="57" w:name="_Ref195277602"/>
      <w:r w:rsidRPr="00F25E15">
        <w:t>The cost per cardiovascular event applied was $18</w:t>
      </w:r>
      <w:r w:rsidR="009519E7">
        <w:t>2</w:t>
      </w:r>
      <w:r w:rsidRPr="00F25E15">
        <w:t>.17, and was attributed to hospitals and patients, assuming an incidence of 0.59% (based on the ARCH trial). Th</w:t>
      </w:r>
      <w:r w:rsidR="000E5CC7">
        <w:t xml:space="preserve">e </w:t>
      </w:r>
      <w:r w:rsidR="000E5CC7" w:rsidRPr="00AA54B2">
        <w:t>evaluation considered that</w:t>
      </w:r>
      <w:r w:rsidR="000E5CC7">
        <w:t xml:space="preserve"> th</w:t>
      </w:r>
      <w:r w:rsidRPr="00F25E15">
        <w:t>is was reasonable given that costs previously presented to the PBAC included hospitalisation and out-of-hospital costs (paragraph 6.58, romosozumab PSD, March 2020). The cost per event to hospitals ($15,484) was derived from the average price weight for AR-DRG F10</w:t>
      </w:r>
      <w:r w:rsidRPr="00F25E15">
        <w:rPr>
          <w:rStyle w:val="FootnoteReference"/>
        </w:rPr>
        <w:footnoteReference w:id="22"/>
      </w:r>
      <w:r w:rsidRPr="00F25E15">
        <w:t xml:space="preserve"> (2.40) and applied to the National Efficient Price ($6,465). </w:t>
      </w:r>
      <w:r w:rsidR="00F378EF">
        <w:t>The evaluation considered that o</w:t>
      </w:r>
      <w:r w:rsidRPr="00F25E15">
        <w:t>ther AR-DRGs (F41 and F60) should have been included. As these omitted DRGs are associated with a lower cost, the</w:t>
      </w:r>
      <w:r w:rsidR="00FC55A4">
        <w:t xml:space="preserve"> </w:t>
      </w:r>
      <w:r w:rsidR="00FC55A4" w:rsidRPr="00B20CA5">
        <w:t>evaluation noted that the</w:t>
      </w:r>
      <w:r w:rsidRPr="00FC55A4">
        <w:rPr>
          <w:i/>
          <w:iCs/>
        </w:rPr>
        <w:t xml:space="preserve"> </w:t>
      </w:r>
      <w:r w:rsidRPr="00F25E15">
        <w:t>cost applied per event has likely been overestimated. The average cost to hospitals per patient treated with romosozumab was estimated to be $91.09.</w:t>
      </w:r>
      <w:r w:rsidRPr="00F25E15">
        <w:rPr>
          <w:rStyle w:val="FootnoteReference"/>
        </w:rPr>
        <w:footnoteReference w:id="23"/>
      </w:r>
      <w:r w:rsidRPr="00F25E15">
        <w:t xml:space="preserve"> An equal cost ($91.09 i.e. $15,484 per patient with a cardiovascular event) was assumed to be borne as out-of-pocket costs by patients. Th</w:t>
      </w:r>
      <w:r w:rsidR="00661B67">
        <w:t>e evaluation considered that th</w:t>
      </w:r>
      <w:r w:rsidRPr="00F25E15">
        <w:t xml:space="preserve">is assumption </w:t>
      </w:r>
      <w:r w:rsidR="00F378EF">
        <w:t xml:space="preserve">relating to out-of-pocket costs </w:t>
      </w:r>
      <w:r w:rsidRPr="00F25E15">
        <w:t>was not likely to be supported. A prospective Australian study</w:t>
      </w:r>
      <w:r w:rsidRPr="00F25E15">
        <w:rPr>
          <w:rStyle w:val="FootnoteReference"/>
        </w:rPr>
        <w:footnoteReference w:id="24"/>
      </w:r>
      <w:r w:rsidRPr="00F25E15">
        <w:t xml:space="preserve"> reporting the direct health care costs associated with initial hospitalisation and the 12-month sequelae for patients with a first-ever MI observed that out-of-pocket expenses accounted for 8% of the total direct cost of a first-ever MI episode (compared to 50% assumed in the submission base case). </w:t>
      </w:r>
      <w:bookmarkEnd w:id="57"/>
    </w:p>
    <w:p w14:paraId="62E3CDC5" w14:textId="78009FCE" w:rsidR="006F6C8B" w:rsidRPr="00F25E15" w:rsidRDefault="006F6C8B" w:rsidP="006F6C8B">
      <w:pPr>
        <w:pStyle w:val="3-BodyText"/>
      </w:pPr>
      <w:r w:rsidRPr="00F25E15">
        <w:t xml:space="preserve">The results of the CMA, based on an estimated published AEMP for romosozumab in the first line setting, is presented in </w:t>
      </w:r>
      <w:r w:rsidRPr="00F25E15">
        <w:rPr>
          <w:highlight w:val="yellow"/>
        </w:rPr>
        <w:fldChar w:fldCharType="begin"/>
      </w:r>
      <w:r w:rsidRPr="00F25E15">
        <w:instrText xml:space="preserve"> REF _Ref195277508 \h </w:instrText>
      </w:r>
      <w:r w:rsidR="00F25E15" w:rsidRPr="00F25E15">
        <w:rPr>
          <w:highlight w:val="yellow"/>
        </w:rPr>
        <w:instrText xml:space="preserve"> \* MERGEFORMAT </w:instrText>
      </w:r>
      <w:r w:rsidRPr="00F25E15">
        <w:rPr>
          <w:highlight w:val="yellow"/>
        </w:rPr>
      </w:r>
      <w:r w:rsidRPr="00F25E15">
        <w:rPr>
          <w:highlight w:val="yellow"/>
        </w:rPr>
        <w:fldChar w:fldCharType="separate"/>
      </w:r>
      <w:r w:rsidR="005B625A" w:rsidRPr="00D86D87">
        <w:t xml:space="preserve">Table </w:t>
      </w:r>
      <w:r w:rsidR="005B625A">
        <w:rPr>
          <w:noProof/>
        </w:rPr>
        <w:t>10</w:t>
      </w:r>
      <w:r w:rsidRPr="00F25E15">
        <w:rPr>
          <w:highlight w:val="yellow"/>
        </w:rPr>
        <w:fldChar w:fldCharType="end"/>
      </w:r>
      <w:r w:rsidRPr="00F25E15">
        <w:t xml:space="preserve">. </w:t>
      </w:r>
    </w:p>
    <w:p w14:paraId="5859DCAD" w14:textId="4F675FBB" w:rsidR="006F6C8B" w:rsidRDefault="006F6C8B" w:rsidP="006F6C8B">
      <w:pPr>
        <w:pStyle w:val="Caption"/>
      </w:pPr>
      <w:bookmarkStart w:id="58" w:name="_Ref195277508"/>
      <w:r w:rsidRPr="00D86D87">
        <w:t xml:space="preserve">Table </w:t>
      </w:r>
      <w:r w:rsidR="001C1C72">
        <w:fldChar w:fldCharType="begin"/>
      </w:r>
      <w:r w:rsidR="001C1C72">
        <w:instrText xml:space="preserve"> SEQ Table \* ARABIC </w:instrText>
      </w:r>
      <w:r w:rsidR="001C1C72">
        <w:fldChar w:fldCharType="separate"/>
      </w:r>
      <w:r w:rsidR="005B625A">
        <w:rPr>
          <w:noProof/>
        </w:rPr>
        <w:t>10</w:t>
      </w:r>
      <w:r w:rsidR="001C1C72">
        <w:rPr>
          <w:noProof/>
        </w:rPr>
        <w:fldChar w:fldCharType="end"/>
      </w:r>
      <w:bookmarkEnd w:id="58"/>
      <w:r w:rsidRPr="00D86D87">
        <w:t>:</w:t>
      </w:r>
      <w:r w:rsidRPr="00D86D87">
        <w:rPr>
          <w:rStyle w:val="CommentReference"/>
          <w:b/>
          <w:szCs w:val="24"/>
        </w:rPr>
        <w:t xml:space="preserve"> </w:t>
      </w:r>
      <w:r w:rsidRPr="00DF421D">
        <w:rPr>
          <w:rStyle w:val="CommentReference"/>
          <w:b/>
          <w:szCs w:val="24"/>
        </w:rPr>
        <w:t xml:space="preserve">Results of the </w:t>
      </w:r>
      <w:r>
        <w:rPr>
          <w:rStyle w:val="CommentReference"/>
          <w:b/>
          <w:szCs w:val="24"/>
        </w:rPr>
        <w:t>cost-minimisation approach, based on published prices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Results of the cost-minimisation approach, based on published prices"/>
      </w:tblPr>
      <w:tblGrid>
        <w:gridCol w:w="4815"/>
        <w:gridCol w:w="2126"/>
        <w:gridCol w:w="2076"/>
      </w:tblGrid>
      <w:tr w:rsidR="006F6C8B" w:rsidRPr="00D86D87" w14:paraId="628FC7A3" w14:textId="77777777" w:rsidTr="00A71F42">
        <w:tc>
          <w:tcPr>
            <w:tcW w:w="4815" w:type="dxa"/>
          </w:tcPr>
          <w:p w14:paraId="0A73B816" w14:textId="77777777" w:rsidR="006F6C8B" w:rsidRPr="00D86D87" w:rsidRDefault="006F6C8B">
            <w:pPr>
              <w:pStyle w:val="In-tableHeading"/>
              <w:rPr>
                <w:lang w:val="en-AU"/>
              </w:rPr>
            </w:pPr>
            <w:r w:rsidRPr="00D86D87">
              <w:rPr>
                <w:lang w:val="en-AU"/>
              </w:rPr>
              <w:t>Component</w:t>
            </w:r>
          </w:p>
        </w:tc>
        <w:tc>
          <w:tcPr>
            <w:tcW w:w="2126" w:type="dxa"/>
          </w:tcPr>
          <w:p w14:paraId="1469D24D" w14:textId="77777777" w:rsidR="006F6C8B" w:rsidRPr="00D86D87" w:rsidRDefault="006F6C8B">
            <w:pPr>
              <w:pStyle w:val="In-tableHeading"/>
              <w:jc w:val="center"/>
              <w:rPr>
                <w:lang w:val="en-AU"/>
              </w:rPr>
            </w:pPr>
            <w:r>
              <w:rPr>
                <w:lang w:val="en-AU"/>
              </w:rPr>
              <w:t>Abaloparatide</w:t>
            </w:r>
          </w:p>
        </w:tc>
        <w:tc>
          <w:tcPr>
            <w:tcW w:w="2076" w:type="dxa"/>
          </w:tcPr>
          <w:p w14:paraId="3AB59131" w14:textId="77777777" w:rsidR="006F6C8B" w:rsidRPr="00D86D87" w:rsidRDefault="006F6C8B">
            <w:pPr>
              <w:pStyle w:val="In-tableHeading"/>
              <w:jc w:val="center"/>
              <w:rPr>
                <w:lang w:val="en-AU"/>
              </w:rPr>
            </w:pPr>
            <w:r>
              <w:rPr>
                <w:lang w:val="en-AU"/>
              </w:rPr>
              <w:t>Romosozumab</w:t>
            </w:r>
          </w:p>
        </w:tc>
      </w:tr>
      <w:tr w:rsidR="006F6C8B" w:rsidRPr="00D86D87" w14:paraId="0DFAC850" w14:textId="77777777" w:rsidTr="00A71F42">
        <w:tc>
          <w:tcPr>
            <w:tcW w:w="4815" w:type="dxa"/>
          </w:tcPr>
          <w:p w14:paraId="40EA92F4" w14:textId="77777777" w:rsidR="006F6C8B" w:rsidRPr="00D86D87" w:rsidRDefault="006F6C8B">
            <w:pPr>
              <w:pStyle w:val="TableText0"/>
            </w:pPr>
            <w:r>
              <w:t>AEMP per script</w:t>
            </w:r>
          </w:p>
        </w:tc>
        <w:tc>
          <w:tcPr>
            <w:tcW w:w="2126" w:type="dxa"/>
          </w:tcPr>
          <w:p w14:paraId="02147336" w14:textId="3A743FC5" w:rsidR="006F6C8B" w:rsidRPr="00D86D87" w:rsidRDefault="006F6C8B">
            <w:pPr>
              <w:pStyle w:val="TableText0"/>
              <w:jc w:val="center"/>
            </w:pPr>
            <w:r w:rsidRPr="00D86D87">
              <w:t>$</w:t>
            </w:r>
            <w:r w:rsidR="008C0C40" w:rsidRPr="008C0C40">
              <w:rPr>
                <w:color w:val="000000"/>
                <w:spacing w:val="51"/>
                <w:shd w:val="solid" w:color="000000" w:fill="000000"/>
                <w:fitText w:val="325" w:id="-623673341"/>
                <w14:textFill>
                  <w14:solidFill>
                    <w14:srgbClr w14:val="000000">
                      <w14:alpha w14:val="100000"/>
                    </w14:srgbClr>
                  </w14:solidFill>
                </w14:textFill>
              </w:rPr>
              <w:t>|||</w:t>
            </w:r>
            <w:r w:rsidR="008C0C40" w:rsidRPr="008C0C40">
              <w:rPr>
                <w:color w:val="000000"/>
                <w:spacing w:val="2"/>
                <w:shd w:val="solid" w:color="000000" w:fill="000000"/>
                <w:fitText w:val="325" w:id="-623673341"/>
                <w14:textFill>
                  <w14:solidFill>
                    <w14:srgbClr w14:val="000000">
                      <w14:alpha w14:val="100000"/>
                    </w14:srgbClr>
                  </w14:solidFill>
                </w14:textFill>
              </w:rPr>
              <w:t>|</w:t>
            </w:r>
          </w:p>
        </w:tc>
        <w:tc>
          <w:tcPr>
            <w:tcW w:w="2076" w:type="dxa"/>
          </w:tcPr>
          <w:p w14:paraId="6594868D" w14:textId="3427392D" w:rsidR="006F6C8B" w:rsidRPr="00D86D87" w:rsidRDefault="006F6C8B">
            <w:pPr>
              <w:pStyle w:val="TableText0"/>
              <w:jc w:val="center"/>
            </w:pPr>
            <w:r w:rsidRPr="00D86D87">
              <w:t>$</w:t>
            </w:r>
            <w:r w:rsidR="008C0C40" w:rsidRPr="008C0C40">
              <w:rPr>
                <w:color w:val="000000"/>
                <w:spacing w:val="51"/>
                <w:shd w:val="solid" w:color="000000" w:fill="000000"/>
                <w:fitText w:val="326" w:id="-623673340"/>
                <w14:textFill>
                  <w14:solidFill>
                    <w14:srgbClr w14:val="000000">
                      <w14:alpha w14:val="100000"/>
                    </w14:srgbClr>
                  </w14:solidFill>
                </w14:textFill>
              </w:rPr>
              <w:t>|||</w:t>
            </w:r>
            <w:r w:rsidR="008C0C40" w:rsidRPr="008C0C40">
              <w:rPr>
                <w:color w:val="000000"/>
                <w:spacing w:val="3"/>
                <w:shd w:val="solid" w:color="000000" w:fill="000000"/>
                <w:fitText w:val="326" w:id="-623673340"/>
                <w14:textFill>
                  <w14:solidFill>
                    <w14:srgbClr w14:val="000000">
                      <w14:alpha w14:val="100000"/>
                    </w14:srgbClr>
                  </w14:solidFill>
                </w14:textFill>
              </w:rPr>
              <w:t>|</w:t>
            </w:r>
            <w:r w:rsidR="00341134">
              <w:t xml:space="preserve"> </w:t>
            </w:r>
            <w:r w:rsidR="00341134" w:rsidRPr="00341134">
              <w:rPr>
                <w:vertAlign w:val="superscript"/>
              </w:rPr>
              <w:t>b</w:t>
            </w:r>
          </w:p>
        </w:tc>
      </w:tr>
      <w:tr w:rsidR="006F6C8B" w:rsidRPr="00D86D87" w14:paraId="4E80C3E1" w14:textId="77777777" w:rsidTr="00A71F42">
        <w:tc>
          <w:tcPr>
            <w:tcW w:w="4815" w:type="dxa"/>
          </w:tcPr>
          <w:p w14:paraId="68E35D8E" w14:textId="77777777" w:rsidR="006F6C8B" w:rsidRPr="00D86D87" w:rsidRDefault="006F6C8B">
            <w:pPr>
              <w:pStyle w:val="TableText0"/>
            </w:pPr>
            <w:r>
              <w:t>No. scripts per course</w:t>
            </w:r>
          </w:p>
        </w:tc>
        <w:tc>
          <w:tcPr>
            <w:tcW w:w="2126" w:type="dxa"/>
          </w:tcPr>
          <w:p w14:paraId="75890F23" w14:textId="77777777" w:rsidR="006F6C8B" w:rsidRPr="00D86D87" w:rsidRDefault="006F6C8B">
            <w:pPr>
              <w:pStyle w:val="TableText0"/>
              <w:jc w:val="center"/>
            </w:pPr>
            <w:r>
              <w:t>14.97 </w:t>
            </w:r>
            <w:r w:rsidRPr="00AB389B">
              <w:rPr>
                <w:vertAlign w:val="superscript"/>
              </w:rPr>
              <w:t>a</w:t>
            </w:r>
          </w:p>
        </w:tc>
        <w:tc>
          <w:tcPr>
            <w:tcW w:w="2076" w:type="dxa"/>
          </w:tcPr>
          <w:p w14:paraId="2616A9E7" w14:textId="185B17C1" w:rsidR="006F6C8B" w:rsidRPr="00D86D87" w:rsidRDefault="006F6C8B">
            <w:pPr>
              <w:pStyle w:val="TableText0"/>
              <w:jc w:val="center"/>
            </w:pPr>
            <w:r>
              <w:t>10.80 </w:t>
            </w:r>
            <w:r w:rsidR="00341134">
              <w:rPr>
                <w:vertAlign w:val="superscript"/>
              </w:rPr>
              <w:t>c</w:t>
            </w:r>
          </w:p>
        </w:tc>
      </w:tr>
      <w:tr w:rsidR="006F6C8B" w:rsidRPr="00A12ABF" w14:paraId="21034894" w14:textId="77777777" w:rsidTr="00A71F42">
        <w:tc>
          <w:tcPr>
            <w:tcW w:w="4815" w:type="dxa"/>
          </w:tcPr>
          <w:p w14:paraId="3CE77B16" w14:textId="77777777" w:rsidR="006F6C8B" w:rsidRPr="00A12ABF" w:rsidRDefault="006F6C8B">
            <w:pPr>
              <w:pStyle w:val="TableText0"/>
              <w:rPr>
                <w:b/>
                <w:bCs w:val="0"/>
              </w:rPr>
            </w:pPr>
            <w:r w:rsidRPr="00A12ABF">
              <w:rPr>
                <w:b/>
                <w:bCs w:val="0"/>
              </w:rPr>
              <w:t>Total medicines cost per course</w:t>
            </w:r>
          </w:p>
        </w:tc>
        <w:tc>
          <w:tcPr>
            <w:tcW w:w="2126" w:type="dxa"/>
          </w:tcPr>
          <w:p w14:paraId="1769C77F" w14:textId="05938A2F" w:rsidR="006F6C8B" w:rsidRPr="00A12ABF" w:rsidRDefault="006F6C8B">
            <w:pPr>
              <w:pStyle w:val="TableText0"/>
              <w:jc w:val="center"/>
              <w:rPr>
                <w:b/>
                <w:bCs w:val="0"/>
              </w:rPr>
            </w:pPr>
            <w:r w:rsidRPr="00A12ABF">
              <w:rPr>
                <w:b/>
                <w:bCs w:val="0"/>
              </w:rPr>
              <w:t>$</w:t>
            </w:r>
            <w:r w:rsidR="008C0C40" w:rsidRPr="008C0C40">
              <w:rPr>
                <w:b/>
                <w:bCs w:val="0"/>
                <w:color w:val="000000"/>
                <w:spacing w:val="59"/>
                <w:shd w:val="solid" w:color="000000" w:fill="000000"/>
                <w:fitText w:val="363" w:id="-623673339"/>
                <w14:textFill>
                  <w14:solidFill>
                    <w14:srgbClr w14:val="000000">
                      <w14:alpha w14:val="100000"/>
                    </w14:srgbClr>
                  </w14:solidFill>
                </w14:textFill>
              </w:rPr>
              <w:t>|||</w:t>
            </w:r>
            <w:r w:rsidR="008C0C40" w:rsidRPr="008C0C40">
              <w:rPr>
                <w:b/>
                <w:bCs w:val="0"/>
                <w:color w:val="000000"/>
                <w:spacing w:val="3"/>
                <w:shd w:val="solid" w:color="000000" w:fill="000000"/>
                <w:fitText w:val="363" w:id="-623673339"/>
                <w14:textFill>
                  <w14:solidFill>
                    <w14:srgbClr w14:val="000000">
                      <w14:alpha w14:val="100000"/>
                    </w14:srgbClr>
                  </w14:solidFill>
                </w14:textFill>
              </w:rPr>
              <w:t>|</w:t>
            </w:r>
          </w:p>
        </w:tc>
        <w:tc>
          <w:tcPr>
            <w:tcW w:w="2076" w:type="dxa"/>
          </w:tcPr>
          <w:p w14:paraId="50171812" w14:textId="6889BDB2" w:rsidR="006F6C8B" w:rsidRPr="00A12ABF" w:rsidRDefault="006F6C8B">
            <w:pPr>
              <w:pStyle w:val="TableText0"/>
              <w:jc w:val="center"/>
              <w:rPr>
                <w:b/>
                <w:bCs w:val="0"/>
              </w:rPr>
            </w:pPr>
            <w:r w:rsidRPr="00A12ABF">
              <w:rPr>
                <w:b/>
                <w:bCs w:val="0"/>
              </w:rPr>
              <w:t>$</w:t>
            </w:r>
            <w:r w:rsidR="008C0C40" w:rsidRPr="008C0C40">
              <w:rPr>
                <w:b/>
                <w:bCs w:val="0"/>
                <w:color w:val="000000"/>
                <w:spacing w:val="59"/>
                <w:shd w:val="solid" w:color="000000" w:fill="000000"/>
                <w:fitText w:val="363" w:id="-623673338"/>
                <w14:textFill>
                  <w14:solidFill>
                    <w14:srgbClr w14:val="000000">
                      <w14:alpha w14:val="100000"/>
                    </w14:srgbClr>
                  </w14:solidFill>
                </w14:textFill>
              </w:rPr>
              <w:t>|||</w:t>
            </w:r>
            <w:r w:rsidR="008C0C40" w:rsidRPr="008C0C40">
              <w:rPr>
                <w:b/>
                <w:bCs w:val="0"/>
                <w:color w:val="000000"/>
                <w:spacing w:val="3"/>
                <w:shd w:val="solid" w:color="000000" w:fill="000000"/>
                <w:fitText w:val="363" w:id="-623673338"/>
                <w14:textFill>
                  <w14:solidFill>
                    <w14:srgbClr w14:val="000000">
                      <w14:alpha w14:val="100000"/>
                    </w14:srgbClr>
                  </w14:solidFill>
                </w14:textFill>
              </w:rPr>
              <w:t>|</w:t>
            </w:r>
          </w:p>
        </w:tc>
      </w:tr>
      <w:tr w:rsidR="006F6C8B" w:rsidRPr="00D86D87" w14:paraId="2C51458E" w14:textId="77777777" w:rsidTr="00A71F42">
        <w:tc>
          <w:tcPr>
            <w:tcW w:w="4815" w:type="dxa"/>
          </w:tcPr>
          <w:p w14:paraId="160407AC" w14:textId="77777777" w:rsidR="006F6C8B" w:rsidRDefault="006F6C8B">
            <w:pPr>
              <w:pStyle w:val="TableText0"/>
            </w:pPr>
            <w:r>
              <w:t>Cost of healthcare professional attendances for administration</w:t>
            </w:r>
          </w:p>
        </w:tc>
        <w:tc>
          <w:tcPr>
            <w:tcW w:w="2126" w:type="dxa"/>
          </w:tcPr>
          <w:p w14:paraId="33A703EA" w14:textId="77777777" w:rsidR="006F6C8B" w:rsidRDefault="006F6C8B">
            <w:pPr>
              <w:pStyle w:val="TableText0"/>
              <w:jc w:val="center"/>
            </w:pPr>
            <w:r>
              <w:t>$42.85</w:t>
            </w:r>
          </w:p>
        </w:tc>
        <w:tc>
          <w:tcPr>
            <w:tcW w:w="2076" w:type="dxa"/>
          </w:tcPr>
          <w:p w14:paraId="294DE4DA" w14:textId="77777777" w:rsidR="006F6C8B" w:rsidRDefault="006F6C8B">
            <w:pPr>
              <w:pStyle w:val="TableText0"/>
              <w:jc w:val="center"/>
            </w:pPr>
            <w:r>
              <w:t>$328.04</w:t>
            </w:r>
          </w:p>
        </w:tc>
      </w:tr>
      <w:tr w:rsidR="006F6C8B" w:rsidRPr="00D86D87" w14:paraId="4BD5E21B" w14:textId="77777777" w:rsidTr="00A71F42">
        <w:tc>
          <w:tcPr>
            <w:tcW w:w="4815" w:type="dxa"/>
          </w:tcPr>
          <w:p w14:paraId="44E62191" w14:textId="77777777" w:rsidR="006F6C8B" w:rsidRDefault="006F6C8B">
            <w:pPr>
              <w:pStyle w:val="TableText0"/>
            </w:pPr>
            <w:r>
              <w:t xml:space="preserve">Cost of 6 months additional anti-resorptive therapy </w:t>
            </w:r>
            <w:r w:rsidRPr="004C6259">
              <w:t>in patients who discontinue study drug prematurely</w:t>
            </w:r>
          </w:p>
        </w:tc>
        <w:tc>
          <w:tcPr>
            <w:tcW w:w="2126" w:type="dxa"/>
          </w:tcPr>
          <w:p w14:paraId="4BA28E5E" w14:textId="77777777" w:rsidR="006F6C8B" w:rsidRDefault="006F6C8B">
            <w:pPr>
              <w:pStyle w:val="TableText0"/>
              <w:jc w:val="center"/>
            </w:pPr>
            <w:r>
              <w:t>$34.83</w:t>
            </w:r>
          </w:p>
        </w:tc>
        <w:tc>
          <w:tcPr>
            <w:tcW w:w="2076" w:type="dxa"/>
          </w:tcPr>
          <w:p w14:paraId="363C8C0F" w14:textId="77777777" w:rsidR="006F6C8B" w:rsidRDefault="006F6C8B">
            <w:pPr>
              <w:pStyle w:val="TableText0"/>
              <w:jc w:val="center"/>
            </w:pPr>
            <w:r>
              <w:t>$34.83</w:t>
            </w:r>
          </w:p>
        </w:tc>
      </w:tr>
      <w:tr w:rsidR="006F6C8B" w:rsidRPr="00D86D87" w14:paraId="3D1AF7A6" w14:textId="77777777" w:rsidTr="00A71F42">
        <w:tc>
          <w:tcPr>
            <w:tcW w:w="4815" w:type="dxa"/>
          </w:tcPr>
          <w:p w14:paraId="67500AA9" w14:textId="77777777" w:rsidR="006F6C8B" w:rsidRDefault="006F6C8B">
            <w:pPr>
              <w:pStyle w:val="TableText0"/>
            </w:pPr>
            <w:r w:rsidRPr="004C6259">
              <w:t>Cost of subsequent anti-resorptive therapy to balance of total treatment period</w:t>
            </w:r>
            <w:r>
              <w:t xml:space="preserve"> (175 days)</w:t>
            </w:r>
          </w:p>
        </w:tc>
        <w:tc>
          <w:tcPr>
            <w:tcW w:w="2126" w:type="dxa"/>
          </w:tcPr>
          <w:p w14:paraId="04B5E1F8" w14:textId="77777777" w:rsidR="006F6C8B" w:rsidRDefault="006F6C8B">
            <w:pPr>
              <w:pStyle w:val="TableText0"/>
              <w:jc w:val="center"/>
            </w:pPr>
            <w:r>
              <w:t>–</w:t>
            </w:r>
          </w:p>
        </w:tc>
        <w:tc>
          <w:tcPr>
            <w:tcW w:w="2076" w:type="dxa"/>
          </w:tcPr>
          <w:p w14:paraId="50AAA223" w14:textId="77777777" w:rsidR="006F6C8B" w:rsidRDefault="006F6C8B">
            <w:pPr>
              <w:pStyle w:val="TableText0"/>
              <w:jc w:val="center"/>
            </w:pPr>
            <w:r>
              <w:t>$167.02</w:t>
            </w:r>
          </w:p>
        </w:tc>
      </w:tr>
      <w:tr w:rsidR="006F6C8B" w:rsidRPr="00D86D87" w14:paraId="0664ABB9" w14:textId="77777777" w:rsidTr="00A71F42">
        <w:tc>
          <w:tcPr>
            <w:tcW w:w="4815" w:type="dxa"/>
          </w:tcPr>
          <w:p w14:paraId="4E9B7A77" w14:textId="77777777" w:rsidR="006F6C8B" w:rsidRDefault="006F6C8B">
            <w:pPr>
              <w:pStyle w:val="TableText0"/>
            </w:pPr>
            <w:r w:rsidRPr="004C6259">
              <w:t>Cost of cardiovascular monitoring</w:t>
            </w:r>
          </w:p>
        </w:tc>
        <w:tc>
          <w:tcPr>
            <w:tcW w:w="2126" w:type="dxa"/>
          </w:tcPr>
          <w:p w14:paraId="3DB5F4EE" w14:textId="77777777" w:rsidR="006F6C8B" w:rsidRDefault="006F6C8B">
            <w:pPr>
              <w:pStyle w:val="TableText0"/>
              <w:jc w:val="center"/>
            </w:pPr>
            <w:r>
              <w:t>–</w:t>
            </w:r>
          </w:p>
        </w:tc>
        <w:tc>
          <w:tcPr>
            <w:tcW w:w="2076" w:type="dxa"/>
          </w:tcPr>
          <w:p w14:paraId="0882362A" w14:textId="77777777" w:rsidR="006F6C8B" w:rsidRDefault="006F6C8B">
            <w:pPr>
              <w:pStyle w:val="TableText0"/>
              <w:jc w:val="center"/>
            </w:pPr>
            <w:r>
              <w:t>$190.10</w:t>
            </w:r>
          </w:p>
        </w:tc>
      </w:tr>
      <w:tr w:rsidR="006F6C8B" w:rsidRPr="00D86D87" w14:paraId="16B029FC" w14:textId="77777777" w:rsidTr="00A71F42">
        <w:tc>
          <w:tcPr>
            <w:tcW w:w="4815" w:type="dxa"/>
          </w:tcPr>
          <w:p w14:paraId="5F1C901A" w14:textId="77777777" w:rsidR="006F6C8B" w:rsidRDefault="006F6C8B">
            <w:pPr>
              <w:pStyle w:val="TableText0"/>
            </w:pPr>
            <w:r w:rsidRPr="004C6259">
              <w:t>Cardiovascular event management</w:t>
            </w:r>
          </w:p>
        </w:tc>
        <w:tc>
          <w:tcPr>
            <w:tcW w:w="2126" w:type="dxa"/>
          </w:tcPr>
          <w:p w14:paraId="65D1229D" w14:textId="77777777" w:rsidR="006F6C8B" w:rsidRDefault="006F6C8B">
            <w:pPr>
              <w:pStyle w:val="TableText0"/>
              <w:jc w:val="center"/>
            </w:pPr>
            <w:r>
              <w:t>–</w:t>
            </w:r>
          </w:p>
        </w:tc>
        <w:tc>
          <w:tcPr>
            <w:tcW w:w="2076" w:type="dxa"/>
          </w:tcPr>
          <w:p w14:paraId="2329D3D4" w14:textId="77777777" w:rsidR="006F6C8B" w:rsidRDefault="006F6C8B">
            <w:pPr>
              <w:pStyle w:val="TableText0"/>
              <w:jc w:val="center"/>
            </w:pPr>
            <w:r>
              <w:t>$182.17</w:t>
            </w:r>
          </w:p>
        </w:tc>
      </w:tr>
      <w:tr w:rsidR="006F6C8B" w:rsidRPr="00A12ABF" w14:paraId="21825E2C" w14:textId="77777777" w:rsidTr="00A71F42">
        <w:tc>
          <w:tcPr>
            <w:tcW w:w="4815" w:type="dxa"/>
          </w:tcPr>
          <w:p w14:paraId="7F476456" w14:textId="77777777" w:rsidR="006F6C8B" w:rsidRPr="00A12ABF" w:rsidRDefault="006F6C8B">
            <w:pPr>
              <w:pStyle w:val="TableText0"/>
              <w:rPr>
                <w:b/>
                <w:bCs w:val="0"/>
              </w:rPr>
            </w:pPr>
            <w:r w:rsidRPr="00A12ABF">
              <w:rPr>
                <w:b/>
                <w:bCs w:val="0"/>
              </w:rPr>
              <w:t>Total cost per course</w:t>
            </w:r>
          </w:p>
        </w:tc>
        <w:tc>
          <w:tcPr>
            <w:tcW w:w="2126" w:type="dxa"/>
          </w:tcPr>
          <w:p w14:paraId="70E1357E" w14:textId="3BD90A96" w:rsidR="006F6C8B" w:rsidRPr="00A12ABF" w:rsidRDefault="006F6C8B">
            <w:pPr>
              <w:pStyle w:val="TableText0"/>
              <w:jc w:val="center"/>
              <w:rPr>
                <w:b/>
                <w:bCs w:val="0"/>
              </w:rPr>
            </w:pPr>
            <w:r w:rsidRPr="00A12ABF">
              <w:rPr>
                <w:b/>
                <w:bCs w:val="0"/>
              </w:rPr>
              <w:t>$</w:t>
            </w:r>
            <w:r w:rsidR="008C0C40" w:rsidRPr="008C0C40">
              <w:rPr>
                <w:b/>
                <w:bCs w:val="0"/>
                <w:color w:val="000000"/>
                <w:spacing w:val="59"/>
                <w:shd w:val="solid" w:color="000000" w:fill="000000"/>
                <w:fitText w:val="363" w:id="-623673337"/>
                <w14:textFill>
                  <w14:solidFill>
                    <w14:srgbClr w14:val="000000">
                      <w14:alpha w14:val="100000"/>
                    </w14:srgbClr>
                  </w14:solidFill>
                </w14:textFill>
              </w:rPr>
              <w:t>|||</w:t>
            </w:r>
            <w:r w:rsidR="008C0C40" w:rsidRPr="008C0C40">
              <w:rPr>
                <w:b/>
                <w:bCs w:val="0"/>
                <w:color w:val="000000"/>
                <w:spacing w:val="3"/>
                <w:shd w:val="solid" w:color="000000" w:fill="000000"/>
                <w:fitText w:val="363" w:id="-623673337"/>
                <w14:textFill>
                  <w14:solidFill>
                    <w14:srgbClr w14:val="000000">
                      <w14:alpha w14:val="100000"/>
                    </w14:srgbClr>
                  </w14:solidFill>
                </w14:textFill>
              </w:rPr>
              <w:t>|</w:t>
            </w:r>
          </w:p>
        </w:tc>
        <w:tc>
          <w:tcPr>
            <w:tcW w:w="2076" w:type="dxa"/>
          </w:tcPr>
          <w:p w14:paraId="0ACE2587" w14:textId="61D78E7C" w:rsidR="006F6C8B" w:rsidRPr="00A12ABF" w:rsidRDefault="006F6C8B">
            <w:pPr>
              <w:pStyle w:val="TableText0"/>
              <w:jc w:val="center"/>
              <w:rPr>
                <w:b/>
                <w:bCs w:val="0"/>
              </w:rPr>
            </w:pPr>
            <w:r w:rsidRPr="00A12ABF">
              <w:rPr>
                <w:b/>
                <w:bCs w:val="0"/>
              </w:rPr>
              <w:t>$</w:t>
            </w:r>
            <w:r w:rsidR="008C0C40" w:rsidRPr="008C0C40">
              <w:rPr>
                <w:b/>
                <w:bCs w:val="0"/>
                <w:color w:val="000000"/>
                <w:spacing w:val="59"/>
                <w:shd w:val="solid" w:color="000000" w:fill="000000"/>
                <w:fitText w:val="363" w:id="-623673336"/>
                <w14:textFill>
                  <w14:solidFill>
                    <w14:srgbClr w14:val="000000">
                      <w14:alpha w14:val="100000"/>
                    </w14:srgbClr>
                  </w14:solidFill>
                </w14:textFill>
              </w:rPr>
              <w:t>|||</w:t>
            </w:r>
            <w:r w:rsidR="008C0C40" w:rsidRPr="008C0C40">
              <w:rPr>
                <w:b/>
                <w:bCs w:val="0"/>
                <w:color w:val="000000"/>
                <w:spacing w:val="3"/>
                <w:shd w:val="solid" w:color="000000" w:fill="000000"/>
                <w:fitText w:val="363" w:id="-623673336"/>
                <w14:textFill>
                  <w14:solidFill>
                    <w14:srgbClr w14:val="000000">
                      <w14:alpha w14:val="100000"/>
                    </w14:srgbClr>
                  </w14:solidFill>
                </w14:textFill>
              </w:rPr>
              <w:t>|</w:t>
            </w:r>
          </w:p>
        </w:tc>
      </w:tr>
    </w:tbl>
    <w:p w14:paraId="21638551" w14:textId="77777777" w:rsidR="006F6C8B" w:rsidRDefault="006F6C8B" w:rsidP="006F6C8B">
      <w:pPr>
        <w:pStyle w:val="TableFigureFooter"/>
      </w:pPr>
      <w:r w:rsidRPr="00D86D87">
        <w:t xml:space="preserve">Source: </w:t>
      </w:r>
      <w:r>
        <w:t xml:space="preserve">Adapted from </w:t>
      </w:r>
      <w:r w:rsidRPr="00D86D87">
        <w:t>Table</w:t>
      </w:r>
      <w:r>
        <w:t xml:space="preserve"> 3–3, p150 of the </w:t>
      </w:r>
      <w:r w:rsidRPr="00D86D87">
        <w:t>submission.</w:t>
      </w:r>
    </w:p>
    <w:p w14:paraId="01FE4B46" w14:textId="77777777" w:rsidR="006F6C8B" w:rsidRDefault="006F6C8B" w:rsidP="006F6C8B">
      <w:pPr>
        <w:pStyle w:val="TableFigureFooter"/>
      </w:pPr>
      <w:r>
        <w:t xml:space="preserve">Note: </w:t>
      </w:r>
      <w:r w:rsidRPr="004F204D">
        <w:t xml:space="preserve">The use of published pricing </w:t>
      </w:r>
      <w:r>
        <w:t>may</w:t>
      </w:r>
      <w:r w:rsidRPr="004F204D">
        <w:t xml:space="preserve"> not represent the</w:t>
      </w:r>
      <w:r>
        <w:t xml:space="preserve"> average cost per patient per course of treatment after the impact of special-pricing and risk-sharing arrangements are accounted for.</w:t>
      </w:r>
    </w:p>
    <w:p w14:paraId="139A5D8D" w14:textId="77777777" w:rsidR="006F6C8B" w:rsidRDefault="006F6C8B" w:rsidP="006F6C8B">
      <w:pPr>
        <w:pStyle w:val="TableFigureFooter"/>
      </w:pPr>
      <w:r w:rsidRPr="00AB389B">
        <w:rPr>
          <w:vertAlign w:val="superscript"/>
        </w:rPr>
        <w:t>a</w:t>
      </w:r>
      <w:r>
        <w:t xml:space="preserve"> over a maximum treatment course of 540 days therapy</w:t>
      </w:r>
    </w:p>
    <w:p w14:paraId="48C5BC34" w14:textId="25E9A729" w:rsidR="00341134" w:rsidRDefault="004929C2" w:rsidP="006F6C8B">
      <w:pPr>
        <w:pStyle w:val="TableFigureFooter"/>
      </w:pPr>
      <w:r w:rsidRPr="004929C2">
        <w:rPr>
          <w:vertAlign w:val="superscript"/>
        </w:rPr>
        <w:t>b</w:t>
      </w:r>
      <w:r>
        <w:t xml:space="preserve"> published price as estimated by the sponsor</w:t>
      </w:r>
    </w:p>
    <w:p w14:paraId="2403A8A4" w14:textId="7C3F7636" w:rsidR="006F6C8B" w:rsidRDefault="004929C2" w:rsidP="006F6C8B">
      <w:pPr>
        <w:pStyle w:val="TableFigureFooter"/>
      </w:pPr>
      <w:r>
        <w:rPr>
          <w:vertAlign w:val="superscript"/>
        </w:rPr>
        <w:t>c</w:t>
      </w:r>
      <w:r>
        <w:t xml:space="preserve"> </w:t>
      </w:r>
      <w:r w:rsidR="006F6C8B">
        <w:t>over a maximum treatment course of 365 days therapy</w:t>
      </w:r>
    </w:p>
    <w:p w14:paraId="7CAE5512" w14:textId="70C52A03" w:rsidR="00AB6EAF" w:rsidRPr="00AA54B2" w:rsidRDefault="00AB6EAF" w:rsidP="00AB6EAF">
      <w:pPr>
        <w:pStyle w:val="3-BodyText"/>
        <w:rPr>
          <w:iCs/>
        </w:rPr>
      </w:pPr>
      <w:bookmarkStart w:id="59" w:name="_Ref201246646"/>
      <w:r w:rsidRPr="00AA54B2">
        <w:rPr>
          <w:iCs/>
        </w:rPr>
        <w:t>The ESC noted that the cost-minimised price for abaloparatide was sensitive to the assumed treatment durations, with a sensitivity analysis showing that if abaloparatide and romosozumab are both used for their maximum treatment durations of 18 months and 12 months</w:t>
      </w:r>
      <w:r w:rsidR="00486386" w:rsidRPr="00AA54B2">
        <w:rPr>
          <w:iCs/>
        </w:rPr>
        <w:t>,</w:t>
      </w:r>
      <w:r w:rsidRPr="00AA54B2">
        <w:rPr>
          <w:iCs/>
        </w:rPr>
        <w:t xml:space="preserve"> respectively</w:t>
      </w:r>
      <w:r w:rsidR="00486386" w:rsidRPr="00AA54B2">
        <w:rPr>
          <w:iCs/>
        </w:rPr>
        <w:t>,</w:t>
      </w:r>
      <w:r w:rsidRPr="00AA54B2">
        <w:rPr>
          <w:iCs/>
        </w:rPr>
        <w:t xml:space="preserve"> that the cost-minimised price for abaloparatide would be reduced by approximately </w:t>
      </w:r>
      <w:r w:rsidR="008C0C40" w:rsidRPr="00306E37">
        <w:rPr>
          <w:iCs/>
          <w:color w:val="000000"/>
          <w:spacing w:val="6"/>
          <w:w w:val="62"/>
          <w:shd w:val="solid" w:color="000000" w:fill="000000"/>
          <w:fitText w:val="481" w:id="-623673335"/>
          <w14:textFill>
            <w14:solidFill>
              <w14:srgbClr w14:val="000000">
                <w14:alpha w14:val="100000"/>
              </w14:srgbClr>
            </w14:solidFill>
          </w14:textFill>
        </w:rPr>
        <w:t>|||</w:t>
      </w:r>
      <w:r w:rsidR="00306E37" w:rsidRPr="00306E37">
        <w:rPr>
          <w:iCs/>
          <w:color w:val="000000"/>
          <w:spacing w:val="6"/>
          <w:w w:val="62"/>
          <w:shd w:val="solid" w:color="000000" w:fill="000000"/>
          <w:fitText w:val="481" w:id="-623673335"/>
          <w14:textFill>
            <w14:solidFill>
              <w14:srgbClr w14:val="000000">
                <w14:alpha w14:val="100000"/>
              </w14:srgbClr>
            </w14:solidFill>
          </w14:textFill>
        </w:rPr>
        <w:t xml:space="preserve"> </w:t>
      </w:r>
      <w:r w:rsidR="008C0C40" w:rsidRPr="00306E37">
        <w:rPr>
          <w:iCs/>
          <w:color w:val="000000"/>
          <w:spacing w:val="6"/>
          <w:w w:val="62"/>
          <w:shd w:val="solid" w:color="000000" w:fill="000000"/>
          <w:fitText w:val="481" w:id="-623673335"/>
          <w14:textFill>
            <w14:solidFill>
              <w14:srgbClr w14:val="000000">
                <w14:alpha w14:val="100000"/>
              </w14:srgbClr>
            </w14:solidFill>
          </w14:textFill>
        </w:rPr>
        <w:t>||</w:t>
      </w:r>
      <w:r w:rsidR="008C0C40" w:rsidRPr="00306E37">
        <w:rPr>
          <w:iCs/>
          <w:color w:val="000000"/>
          <w:spacing w:val="1"/>
          <w:w w:val="62"/>
          <w:shd w:val="solid" w:color="000000" w:fill="000000"/>
          <w:fitText w:val="481" w:id="-623673335"/>
          <w14:textFill>
            <w14:solidFill>
              <w14:srgbClr w14:val="000000">
                <w14:alpha w14:val="100000"/>
              </w14:srgbClr>
            </w14:solidFill>
          </w14:textFill>
        </w:rPr>
        <w:t>|</w:t>
      </w:r>
      <w:r w:rsidRPr="00AA54B2">
        <w:rPr>
          <w:iCs/>
        </w:rPr>
        <w:t>%</w:t>
      </w:r>
      <w:r w:rsidR="00F20B4F" w:rsidRPr="00AA54B2">
        <w:rPr>
          <w:iCs/>
        </w:rPr>
        <w:t xml:space="preserve"> from $</w:t>
      </w:r>
      <w:r w:rsidR="008C0C40" w:rsidRPr="00306E37">
        <w:rPr>
          <w:iCs/>
          <w:color w:val="000000"/>
          <w:spacing w:val="6"/>
          <w:w w:val="60"/>
          <w:shd w:val="solid" w:color="000000" w:fill="000000"/>
          <w:fitText w:val="468" w:id="-623673334"/>
          <w14:textFill>
            <w14:solidFill>
              <w14:srgbClr w14:val="000000">
                <w14:alpha w14:val="100000"/>
              </w14:srgbClr>
            </w14:solidFill>
          </w14:textFill>
        </w:rPr>
        <w:t>|||</w:t>
      </w:r>
      <w:r w:rsidR="00306E37" w:rsidRPr="00306E37">
        <w:rPr>
          <w:iCs/>
          <w:color w:val="000000"/>
          <w:spacing w:val="6"/>
          <w:w w:val="60"/>
          <w:shd w:val="solid" w:color="000000" w:fill="000000"/>
          <w:fitText w:val="468" w:id="-623673334"/>
          <w14:textFill>
            <w14:solidFill>
              <w14:srgbClr w14:val="000000">
                <w14:alpha w14:val="100000"/>
              </w14:srgbClr>
            </w14:solidFill>
          </w14:textFill>
        </w:rPr>
        <w:t xml:space="preserve"> </w:t>
      </w:r>
      <w:r w:rsidR="008C0C40" w:rsidRPr="00306E37">
        <w:rPr>
          <w:iCs/>
          <w:color w:val="000000"/>
          <w:spacing w:val="6"/>
          <w:w w:val="60"/>
          <w:shd w:val="solid" w:color="000000" w:fill="000000"/>
          <w:fitText w:val="468" w:id="-623673334"/>
          <w14:textFill>
            <w14:solidFill>
              <w14:srgbClr w14:val="000000">
                <w14:alpha w14:val="100000"/>
              </w14:srgbClr>
            </w14:solidFill>
          </w14:textFill>
        </w:rPr>
        <w:t>||</w:t>
      </w:r>
      <w:r w:rsidR="008C0C40" w:rsidRPr="00306E37">
        <w:rPr>
          <w:iCs/>
          <w:color w:val="000000"/>
          <w:spacing w:val="2"/>
          <w:w w:val="60"/>
          <w:shd w:val="solid" w:color="000000" w:fill="000000"/>
          <w:fitText w:val="468" w:id="-623673334"/>
          <w14:textFill>
            <w14:solidFill>
              <w14:srgbClr w14:val="000000">
                <w14:alpha w14:val="100000"/>
              </w14:srgbClr>
            </w14:solidFill>
          </w14:textFill>
        </w:rPr>
        <w:t>|</w:t>
      </w:r>
      <w:r w:rsidR="00F20B4F" w:rsidRPr="00AA54B2">
        <w:rPr>
          <w:iCs/>
        </w:rPr>
        <w:t xml:space="preserve"> to $</w:t>
      </w:r>
      <w:r w:rsidR="008C0C40" w:rsidRPr="00306E37">
        <w:rPr>
          <w:iCs/>
          <w:color w:val="000000"/>
          <w:spacing w:val="6"/>
          <w:w w:val="60"/>
          <w:shd w:val="solid" w:color="000000" w:fill="000000"/>
          <w:fitText w:val="469" w:id="-623673333"/>
          <w14:textFill>
            <w14:solidFill>
              <w14:srgbClr w14:val="000000">
                <w14:alpha w14:val="100000"/>
              </w14:srgbClr>
            </w14:solidFill>
          </w14:textFill>
        </w:rPr>
        <w:t>|||</w:t>
      </w:r>
      <w:r w:rsidR="00306E37" w:rsidRPr="00306E37">
        <w:rPr>
          <w:iCs/>
          <w:color w:val="000000"/>
          <w:spacing w:val="6"/>
          <w:w w:val="60"/>
          <w:shd w:val="solid" w:color="000000" w:fill="000000"/>
          <w:fitText w:val="469" w:id="-623673333"/>
          <w14:textFill>
            <w14:solidFill>
              <w14:srgbClr w14:val="000000">
                <w14:alpha w14:val="100000"/>
              </w14:srgbClr>
            </w14:solidFill>
          </w14:textFill>
        </w:rPr>
        <w:t xml:space="preserve"> </w:t>
      </w:r>
      <w:r w:rsidR="008C0C40" w:rsidRPr="00306E37">
        <w:rPr>
          <w:iCs/>
          <w:color w:val="000000"/>
          <w:spacing w:val="6"/>
          <w:w w:val="60"/>
          <w:shd w:val="solid" w:color="000000" w:fill="000000"/>
          <w:fitText w:val="469" w:id="-623673333"/>
          <w14:textFill>
            <w14:solidFill>
              <w14:srgbClr w14:val="000000">
                <w14:alpha w14:val="100000"/>
              </w14:srgbClr>
            </w14:solidFill>
          </w14:textFill>
        </w:rPr>
        <w:t>||</w:t>
      </w:r>
      <w:r w:rsidR="008C0C40" w:rsidRPr="00306E37">
        <w:rPr>
          <w:iCs/>
          <w:color w:val="000000"/>
          <w:spacing w:val="3"/>
          <w:w w:val="60"/>
          <w:shd w:val="solid" w:color="000000" w:fill="000000"/>
          <w:fitText w:val="469" w:id="-623673333"/>
          <w14:textFill>
            <w14:solidFill>
              <w14:srgbClr w14:val="000000">
                <w14:alpha w14:val="100000"/>
              </w14:srgbClr>
            </w14:solidFill>
          </w14:textFill>
        </w:rPr>
        <w:t>|</w:t>
      </w:r>
      <w:r w:rsidR="00F20B4F" w:rsidRPr="00AA54B2">
        <w:rPr>
          <w:iCs/>
        </w:rPr>
        <w:t xml:space="preserve"> (Table 11)</w:t>
      </w:r>
      <w:r w:rsidRPr="00AA54B2">
        <w:rPr>
          <w:iCs/>
        </w:rPr>
        <w:t xml:space="preserve">. </w:t>
      </w:r>
    </w:p>
    <w:p w14:paraId="6635BC01" w14:textId="070FC1A5" w:rsidR="00500F46" w:rsidRPr="001C689E" w:rsidRDefault="00500F46" w:rsidP="00500F46">
      <w:pPr>
        <w:pStyle w:val="Caption"/>
      </w:pPr>
      <w:r w:rsidRPr="001C689E">
        <w:t xml:space="preserve">Table </w:t>
      </w:r>
      <w:r w:rsidR="001C1C72">
        <w:fldChar w:fldCharType="begin"/>
      </w:r>
      <w:r w:rsidR="001C1C72">
        <w:instrText xml:space="preserve"> SEQ Table \* ARABIC </w:instrText>
      </w:r>
      <w:r w:rsidR="001C1C72">
        <w:fldChar w:fldCharType="separate"/>
      </w:r>
      <w:r w:rsidR="005B625A">
        <w:rPr>
          <w:noProof/>
        </w:rPr>
        <w:t>11</w:t>
      </w:r>
      <w:r w:rsidR="001C1C72">
        <w:rPr>
          <w:noProof/>
        </w:rPr>
        <w:fldChar w:fldCharType="end"/>
      </w:r>
      <w:r w:rsidRPr="001C689E">
        <w:t>:</w:t>
      </w:r>
      <w:r w:rsidRPr="001C689E">
        <w:rPr>
          <w:rStyle w:val="CommentReference"/>
          <w:b/>
          <w:szCs w:val="24"/>
        </w:rPr>
        <w:t xml:space="preserve"> </w:t>
      </w:r>
      <w:r w:rsidR="00E14C57" w:rsidRPr="001C689E">
        <w:t>Sensitivity analysis assuming the maximum durations of abaloparatide or romosozumab treatment, based on published prices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1: Sensitivity analysis assuming the maximum durations of abaloparatide or romosozumab treatment, based on published prices"/>
      </w:tblPr>
      <w:tblGrid>
        <w:gridCol w:w="4815"/>
        <w:gridCol w:w="2126"/>
        <w:gridCol w:w="2076"/>
      </w:tblGrid>
      <w:tr w:rsidR="00500F46" w:rsidRPr="001C689E" w14:paraId="58891B0C" w14:textId="77777777" w:rsidTr="00F244C6">
        <w:tc>
          <w:tcPr>
            <w:tcW w:w="4815" w:type="dxa"/>
          </w:tcPr>
          <w:p w14:paraId="367A4D1A" w14:textId="77777777" w:rsidR="00500F46" w:rsidRPr="001C689E" w:rsidRDefault="00500F46" w:rsidP="00F244C6">
            <w:pPr>
              <w:pStyle w:val="In-tableHeading"/>
              <w:rPr>
                <w:lang w:val="en-AU"/>
              </w:rPr>
            </w:pPr>
            <w:r w:rsidRPr="001C689E">
              <w:rPr>
                <w:lang w:val="en-AU"/>
              </w:rPr>
              <w:t>Component</w:t>
            </w:r>
          </w:p>
        </w:tc>
        <w:tc>
          <w:tcPr>
            <w:tcW w:w="2126" w:type="dxa"/>
          </w:tcPr>
          <w:p w14:paraId="0CECB704" w14:textId="77777777" w:rsidR="00500F46" w:rsidRPr="001C689E" w:rsidRDefault="00500F46" w:rsidP="00F244C6">
            <w:pPr>
              <w:pStyle w:val="In-tableHeading"/>
              <w:jc w:val="center"/>
              <w:rPr>
                <w:lang w:val="en-AU"/>
              </w:rPr>
            </w:pPr>
            <w:r w:rsidRPr="001C689E">
              <w:rPr>
                <w:lang w:val="en-AU"/>
              </w:rPr>
              <w:t>Abaloparatide</w:t>
            </w:r>
          </w:p>
        </w:tc>
        <w:tc>
          <w:tcPr>
            <w:tcW w:w="2076" w:type="dxa"/>
          </w:tcPr>
          <w:p w14:paraId="7035BC63" w14:textId="77777777" w:rsidR="00500F46" w:rsidRPr="001C689E" w:rsidRDefault="00500F46" w:rsidP="00F244C6">
            <w:pPr>
              <w:pStyle w:val="In-tableHeading"/>
              <w:jc w:val="center"/>
              <w:rPr>
                <w:lang w:val="en-AU"/>
              </w:rPr>
            </w:pPr>
            <w:r w:rsidRPr="001C689E">
              <w:rPr>
                <w:lang w:val="en-AU"/>
              </w:rPr>
              <w:t>Romosozumab</w:t>
            </w:r>
          </w:p>
        </w:tc>
      </w:tr>
      <w:tr w:rsidR="007746EF" w:rsidRPr="001C689E" w14:paraId="023894C1" w14:textId="77777777" w:rsidTr="00F244C6">
        <w:tc>
          <w:tcPr>
            <w:tcW w:w="4815" w:type="dxa"/>
          </w:tcPr>
          <w:p w14:paraId="1EDF8995" w14:textId="77777777" w:rsidR="007746EF" w:rsidRPr="001C689E" w:rsidRDefault="007746EF" w:rsidP="007746EF">
            <w:pPr>
              <w:pStyle w:val="TableText0"/>
            </w:pPr>
            <w:r w:rsidRPr="001C689E">
              <w:t>AEMP per script</w:t>
            </w:r>
          </w:p>
        </w:tc>
        <w:tc>
          <w:tcPr>
            <w:tcW w:w="2126" w:type="dxa"/>
          </w:tcPr>
          <w:p w14:paraId="00ADD407" w14:textId="2C4C1674" w:rsidR="007746EF" w:rsidRPr="001C689E" w:rsidRDefault="007746EF" w:rsidP="007746EF">
            <w:pPr>
              <w:pStyle w:val="TableText0"/>
              <w:jc w:val="center"/>
            </w:pPr>
            <w:r w:rsidRPr="001C689E">
              <w:t>$</w:t>
            </w:r>
            <w:r w:rsidR="008C0C40" w:rsidRPr="008C0C40">
              <w:rPr>
                <w:color w:val="000000"/>
                <w:spacing w:val="51"/>
                <w:shd w:val="solid" w:color="000000" w:fill="000000"/>
                <w:fitText w:val="325" w:id="-623673332"/>
                <w14:textFill>
                  <w14:solidFill>
                    <w14:srgbClr w14:val="000000">
                      <w14:alpha w14:val="100000"/>
                    </w14:srgbClr>
                  </w14:solidFill>
                </w14:textFill>
              </w:rPr>
              <w:t>|||</w:t>
            </w:r>
            <w:r w:rsidR="008C0C40" w:rsidRPr="008C0C40">
              <w:rPr>
                <w:color w:val="000000"/>
                <w:spacing w:val="2"/>
                <w:shd w:val="solid" w:color="000000" w:fill="000000"/>
                <w:fitText w:val="325" w:id="-623673332"/>
                <w14:textFill>
                  <w14:solidFill>
                    <w14:srgbClr w14:val="000000">
                      <w14:alpha w14:val="100000"/>
                    </w14:srgbClr>
                  </w14:solidFill>
                </w14:textFill>
              </w:rPr>
              <w:t>|</w:t>
            </w:r>
          </w:p>
        </w:tc>
        <w:tc>
          <w:tcPr>
            <w:tcW w:w="2076" w:type="dxa"/>
          </w:tcPr>
          <w:p w14:paraId="27ABBB2E" w14:textId="10A8D568" w:rsidR="007746EF" w:rsidRPr="001C689E" w:rsidRDefault="007746EF" w:rsidP="007746EF">
            <w:pPr>
              <w:pStyle w:val="TableText0"/>
              <w:jc w:val="center"/>
            </w:pPr>
            <w:r w:rsidRPr="003E1E11">
              <w:t>$</w:t>
            </w:r>
            <w:r w:rsidR="008C0C40" w:rsidRPr="008C0C40">
              <w:rPr>
                <w:color w:val="000000"/>
                <w:spacing w:val="51"/>
                <w:shd w:val="solid" w:color="000000" w:fill="000000"/>
                <w:fitText w:val="326" w:id="-623673331"/>
                <w14:textFill>
                  <w14:solidFill>
                    <w14:srgbClr w14:val="000000">
                      <w14:alpha w14:val="100000"/>
                    </w14:srgbClr>
                  </w14:solidFill>
                </w14:textFill>
              </w:rPr>
              <w:t>|||</w:t>
            </w:r>
            <w:r w:rsidR="008C0C40" w:rsidRPr="008C0C40">
              <w:rPr>
                <w:color w:val="000000"/>
                <w:spacing w:val="3"/>
                <w:shd w:val="solid" w:color="000000" w:fill="000000"/>
                <w:fitText w:val="326" w:id="-623673331"/>
                <w14:textFill>
                  <w14:solidFill>
                    <w14:srgbClr w14:val="000000">
                      <w14:alpha w14:val="100000"/>
                    </w14:srgbClr>
                  </w14:solidFill>
                </w14:textFill>
              </w:rPr>
              <w:t>|</w:t>
            </w:r>
            <w:r w:rsidR="004158F8" w:rsidRPr="003E1E11">
              <w:t xml:space="preserve"> </w:t>
            </w:r>
            <w:r w:rsidR="004158F8" w:rsidRPr="003E1E11">
              <w:rPr>
                <w:vertAlign w:val="superscript"/>
              </w:rPr>
              <w:t>b</w:t>
            </w:r>
          </w:p>
        </w:tc>
      </w:tr>
      <w:tr w:rsidR="007746EF" w:rsidRPr="001C689E" w14:paraId="1A4A622A" w14:textId="77777777" w:rsidTr="00F244C6">
        <w:tc>
          <w:tcPr>
            <w:tcW w:w="4815" w:type="dxa"/>
          </w:tcPr>
          <w:p w14:paraId="4FAF6234" w14:textId="77777777" w:rsidR="007746EF" w:rsidRPr="001C689E" w:rsidRDefault="007746EF" w:rsidP="007746EF">
            <w:pPr>
              <w:pStyle w:val="TableText0"/>
            </w:pPr>
            <w:r w:rsidRPr="001C689E">
              <w:t>No. scripts per course</w:t>
            </w:r>
          </w:p>
        </w:tc>
        <w:tc>
          <w:tcPr>
            <w:tcW w:w="2126" w:type="dxa"/>
          </w:tcPr>
          <w:p w14:paraId="16573BED" w14:textId="59FC2C2A" w:rsidR="007746EF" w:rsidRPr="001C689E" w:rsidRDefault="007746EF" w:rsidP="007746EF">
            <w:pPr>
              <w:pStyle w:val="TableText0"/>
              <w:jc w:val="center"/>
            </w:pPr>
            <w:r w:rsidRPr="001C689E">
              <w:t>18.0 </w:t>
            </w:r>
            <w:r w:rsidRPr="001C689E">
              <w:rPr>
                <w:vertAlign w:val="superscript"/>
              </w:rPr>
              <w:t>a</w:t>
            </w:r>
          </w:p>
        </w:tc>
        <w:tc>
          <w:tcPr>
            <w:tcW w:w="2076" w:type="dxa"/>
          </w:tcPr>
          <w:p w14:paraId="2BA2A96C" w14:textId="4FFC46C3" w:rsidR="007746EF" w:rsidRPr="001C689E" w:rsidRDefault="007746EF" w:rsidP="007746EF">
            <w:pPr>
              <w:pStyle w:val="TableText0"/>
              <w:jc w:val="center"/>
            </w:pPr>
            <w:r w:rsidRPr="001C689E">
              <w:t>12.0 </w:t>
            </w:r>
            <w:r w:rsidR="004158F8">
              <w:rPr>
                <w:vertAlign w:val="superscript"/>
              </w:rPr>
              <w:t>c</w:t>
            </w:r>
          </w:p>
        </w:tc>
      </w:tr>
      <w:tr w:rsidR="007746EF" w:rsidRPr="001C689E" w14:paraId="7F5C0D9C" w14:textId="77777777" w:rsidTr="00F244C6">
        <w:tc>
          <w:tcPr>
            <w:tcW w:w="4815" w:type="dxa"/>
          </w:tcPr>
          <w:p w14:paraId="32A49523" w14:textId="77777777" w:rsidR="007746EF" w:rsidRPr="001C689E" w:rsidRDefault="007746EF" w:rsidP="007746EF">
            <w:pPr>
              <w:pStyle w:val="TableText0"/>
              <w:rPr>
                <w:b/>
                <w:bCs w:val="0"/>
              </w:rPr>
            </w:pPr>
            <w:r w:rsidRPr="001C689E">
              <w:rPr>
                <w:b/>
                <w:bCs w:val="0"/>
              </w:rPr>
              <w:t>Total medicines cost per course</w:t>
            </w:r>
          </w:p>
        </w:tc>
        <w:tc>
          <w:tcPr>
            <w:tcW w:w="2126" w:type="dxa"/>
          </w:tcPr>
          <w:p w14:paraId="6EFA3C2C" w14:textId="395CDD9B" w:rsidR="007746EF" w:rsidRPr="001C689E" w:rsidRDefault="007746EF" w:rsidP="007746EF">
            <w:pPr>
              <w:pStyle w:val="TableText0"/>
              <w:jc w:val="center"/>
              <w:rPr>
                <w:b/>
                <w:bCs w:val="0"/>
              </w:rPr>
            </w:pPr>
            <w:r w:rsidRPr="001C689E">
              <w:rPr>
                <w:b/>
                <w:bCs w:val="0"/>
              </w:rPr>
              <w:t>$</w:t>
            </w:r>
            <w:r w:rsidR="008C0C40" w:rsidRPr="008C0C40">
              <w:rPr>
                <w:b/>
                <w:bCs w:val="0"/>
                <w:color w:val="000000"/>
                <w:spacing w:val="59"/>
                <w:shd w:val="solid" w:color="000000" w:fill="000000"/>
                <w:fitText w:val="363" w:id="-623673330"/>
                <w14:textFill>
                  <w14:solidFill>
                    <w14:srgbClr w14:val="000000">
                      <w14:alpha w14:val="100000"/>
                    </w14:srgbClr>
                  </w14:solidFill>
                </w14:textFill>
              </w:rPr>
              <w:t>|||</w:t>
            </w:r>
            <w:r w:rsidR="008C0C40" w:rsidRPr="008C0C40">
              <w:rPr>
                <w:b/>
                <w:bCs w:val="0"/>
                <w:color w:val="000000"/>
                <w:spacing w:val="3"/>
                <w:shd w:val="solid" w:color="000000" w:fill="000000"/>
                <w:fitText w:val="363" w:id="-623673330"/>
                <w14:textFill>
                  <w14:solidFill>
                    <w14:srgbClr w14:val="000000">
                      <w14:alpha w14:val="100000"/>
                    </w14:srgbClr>
                  </w14:solidFill>
                </w14:textFill>
              </w:rPr>
              <w:t>|</w:t>
            </w:r>
          </w:p>
        </w:tc>
        <w:tc>
          <w:tcPr>
            <w:tcW w:w="2076" w:type="dxa"/>
          </w:tcPr>
          <w:p w14:paraId="10E369BC" w14:textId="28C81FD1" w:rsidR="007746EF" w:rsidRPr="001C689E" w:rsidRDefault="007746EF" w:rsidP="007746EF">
            <w:pPr>
              <w:pStyle w:val="TableText0"/>
              <w:jc w:val="center"/>
              <w:rPr>
                <w:b/>
                <w:bCs w:val="0"/>
              </w:rPr>
            </w:pPr>
            <w:r w:rsidRPr="001C689E">
              <w:rPr>
                <w:b/>
                <w:bCs w:val="0"/>
              </w:rPr>
              <w:t>$</w:t>
            </w:r>
            <w:r w:rsidR="008C0C40" w:rsidRPr="008C0C40">
              <w:rPr>
                <w:b/>
                <w:bCs w:val="0"/>
                <w:color w:val="000000"/>
                <w:spacing w:val="59"/>
                <w:shd w:val="solid" w:color="000000" w:fill="000000"/>
                <w:fitText w:val="363" w:id="-623673329"/>
                <w14:textFill>
                  <w14:solidFill>
                    <w14:srgbClr w14:val="000000">
                      <w14:alpha w14:val="100000"/>
                    </w14:srgbClr>
                  </w14:solidFill>
                </w14:textFill>
              </w:rPr>
              <w:t>|||</w:t>
            </w:r>
            <w:r w:rsidR="008C0C40" w:rsidRPr="008C0C40">
              <w:rPr>
                <w:b/>
                <w:bCs w:val="0"/>
                <w:color w:val="000000"/>
                <w:spacing w:val="3"/>
                <w:shd w:val="solid" w:color="000000" w:fill="000000"/>
                <w:fitText w:val="363" w:id="-623673329"/>
                <w14:textFill>
                  <w14:solidFill>
                    <w14:srgbClr w14:val="000000">
                      <w14:alpha w14:val="100000"/>
                    </w14:srgbClr>
                  </w14:solidFill>
                </w14:textFill>
              </w:rPr>
              <w:t>|</w:t>
            </w:r>
          </w:p>
        </w:tc>
      </w:tr>
      <w:tr w:rsidR="007746EF" w:rsidRPr="001C689E" w14:paraId="3A4323E3" w14:textId="77777777" w:rsidTr="00F244C6">
        <w:tc>
          <w:tcPr>
            <w:tcW w:w="4815" w:type="dxa"/>
          </w:tcPr>
          <w:p w14:paraId="09832258" w14:textId="77777777" w:rsidR="007746EF" w:rsidRPr="001C689E" w:rsidRDefault="007746EF" w:rsidP="007746EF">
            <w:pPr>
              <w:pStyle w:val="TableText0"/>
            </w:pPr>
            <w:r w:rsidRPr="001C689E">
              <w:t>Cost of healthcare professional attendances for administration</w:t>
            </w:r>
          </w:p>
        </w:tc>
        <w:tc>
          <w:tcPr>
            <w:tcW w:w="2126" w:type="dxa"/>
          </w:tcPr>
          <w:p w14:paraId="06C94970" w14:textId="48A280E2" w:rsidR="007746EF" w:rsidRPr="001C689E" w:rsidRDefault="007746EF" w:rsidP="007746EF">
            <w:pPr>
              <w:pStyle w:val="TableText0"/>
              <w:jc w:val="center"/>
            </w:pPr>
            <w:r w:rsidRPr="001C689E">
              <w:t>$42.85</w:t>
            </w:r>
          </w:p>
        </w:tc>
        <w:tc>
          <w:tcPr>
            <w:tcW w:w="2076" w:type="dxa"/>
          </w:tcPr>
          <w:p w14:paraId="7312FB64" w14:textId="6A9ADF06" w:rsidR="007746EF" w:rsidRPr="001C689E" w:rsidRDefault="007746EF" w:rsidP="007746EF">
            <w:pPr>
              <w:pStyle w:val="TableText0"/>
              <w:jc w:val="center"/>
            </w:pPr>
            <w:r w:rsidRPr="001C689E">
              <w:t>$341.89</w:t>
            </w:r>
          </w:p>
        </w:tc>
      </w:tr>
      <w:tr w:rsidR="007746EF" w:rsidRPr="001C689E" w14:paraId="0BE5114C" w14:textId="77777777" w:rsidTr="00F244C6">
        <w:tc>
          <w:tcPr>
            <w:tcW w:w="4815" w:type="dxa"/>
          </w:tcPr>
          <w:p w14:paraId="3CC49F58" w14:textId="77777777" w:rsidR="007746EF" w:rsidRPr="001C689E" w:rsidRDefault="007746EF" w:rsidP="007746EF">
            <w:pPr>
              <w:pStyle w:val="TableText0"/>
            </w:pPr>
            <w:r w:rsidRPr="001C689E">
              <w:t>Cost of 6 months additional anti-resorptive therapy in patients who discontinue study drug prematurely</w:t>
            </w:r>
          </w:p>
        </w:tc>
        <w:tc>
          <w:tcPr>
            <w:tcW w:w="2126" w:type="dxa"/>
          </w:tcPr>
          <w:p w14:paraId="5E21D1AD" w14:textId="6A1AEB2F" w:rsidR="007746EF" w:rsidRPr="001C689E" w:rsidRDefault="007746EF" w:rsidP="007746EF">
            <w:pPr>
              <w:pStyle w:val="TableText0"/>
              <w:jc w:val="center"/>
            </w:pPr>
            <w:r w:rsidRPr="001C689E">
              <w:t>$34.83</w:t>
            </w:r>
          </w:p>
        </w:tc>
        <w:tc>
          <w:tcPr>
            <w:tcW w:w="2076" w:type="dxa"/>
          </w:tcPr>
          <w:p w14:paraId="5275CA77" w14:textId="6F0A72CE" w:rsidR="007746EF" w:rsidRPr="001C689E" w:rsidRDefault="007746EF" w:rsidP="007746EF">
            <w:pPr>
              <w:pStyle w:val="TableText0"/>
              <w:jc w:val="center"/>
            </w:pPr>
            <w:r w:rsidRPr="001C689E">
              <w:t>$34.83</w:t>
            </w:r>
          </w:p>
        </w:tc>
      </w:tr>
      <w:tr w:rsidR="007746EF" w:rsidRPr="001C689E" w14:paraId="6F58027F" w14:textId="77777777" w:rsidTr="00F244C6">
        <w:tc>
          <w:tcPr>
            <w:tcW w:w="4815" w:type="dxa"/>
          </w:tcPr>
          <w:p w14:paraId="6DD550D2" w14:textId="77777777" w:rsidR="007746EF" w:rsidRPr="001C689E" w:rsidRDefault="007746EF" w:rsidP="007746EF">
            <w:pPr>
              <w:pStyle w:val="TableText0"/>
            </w:pPr>
            <w:r w:rsidRPr="001C689E">
              <w:t>Cost of subsequent anti-resorptive therapy to balance of total treatment period (175 days)</w:t>
            </w:r>
          </w:p>
        </w:tc>
        <w:tc>
          <w:tcPr>
            <w:tcW w:w="2126" w:type="dxa"/>
          </w:tcPr>
          <w:p w14:paraId="2B8A7BAE" w14:textId="7EE34DAE" w:rsidR="007746EF" w:rsidRPr="001C689E" w:rsidRDefault="007746EF" w:rsidP="007746EF">
            <w:pPr>
              <w:pStyle w:val="TableText0"/>
              <w:jc w:val="center"/>
            </w:pPr>
          </w:p>
        </w:tc>
        <w:tc>
          <w:tcPr>
            <w:tcW w:w="2076" w:type="dxa"/>
          </w:tcPr>
          <w:p w14:paraId="7AB7918F" w14:textId="28BBCCE5" w:rsidR="007746EF" w:rsidRPr="001C689E" w:rsidRDefault="007746EF" w:rsidP="007746EF">
            <w:pPr>
              <w:pStyle w:val="TableText0"/>
              <w:jc w:val="center"/>
            </w:pPr>
            <w:r w:rsidRPr="001C689E">
              <w:t>$167.02</w:t>
            </w:r>
          </w:p>
        </w:tc>
      </w:tr>
      <w:tr w:rsidR="007746EF" w:rsidRPr="001C689E" w14:paraId="0AB96C70" w14:textId="77777777" w:rsidTr="00F244C6">
        <w:tc>
          <w:tcPr>
            <w:tcW w:w="4815" w:type="dxa"/>
          </w:tcPr>
          <w:p w14:paraId="1E64C38A" w14:textId="77777777" w:rsidR="007746EF" w:rsidRPr="001C689E" w:rsidRDefault="007746EF" w:rsidP="007746EF">
            <w:pPr>
              <w:pStyle w:val="TableText0"/>
            </w:pPr>
            <w:r w:rsidRPr="001C689E">
              <w:t>Cost of cardiovascular monitoring</w:t>
            </w:r>
          </w:p>
        </w:tc>
        <w:tc>
          <w:tcPr>
            <w:tcW w:w="2126" w:type="dxa"/>
          </w:tcPr>
          <w:p w14:paraId="1AAE5349" w14:textId="47B02F34" w:rsidR="007746EF" w:rsidRPr="001C689E" w:rsidRDefault="007746EF" w:rsidP="007746EF">
            <w:pPr>
              <w:pStyle w:val="TableText0"/>
              <w:jc w:val="center"/>
            </w:pPr>
          </w:p>
        </w:tc>
        <w:tc>
          <w:tcPr>
            <w:tcW w:w="2076" w:type="dxa"/>
          </w:tcPr>
          <w:p w14:paraId="2CBDDC4E" w14:textId="6F2DB0EC" w:rsidR="007746EF" w:rsidRPr="001C689E" w:rsidRDefault="007746EF" w:rsidP="007746EF">
            <w:pPr>
              <w:pStyle w:val="TableText0"/>
              <w:jc w:val="center"/>
            </w:pPr>
            <w:r w:rsidRPr="001C689E">
              <w:t>$190.10</w:t>
            </w:r>
          </w:p>
        </w:tc>
      </w:tr>
      <w:tr w:rsidR="007746EF" w:rsidRPr="001C689E" w14:paraId="36BC8678" w14:textId="77777777" w:rsidTr="00F244C6">
        <w:tc>
          <w:tcPr>
            <w:tcW w:w="4815" w:type="dxa"/>
          </w:tcPr>
          <w:p w14:paraId="0681BED6" w14:textId="77777777" w:rsidR="007746EF" w:rsidRPr="001C689E" w:rsidRDefault="007746EF" w:rsidP="007746EF">
            <w:pPr>
              <w:pStyle w:val="TableText0"/>
            </w:pPr>
            <w:r w:rsidRPr="001C689E">
              <w:t>Cardiovascular event management</w:t>
            </w:r>
          </w:p>
        </w:tc>
        <w:tc>
          <w:tcPr>
            <w:tcW w:w="2126" w:type="dxa"/>
          </w:tcPr>
          <w:p w14:paraId="3A82C96C" w14:textId="46E93E47" w:rsidR="007746EF" w:rsidRPr="001C689E" w:rsidRDefault="007746EF" w:rsidP="007746EF">
            <w:pPr>
              <w:pStyle w:val="TableText0"/>
              <w:jc w:val="center"/>
            </w:pPr>
          </w:p>
        </w:tc>
        <w:tc>
          <w:tcPr>
            <w:tcW w:w="2076" w:type="dxa"/>
          </w:tcPr>
          <w:p w14:paraId="4675F81F" w14:textId="10263AE8" w:rsidR="007746EF" w:rsidRPr="001C689E" w:rsidRDefault="007746EF" w:rsidP="007746EF">
            <w:pPr>
              <w:pStyle w:val="TableText0"/>
              <w:jc w:val="center"/>
            </w:pPr>
            <w:r w:rsidRPr="001C689E">
              <w:t>$182.17</w:t>
            </w:r>
          </w:p>
        </w:tc>
      </w:tr>
      <w:tr w:rsidR="007746EF" w:rsidRPr="001C689E" w14:paraId="51DF3CE1" w14:textId="77777777" w:rsidTr="00F244C6">
        <w:tc>
          <w:tcPr>
            <w:tcW w:w="4815" w:type="dxa"/>
          </w:tcPr>
          <w:p w14:paraId="797F6ED3" w14:textId="77777777" w:rsidR="007746EF" w:rsidRPr="001C689E" w:rsidRDefault="007746EF" w:rsidP="007746EF">
            <w:pPr>
              <w:pStyle w:val="TableText0"/>
              <w:rPr>
                <w:b/>
                <w:bCs w:val="0"/>
              </w:rPr>
            </w:pPr>
            <w:r w:rsidRPr="001C689E">
              <w:rPr>
                <w:b/>
                <w:bCs w:val="0"/>
              </w:rPr>
              <w:t>Total cost per course</w:t>
            </w:r>
          </w:p>
        </w:tc>
        <w:tc>
          <w:tcPr>
            <w:tcW w:w="2126" w:type="dxa"/>
          </w:tcPr>
          <w:p w14:paraId="28CB8E90" w14:textId="6D5A08C2" w:rsidR="007746EF" w:rsidRPr="001C689E" w:rsidRDefault="007746EF" w:rsidP="007746EF">
            <w:pPr>
              <w:pStyle w:val="TableText0"/>
              <w:jc w:val="center"/>
              <w:rPr>
                <w:b/>
                <w:bCs w:val="0"/>
              </w:rPr>
            </w:pPr>
            <w:r w:rsidRPr="001C689E">
              <w:rPr>
                <w:b/>
                <w:bCs w:val="0"/>
              </w:rPr>
              <w:t>$</w:t>
            </w:r>
            <w:r w:rsidR="008C0C40" w:rsidRPr="008C0C40">
              <w:rPr>
                <w:b/>
                <w:bCs w:val="0"/>
                <w:color w:val="000000"/>
                <w:spacing w:val="59"/>
                <w:shd w:val="solid" w:color="000000" w:fill="000000"/>
                <w:fitText w:val="363" w:id="-623673328"/>
                <w14:textFill>
                  <w14:solidFill>
                    <w14:srgbClr w14:val="000000">
                      <w14:alpha w14:val="100000"/>
                    </w14:srgbClr>
                  </w14:solidFill>
                </w14:textFill>
              </w:rPr>
              <w:t>|||</w:t>
            </w:r>
            <w:r w:rsidR="008C0C40" w:rsidRPr="008C0C40">
              <w:rPr>
                <w:b/>
                <w:bCs w:val="0"/>
                <w:color w:val="000000"/>
                <w:spacing w:val="3"/>
                <w:shd w:val="solid" w:color="000000" w:fill="000000"/>
                <w:fitText w:val="363" w:id="-623673328"/>
                <w14:textFill>
                  <w14:solidFill>
                    <w14:srgbClr w14:val="000000">
                      <w14:alpha w14:val="100000"/>
                    </w14:srgbClr>
                  </w14:solidFill>
                </w14:textFill>
              </w:rPr>
              <w:t>|</w:t>
            </w:r>
          </w:p>
        </w:tc>
        <w:tc>
          <w:tcPr>
            <w:tcW w:w="2076" w:type="dxa"/>
          </w:tcPr>
          <w:p w14:paraId="2428F22C" w14:textId="006CB9F4" w:rsidR="007746EF" w:rsidRPr="001C689E" w:rsidRDefault="007746EF" w:rsidP="007746EF">
            <w:pPr>
              <w:pStyle w:val="TableText0"/>
              <w:jc w:val="center"/>
              <w:rPr>
                <w:b/>
                <w:bCs w:val="0"/>
              </w:rPr>
            </w:pPr>
            <w:r w:rsidRPr="001C689E">
              <w:rPr>
                <w:b/>
                <w:bCs w:val="0"/>
              </w:rPr>
              <w:t>$</w:t>
            </w:r>
            <w:r w:rsidR="008C0C40">
              <w:rPr>
                <w:b/>
                <w:bCs w:val="0"/>
                <w:color w:val="000000"/>
                <w:spacing w:val="59"/>
                <w:shd w:val="solid" w:color="000000" w:fill="000000"/>
                <w:fitText w:val="363" w:id="-623673344"/>
                <w14:textFill>
                  <w14:solidFill>
                    <w14:srgbClr w14:val="000000">
                      <w14:alpha w14:val="100000"/>
                    </w14:srgbClr>
                  </w14:solidFill>
                </w14:textFill>
              </w:rPr>
              <w:t>|||</w:t>
            </w:r>
            <w:r w:rsidR="008C0C40">
              <w:rPr>
                <w:b/>
                <w:bCs w:val="0"/>
                <w:color w:val="000000"/>
                <w:spacing w:val="2"/>
                <w:shd w:val="solid" w:color="000000" w:fill="000000"/>
                <w:fitText w:val="363" w:id="-623673344"/>
                <w14:textFill>
                  <w14:solidFill>
                    <w14:srgbClr w14:val="000000">
                      <w14:alpha w14:val="100000"/>
                    </w14:srgbClr>
                  </w14:solidFill>
                </w14:textFill>
              </w:rPr>
              <w:t>|</w:t>
            </w:r>
          </w:p>
        </w:tc>
      </w:tr>
    </w:tbl>
    <w:p w14:paraId="7C2F54BB" w14:textId="77777777" w:rsidR="00500F46" w:rsidRPr="001C689E" w:rsidRDefault="00500F46" w:rsidP="00500F46">
      <w:pPr>
        <w:pStyle w:val="TableFigureFooter"/>
      </w:pPr>
      <w:r w:rsidRPr="001C689E">
        <w:t>Source: Adapted from Table 3–3, p150 of the submission.</w:t>
      </w:r>
    </w:p>
    <w:p w14:paraId="3ED297B3" w14:textId="77777777" w:rsidR="00500F46" w:rsidRPr="001C689E" w:rsidRDefault="00500F46" w:rsidP="00500F46">
      <w:pPr>
        <w:pStyle w:val="TableFigureFooter"/>
      </w:pPr>
      <w:r w:rsidRPr="001C689E">
        <w:t>Note: The use of published pricing may not represent the average cost per patient per course of treatment after the impact of special-pricing and risk-sharing arrangements are accounted for.</w:t>
      </w:r>
    </w:p>
    <w:p w14:paraId="30127AFB" w14:textId="77777777" w:rsidR="00500F46" w:rsidRDefault="00500F46" w:rsidP="00500F46">
      <w:pPr>
        <w:pStyle w:val="TableFigureFooter"/>
      </w:pPr>
      <w:r w:rsidRPr="001C689E">
        <w:rPr>
          <w:vertAlign w:val="superscript"/>
        </w:rPr>
        <w:t>a</w:t>
      </w:r>
      <w:r w:rsidRPr="001C689E">
        <w:t xml:space="preserve"> over a maximum treatment course of 540 days therapy</w:t>
      </w:r>
    </w:p>
    <w:p w14:paraId="6EF3859A" w14:textId="77777777" w:rsidR="004158F8" w:rsidRDefault="004158F8" w:rsidP="004158F8">
      <w:pPr>
        <w:pStyle w:val="TableFigureFooter"/>
      </w:pPr>
      <w:r w:rsidRPr="004929C2">
        <w:rPr>
          <w:vertAlign w:val="superscript"/>
        </w:rPr>
        <w:t>b</w:t>
      </w:r>
      <w:r>
        <w:t xml:space="preserve"> published price as estimated by the sponsor</w:t>
      </w:r>
    </w:p>
    <w:p w14:paraId="5004B790" w14:textId="628F5E54" w:rsidR="00500F46" w:rsidRPr="001C689E" w:rsidRDefault="004158F8" w:rsidP="00500F46">
      <w:pPr>
        <w:pStyle w:val="TableFigureFooter"/>
      </w:pPr>
      <w:r>
        <w:rPr>
          <w:vertAlign w:val="superscript"/>
        </w:rPr>
        <w:t>c</w:t>
      </w:r>
      <w:r w:rsidR="00500F46" w:rsidRPr="001C689E">
        <w:t xml:space="preserve"> over a maximum treatment course of 365 days therapy</w:t>
      </w:r>
    </w:p>
    <w:p w14:paraId="3B6971D2" w14:textId="362F77B0" w:rsidR="006F6C8B" w:rsidRDefault="006F6C8B" w:rsidP="006F6C8B">
      <w:pPr>
        <w:pStyle w:val="3-BodyText"/>
        <w:rPr>
          <w:iCs/>
        </w:rPr>
      </w:pPr>
      <w:r w:rsidRPr="00D20DAF">
        <w:t xml:space="preserve">The cost per patient for treatment with </w:t>
      </w:r>
      <w:r>
        <w:t>abaloparatide</w:t>
      </w:r>
      <w:r w:rsidR="00D93CC8">
        <w:t xml:space="preserve"> in the submission</w:t>
      </w:r>
      <w:r w:rsidRPr="00D20DAF">
        <w:t xml:space="preserve"> was $</w:t>
      </w:r>
      <w:r w:rsidR="000B45CC" w:rsidRPr="000B45CC">
        <w:rPr>
          <w:w w:val="52"/>
          <w:shd w:val="solid" w:color="000000" w:fill="000000"/>
          <w:fitText w:val="406" w:id="-621556736"/>
          <w14:textFill>
            <w14:solidFill>
              <w14:srgbClr w14:val="000000">
                <w14:alpha w14:val="100000"/>
              </w14:srgbClr>
            </w14:solidFill>
          </w14:textFill>
        </w:rPr>
        <w:t>|||  |||</w:t>
      </w:r>
      <w:r w:rsidR="000B45CC">
        <w:t xml:space="preserve"> </w:t>
      </w:r>
      <w:r w:rsidRPr="00D20DAF">
        <w:t>(drug</w:t>
      </w:r>
      <w:r>
        <w:t xml:space="preserve"> cost, administration cost and </w:t>
      </w:r>
      <w:r w:rsidRPr="00D20DAF">
        <w:t xml:space="preserve">additional anti-resorptive therapy cost), which </w:t>
      </w:r>
      <w:r>
        <w:t>wa</w:t>
      </w:r>
      <w:r w:rsidRPr="00D20DAF">
        <w:t>s the same as the cost per patient for treatment with romosozumab (</w:t>
      </w:r>
      <w:r w:rsidR="00A750B9">
        <w:t xml:space="preserve">based on the </w:t>
      </w:r>
      <w:r w:rsidR="00562F11">
        <w:t xml:space="preserve">estimated </w:t>
      </w:r>
      <w:r w:rsidR="00564C13">
        <w:t xml:space="preserve">published </w:t>
      </w:r>
      <w:r w:rsidRPr="00D20DAF">
        <w:t xml:space="preserve">drug cost, administration cost, cardiovascular event management and monitoring cost, subsequent anti-resorptive therapy cost, additional anti-resorptive therapy cost). </w:t>
      </w:r>
      <w:r w:rsidR="00CB1A25">
        <w:t xml:space="preserve">The evaluation noted that should </w:t>
      </w:r>
      <w:r w:rsidRPr="004662DD">
        <w:rPr>
          <w:iCs/>
        </w:rPr>
        <w:t>the PBAC accept the clinical claim of overall non-inferior effectiveness, the CMA must establish that the cost per patient for treatment with abaloparatide would be no more than the cost per patient of romosozumab. Where these cost-per-patient calculations are uncertain, the guiding principle is that the Australian Government should not bear the financial risk of this uncertainty because the Australian population already has access to therapy that is proposed to be at least as effective.</w:t>
      </w:r>
      <w:bookmarkEnd w:id="59"/>
      <w:r w:rsidRPr="004662DD">
        <w:rPr>
          <w:iCs/>
        </w:rPr>
        <w:t xml:space="preserve"> </w:t>
      </w:r>
    </w:p>
    <w:p w14:paraId="5D0F959F" w14:textId="7B7E1651" w:rsidR="00930ACE" w:rsidRPr="004662DD" w:rsidRDefault="00930ACE" w:rsidP="006F6C8B">
      <w:pPr>
        <w:pStyle w:val="3-BodyText"/>
        <w:rPr>
          <w:iCs/>
        </w:rPr>
      </w:pPr>
      <w:r>
        <w:rPr>
          <w:iCs/>
        </w:rPr>
        <w:t xml:space="preserve">The </w:t>
      </w:r>
      <w:r w:rsidR="00A557F7">
        <w:rPr>
          <w:iCs/>
        </w:rPr>
        <w:t xml:space="preserve">PBAC </w:t>
      </w:r>
      <w:r w:rsidR="00835A76">
        <w:rPr>
          <w:iCs/>
        </w:rPr>
        <w:t xml:space="preserve">noted that teriparatide and romosozumab are both PBS-listed in the second-line setting (see paragraphs 5.3 and 5.4) and </w:t>
      </w:r>
      <w:r w:rsidR="0066588F">
        <w:rPr>
          <w:iCs/>
        </w:rPr>
        <w:t>considered that it would be reasonable for a</w:t>
      </w:r>
      <w:r>
        <w:rPr>
          <w:iCs/>
        </w:rPr>
        <w:t xml:space="preserve"> CMA </w:t>
      </w:r>
      <w:r w:rsidR="003F2BD5">
        <w:rPr>
          <w:iCs/>
        </w:rPr>
        <w:t xml:space="preserve">for abaloparatide in </w:t>
      </w:r>
      <w:r w:rsidR="000916B4">
        <w:rPr>
          <w:iCs/>
        </w:rPr>
        <w:t xml:space="preserve">the second-line setting </w:t>
      </w:r>
      <w:r w:rsidR="0066588F">
        <w:rPr>
          <w:iCs/>
        </w:rPr>
        <w:t xml:space="preserve">to be based on the </w:t>
      </w:r>
      <w:r w:rsidR="002046E3">
        <w:rPr>
          <w:iCs/>
        </w:rPr>
        <w:t>l</w:t>
      </w:r>
      <w:r w:rsidR="003E7770">
        <w:rPr>
          <w:iCs/>
        </w:rPr>
        <w:t>east</w:t>
      </w:r>
      <w:r w:rsidR="002046E3">
        <w:rPr>
          <w:iCs/>
        </w:rPr>
        <w:t xml:space="preserve"> cost</w:t>
      </w:r>
      <w:r w:rsidR="003E7770">
        <w:rPr>
          <w:iCs/>
        </w:rPr>
        <w:t>ly</w:t>
      </w:r>
      <w:r w:rsidR="002046E3">
        <w:rPr>
          <w:iCs/>
        </w:rPr>
        <w:t xml:space="preserve"> </w:t>
      </w:r>
      <w:r w:rsidR="0096410A">
        <w:rPr>
          <w:iCs/>
        </w:rPr>
        <w:t>alternative of romosozumab or teriparatide</w:t>
      </w:r>
      <w:r w:rsidR="00EA56C3">
        <w:rPr>
          <w:iCs/>
        </w:rPr>
        <w:t xml:space="preserve">, noting the maximum treatment duration </w:t>
      </w:r>
      <w:r w:rsidR="00C457B5">
        <w:rPr>
          <w:iCs/>
        </w:rPr>
        <w:t xml:space="preserve">is 12 months </w:t>
      </w:r>
      <w:r w:rsidR="00CD0E24">
        <w:rPr>
          <w:iCs/>
        </w:rPr>
        <w:t xml:space="preserve">for </w:t>
      </w:r>
      <w:r w:rsidR="009508AF">
        <w:rPr>
          <w:iCs/>
        </w:rPr>
        <w:t xml:space="preserve">romosozumab </w:t>
      </w:r>
      <w:r w:rsidR="00CD0E24">
        <w:rPr>
          <w:iCs/>
        </w:rPr>
        <w:t xml:space="preserve">and </w:t>
      </w:r>
      <w:r w:rsidR="00C457B5">
        <w:rPr>
          <w:iCs/>
        </w:rPr>
        <w:t>18 months for</w:t>
      </w:r>
      <w:r w:rsidR="009508AF">
        <w:rPr>
          <w:iCs/>
        </w:rPr>
        <w:t xml:space="preserve"> teriparatide</w:t>
      </w:r>
      <w:r w:rsidR="00AC5200">
        <w:rPr>
          <w:iCs/>
        </w:rPr>
        <w:t xml:space="preserve">. </w:t>
      </w:r>
    </w:p>
    <w:p w14:paraId="574061C0" w14:textId="5D5C2D6A" w:rsidR="006F6C8B" w:rsidRPr="00D86D87" w:rsidRDefault="006F6C8B" w:rsidP="006F6C8B">
      <w:pPr>
        <w:pStyle w:val="4-SubsectionHeading"/>
      </w:pPr>
      <w:bookmarkStart w:id="60" w:name="_Toc22897646"/>
      <w:bookmarkStart w:id="61" w:name="_Toc193184388"/>
      <w:bookmarkStart w:id="62" w:name="_Toc198219109"/>
      <w:r w:rsidRPr="00D86D87">
        <w:t>Drug cost/patient/course</w:t>
      </w:r>
      <w:bookmarkEnd w:id="60"/>
      <w:bookmarkEnd w:id="61"/>
      <w:bookmarkEnd w:id="62"/>
    </w:p>
    <w:p w14:paraId="5BF2E222" w14:textId="1744E528" w:rsidR="006F6C8B" w:rsidRPr="00AA54B2" w:rsidRDefault="006F6C8B" w:rsidP="006F6C8B">
      <w:pPr>
        <w:pStyle w:val="3-BodyText"/>
      </w:pPr>
      <w:bookmarkStart w:id="63" w:name="_Hlk107307804"/>
      <w:r>
        <w:t>The cost per patient per course of abaloparatide was $</w:t>
      </w:r>
      <w:r w:rsidR="008C0C40" w:rsidRPr="00306E37">
        <w:rPr>
          <w:color w:val="000000"/>
          <w:spacing w:val="6"/>
          <w:w w:val="60"/>
          <w:shd w:val="solid" w:color="000000" w:fill="000000"/>
          <w:fitText w:val="468" w:id="-623673343"/>
          <w14:textFill>
            <w14:solidFill>
              <w14:srgbClr w14:val="000000">
                <w14:alpha w14:val="100000"/>
              </w14:srgbClr>
            </w14:solidFill>
          </w14:textFill>
        </w:rPr>
        <w:t>|||</w:t>
      </w:r>
      <w:r w:rsidR="00306E37" w:rsidRPr="00306E37">
        <w:rPr>
          <w:color w:val="000000"/>
          <w:spacing w:val="6"/>
          <w:w w:val="60"/>
          <w:shd w:val="solid" w:color="000000" w:fill="000000"/>
          <w:fitText w:val="468" w:id="-623673343"/>
          <w14:textFill>
            <w14:solidFill>
              <w14:srgbClr w14:val="000000">
                <w14:alpha w14:val="100000"/>
              </w14:srgbClr>
            </w14:solidFill>
          </w14:textFill>
        </w:rPr>
        <w:t xml:space="preserve"> </w:t>
      </w:r>
      <w:r w:rsidR="008C0C40" w:rsidRPr="00306E37">
        <w:rPr>
          <w:color w:val="000000"/>
          <w:spacing w:val="6"/>
          <w:w w:val="60"/>
          <w:shd w:val="solid" w:color="000000" w:fill="000000"/>
          <w:fitText w:val="468" w:id="-623673343"/>
          <w14:textFill>
            <w14:solidFill>
              <w14:srgbClr w14:val="000000">
                <w14:alpha w14:val="100000"/>
              </w14:srgbClr>
            </w14:solidFill>
          </w14:textFill>
        </w:rPr>
        <w:t>||</w:t>
      </w:r>
      <w:r w:rsidR="008C0C40" w:rsidRPr="00306E37">
        <w:rPr>
          <w:color w:val="000000"/>
          <w:spacing w:val="2"/>
          <w:w w:val="60"/>
          <w:shd w:val="solid" w:color="000000" w:fill="000000"/>
          <w:fitText w:val="468" w:id="-623673343"/>
          <w14:textFill>
            <w14:solidFill>
              <w14:srgbClr w14:val="000000">
                <w14:alpha w14:val="100000"/>
              </w14:srgbClr>
            </w14:solidFill>
          </w14:textFill>
        </w:rPr>
        <w:t>|</w:t>
      </w:r>
      <w:r w:rsidRPr="00976D57">
        <w:t>, estimated from the cost-minimised dispensed price for maximum quantity (DPMQ) ($</w:t>
      </w:r>
      <w:r w:rsidR="008C0C40" w:rsidRPr="00306E37">
        <w:rPr>
          <w:color w:val="000000"/>
          <w:spacing w:val="6"/>
          <w:w w:val="60"/>
          <w:shd w:val="solid" w:color="000000" w:fill="000000"/>
          <w:fitText w:val="468" w:id="-623673342"/>
          <w14:textFill>
            <w14:solidFill>
              <w14:srgbClr w14:val="000000">
                <w14:alpha w14:val="100000"/>
              </w14:srgbClr>
            </w14:solidFill>
          </w14:textFill>
        </w:rPr>
        <w:t>|||</w:t>
      </w:r>
      <w:r w:rsidR="00306E37" w:rsidRPr="00306E37">
        <w:rPr>
          <w:color w:val="000000"/>
          <w:spacing w:val="6"/>
          <w:w w:val="60"/>
          <w:shd w:val="solid" w:color="000000" w:fill="000000"/>
          <w:fitText w:val="468" w:id="-623673342"/>
          <w14:textFill>
            <w14:solidFill>
              <w14:srgbClr w14:val="000000">
                <w14:alpha w14:val="100000"/>
              </w14:srgbClr>
            </w14:solidFill>
          </w14:textFill>
        </w:rPr>
        <w:t xml:space="preserve"> </w:t>
      </w:r>
      <w:r w:rsidR="008C0C40" w:rsidRPr="00306E37">
        <w:rPr>
          <w:color w:val="000000"/>
          <w:spacing w:val="6"/>
          <w:w w:val="60"/>
          <w:shd w:val="solid" w:color="000000" w:fill="000000"/>
          <w:fitText w:val="468" w:id="-623673342"/>
          <w14:textFill>
            <w14:solidFill>
              <w14:srgbClr w14:val="000000">
                <w14:alpha w14:val="100000"/>
              </w14:srgbClr>
            </w14:solidFill>
          </w14:textFill>
        </w:rPr>
        <w:t>||</w:t>
      </w:r>
      <w:r w:rsidR="008C0C40" w:rsidRPr="00306E37">
        <w:rPr>
          <w:color w:val="000000"/>
          <w:spacing w:val="2"/>
          <w:w w:val="60"/>
          <w:shd w:val="solid" w:color="000000" w:fill="000000"/>
          <w:fitText w:val="468" w:id="-623673342"/>
          <w14:textFill>
            <w14:solidFill>
              <w14:srgbClr w14:val="000000">
                <w14:alpha w14:val="100000"/>
              </w14:srgbClr>
            </w14:solidFill>
          </w14:textFill>
        </w:rPr>
        <w:t>|</w:t>
      </w:r>
      <w:r>
        <w:t xml:space="preserve"> </w:t>
      </w:r>
      <w:r w:rsidRPr="00976D57">
        <w:t>per script) based on</w:t>
      </w:r>
      <w:r>
        <w:t xml:space="preserve"> an estimated</w:t>
      </w:r>
      <w:r w:rsidRPr="00976D57">
        <w:t xml:space="preserve"> published pric</w:t>
      </w:r>
      <w:r>
        <w:t>e for romosozumab in the first line setting</w:t>
      </w:r>
      <w:r w:rsidRPr="00976D57">
        <w:t xml:space="preserve">, assuming </w:t>
      </w:r>
      <w:r>
        <w:t>14.97</w:t>
      </w:r>
      <w:r w:rsidRPr="00976D57">
        <w:t xml:space="preserve"> scripts per </w:t>
      </w:r>
      <w:r>
        <w:t>course of treatment</w:t>
      </w:r>
      <w:r w:rsidRPr="00976D57">
        <w:t xml:space="preserve">. The cost per patient per </w:t>
      </w:r>
      <w:r>
        <w:t>course of</w:t>
      </w:r>
      <w:r w:rsidRPr="00976D57">
        <w:t xml:space="preserve"> </w:t>
      </w:r>
      <w:r>
        <w:t>romosozumab</w:t>
      </w:r>
      <w:r w:rsidRPr="00976D57">
        <w:t xml:space="preserve"> was $</w:t>
      </w:r>
      <w:r>
        <w:t>4,386.20</w:t>
      </w:r>
      <w:r w:rsidRPr="00976D57">
        <w:t>, based on the published DPMQ ($</w:t>
      </w:r>
      <w:r>
        <w:t>406.13</w:t>
      </w:r>
      <w:r w:rsidRPr="00976D57">
        <w:t>)</w:t>
      </w:r>
      <w:r w:rsidR="008B2369">
        <w:t xml:space="preserve"> at the time of the evaluation</w:t>
      </w:r>
      <w:r w:rsidRPr="00976D57">
        <w:t xml:space="preserve">, assuming </w:t>
      </w:r>
      <w:r>
        <w:t>10.8</w:t>
      </w:r>
      <w:r w:rsidRPr="00976D57">
        <w:t xml:space="preserve"> scripts per </w:t>
      </w:r>
      <w:r>
        <w:t>course of treatment</w:t>
      </w:r>
      <w:r w:rsidRPr="00976D57">
        <w:t>.</w:t>
      </w:r>
      <w:r w:rsidR="00F41ECE">
        <w:t xml:space="preserve"> </w:t>
      </w:r>
      <w:r w:rsidR="00F41ECE" w:rsidRPr="00AA54B2">
        <w:t>Based on the published DPMQ of $177.</w:t>
      </w:r>
      <w:r w:rsidR="00A356AF" w:rsidRPr="00AA54B2">
        <w:t xml:space="preserve">30 for teriparatide, the ESC noted that the cost per patient per course would be </w:t>
      </w:r>
      <w:r w:rsidR="00E63D6F" w:rsidRPr="00AA54B2">
        <w:t>$</w:t>
      </w:r>
      <w:r w:rsidR="008C0C40" w:rsidRPr="00306E37">
        <w:rPr>
          <w:color w:val="000000"/>
          <w:spacing w:val="6"/>
          <w:w w:val="62"/>
          <w:shd w:val="solid" w:color="000000" w:fill="000000"/>
          <w:fitText w:val="481" w:id="-623673341"/>
          <w14:textFill>
            <w14:solidFill>
              <w14:srgbClr w14:val="000000">
                <w14:alpha w14:val="100000"/>
              </w14:srgbClr>
            </w14:solidFill>
          </w14:textFill>
        </w:rPr>
        <w:t>|||</w:t>
      </w:r>
      <w:r w:rsidR="00306E37" w:rsidRPr="00306E37">
        <w:rPr>
          <w:color w:val="000000"/>
          <w:spacing w:val="6"/>
          <w:w w:val="62"/>
          <w:shd w:val="solid" w:color="000000" w:fill="000000"/>
          <w:fitText w:val="481" w:id="-623673341"/>
          <w14:textFill>
            <w14:solidFill>
              <w14:srgbClr w14:val="000000">
                <w14:alpha w14:val="100000"/>
              </w14:srgbClr>
            </w14:solidFill>
          </w14:textFill>
        </w:rPr>
        <w:t xml:space="preserve"> </w:t>
      </w:r>
      <w:r w:rsidR="008C0C40" w:rsidRPr="00306E37">
        <w:rPr>
          <w:color w:val="000000"/>
          <w:spacing w:val="6"/>
          <w:w w:val="62"/>
          <w:shd w:val="solid" w:color="000000" w:fill="000000"/>
          <w:fitText w:val="481" w:id="-623673341"/>
          <w14:textFill>
            <w14:solidFill>
              <w14:srgbClr w14:val="000000">
                <w14:alpha w14:val="100000"/>
              </w14:srgbClr>
            </w14:solidFill>
          </w14:textFill>
        </w:rPr>
        <w:t>||</w:t>
      </w:r>
      <w:r w:rsidR="008C0C40" w:rsidRPr="00306E37">
        <w:rPr>
          <w:color w:val="000000"/>
          <w:spacing w:val="1"/>
          <w:w w:val="62"/>
          <w:shd w:val="solid" w:color="000000" w:fill="000000"/>
          <w:fitText w:val="481" w:id="-623673341"/>
          <w14:textFill>
            <w14:solidFill>
              <w14:srgbClr w14:val="000000">
                <w14:alpha w14:val="100000"/>
              </w14:srgbClr>
            </w14:solidFill>
          </w14:textFill>
        </w:rPr>
        <w:t>|</w:t>
      </w:r>
      <w:r w:rsidR="00A356AF" w:rsidRPr="00AA54B2">
        <w:t xml:space="preserve">, </w:t>
      </w:r>
      <w:r w:rsidR="00E63D6F" w:rsidRPr="00AA54B2">
        <w:t xml:space="preserve">assuming </w:t>
      </w:r>
      <w:r w:rsidR="000419DF" w:rsidRPr="00AA54B2">
        <w:t>one</w:t>
      </w:r>
      <w:r w:rsidR="00E63D6F" w:rsidRPr="00AA54B2">
        <w:t xml:space="preserve"> script per month for the maximum treatment duration of 18 months</w:t>
      </w:r>
      <w:r w:rsidR="00A356AF" w:rsidRPr="00AA54B2">
        <w:t>.</w:t>
      </w:r>
    </w:p>
    <w:p w14:paraId="0FDA14F6" w14:textId="0D02BB7E" w:rsidR="006F6C8B" w:rsidRPr="004662DD" w:rsidRDefault="006F6C8B" w:rsidP="006F6C8B">
      <w:pPr>
        <w:pStyle w:val="3-BodyText"/>
      </w:pPr>
      <w:r>
        <w:t xml:space="preserve">A comparison of the use and costs applied across the </w:t>
      </w:r>
      <w:proofErr w:type="gramStart"/>
      <w:r>
        <w:t>trials,</w:t>
      </w:r>
      <w:proofErr w:type="gramEnd"/>
      <w:r>
        <w:t xml:space="preserve"> economic and financial analyses is presented in </w:t>
      </w:r>
      <w:r>
        <w:fldChar w:fldCharType="begin"/>
      </w:r>
      <w:r>
        <w:instrText xml:space="preserve"> REF _Ref198111717 \h </w:instrText>
      </w:r>
      <w:r>
        <w:fldChar w:fldCharType="separate"/>
      </w:r>
      <w:r w:rsidR="005B625A" w:rsidRPr="00D86D87">
        <w:t xml:space="preserve">Table </w:t>
      </w:r>
      <w:r w:rsidR="005B625A">
        <w:rPr>
          <w:noProof/>
        </w:rPr>
        <w:t>12</w:t>
      </w:r>
      <w:r>
        <w:fldChar w:fldCharType="end"/>
      </w:r>
      <w:r>
        <w:t xml:space="preserve">. </w:t>
      </w:r>
      <w:r w:rsidRPr="004662DD">
        <w:t xml:space="preserve">While use of abaloparatide and romosozumab was consistent across the economic and financial analyses, differences in the costs applied </w:t>
      </w:r>
      <w:r w:rsidR="00ED65D5" w:rsidRPr="004662DD">
        <w:t>per</w:t>
      </w:r>
      <w:r w:rsidRPr="004662DD">
        <w:t xml:space="preserve"> course were noted, due to the use of AEMP and DPMQ prices, respectively. The cost of </w:t>
      </w:r>
      <w:r w:rsidR="00856943">
        <w:t>ARTs</w:t>
      </w:r>
      <w:r w:rsidRPr="004662DD">
        <w:t xml:space="preserve"> </w:t>
      </w:r>
      <w:proofErr w:type="gramStart"/>
      <w:r w:rsidRPr="004662DD">
        <w:t>subsequent to</w:t>
      </w:r>
      <w:proofErr w:type="gramEnd"/>
      <w:r w:rsidRPr="004662DD">
        <w:t xml:space="preserve"> romosozumab was also noted to differ across the economic and financial analyses, as the submission had not correctly accounted for the duration of coverage of anti-resorptive scripts. This was revised during the evaluation.</w:t>
      </w:r>
    </w:p>
    <w:p w14:paraId="3C62D658" w14:textId="4541B2EA" w:rsidR="006F6C8B" w:rsidRPr="00D86D87" w:rsidRDefault="006F6C8B" w:rsidP="006F6C8B">
      <w:pPr>
        <w:pStyle w:val="TableFigureHeading"/>
        <w:rPr>
          <w:rStyle w:val="CommentReference"/>
          <w:b/>
          <w:szCs w:val="24"/>
        </w:rPr>
      </w:pPr>
      <w:bookmarkStart w:id="64" w:name="_Ref198111717"/>
      <w:r w:rsidRPr="00D86D87">
        <w:t xml:space="preserve">Table </w:t>
      </w:r>
      <w:r w:rsidR="001C1C72">
        <w:fldChar w:fldCharType="begin"/>
      </w:r>
      <w:r w:rsidR="001C1C72">
        <w:instrText xml:space="preserve"> SEQ Table \* ARABIC </w:instrText>
      </w:r>
      <w:r w:rsidR="001C1C72">
        <w:fldChar w:fldCharType="separate"/>
      </w:r>
      <w:r w:rsidR="005B625A">
        <w:rPr>
          <w:noProof/>
        </w:rPr>
        <w:t>12</w:t>
      </w:r>
      <w:r w:rsidR="001C1C72">
        <w:rPr>
          <w:noProof/>
        </w:rPr>
        <w:fldChar w:fldCharType="end"/>
      </w:r>
      <w:bookmarkEnd w:id="64"/>
      <w:r w:rsidRPr="00D86D87">
        <w:t>:</w:t>
      </w:r>
      <w:r w:rsidRPr="00D86D87">
        <w:rPr>
          <w:rStyle w:val="CommentReference"/>
          <w:b/>
          <w:szCs w:val="24"/>
        </w:rPr>
        <w:t xml:space="preserve"> Drug cost per patient for </w:t>
      </w:r>
      <w:r>
        <w:rPr>
          <w:rStyle w:val="CommentReference"/>
          <w:b/>
          <w:szCs w:val="24"/>
        </w:rPr>
        <w:t>abaloparatide, romosozumab and subsequent use of anti-resorptive therapy</w:t>
      </w:r>
    </w:p>
    <w:tbl>
      <w:tblPr>
        <w:tblW w:w="51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2: Drug cost per patient for abaloparatide, romosozumab and subsequent use of anti-resorptive therapy"/>
      </w:tblPr>
      <w:tblGrid>
        <w:gridCol w:w="1695"/>
        <w:gridCol w:w="1219"/>
        <w:gridCol w:w="1219"/>
        <w:gridCol w:w="1223"/>
        <w:gridCol w:w="1219"/>
        <w:gridCol w:w="1219"/>
        <w:gridCol w:w="1414"/>
      </w:tblGrid>
      <w:tr w:rsidR="006F6C8B" w:rsidRPr="00496EB8" w14:paraId="7C37CE6B" w14:textId="77777777" w:rsidTr="00F908A4">
        <w:trPr>
          <w:cantSplit/>
          <w:tblHeader/>
          <w:jc w:val="center"/>
        </w:trPr>
        <w:tc>
          <w:tcPr>
            <w:tcW w:w="920" w:type="pct"/>
            <w:tcBorders>
              <w:bottom w:val="nil"/>
            </w:tcBorders>
            <w:vAlign w:val="center"/>
          </w:tcPr>
          <w:p w14:paraId="36C5B18E" w14:textId="77777777" w:rsidR="006F6C8B" w:rsidRPr="00496EB8" w:rsidRDefault="006F6C8B">
            <w:pPr>
              <w:pStyle w:val="In-tableHeading"/>
              <w:jc w:val="center"/>
              <w:rPr>
                <w:lang w:val="en-AU"/>
              </w:rPr>
            </w:pPr>
          </w:p>
        </w:tc>
        <w:tc>
          <w:tcPr>
            <w:tcW w:w="1988" w:type="pct"/>
            <w:gridSpan w:val="3"/>
            <w:vAlign w:val="center"/>
          </w:tcPr>
          <w:p w14:paraId="59396848" w14:textId="77777777" w:rsidR="006F6C8B" w:rsidRPr="00496EB8" w:rsidRDefault="006F6C8B">
            <w:pPr>
              <w:pStyle w:val="In-tableHeading"/>
              <w:jc w:val="center"/>
              <w:rPr>
                <w:lang w:val="en-AU"/>
              </w:rPr>
            </w:pPr>
            <w:r w:rsidRPr="00496EB8">
              <w:rPr>
                <w:lang w:val="en-AU"/>
              </w:rPr>
              <w:t>A</w:t>
            </w:r>
            <w:r w:rsidRPr="00496EB8">
              <w:t>baloparatide</w:t>
            </w:r>
          </w:p>
        </w:tc>
        <w:tc>
          <w:tcPr>
            <w:tcW w:w="2092" w:type="pct"/>
            <w:gridSpan w:val="3"/>
            <w:vAlign w:val="center"/>
          </w:tcPr>
          <w:p w14:paraId="0A6267E1" w14:textId="77777777" w:rsidR="006F6C8B" w:rsidRPr="00496EB8" w:rsidRDefault="006F6C8B">
            <w:pPr>
              <w:pStyle w:val="In-tableHeading"/>
              <w:jc w:val="center"/>
              <w:rPr>
                <w:lang w:val="en-AU"/>
              </w:rPr>
            </w:pPr>
            <w:r w:rsidRPr="00496EB8">
              <w:rPr>
                <w:lang w:val="en-AU"/>
              </w:rPr>
              <w:t>R</w:t>
            </w:r>
            <w:r w:rsidRPr="00496EB8">
              <w:t>omosozumab</w:t>
            </w:r>
          </w:p>
        </w:tc>
      </w:tr>
      <w:tr w:rsidR="006F6C8B" w:rsidRPr="00496EB8" w14:paraId="5C720A59" w14:textId="77777777" w:rsidTr="00F908A4">
        <w:trPr>
          <w:cantSplit/>
          <w:tblHeader/>
          <w:jc w:val="center"/>
        </w:trPr>
        <w:tc>
          <w:tcPr>
            <w:tcW w:w="920" w:type="pct"/>
            <w:tcBorders>
              <w:top w:val="nil"/>
            </w:tcBorders>
            <w:vAlign w:val="center"/>
          </w:tcPr>
          <w:p w14:paraId="03F6DB1B" w14:textId="77777777" w:rsidR="006F6C8B" w:rsidRPr="00496EB8" w:rsidRDefault="006F6C8B">
            <w:pPr>
              <w:pStyle w:val="In-tableHeading"/>
              <w:jc w:val="center"/>
              <w:rPr>
                <w:lang w:val="en-AU"/>
              </w:rPr>
            </w:pPr>
          </w:p>
        </w:tc>
        <w:tc>
          <w:tcPr>
            <w:tcW w:w="662" w:type="pct"/>
            <w:vAlign w:val="center"/>
          </w:tcPr>
          <w:p w14:paraId="30405494" w14:textId="77777777" w:rsidR="006F6C8B" w:rsidRPr="00496EB8" w:rsidRDefault="006F6C8B">
            <w:pPr>
              <w:pStyle w:val="In-tableHeading"/>
              <w:jc w:val="center"/>
              <w:rPr>
                <w:lang w:val="en-AU"/>
              </w:rPr>
            </w:pPr>
            <w:r w:rsidRPr="00496EB8">
              <w:rPr>
                <w:lang w:val="en-AU"/>
              </w:rPr>
              <w:t>Trial dose and duration</w:t>
            </w:r>
          </w:p>
        </w:tc>
        <w:tc>
          <w:tcPr>
            <w:tcW w:w="662" w:type="pct"/>
            <w:vAlign w:val="center"/>
          </w:tcPr>
          <w:p w14:paraId="2EF98D54" w14:textId="77777777" w:rsidR="006F6C8B" w:rsidRPr="00496EB8" w:rsidRDefault="006F6C8B">
            <w:pPr>
              <w:pStyle w:val="In-tableHeading"/>
              <w:jc w:val="center"/>
              <w:rPr>
                <w:lang w:val="en-AU"/>
              </w:rPr>
            </w:pPr>
            <w:r w:rsidRPr="00496EB8">
              <w:rPr>
                <w:lang w:val="en-AU"/>
              </w:rPr>
              <w:t>E</w:t>
            </w:r>
            <w:r w:rsidRPr="00496EB8">
              <w:t>conomic analysis</w:t>
            </w:r>
          </w:p>
        </w:tc>
        <w:tc>
          <w:tcPr>
            <w:tcW w:w="664" w:type="pct"/>
            <w:vAlign w:val="center"/>
          </w:tcPr>
          <w:p w14:paraId="36AFA802" w14:textId="77777777" w:rsidR="006F6C8B" w:rsidRPr="00496EB8" w:rsidRDefault="006F6C8B">
            <w:pPr>
              <w:pStyle w:val="In-tableHeading"/>
              <w:jc w:val="center"/>
              <w:rPr>
                <w:lang w:val="en-AU"/>
              </w:rPr>
            </w:pPr>
            <w:r w:rsidRPr="00496EB8">
              <w:rPr>
                <w:lang w:val="en-AU"/>
              </w:rPr>
              <w:t>Financial estimates</w:t>
            </w:r>
          </w:p>
        </w:tc>
        <w:tc>
          <w:tcPr>
            <w:tcW w:w="662" w:type="pct"/>
            <w:vAlign w:val="center"/>
          </w:tcPr>
          <w:p w14:paraId="0BCD1C10" w14:textId="77777777" w:rsidR="006F6C8B" w:rsidRPr="00496EB8" w:rsidRDefault="006F6C8B">
            <w:pPr>
              <w:pStyle w:val="In-tableHeading"/>
              <w:jc w:val="center"/>
              <w:rPr>
                <w:lang w:val="en-AU"/>
              </w:rPr>
            </w:pPr>
            <w:r w:rsidRPr="00496EB8">
              <w:rPr>
                <w:lang w:val="en-AU"/>
              </w:rPr>
              <w:t>Trial dose and duration</w:t>
            </w:r>
          </w:p>
        </w:tc>
        <w:tc>
          <w:tcPr>
            <w:tcW w:w="662" w:type="pct"/>
            <w:vAlign w:val="center"/>
          </w:tcPr>
          <w:p w14:paraId="56BA424A" w14:textId="77777777" w:rsidR="006F6C8B" w:rsidRPr="00496EB8" w:rsidRDefault="006F6C8B">
            <w:pPr>
              <w:pStyle w:val="In-tableHeading"/>
              <w:jc w:val="center"/>
              <w:rPr>
                <w:lang w:val="en-AU"/>
              </w:rPr>
            </w:pPr>
            <w:r w:rsidRPr="00496EB8">
              <w:rPr>
                <w:lang w:val="en-AU"/>
              </w:rPr>
              <w:t>E</w:t>
            </w:r>
            <w:r w:rsidRPr="00496EB8">
              <w:t>conomic analysis</w:t>
            </w:r>
          </w:p>
        </w:tc>
        <w:tc>
          <w:tcPr>
            <w:tcW w:w="768" w:type="pct"/>
            <w:vAlign w:val="center"/>
          </w:tcPr>
          <w:p w14:paraId="428DFEBA" w14:textId="77777777" w:rsidR="006F6C8B" w:rsidRPr="00496EB8" w:rsidRDefault="006F6C8B">
            <w:pPr>
              <w:pStyle w:val="In-tableHeading"/>
              <w:jc w:val="center"/>
              <w:rPr>
                <w:lang w:val="en-AU"/>
              </w:rPr>
            </w:pPr>
            <w:r w:rsidRPr="00496EB8">
              <w:rPr>
                <w:lang w:val="en-AU"/>
              </w:rPr>
              <w:t>Financial estimates</w:t>
            </w:r>
          </w:p>
        </w:tc>
      </w:tr>
      <w:tr w:rsidR="006F6C8B" w:rsidRPr="00496EB8" w14:paraId="1565FF5B" w14:textId="77777777" w:rsidTr="00044EF0">
        <w:trPr>
          <w:cantSplit/>
          <w:tblHeader/>
          <w:jc w:val="center"/>
        </w:trPr>
        <w:tc>
          <w:tcPr>
            <w:tcW w:w="5000" w:type="pct"/>
            <w:gridSpan w:val="7"/>
            <w:tcBorders>
              <w:top w:val="nil"/>
            </w:tcBorders>
            <w:shd w:val="clear" w:color="auto" w:fill="D9D9D9" w:themeFill="background1" w:themeFillShade="D9"/>
            <w:vAlign w:val="center"/>
          </w:tcPr>
          <w:p w14:paraId="1E03DDF0" w14:textId="77777777" w:rsidR="006F6C8B" w:rsidRPr="00496EB8" w:rsidRDefault="006F6C8B">
            <w:pPr>
              <w:pStyle w:val="In-tableHeading"/>
              <w:jc w:val="center"/>
              <w:rPr>
                <w:lang w:val="en-AU"/>
              </w:rPr>
            </w:pPr>
            <w:r w:rsidRPr="00496EB8">
              <w:rPr>
                <w:lang w:val="en-AU"/>
              </w:rPr>
              <w:t>First line treatment</w:t>
            </w:r>
          </w:p>
        </w:tc>
      </w:tr>
      <w:tr w:rsidR="006F6C8B" w:rsidRPr="00496EB8" w14:paraId="0D795AAC" w14:textId="77777777" w:rsidTr="00F908A4">
        <w:trPr>
          <w:cantSplit/>
          <w:tblHeader/>
          <w:jc w:val="center"/>
        </w:trPr>
        <w:tc>
          <w:tcPr>
            <w:tcW w:w="920" w:type="pct"/>
            <w:tcBorders>
              <w:top w:val="nil"/>
            </w:tcBorders>
            <w:vAlign w:val="center"/>
          </w:tcPr>
          <w:p w14:paraId="0501FE42" w14:textId="77777777" w:rsidR="006F6C8B" w:rsidRPr="00496EB8" w:rsidRDefault="006F6C8B">
            <w:pPr>
              <w:pStyle w:val="In-tableHeading"/>
              <w:rPr>
                <w:b w:val="0"/>
                <w:bCs/>
                <w:lang w:val="en-AU"/>
              </w:rPr>
            </w:pPr>
            <w:r w:rsidRPr="00496EB8">
              <w:rPr>
                <w:b w:val="0"/>
                <w:bCs/>
                <w:lang w:val="en-AU"/>
              </w:rPr>
              <w:t>Treatment adherence</w:t>
            </w:r>
          </w:p>
        </w:tc>
        <w:tc>
          <w:tcPr>
            <w:tcW w:w="662" w:type="pct"/>
            <w:vAlign w:val="center"/>
          </w:tcPr>
          <w:p w14:paraId="3883E64B" w14:textId="77777777" w:rsidR="006F6C8B" w:rsidRPr="00496EB8" w:rsidRDefault="006F6C8B">
            <w:pPr>
              <w:pStyle w:val="In-tableHeading"/>
              <w:jc w:val="center"/>
              <w:rPr>
                <w:b w:val="0"/>
                <w:bCs/>
                <w:lang w:val="en-AU"/>
              </w:rPr>
            </w:pPr>
            <w:r w:rsidRPr="00496EB8">
              <w:rPr>
                <w:b w:val="0"/>
                <w:bCs/>
                <w:lang w:val="en-AU"/>
              </w:rPr>
              <w:t>97.8%</w:t>
            </w:r>
          </w:p>
        </w:tc>
        <w:tc>
          <w:tcPr>
            <w:tcW w:w="662" w:type="pct"/>
            <w:vAlign w:val="center"/>
          </w:tcPr>
          <w:p w14:paraId="3726AD8E" w14:textId="77777777" w:rsidR="006F6C8B" w:rsidRPr="00496EB8" w:rsidRDefault="006F6C8B">
            <w:pPr>
              <w:pStyle w:val="In-tableHeading"/>
              <w:jc w:val="center"/>
              <w:rPr>
                <w:b w:val="0"/>
                <w:bCs/>
                <w:lang w:val="en-AU"/>
              </w:rPr>
            </w:pPr>
            <w:r w:rsidRPr="00496EB8">
              <w:rPr>
                <w:b w:val="0"/>
                <w:bCs/>
                <w:lang w:val="en-AU"/>
              </w:rPr>
              <w:t>100%</w:t>
            </w:r>
          </w:p>
        </w:tc>
        <w:tc>
          <w:tcPr>
            <w:tcW w:w="664" w:type="pct"/>
            <w:vAlign w:val="center"/>
          </w:tcPr>
          <w:p w14:paraId="61DCE00C" w14:textId="77777777" w:rsidR="006F6C8B" w:rsidRPr="00496EB8" w:rsidRDefault="006F6C8B">
            <w:pPr>
              <w:pStyle w:val="In-tableHeading"/>
              <w:jc w:val="center"/>
              <w:rPr>
                <w:b w:val="0"/>
                <w:bCs/>
                <w:lang w:val="en-AU"/>
              </w:rPr>
            </w:pPr>
            <w:r w:rsidRPr="00496EB8">
              <w:rPr>
                <w:b w:val="0"/>
                <w:bCs/>
                <w:lang w:val="en-AU"/>
              </w:rPr>
              <w:t>100%</w:t>
            </w:r>
          </w:p>
        </w:tc>
        <w:tc>
          <w:tcPr>
            <w:tcW w:w="662" w:type="pct"/>
            <w:vAlign w:val="center"/>
          </w:tcPr>
          <w:p w14:paraId="718C26CA" w14:textId="77777777" w:rsidR="006F6C8B" w:rsidRPr="00496EB8" w:rsidRDefault="006F6C8B">
            <w:pPr>
              <w:pStyle w:val="In-tableHeading"/>
              <w:jc w:val="center"/>
              <w:rPr>
                <w:b w:val="0"/>
                <w:bCs/>
                <w:lang w:val="en-AU"/>
              </w:rPr>
            </w:pPr>
            <w:r w:rsidRPr="00496EB8">
              <w:rPr>
                <w:b w:val="0"/>
                <w:bCs/>
                <w:lang w:val="en-AU"/>
              </w:rPr>
              <w:t>Not reported </w:t>
            </w:r>
            <w:r w:rsidRPr="00496EB8">
              <w:rPr>
                <w:b w:val="0"/>
                <w:bCs/>
                <w:vertAlign w:val="superscript"/>
                <w:lang w:val="en-AU"/>
              </w:rPr>
              <w:t>a</w:t>
            </w:r>
          </w:p>
        </w:tc>
        <w:tc>
          <w:tcPr>
            <w:tcW w:w="662" w:type="pct"/>
            <w:vMerge w:val="restart"/>
            <w:vAlign w:val="center"/>
          </w:tcPr>
          <w:p w14:paraId="28B90BF2" w14:textId="77777777" w:rsidR="006F6C8B" w:rsidRPr="00496EB8" w:rsidRDefault="006F6C8B">
            <w:pPr>
              <w:pStyle w:val="In-tableHeading"/>
              <w:jc w:val="center"/>
              <w:rPr>
                <w:b w:val="0"/>
                <w:bCs/>
                <w:lang w:val="en-AU"/>
              </w:rPr>
            </w:pPr>
            <w:r w:rsidRPr="00496EB8">
              <w:rPr>
                <w:b w:val="0"/>
                <w:bCs/>
                <w:lang w:val="en-AU"/>
              </w:rPr>
              <w:t>90% </w:t>
            </w:r>
            <w:r w:rsidRPr="00496EB8">
              <w:rPr>
                <w:b w:val="0"/>
                <w:bCs/>
                <w:vertAlign w:val="superscript"/>
                <w:lang w:val="en-AU"/>
              </w:rPr>
              <w:t>b</w:t>
            </w:r>
          </w:p>
        </w:tc>
        <w:tc>
          <w:tcPr>
            <w:tcW w:w="768" w:type="pct"/>
            <w:vMerge w:val="restart"/>
            <w:vAlign w:val="center"/>
          </w:tcPr>
          <w:p w14:paraId="5E0C006E" w14:textId="77777777" w:rsidR="006F6C8B" w:rsidRPr="00496EB8" w:rsidRDefault="006F6C8B">
            <w:pPr>
              <w:pStyle w:val="In-tableHeading"/>
              <w:jc w:val="center"/>
              <w:rPr>
                <w:b w:val="0"/>
                <w:bCs/>
                <w:lang w:val="en-AU"/>
              </w:rPr>
            </w:pPr>
            <w:r w:rsidRPr="00496EB8">
              <w:rPr>
                <w:b w:val="0"/>
                <w:bCs/>
                <w:lang w:val="en-AU"/>
              </w:rPr>
              <w:t>90% </w:t>
            </w:r>
            <w:r w:rsidRPr="00496EB8">
              <w:rPr>
                <w:b w:val="0"/>
                <w:bCs/>
                <w:vertAlign w:val="superscript"/>
                <w:lang w:val="en-AU"/>
              </w:rPr>
              <w:t>b</w:t>
            </w:r>
          </w:p>
        </w:tc>
      </w:tr>
      <w:tr w:rsidR="006F6C8B" w:rsidRPr="00496EB8" w14:paraId="6FAB0D3D" w14:textId="77777777" w:rsidTr="00F908A4">
        <w:trPr>
          <w:cantSplit/>
          <w:tblHeader/>
          <w:jc w:val="center"/>
        </w:trPr>
        <w:tc>
          <w:tcPr>
            <w:tcW w:w="920" w:type="pct"/>
            <w:tcBorders>
              <w:top w:val="nil"/>
            </w:tcBorders>
            <w:vAlign w:val="center"/>
          </w:tcPr>
          <w:p w14:paraId="039842BE" w14:textId="77777777" w:rsidR="006F6C8B" w:rsidRPr="00496EB8" w:rsidRDefault="006F6C8B">
            <w:pPr>
              <w:pStyle w:val="In-tableHeading"/>
              <w:rPr>
                <w:b w:val="0"/>
                <w:bCs/>
                <w:lang w:val="en-AU"/>
              </w:rPr>
            </w:pPr>
            <w:r w:rsidRPr="00496EB8">
              <w:rPr>
                <w:b w:val="0"/>
                <w:bCs/>
                <w:lang w:val="en-AU"/>
              </w:rPr>
              <w:t>Treatment persistence</w:t>
            </w:r>
          </w:p>
        </w:tc>
        <w:tc>
          <w:tcPr>
            <w:tcW w:w="662" w:type="pct"/>
            <w:vAlign w:val="center"/>
          </w:tcPr>
          <w:p w14:paraId="034526BA" w14:textId="77777777" w:rsidR="006F6C8B" w:rsidRPr="00496EB8" w:rsidRDefault="006F6C8B">
            <w:pPr>
              <w:pStyle w:val="In-tableHeading"/>
              <w:jc w:val="center"/>
              <w:rPr>
                <w:b w:val="0"/>
                <w:bCs/>
                <w:lang w:val="en-AU"/>
              </w:rPr>
            </w:pPr>
            <w:r w:rsidRPr="00496EB8">
              <w:rPr>
                <w:b w:val="0"/>
                <w:bCs/>
                <w:lang w:val="en-AU"/>
              </w:rPr>
              <w:t>Overall exposure duration was 14.97 months</w:t>
            </w:r>
          </w:p>
        </w:tc>
        <w:tc>
          <w:tcPr>
            <w:tcW w:w="662" w:type="pct"/>
            <w:vAlign w:val="center"/>
          </w:tcPr>
          <w:p w14:paraId="0EEB6DCA" w14:textId="77777777" w:rsidR="006F6C8B" w:rsidRPr="00496EB8" w:rsidRDefault="006F6C8B">
            <w:pPr>
              <w:pStyle w:val="In-tableHeading"/>
              <w:jc w:val="center"/>
              <w:rPr>
                <w:b w:val="0"/>
                <w:bCs/>
                <w:lang w:val="en-AU"/>
              </w:rPr>
            </w:pPr>
            <w:r w:rsidRPr="00496EB8">
              <w:rPr>
                <w:b w:val="0"/>
                <w:bCs/>
                <w:lang w:val="en-AU"/>
              </w:rPr>
              <w:t>14.97 months</w:t>
            </w:r>
          </w:p>
        </w:tc>
        <w:tc>
          <w:tcPr>
            <w:tcW w:w="664" w:type="pct"/>
            <w:vAlign w:val="center"/>
          </w:tcPr>
          <w:p w14:paraId="78DF850C" w14:textId="77777777" w:rsidR="006F6C8B" w:rsidRPr="00496EB8" w:rsidRDefault="006F6C8B">
            <w:pPr>
              <w:pStyle w:val="In-tableHeading"/>
              <w:jc w:val="center"/>
              <w:rPr>
                <w:b w:val="0"/>
                <w:bCs/>
                <w:lang w:val="en-AU"/>
              </w:rPr>
            </w:pPr>
            <w:r w:rsidRPr="00496EB8">
              <w:rPr>
                <w:b w:val="0"/>
                <w:bCs/>
                <w:lang w:val="en-AU"/>
              </w:rPr>
              <w:t>14.97 months</w:t>
            </w:r>
          </w:p>
        </w:tc>
        <w:tc>
          <w:tcPr>
            <w:tcW w:w="662" w:type="pct"/>
            <w:vAlign w:val="center"/>
          </w:tcPr>
          <w:p w14:paraId="320003B6" w14:textId="77777777" w:rsidR="006F6C8B" w:rsidRPr="00496EB8" w:rsidRDefault="006F6C8B">
            <w:pPr>
              <w:pStyle w:val="In-tableHeading"/>
              <w:jc w:val="center"/>
              <w:rPr>
                <w:b w:val="0"/>
                <w:bCs/>
                <w:lang w:val="en-AU"/>
              </w:rPr>
            </w:pPr>
            <w:r w:rsidRPr="00496EB8">
              <w:rPr>
                <w:b w:val="0"/>
                <w:bCs/>
                <w:lang w:val="en-AU"/>
              </w:rPr>
              <w:t>Mean doses administered was 10.8</w:t>
            </w:r>
          </w:p>
        </w:tc>
        <w:tc>
          <w:tcPr>
            <w:tcW w:w="662" w:type="pct"/>
            <w:vMerge/>
            <w:vAlign w:val="center"/>
          </w:tcPr>
          <w:p w14:paraId="459B3BC0" w14:textId="77777777" w:rsidR="006F6C8B" w:rsidRPr="00496EB8" w:rsidRDefault="006F6C8B">
            <w:pPr>
              <w:pStyle w:val="In-tableHeading"/>
              <w:jc w:val="center"/>
              <w:rPr>
                <w:b w:val="0"/>
                <w:bCs/>
                <w:lang w:val="en-AU"/>
              </w:rPr>
            </w:pPr>
          </w:p>
        </w:tc>
        <w:tc>
          <w:tcPr>
            <w:tcW w:w="768" w:type="pct"/>
            <w:vMerge/>
            <w:vAlign w:val="center"/>
          </w:tcPr>
          <w:p w14:paraId="6F501E65" w14:textId="77777777" w:rsidR="006F6C8B" w:rsidRPr="00496EB8" w:rsidRDefault="006F6C8B">
            <w:pPr>
              <w:pStyle w:val="In-tableHeading"/>
              <w:jc w:val="center"/>
              <w:rPr>
                <w:b w:val="0"/>
                <w:bCs/>
                <w:lang w:val="en-AU"/>
              </w:rPr>
            </w:pPr>
          </w:p>
        </w:tc>
      </w:tr>
      <w:tr w:rsidR="006F6C8B" w:rsidRPr="00496EB8" w14:paraId="15ECF1AB" w14:textId="77777777" w:rsidTr="00F908A4">
        <w:trPr>
          <w:cantSplit/>
          <w:jc w:val="center"/>
        </w:trPr>
        <w:tc>
          <w:tcPr>
            <w:tcW w:w="920" w:type="pct"/>
            <w:vAlign w:val="center"/>
          </w:tcPr>
          <w:p w14:paraId="1027C371" w14:textId="77777777" w:rsidR="006F6C8B" w:rsidRPr="00496EB8" w:rsidRDefault="006F6C8B">
            <w:pPr>
              <w:pStyle w:val="TableText0"/>
            </w:pPr>
            <w:r w:rsidRPr="00496EB8">
              <w:t>Mean no. scripts per patient</w:t>
            </w:r>
          </w:p>
        </w:tc>
        <w:tc>
          <w:tcPr>
            <w:tcW w:w="662" w:type="pct"/>
            <w:vAlign w:val="center"/>
          </w:tcPr>
          <w:p w14:paraId="60817747" w14:textId="4717479D" w:rsidR="006F6C8B" w:rsidRPr="00496EB8" w:rsidRDefault="006F6C8B">
            <w:pPr>
              <w:pStyle w:val="TableText0"/>
              <w:jc w:val="center"/>
              <w:rPr>
                <w:bCs w:val="0"/>
              </w:rPr>
            </w:pPr>
            <w:r w:rsidRPr="00496EB8">
              <w:rPr>
                <w:bCs w:val="0"/>
              </w:rPr>
              <w:t>14.97</w:t>
            </w:r>
          </w:p>
        </w:tc>
        <w:tc>
          <w:tcPr>
            <w:tcW w:w="662" w:type="pct"/>
            <w:vAlign w:val="center"/>
          </w:tcPr>
          <w:p w14:paraId="61C9C598" w14:textId="77777777" w:rsidR="006F6C8B" w:rsidRPr="00496EB8" w:rsidRDefault="006F6C8B">
            <w:pPr>
              <w:pStyle w:val="TableText0"/>
              <w:jc w:val="center"/>
              <w:rPr>
                <w:bCs w:val="0"/>
              </w:rPr>
            </w:pPr>
            <w:r w:rsidRPr="00496EB8">
              <w:rPr>
                <w:bCs w:val="0"/>
              </w:rPr>
              <w:t>14.97</w:t>
            </w:r>
          </w:p>
        </w:tc>
        <w:tc>
          <w:tcPr>
            <w:tcW w:w="664" w:type="pct"/>
            <w:vAlign w:val="center"/>
          </w:tcPr>
          <w:p w14:paraId="14AE3A27" w14:textId="77777777" w:rsidR="006F6C8B" w:rsidRPr="00496EB8" w:rsidRDefault="006F6C8B">
            <w:pPr>
              <w:pStyle w:val="TableText0"/>
              <w:jc w:val="center"/>
              <w:rPr>
                <w:bCs w:val="0"/>
              </w:rPr>
            </w:pPr>
            <w:r w:rsidRPr="00496EB8">
              <w:rPr>
                <w:bCs w:val="0"/>
              </w:rPr>
              <w:t>14.97</w:t>
            </w:r>
          </w:p>
        </w:tc>
        <w:tc>
          <w:tcPr>
            <w:tcW w:w="662" w:type="pct"/>
            <w:vAlign w:val="center"/>
          </w:tcPr>
          <w:p w14:paraId="7AF9AD27" w14:textId="77777777" w:rsidR="006F6C8B" w:rsidRPr="00496EB8" w:rsidRDefault="006F6C8B">
            <w:pPr>
              <w:pStyle w:val="TableText0"/>
              <w:jc w:val="center"/>
              <w:rPr>
                <w:bCs w:val="0"/>
              </w:rPr>
            </w:pPr>
            <w:r w:rsidRPr="00496EB8">
              <w:rPr>
                <w:bCs w:val="0"/>
              </w:rPr>
              <w:t>10.8</w:t>
            </w:r>
          </w:p>
        </w:tc>
        <w:tc>
          <w:tcPr>
            <w:tcW w:w="662" w:type="pct"/>
            <w:vAlign w:val="center"/>
          </w:tcPr>
          <w:p w14:paraId="577499D7" w14:textId="77777777" w:rsidR="006F6C8B" w:rsidRPr="00496EB8" w:rsidRDefault="006F6C8B">
            <w:pPr>
              <w:pStyle w:val="TableText0"/>
              <w:jc w:val="center"/>
              <w:rPr>
                <w:bCs w:val="0"/>
              </w:rPr>
            </w:pPr>
            <w:r w:rsidRPr="00496EB8">
              <w:rPr>
                <w:bCs w:val="0"/>
              </w:rPr>
              <w:t>10.8</w:t>
            </w:r>
          </w:p>
        </w:tc>
        <w:tc>
          <w:tcPr>
            <w:tcW w:w="768" w:type="pct"/>
            <w:vAlign w:val="center"/>
          </w:tcPr>
          <w:p w14:paraId="2F3EC3DE" w14:textId="77777777" w:rsidR="006F6C8B" w:rsidRPr="00496EB8" w:rsidRDefault="006F6C8B">
            <w:pPr>
              <w:pStyle w:val="TableText0"/>
              <w:jc w:val="center"/>
              <w:rPr>
                <w:bCs w:val="0"/>
              </w:rPr>
            </w:pPr>
            <w:r w:rsidRPr="00496EB8">
              <w:rPr>
                <w:bCs w:val="0"/>
              </w:rPr>
              <w:t>10.8</w:t>
            </w:r>
          </w:p>
        </w:tc>
      </w:tr>
      <w:tr w:rsidR="006F6C8B" w:rsidRPr="00496EB8" w14:paraId="4825D86C" w14:textId="77777777" w:rsidTr="00F908A4">
        <w:trPr>
          <w:cantSplit/>
          <w:jc w:val="center"/>
        </w:trPr>
        <w:tc>
          <w:tcPr>
            <w:tcW w:w="920" w:type="pct"/>
            <w:vAlign w:val="center"/>
          </w:tcPr>
          <w:p w14:paraId="3DFFF4AE" w14:textId="161C74B5" w:rsidR="006F6C8B" w:rsidRPr="00496EB8" w:rsidRDefault="006F6C8B">
            <w:pPr>
              <w:pStyle w:val="TableText0"/>
            </w:pPr>
            <w:r w:rsidRPr="00496EB8">
              <w:t>Cost per script</w:t>
            </w:r>
            <w:r w:rsidR="000309DD">
              <w:t xml:space="preserve"> </w:t>
            </w:r>
            <w:r w:rsidR="000309DD" w:rsidRPr="000309DD">
              <w:rPr>
                <w:vertAlign w:val="superscript"/>
              </w:rPr>
              <w:t>f</w:t>
            </w:r>
          </w:p>
        </w:tc>
        <w:tc>
          <w:tcPr>
            <w:tcW w:w="662" w:type="pct"/>
            <w:vAlign w:val="center"/>
          </w:tcPr>
          <w:p w14:paraId="1F5A7C99" w14:textId="77777777" w:rsidR="006F6C8B" w:rsidRPr="00496EB8" w:rsidRDefault="006F6C8B">
            <w:pPr>
              <w:pStyle w:val="TableText0"/>
              <w:jc w:val="center"/>
            </w:pPr>
            <w:r w:rsidRPr="00496EB8">
              <w:t>–</w:t>
            </w:r>
          </w:p>
        </w:tc>
        <w:tc>
          <w:tcPr>
            <w:tcW w:w="662" w:type="pct"/>
            <w:vAlign w:val="center"/>
          </w:tcPr>
          <w:p w14:paraId="6D6AB4B3" w14:textId="43F8DD87" w:rsidR="006F6C8B" w:rsidRPr="00496EB8" w:rsidRDefault="006F6C8B">
            <w:pPr>
              <w:pStyle w:val="TableText0"/>
              <w:jc w:val="center"/>
            </w:pPr>
            <w:r w:rsidRPr="00496EB8">
              <w:t>$</w:t>
            </w:r>
            <w:r w:rsidR="008C0C40" w:rsidRPr="008C0C40">
              <w:rPr>
                <w:color w:val="000000"/>
                <w:spacing w:val="55"/>
                <w:shd w:val="solid" w:color="000000" w:fill="000000"/>
                <w:fitText w:val="338" w:id="-623673340"/>
                <w14:textFill>
                  <w14:solidFill>
                    <w14:srgbClr w14:val="000000">
                      <w14:alpha w14:val="100000"/>
                    </w14:srgbClr>
                  </w14:solidFill>
                </w14:textFill>
              </w:rPr>
              <w:t>|||</w:t>
            </w:r>
            <w:r w:rsidR="008C0C40" w:rsidRPr="008C0C40">
              <w:rPr>
                <w:color w:val="000000"/>
                <w:spacing w:val="3"/>
                <w:shd w:val="solid" w:color="000000" w:fill="000000"/>
                <w:fitText w:val="338" w:id="-623673340"/>
                <w14:textFill>
                  <w14:solidFill>
                    <w14:srgbClr w14:val="000000">
                      <w14:alpha w14:val="100000"/>
                    </w14:srgbClr>
                  </w14:solidFill>
                </w14:textFill>
              </w:rPr>
              <w:t>|</w:t>
            </w:r>
          </w:p>
        </w:tc>
        <w:tc>
          <w:tcPr>
            <w:tcW w:w="664" w:type="pct"/>
            <w:vAlign w:val="center"/>
          </w:tcPr>
          <w:p w14:paraId="31A31CEE" w14:textId="536A6E99" w:rsidR="006F6C8B" w:rsidRPr="00496EB8" w:rsidRDefault="006F6C8B">
            <w:pPr>
              <w:pStyle w:val="TableText0"/>
              <w:jc w:val="center"/>
            </w:pPr>
            <w:r w:rsidRPr="00496EB8">
              <w:t>$</w:t>
            </w:r>
            <w:r w:rsidR="008C0C40" w:rsidRPr="008C0C40">
              <w:rPr>
                <w:color w:val="000000"/>
                <w:spacing w:val="51"/>
                <w:shd w:val="solid" w:color="000000" w:fill="000000"/>
                <w:fitText w:val="326" w:id="-623673339"/>
                <w14:textFill>
                  <w14:solidFill>
                    <w14:srgbClr w14:val="000000">
                      <w14:alpha w14:val="100000"/>
                    </w14:srgbClr>
                  </w14:solidFill>
                </w14:textFill>
              </w:rPr>
              <w:t>|||</w:t>
            </w:r>
            <w:r w:rsidR="008C0C40" w:rsidRPr="008C0C40">
              <w:rPr>
                <w:color w:val="000000"/>
                <w:spacing w:val="3"/>
                <w:shd w:val="solid" w:color="000000" w:fill="000000"/>
                <w:fitText w:val="326" w:id="-623673339"/>
                <w14:textFill>
                  <w14:solidFill>
                    <w14:srgbClr w14:val="000000">
                      <w14:alpha w14:val="100000"/>
                    </w14:srgbClr>
                  </w14:solidFill>
                </w14:textFill>
              </w:rPr>
              <w:t>|</w:t>
            </w:r>
          </w:p>
        </w:tc>
        <w:tc>
          <w:tcPr>
            <w:tcW w:w="662" w:type="pct"/>
            <w:vAlign w:val="center"/>
          </w:tcPr>
          <w:p w14:paraId="5999B17F" w14:textId="77777777" w:rsidR="006F6C8B" w:rsidRPr="00496EB8" w:rsidRDefault="006F6C8B">
            <w:pPr>
              <w:pStyle w:val="TableText0"/>
              <w:jc w:val="center"/>
            </w:pPr>
            <w:r w:rsidRPr="00496EB8">
              <w:t>–</w:t>
            </w:r>
          </w:p>
        </w:tc>
        <w:tc>
          <w:tcPr>
            <w:tcW w:w="662" w:type="pct"/>
            <w:vAlign w:val="center"/>
          </w:tcPr>
          <w:p w14:paraId="783B4992" w14:textId="1577057D" w:rsidR="006F6C8B" w:rsidRPr="00496EB8" w:rsidRDefault="006F6C8B">
            <w:pPr>
              <w:pStyle w:val="TableText0"/>
              <w:jc w:val="center"/>
            </w:pPr>
            <w:r w:rsidRPr="00496EB8">
              <w:t>$</w:t>
            </w:r>
            <w:r w:rsidR="008C0C40" w:rsidRPr="008C0C40">
              <w:rPr>
                <w:color w:val="000000"/>
                <w:spacing w:val="55"/>
                <w:shd w:val="solid" w:color="000000" w:fill="000000"/>
                <w:fitText w:val="338" w:id="-623673338"/>
                <w14:textFill>
                  <w14:solidFill>
                    <w14:srgbClr w14:val="000000">
                      <w14:alpha w14:val="100000"/>
                    </w14:srgbClr>
                  </w14:solidFill>
                </w14:textFill>
              </w:rPr>
              <w:t>|||</w:t>
            </w:r>
            <w:r w:rsidR="008C0C40" w:rsidRPr="008C0C40">
              <w:rPr>
                <w:color w:val="000000"/>
                <w:spacing w:val="3"/>
                <w:shd w:val="solid" w:color="000000" w:fill="000000"/>
                <w:fitText w:val="338" w:id="-623673338"/>
                <w14:textFill>
                  <w14:solidFill>
                    <w14:srgbClr w14:val="000000">
                      <w14:alpha w14:val="100000"/>
                    </w14:srgbClr>
                  </w14:solidFill>
                </w14:textFill>
              </w:rPr>
              <w:t>|</w:t>
            </w:r>
          </w:p>
        </w:tc>
        <w:tc>
          <w:tcPr>
            <w:tcW w:w="768" w:type="pct"/>
            <w:vAlign w:val="center"/>
          </w:tcPr>
          <w:p w14:paraId="15827096" w14:textId="77777777" w:rsidR="006F6C8B" w:rsidRPr="00496EB8" w:rsidRDefault="006F6C8B">
            <w:pPr>
              <w:pStyle w:val="TableText0"/>
              <w:jc w:val="center"/>
            </w:pPr>
            <w:r w:rsidRPr="00496EB8">
              <w:t>$406.13</w:t>
            </w:r>
          </w:p>
        </w:tc>
      </w:tr>
      <w:tr w:rsidR="006F6C8B" w:rsidRPr="00496EB8" w14:paraId="388113AB" w14:textId="77777777" w:rsidTr="00F908A4">
        <w:trPr>
          <w:cantSplit/>
          <w:jc w:val="center"/>
        </w:trPr>
        <w:tc>
          <w:tcPr>
            <w:tcW w:w="920" w:type="pct"/>
            <w:vAlign w:val="center"/>
          </w:tcPr>
          <w:p w14:paraId="6EEC8E55" w14:textId="22D2999E" w:rsidR="006F6C8B" w:rsidRPr="00496EB8" w:rsidRDefault="006F6C8B">
            <w:pPr>
              <w:pStyle w:val="TableText0"/>
            </w:pPr>
            <w:r w:rsidRPr="00496EB8">
              <w:t>Cost per course</w:t>
            </w:r>
            <w:r w:rsidR="000309DD" w:rsidRPr="000309DD">
              <w:rPr>
                <w:vertAlign w:val="superscript"/>
              </w:rPr>
              <w:t xml:space="preserve"> f</w:t>
            </w:r>
          </w:p>
        </w:tc>
        <w:tc>
          <w:tcPr>
            <w:tcW w:w="662" w:type="pct"/>
            <w:vAlign w:val="center"/>
          </w:tcPr>
          <w:p w14:paraId="041D50B0" w14:textId="77777777" w:rsidR="006F6C8B" w:rsidRPr="00496EB8" w:rsidRDefault="006F6C8B">
            <w:pPr>
              <w:pStyle w:val="TableText0"/>
              <w:jc w:val="center"/>
            </w:pPr>
            <w:r w:rsidRPr="00496EB8">
              <w:t>–</w:t>
            </w:r>
          </w:p>
        </w:tc>
        <w:tc>
          <w:tcPr>
            <w:tcW w:w="662" w:type="pct"/>
            <w:vAlign w:val="center"/>
          </w:tcPr>
          <w:p w14:paraId="73AD2283" w14:textId="7CB61CEB" w:rsidR="006F6C8B" w:rsidRPr="00496EB8" w:rsidRDefault="006F6C8B">
            <w:pPr>
              <w:pStyle w:val="TableText0"/>
              <w:jc w:val="center"/>
            </w:pPr>
            <w:r w:rsidRPr="00496EB8">
              <w:t>$</w:t>
            </w:r>
            <w:r w:rsidR="008C0C40" w:rsidRPr="008C0C40">
              <w:rPr>
                <w:color w:val="000000"/>
                <w:spacing w:val="55"/>
                <w:shd w:val="solid" w:color="000000" w:fill="000000"/>
                <w:fitText w:val="338" w:id="-623673337"/>
                <w14:textFill>
                  <w14:solidFill>
                    <w14:srgbClr w14:val="000000">
                      <w14:alpha w14:val="100000"/>
                    </w14:srgbClr>
                  </w14:solidFill>
                </w14:textFill>
              </w:rPr>
              <w:t>|||</w:t>
            </w:r>
            <w:r w:rsidR="008C0C40" w:rsidRPr="008C0C40">
              <w:rPr>
                <w:color w:val="000000"/>
                <w:spacing w:val="3"/>
                <w:shd w:val="solid" w:color="000000" w:fill="000000"/>
                <w:fitText w:val="338" w:id="-623673337"/>
                <w14:textFill>
                  <w14:solidFill>
                    <w14:srgbClr w14:val="000000">
                      <w14:alpha w14:val="100000"/>
                    </w14:srgbClr>
                  </w14:solidFill>
                </w14:textFill>
              </w:rPr>
              <w:t>|</w:t>
            </w:r>
          </w:p>
        </w:tc>
        <w:tc>
          <w:tcPr>
            <w:tcW w:w="664" w:type="pct"/>
            <w:vAlign w:val="center"/>
          </w:tcPr>
          <w:p w14:paraId="5411ECBB" w14:textId="3E9399C4" w:rsidR="006F6C8B" w:rsidRPr="00496EB8" w:rsidRDefault="006F6C8B">
            <w:pPr>
              <w:pStyle w:val="TableText0"/>
              <w:jc w:val="center"/>
            </w:pPr>
            <w:r w:rsidRPr="00496EB8">
              <w:t>$</w:t>
            </w:r>
            <w:r w:rsidR="008C0C40" w:rsidRPr="008C0C40">
              <w:rPr>
                <w:color w:val="000000"/>
                <w:spacing w:val="51"/>
                <w:shd w:val="solid" w:color="000000" w:fill="000000"/>
                <w:fitText w:val="326" w:id="-623673336"/>
                <w14:textFill>
                  <w14:solidFill>
                    <w14:srgbClr w14:val="000000">
                      <w14:alpha w14:val="100000"/>
                    </w14:srgbClr>
                  </w14:solidFill>
                </w14:textFill>
              </w:rPr>
              <w:t>|||</w:t>
            </w:r>
            <w:r w:rsidR="008C0C40" w:rsidRPr="008C0C40">
              <w:rPr>
                <w:color w:val="000000"/>
                <w:spacing w:val="3"/>
                <w:shd w:val="solid" w:color="000000" w:fill="000000"/>
                <w:fitText w:val="326" w:id="-623673336"/>
                <w14:textFill>
                  <w14:solidFill>
                    <w14:srgbClr w14:val="000000">
                      <w14:alpha w14:val="100000"/>
                    </w14:srgbClr>
                  </w14:solidFill>
                </w14:textFill>
              </w:rPr>
              <w:t>|</w:t>
            </w:r>
          </w:p>
        </w:tc>
        <w:tc>
          <w:tcPr>
            <w:tcW w:w="662" w:type="pct"/>
            <w:vAlign w:val="center"/>
          </w:tcPr>
          <w:p w14:paraId="4EB3A690" w14:textId="77777777" w:rsidR="006F6C8B" w:rsidRPr="00496EB8" w:rsidRDefault="006F6C8B">
            <w:pPr>
              <w:pStyle w:val="TableText0"/>
              <w:jc w:val="center"/>
            </w:pPr>
            <w:r w:rsidRPr="00496EB8">
              <w:t>–</w:t>
            </w:r>
          </w:p>
        </w:tc>
        <w:tc>
          <w:tcPr>
            <w:tcW w:w="662" w:type="pct"/>
            <w:vAlign w:val="center"/>
          </w:tcPr>
          <w:p w14:paraId="5D09B9FA" w14:textId="78D0E007" w:rsidR="006F6C8B" w:rsidRPr="00496EB8" w:rsidRDefault="006F6C8B">
            <w:pPr>
              <w:pStyle w:val="TableText0"/>
              <w:jc w:val="center"/>
            </w:pPr>
            <w:r w:rsidRPr="00496EB8">
              <w:t>$</w:t>
            </w:r>
            <w:r w:rsidR="008C0C40">
              <w:rPr>
                <w:color w:val="000000"/>
                <w:spacing w:val="55"/>
                <w:shd w:val="solid" w:color="000000" w:fill="000000"/>
                <w:fitText w:val="338" w:id="-623673335"/>
                <w14:textFill>
                  <w14:solidFill>
                    <w14:srgbClr w14:val="000000">
                      <w14:alpha w14:val="100000"/>
                    </w14:srgbClr>
                  </w14:solidFill>
                </w14:textFill>
              </w:rPr>
              <w:t>|||</w:t>
            </w:r>
            <w:r w:rsidR="008C0C40">
              <w:rPr>
                <w:color w:val="000000"/>
                <w:spacing w:val="1"/>
                <w:shd w:val="solid" w:color="000000" w:fill="000000"/>
                <w:fitText w:val="338" w:id="-623673335"/>
                <w14:textFill>
                  <w14:solidFill>
                    <w14:srgbClr w14:val="000000">
                      <w14:alpha w14:val="100000"/>
                    </w14:srgbClr>
                  </w14:solidFill>
                </w14:textFill>
              </w:rPr>
              <w:t>|</w:t>
            </w:r>
          </w:p>
        </w:tc>
        <w:tc>
          <w:tcPr>
            <w:tcW w:w="768" w:type="pct"/>
            <w:vAlign w:val="center"/>
          </w:tcPr>
          <w:p w14:paraId="59309997" w14:textId="77777777" w:rsidR="006F6C8B" w:rsidRPr="00496EB8" w:rsidRDefault="006F6C8B">
            <w:pPr>
              <w:pStyle w:val="TableText0"/>
              <w:jc w:val="center"/>
            </w:pPr>
            <w:r w:rsidRPr="00496EB8">
              <w:t>$4,386.20</w:t>
            </w:r>
          </w:p>
        </w:tc>
      </w:tr>
      <w:tr w:rsidR="006F6C8B" w:rsidRPr="00496EB8" w14:paraId="002235D7" w14:textId="77777777" w:rsidTr="00044EF0">
        <w:trPr>
          <w:cantSplit/>
          <w:tblHeader/>
          <w:jc w:val="center"/>
        </w:trPr>
        <w:tc>
          <w:tcPr>
            <w:tcW w:w="5000" w:type="pct"/>
            <w:gridSpan w:val="7"/>
            <w:tcBorders>
              <w:top w:val="nil"/>
            </w:tcBorders>
            <w:shd w:val="clear" w:color="auto" w:fill="D9D9D9" w:themeFill="background1" w:themeFillShade="D9"/>
            <w:vAlign w:val="center"/>
          </w:tcPr>
          <w:p w14:paraId="4ADC4A7B" w14:textId="77777777" w:rsidR="006F6C8B" w:rsidRPr="00496EB8" w:rsidRDefault="006F6C8B">
            <w:pPr>
              <w:pStyle w:val="In-tableHeading"/>
              <w:jc w:val="center"/>
              <w:rPr>
                <w:lang w:val="en-AU"/>
              </w:rPr>
            </w:pPr>
            <w:r w:rsidRPr="00496EB8">
              <w:rPr>
                <w:lang w:val="en-AU"/>
              </w:rPr>
              <w:t>Anti-resorptive therapy</w:t>
            </w:r>
          </w:p>
        </w:tc>
      </w:tr>
      <w:tr w:rsidR="006F6C8B" w:rsidRPr="00496EB8" w14:paraId="057C4C36" w14:textId="77777777" w:rsidTr="00F908A4">
        <w:trPr>
          <w:cantSplit/>
          <w:tblHeader/>
          <w:jc w:val="center"/>
        </w:trPr>
        <w:tc>
          <w:tcPr>
            <w:tcW w:w="920" w:type="pct"/>
            <w:tcBorders>
              <w:top w:val="nil"/>
              <w:bottom w:val="single" w:sz="4" w:space="0" w:color="auto"/>
            </w:tcBorders>
            <w:vAlign w:val="center"/>
          </w:tcPr>
          <w:p w14:paraId="3B7834D3" w14:textId="77777777" w:rsidR="006F6C8B" w:rsidRPr="00496EB8" w:rsidRDefault="006F6C8B">
            <w:pPr>
              <w:pStyle w:val="In-tableHeading"/>
              <w:rPr>
                <w:b w:val="0"/>
                <w:bCs/>
                <w:lang w:val="en-AU"/>
              </w:rPr>
            </w:pPr>
            <w:r w:rsidRPr="00496EB8">
              <w:rPr>
                <w:b w:val="0"/>
                <w:bCs/>
                <w:lang w:val="en-AU"/>
              </w:rPr>
              <w:t>Additional anti-resorptive therapy in patients who discontinue treatment</w:t>
            </w:r>
          </w:p>
        </w:tc>
        <w:tc>
          <w:tcPr>
            <w:tcW w:w="662" w:type="pct"/>
            <w:vAlign w:val="center"/>
          </w:tcPr>
          <w:p w14:paraId="0D8F5394" w14:textId="77777777" w:rsidR="006F6C8B" w:rsidRPr="00496EB8" w:rsidRDefault="006F6C8B">
            <w:pPr>
              <w:pStyle w:val="In-tableHeading"/>
              <w:jc w:val="center"/>
              <w:rPr>
                <w:b w:val="0"/>
                <w:bCs/>
                <w:lang w:val="en-AU"/>
              </w:rPr>
            </w:pPr>
            <w:r w:rsidRPr="00496EB8">
              <w:rPr>
                <w:b w:val="0"/>
                <w:bCs/>
                <w:lang w:val="en-AU"/>
              </w:rPr>
              <w:t>Not reported</w:t>
            </w:r>
          </w:p>
        </w:tc>
        <w:tc>
          <w:tcPr>
            <w:tcW w:w="662" w:type="pct"/>
            <w:vAlign w:val="center"/>
          </w:tcPr>
          <w:p w14:paraId="4E861D39" w14:textId="77777777" w:rsidR="006F6C8B" w:rsidRPr="00496EB8" w:rsidRDefault="006F6C8B">
            <w:pPr>
              <w:pStyle w:val="In-tableHeading"/>
              <w:jc w:val="center"/>
              <w:rPr>
                <w:b w:val="0"/>
                <w:bCs/>
                <w:lang w:val="en-AU"/>
              </w:rPr>
            </w:pPr>
            <w:r w:rsidRPr="00496EB8">
              <w:rPr>
                <w:b w:val="0"/>
                <w:bCs/>
                <w:lang w:val="en-AU"/>
              </w:rPr>
              <w:t>6 months in 20% of patients</w:t>
            </w:r>
          </w:p>
        </w:tc>
        <w:tc>
          <w:tcPr>
            <w:tcW w:w="664" w:type="pct"/>
            <w:vAlign w:val="center"/>
          </w:tcPr>
          <w:p w14:paraId="0A1BDFFD" w14:textId="77777777" w:rsidR="006F6C8B" w:rsidRPr="00496EB8" w:rsidRDefault="006F6C8B">
            <w:pPr>
              <w:pStyle w:val="In-tableHeading"/>
              <w:jc w:val="center"/>
              <w:rPr>
                <w:b w:val="0"/>
                <w:bCs/>
                <w:lang w:val="en-AU"/>
              </w:rPr>
            </w:pPr>
            <w:r w:rsidRPr="00496EB8">
              <w:rPr>
                <w:b w:val="0"/>
                <w:bCs/>
                <w:lang w:val="en-AU"/>
              </w:rPr>
              <w:t>–</w:t>
            </w:r>
          </w:p>
        </w:tc>
        <w:tc>
          <w:tcPr>
            <w:tcW w:w="662" w:type="pct"/>
            <w:vAlign w:val="center"/>
          </w:tcPr>
          <w:p w14:paraId="6A6C9CF0" w14:textId="77777777" w:rsidR="006F6C8B" w:rsidRPr="00496EB8" w:rsidRDefault="006F6C8B">
            <w:pPr>
              <w:pStyle w:val="In-tableHeading"/>
              <w:jc w:val="center"/>
              <w:rPr>
                <w:b w:val="0"/>
                <w:bCs/>
                <w:lang w:val="en-AU"/>
              </w:rPr>
            </w:pPr>
            <w:r w:rsidRPr="00496EB8">
              <w:rPr>
                <w:b w:val="0"/>
                <w:bCs/>
                <w:lang w:val="en-AU"/>
              </w:rPr>
              <w:t>Not reported</w:t>
            </w:r>
          </w:p>
        </w:tc>
        <w:tc>
          <w:tcPr>
            <w:tcW w:w="662" w:type="pct"/>
            <w:vAlign w:val="center"/>
          </w:tcPr>
          <w:p w14:paraId="63CD8D95" w14:textId="77777777" w:rsidR="006F6C8B" w:rsidRPr="00496EB8" w:rsidRDefault="006F6C8B">
            <w:pPr>
              <w:pStyle w:val="In-tableHeading"/>
              <w:jc w:val="center"/>
              <w:rPr>
                <w:b w:val="0"/>
                <w:bCs/>
                <w:lang w:val="en-AU"/>
              </w:rPr>
            </w:pPr>
            <w:r w:rsidRPr="00496EB8">
              <w:rPr>
                <w:b w:val="0"/>
                <w:bCs/>
                <w:lang w:val="en-AU"/>
              </w:rPr>
              <w:t>6 months in 20% of patients</w:t>
            </w:r>
          </w:p>
        </w:tc>
        <w:tc>
          <w:tcPr>
            <w:tcW w:w="768" w:type="pct"/>
            <w:vAlign w:val="center"/>
          </w:tcPr>
          <w:p w14:paraId="5FBD8AA2" w14:textId="77777777" w:rsidR="006F6C8B" w:rsidRPr="00496EB8" w:rsidRDefault="006F6C8B">
            <w:pPr>
              <w:pStyle w:val="In-tableHeading"/>
              <w:jc w:val="center"/>
              <w:rPr>
                <w:b w:val="0"/>
                <w:bCs/>
                <w:lang w:val="en-AU"/>
              </w:rPr>
            </w:pPr>
            <w:r w:rsidRPr="00496EB8">
              <w:rPr>
                <w:b w:val="0"/>
                <w:bCs/>
                <w:lang w:val="en-AU"/>
              </w:rPr>
              <w:t>–</w:t>
            </w:r>
          </w:p>
        </w:tc>
      </w:tr>
      <w:tr w:rsidR="006F6C8B" w:rsidRPr="00496EB8" w14:paraId="74ADAE8B" w14:textId="77777777" w:rsidTr="00F908A4">
        <w:trPr>
          <w:cantSplit/>
          <w:tblHeader/>
          <w:jc w:val="center"/>
        </w:trPr>
        <w:tc>
          <w:tcPr>
            <w:tcW w:w="920" w:type="pct"/>
            <w:tcBorders>
              <w:top w:val="single" w:sz="4" w:space="0" w:color="auto"/>
              <w:bottom w:val="single" w:sz="4" w:space="0" w:color="auto"/>
            </w:tcBorders>
            <w:vAlign w:val="center"/>
          </w:tcPr>
          <w:p w14:paraId="0C84618D" w14:textId="77777777" w:rsidR="006F6C8B" w:rsidRPr="00496EB8" w:rsidRDefault="006F6C8B">
            <w:pPr>
              <w:pStyle w:val="In-tableHeading"/>
              <w:rPr>
                <w:b w:val="0"/>
                <w:bCs/>
                <w:lang w:val="en-AU"/>
              </w:rPr>
            </w:pPr>
            <w:r w:rsidRPr="00496EB8">
              <w:rPr>
                <w:b w:val="0"/>
                <w:bCs/>
                <w:lang w:val="en-AU"/>
              </w:rPr>
              <w:t>Subsequent anti-resorptive therapies per patient treated </w:t>
            </w:r>
            <w:r w:rsidRPr="00496EB8">
              <w:rPr>
                <w:b w:val="0"/>
                <w:bCs/>
                <w:vertAlign w:val="superscript"/>
                <w:lang w:val="en-AU"/>
              </w:rPr>
              <w:t>c</w:t>
            </w:r>
          </w:p>
        </w:tc>
        <w:tc>
          <w:tcPr>
            <w:tcW w:w="662" w:type="pct"/>
            <w:vAlign w:val="center"/>
          </w:tcPr>
          <w:p w14:paraId="4D9F1EF6" w14:textId="77777777" w:rsidR="006F6C8B" w:rsidRPr="00496EB8" w:rsidRDefault="006F6C8B">
            <w:pPr>
              <w:pStyle w:val="In-tableHeading"/>
              <w:jc w:val="center"/>
              <w:rPr>
                <w:b w:val="0"/>
                <w:bCs/>
                <w:lang w:val="en-AU"/>
              </w:rPr>
            </w:pPr>
            <w:r w:rsidRPr="00496EB8">
              <w:rPr>
                <w:b w:val="0"/>
                <w:bCs/>
                <w:lang w:val="en-AU"/>
              </w:rPr>
              <w:t>Not reported</w:t>
            </w:r>
          </w:p>
        </w:tc>
        <w:tc>
          <w:tcPr>
            <w:tcW w:w="662" w:type="pct"/>
            <w:vAlign w:val="center"/>
          </w:tcPr>
          <w:p w14:paraId="6C739ACE" w14:textId="77777777" w:rsidR="006F6C8B" w:rsidRPr="00496EB8" w:rsidRDefault="006F6C8B">
            <w:pPr>
              <w:pStyle w:val="In-tableHeading"/>
              <w:jc w:val="center"/>
              <w:rPr>
                <w:b w:val="0"/>
                <w:bCs/>
                <w:lang w:val="en-AU"/>
              </w:rPr>
            </w:pPr>
            <w:r w:rsidRPr="00496EB8">
              <w:rPr>
                <w:b w:val="0"/>
                <w:bCs/>
                <w:lang w:val="en-AU"/>
              </w:rPr>
              <w:t>–</w:t>
            </w:r>
          </w:p>
        </w:tc>
        <w:tc>
          <w:tcPr>
            <w:tcW w:w="664" w:type="pct"/>
            <w:vAlign w:val="center"/>
          </w:tcPr>
          <w:p w14:paraId="2A06D011" w14:textId="77777777" w:rsidR="006F6C8B" w:rsidRPr="00496EB8" w:rsidRDefault="006F6C8B">
            <w:pPr>
              <w:pStyle w:val="In-tableHeading"/>
              <w:jc w:val="center"/>
              <w:rPr>
                <w:b w:val="0"/>
                <w:bCs/>
                <w:lang w:val="en-AU"/>
              </w:rPr>
            </w:pPr>
            <w:r w:rsidRPr="00496EB8">
              <w:rPr>
                <w:b w:val="0"/>
                <w:bCs/>
                <w:lang w:val="en-AU"/>
              </w:rPr>
              <w:t>–</w:t>
            </w:r>
          </w:p>
        </w:tc>
        <w:tc>
          <w:tcPr>
            <w:tcW w:w="662" w:type="pct"/>
            <w:vAlign w:val="center"/>
          </w:tcPr>
          <w:p w14:paraId="6268E022" w14:textId="77777777" w:rsidR="006F6C8B" w:rsidRPr="00496EB8" w:rsidRDefault="006F6C8B">
            <w:pPr>
              <w:pStyle w:val="In-tableHeading"/>
              <w:jc w:val="center"/>
              <w:rPr>
                <w:b w:val="0"/>
                <w:bCs/>
                <w:lang w:val="en-AU"/>
              </w:rPr>
            </w:pPr>
            <w:r w:rsidRPr="00496EB8">
              <w:rPr>
                <w:b w:val="0"/>
                <w:bCs/>
                <w:lang w:val="en-AU"/>
              </w:rPr>
              <w:t>Not reported</w:t>
            </w:r>
          </w:p>
        </w:tc>
        <w:tc>
          <w:tcPr>
            <w:tcW w:w="662" w:type="pct"/>
            <w:vAlign w:val="center"/>
          </w:tcPr>
          <w:p w14:paraId="6C6B6EE3" w14:textId="77777777" w:rsidR="006F6C8B" w:rsidRPr="00496EB8" w:rsidRDefault="006F6C8B">
            <w:pPr>
              <w:pStyle w:val="In-tableHeading"/>
              <w:jc w:val="center"/>
              <w:rPr>
                <w:b w:val="0"/>
                <w:bCs/>
                <w:lang w:val="en-AU"/>
              </w:rPr>
            </w:pPr>
            <w:r w:rsidRPr="00496EB8">
              <w:rPr>
                <w:b w:val="0"/>
                <w:bCs/>
                <w:lang w:val="en-AU"/>
              </w:rPr>
              <w:t>175 days </w:t>
            </w:r>
            <w:r w:rsidRPr="00496EB8">
              <w:rPr>
                <w:b w:val="0"/>
                <w:bCs/>
                <w:vertAlign w:val="superscript"/>
                <w:lang w:val="en-AU"/>
              </w:rPr>
              <w:t>d</w:t>
            </w:r>
          </w:p>
        </w:tc>
        <w:tc>
          <w:tcPr>
            <w:tcW w:w="768" w:type="pct"/>
            <w:vAlign w:val="center"/>
          </w:tcPr>
          <w:p w14:paraId="7089E1F0" w14:textId="77777777" w:rsidR="006F6C8B" w:rsidRPr="00496EB8" w:rsidRDefault="006F6C8B">
            <w:pPr>
              <w:pStyle w:val="In-tableHeading"/>
              <w:jc w:val="center"/>
              <w:rPr>
                <w:b w:val="0"/>
                <w:bCs/>
                <w:lang w:val="en-AU"/>
              </w:rPr>
            </w:pPr>
            <w:r w:rsidRPr="00496EB8">
              <w:rPr>
                <w:b w:val="0"/>
                <w:bCs/>
                <w:lang w:val="en-AU"/>
              </w:rPr>
              <w:t>2.7 scripts </w:t>
            </w:r>
            <w:r w:rsidRPr="00496EB8">
              <w:rPr>
                <w:b w:val="0"/>
                <w:bCs/>
                <w:vertAlign w:val="superscript"/>
                <w:lang w:val="en-AU"/>
              </w:rPr>
              <w:t>e</w:t>
            </w:r>
          </w:p>
        </w:tc>
      </w:tr>
      <w:tr w:rsidR="006F6C8B" w:rsidRPr="00496EB8" w14:paraId="0C1AE009" w14:textId="77777777" w:rsidTr="00F908A4">
        <w:trPr>
          <w:cantSplit/>
          <w:tblHeader/>
          <w:jc w:val="center"/>
        </w:trPr>
        <w:tc>
          <w:tcPr>
            <w:tcW w:w="920" w:type="pct"/>
            <w:tcBorders>
              <w:top w:val="single" w:sz="4" w:space="0" w:color="auto"/>
            </w:tcBorders>
            <w:vAlign w:val="center"/>
          </w:tcPr>
          <w:p w14:paraId="460DFC2A" w14:textId="77777777" w:rsidR="006F6C8B" w:rsidRPr="00496EB8" w:rsidRDefault="006F6C8B">
            <w:pPr>
              <w:pStyle w:val="In-tableHeading"/>
              <w:rPr>
                <w:b w:val="0"/>
                <w:bCs/>
                <w:lang w:val="en-AU"/>
              </w:rPr>
            </w:pPr>
            <w:r w:rsidRPr="00496EB8">
              <w:rPr>
                <w:b w:val="0"/>
                <w:bCs/>
                <w:lang w:val="en-AU"/>
              </w:rPr>
              <w:t>Anti-resorptive drug cost</w:t>
            </w:r>
          </w:p>
        </w:tc>
        <w:tc>
          <w:tcPr>
            <w:tcW w:w="662" w:type="pct"/>
            <w:vAlign w:val="center"/>
          </w:tcPr>
          <w:p w14:paraId="218F9FDE" w14:textId="77777777" w:rsidR="006F6C8B" w:rsidRPr="00496EB8" w:rsidRDefault="006F6C8B">
            <w:pPr>
              <w:pStyle w:val="In-tableHeading"/>
              <w:jc w:val="center"/>
              <w:rPr>
                <w:b w:val="0"/>
                <w:bCs/>
                <w:lang w:val="en-AU"/>
              </w:rPr>
            </w:pPr>
            <w:r w:rsidRPr="00496EB8">
              <w:rPr>
                <w:b w:val="0"/>
                <w:bCs/>
                <w:lang w:val="en-AU"/>
              </w:rPr>
              <w:t>–</w:t>
            </w:r>
          </w:p>
        </w:tc>
        <w:tc>
          <w:tcPr>
            <w:tcW w:w="662" w:type="pct"/>
            <w:vAlign w:val="center"/>
          </w:tcPr>
          <w:p w14:paraId="1DF4BB80" w14:textId="77777777" w:rsidR="006F6C8B" w:rsidRPr="00496EB8" w:rsidRDefault="006F6C8B">
            <w:pPr>
              <w:pStyle w:val="In-tableHeading"/>
              <w:jc w:val="center"/>
              <w:rPr>
                <w:b w:val="0"/>
                <w:bCs/>
                <w:lang w:val="en-AU"/>
              </w:rPr>
            </w:pPr>
            <w:r w:rsidRPr="00496EB8">
              <w:rPr>
                <w:b w:val="0"/>
                <w:bCs/>
                <w:lang w:val="en-AU"/>
              </w:rPr>
              <w:t>$34.83</w:t>
            </w:r>
          </w:p>
        </w:tc>
        <w:tc>
          <w:tcPr>
            <w:tcW w:w="664" w:type="pct"/>
            <w:vAlign w:val="center"/>
          </w:tcPr>
          <w:p w14:paraId="50C9EBA6" w14:textId="77777777" w:rsidR="006F6C8B" w:rsidRPr="00496EB8" w:rsidRDefault="006F6C8B">
            <w:pPr>
              <w:pStyle w:val="In-tableHeading"/>
              <w:jc w:val="center"/>
              <w:rPr>
                <w:b w:val="0"/>
                <w:bCs/>
                <w:lang w:val="en-AU"/>
              </w:rPr>
            </w:pPr>
            <w:r w:rsidRPr="00496EB8">
              <w:rPr>
                <w:b w:val="0"/>
                <w:bCs/>
                <w:lang w:val="en-AU"/>
              </w:rPr>
              <w:t>–</w:t>
            </w:r>
          </w:p>
        </w:tc>
        <w:tc>
          <w:tcPr>
            <w:tcW w:w="662" w:type="pct"/>
            <w:vAlign w:val="center"/>
          </w:tcPr>
          <w:p w14:paraId="6D622A73" w14:textId="77777777" w:rsidR="006F6C8B" w:rsidRPr="00496EB8" w:rsidRDefault="006F6C8B">
            <w:pPr>
              <w:pStyle w:val="In-tableHeading"/>
              <w:jc w:val="center"/>
              <w:rPr>
                <w:b w:val="0"/>
                <w:bCs/>
                <w:lang w:val="en-AU"/>
              </w:rPr>
            </w:pPr>
            <w:r w:rsidRPr="00496EB8">
              <w:rPr>
                <w:b w:val="0"/>
                <w:bCs/>
                <w:lang w:val="en-AU"/>
              </w:rPr>
              <w:t>–</w:t>
            </w:r>
          </w:p>
        </w:tc>
        <w:tc>
          <w:tcPr>
            <w:tcW w:w="662" w:type="pct"/>
            <w:vAlign w:val="center"/>
          </w:tcPr>
          <w:p w14:paraId="6A03743D" w14:textId="77777777" w:rsidR="006F6C8B" w:rsidRPr="00496EB8" w:rsidRDefault="006F6C8B">
            <w:pPr>
              <w:pStyle w:val="In-tableHeading"/>
              <w:jc w:val="center"/>
              <w:rPr>
                <w:b w:val="0"/>
                <w:bCs/>
                <w:lang w:val="en-AU"/>
              </w:rPr>
            </w:pPr>
            <w:r w:rsidRPr="00496EB8">
              <w:rPr>
                <w:b w:val="0"/>
                <w:bCs/>
                <w:lang w:val="en-AU"/>
              </w:rPr>
              <w:t>$201.85</w:t>
            </w:r>
          </w:p>
        </w:tc>
        <w:tc>
          <w:tcPr>
            <w:tcW w:w="768" w:type="pct"/>
            <w:vAlign w:val="center"/>
          </w:tcPr>
          <w:p w14:paraId="218F28BF" w14:textId="77777777" w:rsidR="006F6C8B" w:rsidRPr="00496EB8" w:rsidRDefault="006F6C8B">
            <w:pPr>
              <w:pStyle w:val="In-tableHeading"/>
              <w:jc w:val="center"/>
              <w:rPr>
                <w:b w:val="0"/>
                <w:bCs/>
                <w:lang w:val="en-AU"/>
              </w:rPr>
            </w:pPr>
            <w:r w:rsidRPr="00496EB8">
              <w:rPr>
                <w:b w:val="0"/>
                <w:bCs/>
                <w:lang w:val="en-AU"/>
              </w:rPr>
              <w:t xml:space="preserve">$436.90 </w:t>
            </w:r>
            <w:r w:rsidRPr="00496EB8">
              <w:rPr>
                <w:b w:val="0"/>
                <w:bCs/>
                <w:lang w:val="en-AU"/>
              </w:rPr>
              <w:br/>
              <w:t>(revised: $220.56)</w:t>
            </w:r>
          </w:p>
        </w:tc>
      </w:tr>
    </w:tbl>
    <w:p w14:paraId="7E117908" w14:textId="77777777" w:rsidR="006F6C8B" w:rsidRDefault="006F6C8B" w:rsidP="006F6C8B">
      <w:pPr>
        <w:pStyle w:val="TableFigureFooter"/>
      </w:pPr>
      <w:r w:rsidRPr="00D86D87">
        <w:t xml:space="preserve">Source: </w:t>
      </w:r>
      <w:r>
        <w:t>Constructed during the evaluation.</w:t>
      </w:r>
    </w:p>
    <w:p w14:paraId="7F5D17D8" w14:textId="77777777" w:rsidR="006F6C8B" w:rsidRDefault="006F6C8B" w:rsidP="006F6C8B">
      <w:pPr>
        <w:pStyle w:val="TableFigureFooter"/>
      </w:pPr>
      <w:r w:rsidRPr="00961602">
        <w:rPr>
          <w:vertAlign w:val="superscript"/>
        </w:rPr>
        <w:t>a</w:t>
      </w:r>
      <w:r>
        <w:t xml:space="preserve"> Drug exposure data (i.e. reported as mean doses administered) did not differentiate between adherence and persistence.</w:t>
      </w:r>
    </w:p>
    <w:p w14:paraId="3168C80F" w14:textId="77777777" w:rsidR="006F6C8B" w:rsidRDefault="006F6C8B" w:rsidP="006F6C8B">
      <w:pPr>
        <w:pStyle w:val="TableFigureFooter"/>
      </w:pPr>
      <w:r w:rsidRPr="00961602">
        <w:rPr>
          <w:vertAlign w:val="superscript"/>
        </w:rPr>
        <w:t>b</w:t>
      </w:r>
      <w:r>
        <w:t xml:space="preserve"> Adherence and persistence were not separately considered.</w:t>
      </w:r>
    </w:p>
    <w:p w14:paraId="1BCFB467" w14:textId="77777777" w:rsidR="006F6C8B" w:rsidRDefault="006F6C8B" w:rsidP="006F6C8B">
      <w:pPr>
        <w:pStyle w:val="TableFigureFooter"/>
      </w:pPr>
      <w:r w:rsidRPr="00961602">
        <w:rPr>
          <w:vertAlign w:val="superscript"/>
        </w:rPr>
        <w:t>c</w:t>
      </w:r>
      <w:r>
        <w:t xml:space="preserve"> To make up difference in duration of first line treatment</w:t>
      </w:r>
    </w:p>
    <w:p w14:paraId="0A489BCD" w14:textId="213F8016" w:rsidR="006F6C8B" w:rsidRDefault="006F6C8B" w:rsidP="006F6C8B">
      <w:pPr>
        <w:pStyle w:val="TableFigureFooter"/>
        <w:rPr>
          <w:lang w:eastAsia="en-US"/>
        </w:rPr>
      </w:pPr>
      <w:r>
        <w:rPr>
          <w:vertAlign w:val="superscript"/>
        </w:rPr>
        <w:t>d</w:t>
      </w:r>
      <w:r>
        <w:t xml:space="preserve"> Use and cost estimated on a per day basis, weighted </w:t>
      </w:r>
      <w:r>
        <w:rPr>
          <w:lang w:eastAsia="en-US"/>
        </w:rPr>
        <w:t>60</w:t>
      </w:r>
      <w:r w:rsidRPr="00BC20AC">
        <w:rPr>
          <w:lang w:eastAsia="en-US"/>
        </w:rPr>
        <w:t xml:space="preserve">% denosumab, </w:t>
      </w:r>
      <w:r>
        <w:rPr>
          <w:lang w:eastAsia="en-US"/>
        </w:rPr>
        <w:t>6</w:t>
      </w:r>
      <w:r w:rsidRPr="00BC20AC">
        <w:rPr>
          <w:lang w:eastAsia="en-US"/>
        </w:rPr>
        <w:t>% alendronate</w:t>
      </w:r>
      <w:r>
        <w:rPr>
          <w:lang w:eastAsia="en-US"/>
        </w:rPr>
        <w:t>; and</w:t>
      </w:r>
      <w:r w:rsidRPr="00BC20AC">
        <w:rPr>
          <w:lang w:eastAsia="en-US"/>
        </w:rPr>
        <w:t xml:space="preserve"> 34% risedronate</w:t>
      </w:r>
      <w:r w:rsidR="00ED65D5">
        <w:rPr>
          <w:lang w:eastAsia="en-US"/>
        </w:rPr>
        <w:t>, assuming 100% compliance</w:t>
      </w:r>
    </w:p>
    <w:p w14:paraId="1E8DCCC9" w14:textId="68A2F680" w:rsidR="006F6C8B" w:rsidRDefault="006F6C8B" w:rsidP="006F6C8B">
      <w:pPr>
        <w:pStyle w:val="TableFigureFooter"/>
      </w:pPr>
      <w:r>
        <w:rPr>
          <w:vertAlign w:val="superscript"/>
          <w:lang w:eastAsia="en-US"/>
        </w:rPr>
        <w:t>e</w:t>
      </w:r>
      <w:r>
        <w:rPr>
          <w:lang w:eastAsia="en-US"/>
        </w:rPr>
        <w:t xml:space="preserve"> Weighted 61% </w:t>
      </w:r>
      <w:r>
        <w:t>denosumab; 6% alendronate; and 33% risedronate</w:t>
      </w:r>
      <w:r w:rsidR="00ED65D5">
        <w:t>, assuming 90% compliance</w:t>
      </w:r>
      <w:r>
        <w:t xml:space="preserve">. </w:t>
      </w:r>
    </w:p>
    <w:p w14:paraId="57AB648D" w14:textId="3D65DC11" w:rsidR="000309DD" w:rsidRPr="000309DD" w:rsidRDefault="000309DD" w:rsidP="006F6C8B">
      <w:pPr>
        <w:pStyle w:val="TableFigureFooter"/>
      </w:pPr>
      <w:r w:rsidRPr="000309DD">
        <w:rPr>
          <w:vertAlign w:val="superscript"/>
        </w:rPr>
        <w:t xml:space="preserve">f </w:t>
      </w:r>
      <w:r w:rsidRPr="000309DD">
        <w:t xml:space="preserve">Cost per script and cost per course for romosozumab are based on estimated </w:t>
      </w:r>
      <w:r w:rsidR="00E96D37">
        <w:t xml:space="preserve">first-line </w:t>
      </w:r>
      <w:r w:rsidR="008B229F">
        <w:t>published price</w:t>
      </w:r>
      <w:r w:rsidR="00D13809">
        <w:t xml:space="preserve"> for the economic analysis and the DPMQ For the financial estimates</w:t>
      </w:r>
    </w:p>
    <w:p w14:paraId="40F5EF2B" w14:textId="1F3B3C86" w:rsidR="006F6C8B" w:rsidRPr="00D86D87" w:rsidRDefault="006F6C8B" w:rsidP="006F6C8B">
      <w:pPr>
        <w:pStyle w:val="4-SubsectionHeading"/>
      </w:pPr>
      <w:bookmarkStart w:id="65" w:name="_Toc22897647"/>
      <w:bookmarkStart w:id="66" w:name="_Toc193184389"/>
      <w:bookmarkStart w:id="67" w:name="_Toc198219110"/>
      <w:bookmarkEnd w:id="63"/>
      <w:r w:rsidRPr="00D86D87">
        <w:t>Estimated PBS usage &amp; financial implications</w:t>
      </w:r>
      <w:bookmarkEnd w:id="65"/>
      <w:bookmarkEnd w:id="66"/>
      <w:bookmarkEnd w:id="67"/>
    </w:p>
    <w:p w14:paraId="35E52EA5" w14:textId="7E769C53" w:rsidR="006F6C8B" w:rsidRDefault="006F6C8B" w:rsidP="006F6C8B">
      <w:pPr>
        <w:pStyle w:val="3-BodyText"/>
      </w:pPr>
      <w:r w:rsidRPr="00D86D87">
        <w:t xml:space="preserve">This submission </w:t>
      </w:r>
      <w:r w:rsidR="00C465E8">
        <w:t>was</w:t>
      </w:r>
      <w:r w:rsidRPr="00D86D87">
        <w:t xml:space="preserve"> </w:t>
      </w:r>
      <w:r w:rsidRPr="00A937C0">
        <w:t>not</w:t>
      </w:r>
      <w:r w:rsidRPr="00D86D87">
        <w:t xml:space="preserve"> considered by DUSC</w:t>
      </w:r>
      <w:r>
        <w:t xml:space="preserve">. </w:t>
      </w:r>
    </w:p>
    <w:p w14:paraId="343B4A9B" w14:textId="3E22E9BE" w:rsidR="006F6C8B" w:rsidRDefault="006F6C8B" w:rsidP="006F6C8B">
      <w:pPr>
        <w:pStyle w:val="3-BodyText"/>
      </w:pPr>
      <w:r>
        <w:t xml:space="preserve">The submission used </w:t>
      </w:r>
      <w:r w:rsidRPr="00D96213">
        <w:t xml:space="preserve">an abridged epidemiological approach </w:t>
      </w:r>
      <w:r>
        <w:t xml:space="preserve">(based on the estimated number of patients expected to receive romosozumab treatment in the first line setting) </w:t>
      </w:r>
      <w:r w:rsidRPr="00D96213">
        <w:t>combined with a</w:t>
      </w:r>
      <w:r>
        <w:t>n</w:t>
      </w:r>
      <w:r w:rsidRPr="00D96213">
        <w:t xml:space="preserve"> </w:t>
      </w:r>
      <w:r>
        <w:t>uptake rate</w:t>
      </w:r>
      <w:r w:rsidRPr="00D96213">
        <w:t xml:space="preserve"> </w:t>
      </w:r>
      <w:r>
        <w:t>to estimate the use and financial impact of listing abaloparatide for the first line treatment of severe osteoporosis</w:t>
      </w:r>
      <w:r w:rsidRPr="0069194B">
        <w:t xml:space="preserve">. </w:t>
      </w:r>
      <w:r>
        <w:t>A conventional market share approach could not be employed due to the lack of utilisation data for first</w:t>
      </w:r>
      <w:r w:rsidR="00E2706B">
        <w:t>-</w:t>
      </w:r>
      <w:r>
        <w:t xml:space="preserve">line romosozumab use (recently reimbursed on the PBS since November 2024). </w:t>
      </w:r>
      <w:r w:rsidRPr="0069194B">
        <w:t xml:space="preserve">A summary of the data sources and parameter values used is presented in </w:t>
      </w:r>
      <w:r>
        <w:rPr>
          <w:highlight w:val="yellow"/>
        </w:rPr>
        <w:fldChar w:fldCharType="begin"/>
      </w:r>
      <w:r>
        <w:instrText xml:space="preserve"> REF _Ref104805262 \h </w:instrText>
      </w:r>
      <w:r>
        <w:rPr>
          <w:highlight w:val="yellow"/>
        </w:rPr>
      </w:r>
      <w:r>
        <w:rPr>
          <w:highlight w:val="yellow"/>
        </w:rPr>
        <w:fldChar w:fldCharType="separate"/>
      </w:r>
      <w:r w:rsidR="005B625A" w:rsidRPr="00D86D87">
        <w:t xml:space="preserve">Table </w:t>
      </w:r>
      <w:r w:rsidR="005B625A">
        <w:rPr>
          <w:noProof/>
        </w:rPr>
        <w:t>13</w:t>
      </w:r>
      <w:r>
        <w:rPr>
          <w:highlight w:val="yellow"/>
        </w:rPr>
        <w:fldChar w:fldCharType="end"/>
      </w:r>
      <w:r w:rsidRPr="0069194B">
        <w:t>.</w:t>
      </w:r>
    </w:p>
    <w:p w14:paraId="61A9EDE7" w14:textId="28523FEA" w:rsidR="006F6C8B" w:rsidRPr="00D86D87" w:rsidRDefault="006F6C8B" w:rsidP="003D5066">
      <w:pPr>
        <w:pStyle w:val="TableFigureHeading"/>
        <w:rPr>
          <w:rStyle w:val="CommentReference"/>
          <w:b/>
          <w:szCs w:val="24"/>
        </w:rPr>
      </w:pPr>
      <w:bookmarkStart w:id="68" w:name="_Ref104805262"/>
      <w:r w:rsidRPr="00D86D87">
        <w:t xml:space="preserve">Table </w:t>
      </w:r>
      <w:r w:rsidR="001C1C72">
        <w:fldChar w:fldCharType="begin"/>
      </w:r>
      <w:r w:rsidR="001C1C72">
        <w:instrText xml:space="preserve"> SEQ Table \* ARABIC </w:instrText>
      </w:r>
      <w:r w:rsidR="001C1C72">
        <w:fldChar w:fldCharType="separate"/>
      </w:r>
      <w:r w:rsidR="005B625A">
        <w:rPr>
          <w:noProof/>
        </w:rPr>
        <w:t>13</w:t>
      </w:r>
      <w:r w:rsidR="001C1C72">
        <w:rPr>
          <w:noProof/>
        </w:rPr>
        <w:fldChar w:fldCharType="end"/>
      </w:r>
      <w:bookmarkEnd w:id="68"/>
      <w:r w:rsidRPr="00D86D87">
        <w:t>:</w:t>
      </w:r>
      <w:r w:rsidRPr="00D86D87">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3: Key inputs for financial estimates"/>
      </w:tblPr>
      <w:tblGrid>
        <w:gridCol w:w="1837"/>
        <w:gridCol w:w="3261"/>
        <w:gridCol w:w="3919"/>
      </w:tblGrid>
      <w:tr w:rsidR="006F6C8B" w:rsidRPr="00D86D87" w14:paraId="4CC30322" w14:textId="77777777" w:rsidTr="00F908A4">
        <w:trPr>
          <w:tblHeader/>
        </w:trPr>
        <w:tc>
          <w:tcPr>
            <w:tcW w:w="1019" w:type="pct"/>
            <w:vAlign w:val="center"/>
          </w:tcPr>
          <w:p w14:paraId="4F18AFB4" w14:textId="77777777" w:rsidR="006F6C8B" w:rsidRPr="00D86D87" w:rsidRDefault="006F6C8B" w:rsidP="003D5066">
            <w:pPr>
              <w:pStyle w:val="In-tableHeading"/>
              <w:keepLines w:val="0"/>
              <w:rPr>
                <w:lang w:val="en-AU"/>
              </w:rPr>
            </w:pPr>
            <w:r w:rsidRPr="00D86D87">
              <w:rPr>
                <w:lang w:val="en-AU"/>
              </w:rPr>
              <w:t>Parameter</w:t>
            </w:r>
          </w:p>
        </w:tc>
        <w:tc>
          <w:tcPr>
            <w:tcW w:w="1808" w:type="pct"/>
            <w:vAlign w:val="center"/>
          </w:tcPr>
          <w:p w14:paraId="01195EBE" w14:textId="77777777" w:rsidR="006F6C8B" w:rsidRPr="00D86D87" w:rsidRDefault="006F6C8B" w:rsidP="003D5066">
            <w:pPr>
              <w:pStyle w:val="In-tableHeading"/>
              <w:keepLines w:val="0"/>
              <w:rPr>
                <w:lang w:val="en-AU"/>
              </w:rPr>
            </w:pPr>
            <w:r w:rsidRPr="00D86D87">
              <w:rPr>
                <w:lang w:val="en-AU"/>
              </w:rPr>
              <w:t>Value applied and source</w:t>
            </w:r>
          </w:p>
        </w:tc>
        <w:tc>
          <w:tcPr>
            <w:tcW w:w="2173" w:type="pct"/>
            <w:vAlign w:val="center"/>
          </w:tcPr>
          <w:p w14:paraId="4554440A" w14:textId="45F37649" w:rsidR="006F6C8B" w:rsidRPr="00D86D87" w:rsidRDefault="00653D0D" w:rsidP="003D5066">
            <w:pPr>
              <w:pStyle w:val="In-tableHeading"/>
              <w:keepLines w:val="0"/>
              <w:rPr>
                <w:lang w:val="en-AU"/>
              </w:rPr>
            </w:pPr>
            <w:r>
              <w:rPr>
                <w:lang w:val="en-AU"/>
              </w:rPr>
              <w:t>Evaluation c</w:t>
            </w:r>
            <w:r w:rsidR="006F6C8B" w:rsidRPr="00D86D87">
              <w:rPr>
                <w:lang w:val="en-AU"/>
              </w:rPr>
              <w:t>omment</w:t>
            </w:r>
          </w:p>
        </w:tc>
      </w:tr>
      <w:tr w:rsidR="006F6C8B" w:rsidRPr="00D86D87" w14:paraId="6F85D395" w14:textId="77777777" w:rsidTr="00F908A4">
        <w:tc>
          <w:tcPr>
            <w:tcW w:w="1019" w:type="pct"/>
            <w:vAlign w:val="center"/>
          </w:tcPr>
          <w:p w14:paraId="705C09F0" w14:textId="5984EDA8" w:rsidR="006F6C8B" w:rsidRPr="00D86D87" w:rsidRDefault="006F6C8B" w:rsidP="003D5066">
            <w:pPr>
              <w:pStyle w:val="TableText0"/>
              <w:keepLines w:val="0"/>
            </w:pPr>
            <w:r w:rsidRPr="00D86D87">
              <w:t>Incident patients</w:t>
            </w:r>
            <w:r>
              <w:t xml:space="preserve"> expected to receive first line treatment with romosozumab</w:t>
            </w:r>
          </w:p>
        </w:tc>
        <w:tc>
          <w:tcPr>
            <w:tcW w:w="1808" w:type="pct"/>
            <w:vAlign w:val="center"/>
          </w:tcPr>
          <w:p w14:paraId="15F62D2F" w14:textId="1A1A9C3F" w:rsidR="006F6C8B" w:rsidRPr="00D86D87" w:rsidRDefault="00A12619" w:rsidP="003D5066">
            <w:pPr>
              <w:pStyle w:val="TableText0"/>
              <w:keepLines w:val="0"/>
            </w:pPr>
            <w:r>
              <w:rPr>
                <w:color w:val="000000"/>
                <w:spacing w:val="50"/>
                <w:shd w:val="solid" w:color="000000" w:fill="000000"/>
                <w:fitText w:val="324" w:id="-628483072"/>
                <w14:textFill>
                  <w14:solidFill>
                    <w14:srgbClr w14:val="000000">
                      <w14:alpha w14:val="100000"/>
                    </w14:srgbClr>
                  </w14:solidFill>
                </w14:textFill>
              </w:rPr>
              <w:t>|||</w:t>
            </w:r>
            <w:r>
              <w:rPr>
                <w:color w:val="000000"/>
                <w:spacing w:val="2"/>
                <w:shd w:val="solid" w:color="000000" w:fill="000000"/>
                <w:fitText w:val="324" w:id="-628483072"/>
                <w14:textFill>
                  <w14:solidFill>
                    <w14:srgbClr w14:val="000000">
                      <w14:alpha w14:val="100000"/>
                    </w14:srgbClr>
                  </w14:solidFill>
                </w14:textFill>
              </w:rPr>
              <w:t>|</w:t>
            </w:r>
            <w:r w:rsidR="00207247">
              <w:rPr>
                <w:vertAlign w:val="superscript"/>
              </w:rPr>
              <w:t>1</w:t>
            </w:r>
            <w:r w:rsidR="006F6C8B">
              <w:t xml:space="preserve"> in Year 1, increasing to </w:t>
            </w:r>
            <w:r>
              <w:rPr>
                <w:color w:val="000000"/>
                <w:spacing w:val="54"/>
                <w:shd w:val="solid" w:color="000000" w:fill="000000"/>
                <w:fitText w:val="336" w:id="-628483071"/>
                <w14:textFill>
                  <w14:solidFill>
                    <w14:srgbClr w14:val="000000">
                      <w14:alpha w14:val="100000"/>
                    </w14:srgbClr>
                  </w14:solidFill>
                </w14:textFill>
              </w:rPr>
              <w:t>|||</w:t>
            </w:r>
            <w:r>
              <w:rPr>
                <w:color w:val="000000"/>
                <w:spacing w:val="2"/>
                <w:shd w:val="solid" w:color="000000" w:fill="000000"/>
                <w:fitText w:val="336" w:id="-628483071"/>
                <w14:textFill>
                  <w14:solidFill>
                    <w14:srgbClr w14:val="000000">
                      <w14:alpha w14:val="100000"/>
                    </w14:srgbClr>
                  </w14:solidFill>
                </w14:textFill>
              </w:rPr>
              <w:t>|</w:t>
            </w:r>
            <w:r w:rsidR="00207247">
              <w:rPr>
                <w:vertAlign w:val="superscript"/>
              </w:rPr>
              <w:t>2</w:t>
            </w:r>
            <w:r w:rsidR="006F6C8B">
              <w:t xml:space="preserve"> in Year 6 estimated from ranges reported in Table 7, romosozumab PSD, March 2024.</w:t>
            </w:r>
          </w:p>
        </w:tc>
        <w:tc>
          <w:tcPr>
            <w:tcW w:w="2173" w:type="pct"/>
            <w:vAlign w:val="center"/>
          </w:tcPr>
          <w:p w14:paraId="20301441" w14:textId="5A2791AA" w:rsidR="006F6C8B" w:rsidRPr="00434BD7" w:rsidRDefault="006F6C8B" w:rsidP="003D5066">
            <w:pPr>
              <w:pStyle w:val="TableText0"/>
              <w:keepLines w:val="0"/>
            </w:pPr>
            <w:r w:rsidRPr="00434BD7">
              <w:t xml:space="preserve">The resulting estimates are likely to be associated with considerable uncertainty. Differences between the populations eligible for abaloparatide and romosozumab were not considered (e.g. abaloparatide is TGA-approved for use in </w:t>
            </w:r>
            <w:r w:rsidR="008C7AE5" w:rsidRPr="00434BD7">
              <w:t xml:space="preserve">post-menopausal </w:t>
            </w:r>
            <w:r w:rsidRPr="00434BD7">
              <w:t xml:space="preserve">women, and is also likely to be used in those patients contraindicated to romosozumab or those who develop intolerance to </w:t>
            </w:r>
            <w:r w:rsidR="0050271C" w:rsidRPr="00434BD7">
              <w:t>ARTs</w:t>
            </w:r>
            <w:r w:rsidRPr="00434BD7">
              <w:t xml:space="preserve"> or romosozumab of a severity necessitating permanent treatment withdrawal within the first 6 months of therapy, as per the requested restriction. </w:t>
            </w:r>
          </w:p>
        </w:tc>
      </w:tr>
      <w:tr w:rsidR="006F6C8B" w:rsidRPr="00D86D87" w14:paraId="46B9187E" w14:textId="77777777" w:rsidTr="00F908A4">
        <w:tc>
          <w:tcPr>
            <w:tcW w:w="1019" w:type="pct"/>
            <w:vAlign w:val="center"/>
          </w:tcPr>
          <w:p w14:paraId="7C12F063" w14:textId="7FBC4B19" w:rsidR="006F6C8B" w:rsidRPr="00D86D87" w:rsidRDefault="006F6C8B" w:rsidP="00CB5D2E">
            <w:pPr>
              <w:pStyle w:val="TableText0"/>
              <w:keepNext w:val="0"/>
              <w:keepLines w:val="0"/>
            </w:pPr>
            <w:r>
              <w:t>Uptake rate of abaloparatide</w:t>
            </w:r>
          </w:p>
        </w:tc>
        <w:tc>
          <w:tcPr>
            <w:tcW w:w="1808" w:type="pct"/>
            <w:vAlign w:val="center"/>
          </w:tcPr>
          <w:p w14:paraId="7D9D1081" w14:textId="26DEC809" w:rsidR="006F6C8B" w:rsidRPr="00D86D87" w:rsidRDefault="006F6C8B" w:rsidP="00CB5D2E">
            <w:pPr>
              <w:pStyle w:val="TableText0"/>
              <w:keepNext w:val="0"/>
              <w:keepLines w:val="0"/>
            </w:pPr>
            <w:r>
              <w:t xml:space="preserve">Assumed to increase from </w:t>
            </w:r>
            <w:r w:rsidR="00A12619" w:rsidRPr="00A12619">
              <w:rPr>
                <w:color w:val="000000"/>
                <w:spacing w:val="51"/>
                <w:shd w:val="solid" w:color="000000" w:fill="000000"/>
                <w:fitText w:val="324" w:id="-628483070"/>
                <w14:textFill>
                  <w14:solidFill>
                    <w14:srgbClr w14:val="000000">
                      <w14:alpha w14:val="100000"/>
                    </w14:srgbClr>
                  </w14:solidFill>
                </w14:textFill>
              </w:rPr>
              <w:t>|||</w:t>
            </w:r>
            <w:r w:rsidR="00A12619" w:rsidRPr="00A12619">
              <w:rPr>
                <w:color w:val="000000"/>
                <w:spacing w:val="1"/>
                <w:shd w:val="solid" w:color="000000" w:fill="000000"/>
                <w:fitText w:val="324" w:id="-628483070"/>
                <w14:textFill>
                  <w14:solidFill>
                    <w14:srgbClr w14:val="000000">
                      <w14:alpha w14:val="100000"/>
                    </w14:srgbClr>
                  </w14:solidFill>
                </w14:textFill>
              </w:rPr>
              <w:t>|</w:t>
            </w:r>
            <w:r>
              <w:t xml:space="preserve">% in Year 1, to </w:t>
            </w:r>
            <w:r w:rsidR="00A12619">
              <w:rPr>
                <w:color w:val="000000"/>
                <w:spacing w:val="54"/>
                <w:shd w:val="solid" w:color="000000" w:fill="000000"/>
                <w:fitText w:val="336" w:id="-628483069"/>
                <w14:textFill>
                  <w14:solidFill>
                    <w14:srgbClr w14:val="000000">
                      <w14:alpha w14:val="100000"/>
                    </w14:srgbClr>
                  </w14:solidFill>
                </w14:textFill>
              </w:rPr>
              <w:t>|||</w:t>
            </w:r>
            <w:r w:rsidR="00A12619">
              <w:rPr>
                <w:color w:val="000000"/>
                <w:spacing w:val="2"/>
                <w:shd w:val="solid" w:color="000000" w:fill="000000"/>
                <w:fitText w:val="336" w:id="-628483069"/>
                <w14:textFill>
                  <w14:solidFill>
                    <w14:srgbClr w14:val="000000">
                      <w14:alpha w14:val="100000"/>
                    </w14:srgbClr>
                  </w14:solidFill>
                </w14:textFill>
              </w:rPr>
              <w:t>|</w:t>
            </w:r>
            <w:r>
              <w:t>% in Year 6</w:t>
            </w:r>
          </w:p>
        </w:tc>
        <w:tc>
          <w:tcPr>
            <w:tcW w:w="2173" w:type="pct"/>
            <w:vAlign w:val="center"/>
          </w:tcPr>
          <w:p w14:paraId="0D8F1F86" w14:textId="7A192EAA" w:rsidR="006F6C8B" w:rsidRPr="00434BD7" w:rsidRDefault="006F6C8B" w:rsidP="00CB5D2E">
            <w:pPr>
              <w:pStyle w:val="TableText0"/>
              <w:keepNext w:val="0"/>
              <w:keepLines w:val="0"/>
            </w:pPr>
            <w:r w:rsidRPr="00434BD7">
              <w:t>Based on the claim of reduced cardiac events, this may be reasonable.</w:t>
            </w:r>
          </w:p>
        </w:tc>
      </w:tr>
      <w:tr w:rsidR="006F6C8B" w:rsidRPr="00D86D87" w14:paraId="25B9420A" w14:textId="77777777" w:rsidTr="00F908A4">
        <w:tc>
          <w:tcPr>
            <w:tcW w:w="1019" w:type="pct"/>
            <w:vAlign w:val="center"/>
          </w:tcPr>
          <w:p w14:paraId="45ED782F" w14:textId="77777777" w:rsidR="006F6C8B" w:rsidRDefault="006F6C8B" w:rsidP="00CB5D2E">
            <w:pPr>
              <w:pStyle w:val="TableText0"/>
              <w:keepNext w:val="0"/>
              <w:keepLines w:val="0"/>
            </w:pPr>
            <w:r>
              <w:t>Abaloparatide compliance</w:t>
            </w:r>
          </w:p>
        </w:tc>
        <w:tc>
          <w:tcPr>
            <w:tcW w:w="1808" w:type="pct"/>
            <w:vAlign w:val="center"/>
          </w:tcPr>
          <w:p w14:paraId="422877D1" w14:textId="77777777" w:rsidR="006F6C8B" w:rsidRDefault="006F6C8B" w:rsidP="00CB5D2E">
            <w:pPr>
              <w:pStyle w:val="TableText0"/>
              <w:keepNext w:val="0"/>
              <w:keepLines w:val="0"/>
            </w:pPr>
            <w:r>
              <w:t>83.16%, based on the average months on treatment (14.97) in the ACTIVE trial, divided by maximum duration of treatment (18 months)</w:t>
            </w:r>
          </w:p>
        </w:tc>
        <w:tc>
          <w:tcPr>
            <w:tcW w:w="2173" w:type="pct"/>
            <w:vAlign w:val="center"/>
          </w:tcPr>
          <w:p w14:paraId="2589777A" w14:textId="7950833B" w:rsidR="006F6C8B" w:rsidRPr="00434BD7" w:rsidRDefault="006F6C8B" w:rsidP="00CB5D2E">
            <w:pPr>
              <w:pStyle w:val="TableText0"/>
              <w:keepNext w:val="0"/>
              <w:keepLines w:val="0"/>
            </w:pPr>
            <w:r w:rsidRPr="00434BD7">
              <w:t xml:space="preserve">This estimate may reflect persistence to treatment rather than </w:t>
            </w:r>
            <w:r w:rsidR="009A01C3" w:rsidRPr="00434BD7">
              <w:t xml:space="preserve">adherence </w:t>
            </w:r>
            <w:r w:rsidRPr="00434BD7">
              <w:t>while on treatment, which should apply in addition to persistence.</w:t>
            </w:r>
          </w:p>
        </w:tc>
      </w:tr>
      <w:tr w:rsidR="006F6C8B" w:rsidRPr="00D86D87" w14:paraId="33545098" w14:textId="77777777" w:rsidTr="00F908A4">
        <w:tc>
          <w:tcPr>
            <w:tcW w:w="1019" w:type="pct"/>
            <w:vAlign w:val="center"/>
          </w:tcPr>
          <w:p w14:paraId="4F272E62" w14:textId="77777777" w:rsidR="006F6C8B" w:rsidRDefault="006F6C8B" w:rsidP="00CB5D2E">
            <w:pPr>
              <w:pStyle w:val="TableText0"/>
              <w:keepNext w:val="0"/>
              <w:keepLines w:val="0"/>
            </w:pPr>
            <w:r>
              <w:t>Reduction in romosozumab scripts</w:t>
            </w:r>
          </w:p>
        </w:tc>
        <w:tc>
          <w:tcPr>
            <w:tcW w:w="1808" w:type="pct"/>
            <w:vAlign w:val="center"/>
          </w:tcPr>
          <w:p w14:paraId="2D2B3AA6" w14:textId="332021F3" w:rsidR="006F6C8B" w:rsidRDefault="006F6C8B" w:rsidP="00CB5D2E">
            <w:pPr>
              <w:pStyle w:val="TableText0"/>
              <w:keepNext w:val="0"/>
              <w:keepLines w:val="0"/>
            </w:pPr>
            <w:r>
              <w:t>10.8 romosozumab scripts per replaced patient, based on the application of a 90% adherence rate to the maximum 12 scripts</w:t>
            </w:r>
          </w:p>
        </w:tc>
        <w:tc>
          <w:tcPr>
            <w:tcW w:w="2173" w:type="pct"/>
            <w:vAlign w:val="center"/>
          </w:tcPr>
          <w:p w14:paraId="6E75ABFF" w14:textId="6B34451D" w:rsidR="006F6C8B" w:rsidRPr="00434BD7" w:rsidRDefault="006F6C8B" w:rsidP="00CB5D2E">
            <w:pPr>
              <w:pStyle w:val="TableText0"/>
              <w:keepNext w:val="0"/>
              <w:keepLines w:val="0"/>
            </w:pPr>
            <w:r w:rsidRPr="00434BD7">
              <w:t>The PBAC previously noted that a 20% discontinuation rate would likely be the minimum anticipated in practice (paragraph 7.10, romosozumab PSD, July 2022) and was applied in addition to trial-based adherence (Table 6, romosozumab PSD, March 2024).</w:t>
            </w:r>
          </w:p>
        </w:tc>
      </w:tr>
      <w:tr w:rsidR="006F6C8B" w:rsidRPr="00D86D87" w14:paraId="786950AC" w14:textId="77777777" w:rsidTr="00F908A4">
        <w:tc>
          <w:tcPr>
            <w:tcW w:w="1019" w:type="pct"/>
            <w:vAlign w:val="center"/>
          </w:tcPr>
          <w:p w14:paraId="44A4B3E8" w14:textId="77777777" w:rsidR="006F6C8B" w:rsidRDefault="006F6C8B" w:rsidP="00CB5D2E">
            <w:pPr>
              <w:pStyle w:val="TableText0"/>
              <w:keepNext w:val="0"/>
              <w:keepLines w:val="0"/>
            </w:pPr>
            <w:r>
              <w:t>Reduction in use of subsequent anti</w:t>
            </w:r>
            <w:r>
              <w:rPr>
                <w:vertAlign w:val="subscript"/>
              </w:rPr>
              <w:noBreakHyphen/>
            </w:r>
            <w:r>
              <w:t>resorptive scripts per patient</w:t>
            </w:r>
          </w:p>
        </w:tc>
        <w:tc>
          <w:tcPr>
            <w:tcW w:w="1808" w:type="pct"/>
            <w:vAlign w:val="center"/>
          </w:tcPr>
          <w:p w14:paraId="7D969934" w14:textId="77777777" w:rsidR="006F6C8B" w:rsidRDefault="006F6C8B" w:rsidP="00CB5D2E">
            <w:pPr>
              <w:pStyle w:val="TableText0"/>
              <w:keepNext w:val="0"/>
              <w:keepLines w:val="0"/>
            </w:pPr>
            <w:r>
              <w:t>2.7 scripts per replaced patient, based on six scripts per year on treatment, assuming 90% compliance, where each patient was assumed to receive 6 months (i.e. 0.5 year) treatment</w:t>
            </w:r>
          </w:p>
        </w:tc>
        <w:tc>
          <w:tcPr>
            <w:tcW w:w="2173" w:type="pct"/>
            <w:vAlign w:val="center"/>
          </w:tcPr>
          <w:p w14:paraId="1DD29AB7" w14:textId="3DE0C9DF" w:rsidR="00CC18E6" w:rsidRPr="00434BD7" w:rsidRDefault="00E23202" w:rsidP="00CB5D2E">
            <w:pPr>
              <w:pStyle w:val="TableText0"/>
              <w:keepNext w:val="0"/>
              <w:keepLines w:val="0"/>
            </w:pPr>
            <w:r w:rsidRPr="00434BD7">
              <w:t>A</w:t>
            </w:r>
            <w:r w:rsidR="00CC18E6" w:rsidRPr="00434BD7">
              <w:t xml:space="preserve"> reduction in the use of </w:t>
            </w:r>
            <w:r w:rsidR="002E741D" w:rsidRPr="00434BD7">
              <w:t>ART</w:t>
            </w:r>
            <w:r w:rsidR="00CC18E6" w:rsidRPr="00434BD7">
              <w:t xml:space="preserve"> may only be reasonable if abaloparatide reduces the duration of </w:t>
            </w:r>
            <w:r w:rsidR="002E741D" w:rsidRPr="00434BD7">
              <w:t>ART</w:t>
            </w:r>
            <w:r w:rsidR="00CC18E6" w:rsidRPr="00434BD7">
              <w:t xml:space="preserve"> (not just later initiation of treatment).</w:t>
            </w:r>
          </w:p>
          <w:p w14:paraId="7494FC6B" w14:textId="77777777" w:rsidR="00CC18E6" w:rsidRPr="00434BD7" w:rsidRDefault="00CC18E6" w:rsidP="00CB5D2E">
            <w:pPr>
              <w:pStyle w:val="TableText0"/>
              <w:keepNext w:val="0"/>
              <w:keepLines w:val="0"/>
            </w:pPr>
          </w:p>
          <w:p w14:paraId="15805C80" w14:textId="20C76712" w:rsidR="006F6C8B" w:rsidRPr="00434BD7" w:rsidRDefault="006F6C8B" w:rsidP="00CB5D2E">
            <w:pPr>
              <w:pStyle w:val="TableText0"/>
              <w:keepNext w:val="0"/>
              <w:keepLines w:val="0"/>
            </w:pPr>
            <w:r w:rsidRPr="00434BD7">
              <w:t>This approach</w:t>
            </w:r>
            <w:r w:rsidR="00E23202" w:rsidRPr="00434BD7">
              <w:t xml:space="preserve"> also</w:t>
            </w:r>
            <w:r w:rsidRPr="00434BD7">
              <w:t xml:space="preserve"> did not consider the duration of coverage of scripts for each </w:t>
            </w:r>
            <w:r w:rsidR="002E741D" w:rsidRPr="00434BD7">
              <w:t>ART</w:t>
            </w:r>
            <w:r w:rsidRPr="00434BD7">
              <w:t>. This therefore overestimated the reduction in denosumab scripts, which was associated with the highest cost.</w:t>
            </w:r>
            <w:r w:rsidR="005A2800" w:rsidRPr="00434BD7">
              <w:t xml:space="preserve"> </w:t>
            </w:r>
            <w:r w:rsidR="006E65A3" w:rsidRPr="00434BD7">
              <w:t>The i</w:t>
            </w:r>
            <w:r w:rsidR="005A2800" w:rsidRPr="00434BD7">
              <w:t>mpact to the PBS/RPBS was revised</w:t>
            </w:r>
            <w:r w:rsidR="006E65A3" w:rsidRPr="00434BD7">
              <w:t xml:space="preserve"> during the evaluation</w:t>
            </w:r>
            <w:r w:rsidR="005A2800" w:rsidRPr="00434BD7">
              <w:t xml:space="preserve"> to account for differences in script frequency between the different </w:t>
            </w:r>
            <w:r w:rsidR="002E741D" w:rsidRPr="00434BD7">
              <w:t>ARTs</w:t>
            </w:r>
            <w:r w:rsidR="006E65A3" w:rsidRPr="00434BD7">
              <w:t>.</w:t>
            </w:r>
          </w:p>
        </w:tc>
      </w:tr>
      <w:tr w:rsidR="006F6C8B" w:rsidRPr="00D86D87" w14:paraId="441A8ABC" w14:textId="77777777" w:rsidTr="00F908A4">
        <w:tc>
          <w:tcPr>
            <w:tcW w:w="1019" w:type="pct"/>
            <w:vAlign w:val="center"/>
          </w:tcPr>
          <w:p w14:paraId="7B48BCD5" w14:textId="77777777" w:rsidR="006F6C8B" w:rsidRDefault="006F6C8B" w:rsidP="00CB5D2E">
            <w:pPr>
              <w:pStyle w:val="TableText0"/>
              <w:keepNext w:val="0"/>
              <w:keepLines w:val="0"/>
            </w:pPr>
            <w:r>
              <w:t>Abaloparatide</w:t>
            </w:r>
          </w:p>
        </w:tc>
        <w:tc>
          <w:tcPr>
            <w:tcW w:w="1808" w:type="pct"/>
            <w:vAlign w:val="center"/>
          </w:tcPr>
          <w:p w14:paraId="30813C61" w14:textId="0A78254B" w:rsidR="006F6C8B" w:rsidRDefault="006F6C8B" w:rsidP="00CB5D2E">
            <w:pPr>
              <w:pStyle w:val="TableText0"/>
              <w:keepNext w:val="0"/>
              <w:keepLines w:val="0"/>
            </w:pPr>
            <w:r w:rsidRPr="00D86D87">
              <w:t>$</w:t>
            </w:r>
            <w:r w:rsidR="00E459ED" w:rsidRPr="00E459ED">
              <w:rPr>
                <w:color w:val="000000"/>
                <w:spacing w:val="76"/>
                <w:shd w:val="solid" w:color="000000" w:fill="000000"/>
                <w:fitText w:val="400" w:id="-623672832"/>
                <w14:textFill>
                  <w14:solidFill>
                    <w14:srgbClr w14:val="000000">
                      <w14:alpha w14:val="100000"/>
                    </w14:srgbClr>
                  </w14:solidFill>
                </w14:textFill>
              </w:rPr>
              <w:t>|||</w:t>
            </w:r>
            <w:r w:rsidR="00E459ED" w:rsidRPr="00E459ED">
              <w:rPr>
                <w:color w:val="000000"/>
                <w:spacing w:val="2"/>
                <w:shd w:val="solid" w:color="000000" w:fill="000000"/>
                <w:fitText w:val="400" w:id="-623672832"/>
                <w14:textFill>
                  <w14:solidFill>
                    <w14:srgbClr w14:val="000000">
                      <w14:alpha w14:val="100000"/>
                    </w14:srgbClr>
                  </w14:solidFill>
                </w14:textFill>
              </w:rPr>
              <w:t>|</w:t>
            </w:r>
            <w:r>
              <w:t>, based on the proposed published DPMQ</w:t>
            </w:r>
          </w:p>
        </w:tc>
        <w:tc>
          <w:tcPr>
            <w:tcW w:w="2173" w:type="pct"/>
            <w:vAlign w:val="center"/>
          </w:tcPr>
          <w:p w14:paraId="68F61899" w14:textId="77777777" w:rsidR="006F6C8B" w:rsidRPr="004662DD" w:rsidRDefault="006F6C8B" w:rsidP="00CB5D2E">
            <w:pPr>
              <w:pStyle w:val="TableText0"/>
              <w:keepNext w:val="0"/>
              <w:keepLines w:val="0"/>
            </w:pPr>
            <w:r w:rsidRPr="004662DD">
              <w:t>Reasonable.</w:t>
            </w:r>
          </w:p>
        </w:tc>
      </w:tr>
      <w:tr w:rsidR="006F6C8B" w:rsidRPr="00D86D87" w14:paraId="0F99D297" w14:textId="77777777" w:rsidTr="00F908A4">
        <w:tc>
          <w:tcPr>
            <w:tcW w:w="1019" w:type="pct"/>
            <w:vAlign w:val="center"/>
          </w:tcPr>
          <w:p w14:paraId="49493061" w14:textId="77777777" w:rsidR="006F6C8B" w:rsidRPr="00D86D87" w:rsidRDefault="006F6C8B" w:rsidP="00CB5D2E">
            <w:pPr>
              <w:pStyle w:val="TableText0"/>
              <w:keepNext w:val="0"/>
              <w:keepLines w:val="0"/>
            </w:pPr>
            <w:r>
              <w:t>Romosozumab</w:t>
            </w:r>
          </w:p>
        </w:tc>
        <w:tc>
          <w:tcPr>
            <w:tcW w:w="1808" w:type="pct"/>
            <w:vAlign w:val="center"/>
          </w:tcPr>
          <w:p w14:paraId="17D1CA2A" w14:textId="03387D3F" w:rsidR="006F6C8B" w:rsidRPr="00D86D87" w:rsidRDefault="006F6C8B" w:rsidP="00CB5D2E">
            <w:pPr>
              <w:pStyle w:val="TableText0"/>
              <w:keepNext w:val="0"/>
              <w:keepLines w:val="0"/>
            </w:pPr>
            <w:r w:rsidRPr="00D86D87">
              <w:t>$</w:t>
            </w:r>
            <w:r>
              <w:t xml:space="preserve">406.13, based on </w:t>
            </w:r>
            <w:r w:rsidRPr="00D86D87">
              <w:t xml:space="preserve">PBS item </w:t>
            </w:r>
            <w:r>
              <w:t>14641N</w:t>
            </w:r>
          </w:p>
        </w:tc>
        <w:tc>
          <w:tcPr>
            <w:tcW w:w="2173" w:type="pct"/>
            <w:vAlign w:val="center"/>
          </w:tcPr>
          <w:p w14:paraId="66456753" w14:textId="77777777" w:rsidR="006F6C8B" w:rsidRPr="004662DD" w:rsidRDefault="006F6C8B" w:rsidP="00CB5D2E">
            <w:pPr>
              <w:pStyle w:val="TableText0"/>
              <w:keepNext w:val="0"/>
              <w:keepLines w:val="0"/>
            </w:pPr>
            <w:r w:rsidRPr="004662DD">
              <w:t>Reasonable.</w:t>
            </w:r>
          </w:p>
        </w:tc>
      </w:tr>
      <w:tr w:rsidR="006F6C8B" w:rsidRPr="00D86D87" w14:paraId="5D8F92D1" w14:textId="77777777" w:rsidTr="00F908A4">
        <w:tc>
          <w:tcPr>
            <w:tcW w:w="1019" w:type="pct"/>
            <w:vAlign w:val="center"/>
          </w:tcPr>
          <w:p w14:paraId="1B30B2DD" w14:textId="77777777" w:rsidR="006F6C8B" w:rsidRPr="00D86D87" w:rsidRDefault="006F6C8B" w:rsidP="00CB5D2E">
            <w:pPr>
              <w:pStyle w:val="TableText0"/>
              <w:keepNext w:val="0"/>
              <w:keepLines w:val="0"/>
            </w:pPr>
            <w:r>
              <w:t>Denosumab</w:t>
            </w:r>
          </w:p>
        </w:tc>
        <w:tc>
          <w:tcPr>
            <w:tcW w:w="1808" w:type="pct"/>
            <w:vAlign w:val="center"/>
          </w:tcPr>
          <w:p w14:paraId="364A911E" w14:textId="29298EB6" w:rsidR="006F6C8B" w:rsidRPr="00D86D87" w:rsidRDefault="006F6C8B" w:rsidP="00CB5D2E">
            <w:pPr>
              <w:pStyle w:val="TableText0"/>
              <w:keepNext w:val="0"/>
              <w:keepLines w:val="0"/>
            </w:pPr>
            <w:r>
              <w:t xml:space="preserve">$251.97, based on </w:t>
            </w:r>
            <w:r w:rsidRPr="00D86D87">
              <w:t xml:space="preserve">PBS item </w:t>
            </w:r>
            <w:r>
              <w:t>5457F</w:t>
            </w:r>
          </w:p>
        </w:tc>
        <w:tc>
          <w:tcPr>
            <w:tcW w:w="2173" w:type="pct"/>
            <w:vAlign w:val="center"/>
          </w:tcPr>
          <w:p w14:paraId="65ADF4A7" w14:textId="77777777" w:rsidR="006F6C8B" w:rsidRPr="004662DD" w:rsidRDefault="006F6C8B" w:rsidP="00CB5D2E">
            <w:pPr>
              <w:pStyle w:val="TableText0"/>
              <w:keepNext w:val="0"/>
              <w:keepLines w:val="0"/>
            </w:pPr>
            <w:r w:rsidRPr="004662DD">
              <w:t>Reasonable.</w:t>
            </w:r>
          </w:p>
        </w:tc>
      </w:tr>
      <w:tr w:rsidR="006F6C8B" w:rsidRPr="00D86D87" w14:paraId="34107A63" w14:textId="77777777" w:rsidTr="00F908A4">
        <w:tc>
          <w:tcPr>
            <w:tcW w:w="1019" w:type="pct"/>
            <w:vAlign w:val="center"/>
          </w:tcPr>
          <w:p w14:paraId="68004832" w14:textId="77777777" w:rsidR="006F6C8B" w:rsidRPr="00D86D87" w:rsidRDefault="006F6C8B" w:rsidP="00CB5D2E">
            <w:pPr>
              <w:pStyle w:val="TableText0"/>
              <w:keepNext w:val="0"/>
              <w:keepLines w:val="0"/>
            </w:pPr>
            <w:r>
              <w:t>Alendronate</w:t>
            </w:r>
          </w:p>
        </w:tc>
        <w:tc>
          <w:tcPr>
            <w:tcW w:w="1808" w:type="pct"/>
            <w:vAlign w:val="center"/>
          </w:tcPr>
          <w:p w14:paraId="6DDE920F" w14:textId="3A54B822" w:rsidR="006F6C8B" w:rsidRPr="00D86D87" w:rsidRDefault="006F6C8B" w:rsidP="00CB5D2E">
            <w:pPr>
              <w:pStyle w:val="TableText0"/>
              <w:keepNext w:val="0"/>
              <w:keepLines w:val="0"/>
            </w:pPr>
            <w:r>
              <w:t xml:space="preserve">$17.69, based on the weighted DPMQ of PBS items 8511Y and </w:t>
            </w:r>
            <w:r w:rsidRPr="002422B9">
              <w:t>13499L</w:t>
            </w:r>
          </w:p>
        </w:tc>
        <w:tc>
          <w:tcPr>
            <w:tcW w:w="2173" w:type="pct"/>
            <w:vAlign w:val="center"/>
          </w:tcPr>
          <w:p w14:paraId="0E9638DF" w14:textId="11D192DE" w:rsidR="006F6C8B" w:rsidRPr="004662DD" w:rsidRDefault="006F6C8B" w:rsidP="00CB5D2E">
            <w:pPr>
              <w:pStyle w:val="TableText0"/>
              <w:keepNext w:val="0"/>
              <w:keepLines w:val="0"/>
            </w:pPr>
            <w:r w:rsidRPr="004662DD">
              <w:t>These items are for alendronate use alone (i.e. without vitamin D) and provide 30 days and 60 days</w:t>
            </w:r>
            <w:r w:rsidR="00BA24C3">
              <w:t>’</w:t>
            </w:r>
            <w:r w:rsidRPr="004662DD">
              <w:t xml:space="preserve"> supply, respectively. As the reduction in scripts did not account for different durations of supply, it is not appropriate to apply a weighted cost.</w:t>
            </w:r>
          </w:p>
        </w:tc>
      </w:tr>
      <w:tr w:rsidR="006F6C8B" w:rsidRPr="00D86D87" w14:paraId="603FF4CE" w14:textId="77777777" w:rsidTr="00F908A4">
        <w:tc>
          <w:tcPr>
            <w:tcW w:w="1019" w:type="pct"/>
            <w:tcBorders>
              <w:bottom w:val="single" w:sz="4" w:space="0" w:color="auto"/>
            </w:tcBorders>
            <w:vAlign w:val="center"/>
          </w:tcPr>
          <w:p w14:paraId="7733E45B" w14:textId="77777777" w:rsidR="006F6C8B" w:rsidRPr="00D86D87" w:rsidRDefault="006F6C8B" w:rsidP="00CB5D2E">
            <w:pPr>
              <w:pStyle w:val="TableText0"/>
              <w:keepNext w:val="0"/>
              <w:keepLines w:val="0"/>
            </w:pPr>
            <w:r>
              <w:t>Risedronate</w:t>
            </w:r>
          </w:p>
        </w:tc>
        <w:tc>
          <w:tcPr>
            <w:tcW w:w="1808" w:type="pct"/>
            <w:tcBorders>
              <w:bottom w:val="single" w:sz="4" w:space="0" w:color="auto"/>
            </w:tcBorders>
            <w:vAlign w:val="center"/>
          </w:tcPr>
          <w:p w14:paraId="1CCC6056" w14:textId="5F28BCED" w:rsidR="006F6C8B" w:rsidRPr="00D86D87" w:rsidRDefault="006F6C8B" w:rsidP="00CB5D2E">
            <w:pPr>
              <w:pStyle w:val="TableText0"/>
              <w:keepNext w:val="0"/>
              <w:keepLines w:val="0"/>
            </w:pPr>
            <w:r>
              <w:t>$21.37, based on the weighted DPMQ of PBS items 13499L and 2191H</w:t>
            </w:r>
          </w:p>
        </w:tc>
        <w:tc>
          <w:tcPr>
            <w:tcW w:w="2173" w:type="pct"/>
            <w:tcBorders>
              <w:bottom w:val="single" w:sz="4" w:space="0" w:color="auto"/>
            </w:tcBorders>
            <w:vAlign w:val="center"/>
          </w:tcPr>
          <w:p w14:paraId="67987EA9" w14:textId="77777777" w:rsidR="006F6C8B" w:rsidRPr="004662DD" w:rsidRDefault="006F6C8B" w:rsidP="00CB5D2E">
            <w:pPr>
              <w:pStyle w:val="TableText0"/>
              <w:keepNext w:val="0"/>
              <w:keepLines w:val="0"/>
            </w:pPr>
            <w:r w:rsidRPr="004662DD">
              <w:t>The PBS items used to determine the weighted price erroneously included an alendronate item which represented 99.4% of the estimated weighted price.</w:t>
            </w:r>
          </w:p>
        </w:tc>
      </w:tr>
      <w:tr w:rsidR="006F6C8B" w:rsidRPr="00D86D87" w14:paraId="2018B16F" w14:textId="77777777" w:rsidTr="00F908A4">
        <w:tc>
          <w:tcPr>
            <w:tcW w:w="1019" w:type="pct"/>
            <w:tcBorders>
              <w:right w:val="nil"/>
            </w:tcBorders>
            <w:vAlign w:val="center"/>
          </w:tcPr>
          <w:p w14:paraId="109F73C2" w14:textId="77777777" w:rsidR="006F6C8B" w:rsidRPr="0098174D" w:rsidRDefault="006F6C8B" w:rsidP="00CB5D2E">
            <w:pPr>
              <w:pStyle w:val="TableText0"/>
              <w:rPr>
                <w:b/>
                <w:bCs w:val="0"/>
              </w:rPr>
            </w:pPr>
            <w:r w:rsidRPr="0098174D">
              <w:rPr>
                <w:b/>
                <w:bCs w:val="0"/>
              </w:rPr>
              <w:t>Affected MBS items</w:t>
            </w:r>
          </w:p>
        </w:tc>
        <w:tc>
          <w:tcPr>
            <w:tcW w:w="1808" w:type="pct"/>
            <w:tcBorders>
              <w:left w:val="nil"/>
              <w:right w:val="nil"/>
            </w:tcBorders>
            <w:vAlign w:val="center"/>
          </w:tcPr>
          <w:p w14:paraId="502882B0" w14:textId="77777777" w:rsidR="006F6C8B" w:rsidRPr="00D86D87" w:rsidRDefault="006F6C8B" w:rsidP="00CB5D2E">
            <w:pPr>
              <w:pStyle w:val="TableText0"/>
            </w:pPr>
          </w:p>
        </w:tc>
        <w:tc>
          <w:tcPr>
            <w:tcW w:w="2173" w:type="pct"/>
            <w:tcBorders>
              <w:left w:val="nil"/>
            </w:tcBorders>
            <w:vAlign w:val="center"/>
          </w:tcPr>
          <w:p w14:paraId="3D2A7008" w14:textId="77777777" w:rsidR="006F6C8B" w:rsidRPr="004662DD" w:rsidRDefault="006F6C8B" w:rsidP="00CB5D2E">
            <w:pPr>
              <w:pStyle w:val="TableText0"/>
            </w:pPr>
          </w:p>
        </w:tc>
      </w:tr>
      <w:tr w:rsidR="006F6C8B" w:rsidRPr="00D86D87" w14:paraId="3EFDF6A8" w14:textId="77777777" w:rsidTr="00F908A4">
        <w:tc>
          <w:tcPr>
            <w:tcW w:w="1019" w:type="pct"/>
            <w:vAlign w:val="center"/>
          </w:tcPr>
          <w:p w14:paraId="6E5BB096" w14:textId="77777777" w:rsidR="006F6C8B" w:rsidRPr="00D86D87" w:rsidRDefault="006F6C8B" w:rsidP="00CB5D2E">
            <w:pPr>
              <w:pStyle w:val="TableText0"/>
            </w:pPr>
            <w:r>
              <w:t>GP attendance</w:t>
            </w:r>
          </w:p>
        </w:tc>
        <w:tc>
          <w:tcPr>
            <w:tcW w:w="1808" w:type="pct"/>
            <w:vAlign w:val="center"/>
          </w:tcPr>
          <w:p w14:paraId="4E924C59" w14:textId="77777777" w:rsidR="006F6C8B" w:rsidRPr="003F6C9F" w:rsidRDefault="006F6C8B" w:rsidP="00CB5D2E">
            <w:pPr>
              <w:pStyle w:val="TableText0"/>
            </w:pPr>
            <w:r w:rsidRPr="00D86D87">
              <w:t>$</w:t>
            </w:r>
            <w:r>
              <w:t>34.28 </w:t>
            </w:r>
            <w:r w:rsidRPr="003F6C9F">
              <w:rPr>
                <w:vertAlign w:val="superscript"/>
              </w:rPr>
              <w:t>a</w:t>
            </w:r>
            <w:r>
              <w:t xml:space="preserve"> based on</w:t>
            </w:r>
            <w:r w:rsidRPr="00D86D87">
              <w:t xml:space="preserve"> MBS item </w:t>
            </w:r>
            <w:r>
              <w:t>23</w:t>
            </w:r>
          </w:p>
        </w:tc>
        <w:tc>
          <w:tcPr>
            <w:tcW w:w="2173" w:type="pct"/>
            <w:vAlign w:val="center"/>
          </w:tcPr>
          <w:p w14:paraId="5D87D4DC" w14:textId="77777777" w:rsidR="006F6C8B" w:rsidRPr="004662DD" w:rsidRDefault="006F6C8B" w:rsidP="00CB5D2E">
            <w:pPr>
              <w:pStyle w:val="TableText0"/>
            </w:pPr>
            <w:r w:rsidRPr="004662DD">
              <w:t>It was not appropriate to assume a reduction in use and cost of GP services, as these will not likely be realised.</w:t>
            </w:r>
          </w:p>
        </w:tc>
      </w:tr>
      <w:tr w:rsidR="006F6C8B" w:rsidRPr="00D86D87" w14:paraId="6E429AE2" w14:textId="77777777" w:rsidTr="00F908A4">
        <w:tc>
          <w:tcPr>
            <w:tcW w:w="1019" w:type="pct"/>
            <w:vAlign w:val="center"/>
          </w:tcPr>
          <w:p w14:paraId="2FEC52BD" w14:textId="77777777" w:rsidR="006F6C8B" w:rsidRPr="00D86D87" w:rsidRDefault="006F6C8B" w:rsidP="00CB5D2E">
            <w:pPr>
              <w:pStyle w:val="TableText0"/>
              <w:keepNext w:val="0"/>
              <w:keepLines w:val="0"/>
            </w:pPr>
            <w:r>
              <w:t>Nurse attendance</w:t>
            </w:r>
          </w:p>
        </w:tc>
        <w:tc>
          <w:tcPr>
            <w:tcW w:w="1808" w:type="pct"/>
            <w:vAlign w:val="center"/>
          </w:tcPr>
          <w:p w14:paraId="182EEFFC" w14:textId="77777777" w:rsidR="006F6C8B" w:rsidRPr="00D86D87" w:rsidRDefault="006F6C8B" w:rsidP="00CB5D2E">
            <w:pPr>
              <w:pStyle w:val="TableText0"/>
              <w:keepNext w:val="0"/>
              <w:keepLines w:val="0"/>
            </w:pPr>
            <w:r>
              <w:t>$11.36 </w:t>
            </w:r>
            <w:r w:rsidRPr="003F6C9F">
              <w:rPr>
                <w:vertAlign w:val="superscript"/>
              </w:rPr>
              <w:t>a</w:t>
            </w:r>
            <w:r>
              <w:t xml:space="preserve"> based on</w:t>
            </w:r>
            <w:r w:rsidRPr="00D86D87">
              <w:t xml:space="preserve"> MBS item</w:t>
            </w:r>
            <w:r>
              <w:t xml:space="preserve"> 82200</w:t>
            </w:r>
          </w:p>
        </w:tc>
        <w:tc>
          <w:tcPr>
            <w:tcW w:w="2173" w:type="pct"/>
            <w:vMerge w:val="restart"/>
            <w:vAlign w:val="center"/>
          </w:tcPr>
          <w:p w14:paraId="5BB9496C" w14:textId="77777777" w:rsidR="006F6C8B" w:rsidRPr="004662DD" w:rsidRDefault="006F6C8B" w:rsidP="00CB5D2E">
            <w:pPr>
              <w:pStyle w:val="TableText0"/>
              <w:keepNext w:val="0"/>
              <w:keepLines w:val="0"/>
            </w:pPr>
            <w:r w:rsidRPr="004662DD">
              <w:t>Reasonable.</w:t>
            </w:r>
          </w:p>
        </w:tc>
      </w:tr>
      <w:tr w:rsidR="006F6C8B" w:rsidRPr="00D86D87" w14:paraId="5B6A3732" w14:textId="77777777" w:rsidTr="00F908A4">
        <w:tc>
          <w:tcPr>
            <w:tcW w:w="1019" w:type="pct"/>
            <w:vAlign w:val="center"/>
          </w:tcPr>
          <w:p w14:paraId="0C3CCA77" w14:textId="77777777" w:rsidR="006F6C8B" w:rsidRPr="00D86D87" w:rsidRDefault="006F6C8B" w:rsidP="00CB5D2E">
            <w:pPr>
              <w:pStyle w:val="TableText0"/>
              <w:keepNext w:val="0"/>
              <w:keepLines w:val="0"/>
            </w:pPr>
            <w:r>
              <w:t>Specialist attendance</w:t>
            </w:r>
          </w:p>
        </w:tc>
        <w:tc>
          <w:tcPr>
            <w:tcW w:w="1808" w:type="pct"/>
            <w:vAlign w:val="center"/>
          </w:tcPr>
          <w:p w14:paraId="132FDC2C" w14:textId="77777777" w:rsidR="006F6C8B" w:rsidRPr="00D86D87" w:rsidRDefault="006F6C8B" w:rsidP="00CB5D2E">
            <w:pPr>
              <w:pStyle w:val="TableText0"/>
              <w:keepNext w:val="0"/>
              <w:keepLines w:val="0"/>
            </w:pPr>
            <w:r>
              <w:t>$39.80 </w:t>
            </w:r>
            <w:r w:rsidRPr="003F6C9F">
              <w:rPr>
                <w:vertAlign w:val="superscript"/>
              </w:rPr>
              <w:t>a</w:t>
            </w:r>
            <w:r>
              <w:t xml:space="preserve"> based on</w:t>
            </w:r>
            <w:r w:rsidRPr="00D86D87">
              <w:t xml:space="preserve"> MBS item</w:t>
            </w:r>
            <w:r>
              <w:t xml:space="preserve"> 115</w:t>
            </w:r>
          </w:p>
        </w:tc>
        <w:tc>
          <w:tcPr>
            <w:tcW w:w="2173" w:type="pct"/>
            <w:vMerge/>
            <w:vAlign w:val="center"/>
          </w:tcPr>
          <w:p w14:paraId="2E1E4C84" w14:textId="77777777" w:rsidR="006F6C8B" w:rsidRPr="00D86D87" w:rsidRDefault="006F6C8B" w:rsidP="00CB5D2E">
            <w:pPr>
              <w:pStyle w:val="TableText0"/>
              <w:keepNext w:val="0"/>
              <w:keepLines w:val="0"/>
              <w:rPr>
                <w:i/>
              </w:rPr>
            </w:pPr>
          </w:p>
        </w:tc>
      </w:tr>
      <w:tr w:rsidR="006F6C8B" w:rsidRPr="00D86D87" w14:paraId="608365F4" w14:textId="77777777" w:rsidTr="00F908A4">
        <w:tc>
          <w:tcPr>
            <w:tcW w:w="1019" w:type="pct"/>
            <w:vAlign w:val="center"/>
          </w:tcPr>
          <w:p w14:paraId="14D471CD" w14:textId="77777777" w:rsidR="006F6C8B" w:rsidRPr="00D86D87" w:rsidRDefault="006F6C8B" w:rsidP="00CB5D2E">
            <w:pPr>
              <w:pStyle w:val="TableText0"/>
              <w:keepNext w:val="0"/>
              <w:keepLines w:val="0"/>
            </w:pPr>
            <w:r>
              <w:t>ECG</w:t>
            </w:r>
          </w:p>
        </w:tc>
        <w:tc>
          <w:tcPr>
            <w:tcW w:w="1808" w:type="pct"/>
            <w:vAlign w:val="center"/>
          </w:tcPr>
          <w:p w14:paraId="351E89E2" w14:textId="77777777" w:rsidR="006F6C8B" w:rsidRPr="00D86D87" w:rsidRDefault="006F6C8B" w:rsidP="00CB5D2E">
            <w:pPr>
              <w:pStyle w:val="TableText0"/>
              <w:keepNext w:val="0"/>
              <w:keepLines w:val="0"/>
            </w:pPr>
            <w:r>
              <w:t>$28.48 </w:t>
            </w:r>
            <w:r w:rsidRPr="003F6C9F">
              <w:rPr>
                <w:vertAlign w:val="superscript"/>
              </w:rPr>
              <w:t>a</w:t>
            </w:r>
            <w:r>
              <w:t xml:space="preserve"> based on</w:t>
            </w:r>
            <w:r w:rsidRPr="00D86D87">
              <w:t xml:space="preserve"> MBS item</w:t>
            </w:r>
            <w:r>
              <w:t xml:space="preserve"> 11704</w:t>
            </w:r>
          </w:p>
        </w:tc>
        <w:tc>
          <w:tcPr>
            <w:tcW w:w="2173" w:type="pct"/>
            <w:vMerge/>
            <w:vAlign w:val="center"/>
          </w:tcPr>
          <w:p w14:paraId="6F9C76B8" w14:textId="77777777" w:rsidR="006F6C8B" w:rsidRPr="00D86D87" w:rsidRDefault="006F6C8B" w:rsidP="00CB5D2E">
            <w:pPr>
              <w:pStyle w:val="TableText0"/>
              <w:keepNext w:val="0"/>
              <w:keepLines w:val="0"/>
              <w:rPr>
                <w:i/>
              </w:rPr>
            </w:pPr>
          </w:p>
        </w:tc>
      </w:tr>
      <w:tr w:rsidR="006F6C8B" w:rsidRPr="00D86D87" w14:paraId="43EF3B29" w14:textId="77777777" w:rsidTr="00F908A4">
        <w:tc>
          <w:tcPr>
            <w:tcW w:w="1019" w:type="pct"/>
            <w:vAlign w:val="center"/>
          </w:tcPr>
          <w:p w14:paraId="2BEB3E3F" w14:textId="77777777" w:rsidR="006F6C8B" w:rsidRPr="00D86D87" w:rsidRDefault="006F6C8B" w:rsidP="00CB5D2E">
            <w:pPr>
              <w:pStyle w:val="TableText0"/>
              <w:keepNext w:val="0"/>
              <w:keepLines w:val="0"/>
            </w:pPr>
            <w:r>
              <w:t>Blood tests</w:t>
            </w:r>
          </w:p>
        </w:tc>
        <w:tc>
          <w:tcPr>
            <w:tcW w:w="1808" w:type="pct"/>
            <w:vAlign w:val="center"/>
          </w:tcPr>
          <w:p w14:paraId="7ABFD358" w14:textId="77777777" w:rsidR="006F6C8B" w:rsidRPr="00D86D87" w:rsidRDefault="006F6C8B" w:rsidP="00CB5D2E">
            <w:pPr>
              <w:pStyle w:val="TableText0"/>
              <w:keepNext w:val="0"/>
              <w:keepLines w:val="0"/>
            </w:pPr>
            <w:r>
              <w:t>$7.76 </w:t>
            </w:r>
            <w:r w:rsidRPr="003F6C9F">
              <w:rPr>
                <w:vertAlign w:val="superscript"/>
              </w:rPr>
              <w:t>a</w:t>
            </w:r>
            <w:r>
              <w:t xml:space="preserve"> based on</w:t>
            </w:r>
            <w:r w:rsidRPr="00D86D87">
              <w:t xml:space="preserve"> MBS item</w:t>
            </w:r>
            <w:r>
              <w:t xml:space="preserve"> 66500</w:t>
            </w:r>
          </w:p>
        </w:tc>
        <w:tc>
          <w:tcPr>
            <w:tcW w:w="2173" w:type="pct"/>
            <w:vMerge/>
            <w:vAlign w:val="center"/>
          </w:tcPr>
          <w:p w14:paraId="2C1BDCB8" w14:textId="77777777" w:rsidR="006F6C8B" w:rsidRPr="00D86D87" w:rsidRDefault="006F6C8B" w:rsidP="00CB5D2E">
            <w:pPr>
              <w:pStyle w:val="TableText0"/>
              <w:keepNext w:val="0"/>
              <w:keepLines w:val="0"/>
              <w:rPr>
                <w:i/>
              </w:rPr>
            </w:pPr>
          </w:p>
        </w:tc>
      </w:tr>
    </w:tbl>
    <w:p w14:paraId="4BBD7633" w14:textId="34DF903A" w:rsidR="006F6C8B" w:rsidRPr="00577DAC" w:rsidRDefault="006F6C8B" w:rsidP="00CB5D2E">
      <w:pPr>
        <w:pStyle w:val="TableFigureFooter"/>
        <w:keepLines w:val="0"/>
      </w:pPr>
      <w:r w:rsidRPr="00577DAC">
        <w:t xml:space="preserve">Source: Constructed during the evaluation </w:t>
      </w:r>
      <w:r w:rsidRPr="00F16D7E">
        <w:t>from the submission</w:t>
      </w:r>
      <w:r w:rsidRPr="00577DAC">
        <w:t xml:space="preserve"> and the ‘Abaloparatide</w:t>
      </w:r>
      <w:r w:rsidR="00306E37">
        <w:t xml:space="preserve"> </w:t>
      </w:r>
      <w:r w:rsidRPr="00577DAC">
        <w:t>- Eladynos - Section 4 - Base Case - 8 March 2025.xlsx’ file.</w:t>
      </w:r>
    </w:p>
    <w:p w14:paraId="3E6C685B" w14:textId="1043C45B" w:rsidR="006F6C8B" w:rsidRPr="00FC3381" w:rsidRDefault="000F2C6D" w:rsidP="00CB5D2E">
      <w:pPr>
        <w:pStyle w:val="TableFigureFooter"/>
        <w:keepLines w:val="0"/>
      </w:pPr>
      <w:r>
        <w:t xml:space="preserve">ART = anti-resorptive therapy; </w:t>
      </w:r>
      <w:r w:rsidR="006F6C8B">
        <w:t>ECG = electrocardiogram; GP = general practitioner; PSD = public summary document.</w:t>
      </w:r>
    </w:p>
    <w:p w14:paraId="5FEC3F20" w14:textId="77777777" w:rsidR="006F6C8B" w:rsidRDefault="006F6C8B" w:rsidP="00CB5D2E">
      <w:pPr>
        <w:pStyle w:val="TableFigureFooter"/>
        <w:keepLines w:val="0"/>
      </w:pPr>
      <w:r>
        <w:rPr>
          <w:vertAlign w:val="superscript"/>
        </w:rPr>
        <w:t>a</w:t>
      </w:r>
      <w:r>
        <w:t xml:space="preserve"> Assuming the 80% level of rebate</w:t>
      </w:r>
    </w:p>
    <w:p w14:paraId="0B0121C3" w14:textId="64140E2F" w:rsidR="00254077" w:rsidRDefault="00254077" w:rsidP="00CB5D2E">
      <w:pPr>
        <w:pStyle w:val="TableFigureFooter"/>
        <w:keepLines w:val="0"/>
        <w:rPr>
          <w:i/>
          <w:iCs/>
        </w:rPr>
      </w:pPr>
      <w:r w:rsidRPr="00254077">
        <w:rPr>
          <w:i/>
          <w:iCs/>
        </w:rPr>
        <w:t>The redacted values correspond to the following ranges:</w:t>
      </w:r>
    </w:p>
    <w:p w14:paraId="6EAA9D06" w14:textId="68D1197A" w:rsidR="00254077" w:rsidRDefault="00254077" w:rsidP="00CB5D2E">
      <w:pPr>
        <w:pStyle w:val="TableFigureFooter"/>
        <w:keepLines w:val="0"/>
        <w:rPr>
          <w:i/>
          <w:iCs/>
        </w:rPr>
      </w:pPr>
      <w:r>
        <w:rPr>
          <w:i/>
          <w:iCs/>
          <w:vertAlign w:val="superscript"/>
        </w:rPr>
        <w:t>1</w:t>
      </w:r>
      <w:r w:rsidR="005434BA" w:rsidRPr="005434BA">
        <w:rPr>
          <w:i/>
          <w:iCs/>
        </w:rPr>
        <w:t>5,000 to &lt; 10,000</w:t>
      </w:r>
    </w:p>
    <w:p w14:paraId="07D0A03D" w14:textId="5FE222B9" w:rsidR="00EA2FC6" w:rsidRPr="00D05DB8" w:rsidRDefault="00EA2FC6" w:rsidP="00CB5D2E">
      <w:pPr>
        <w:pStyle w:val="TableFigureFooter"/>
        <w:keepLines w:val="0"/>
        <w:rPr>
          <w:i/>
          <w:iCs/>
        </w:rPr>
      </w:pPr>
      <w:r>
        <w:rPr>
          <w:i/>
          <w:iCs/>
          <w:vertAlign w:val="superscript"/>
        </w:rPr>
        <w:t>2</w:t>
      </w:r>
      <w:r w:rsidR="00D05DB8" w:rsidRPr="00D05DB8">
        <w:rPr>
          <w:i/>
          <w:iCs/>
        </w:rPr>
        <w:t>20,000 to &lt; 30,000</w:t>
      </w:r>
    </w:p>
    <w:p w14:paraId="053EA730" w14:textId="62B67767" w:rsidR="006F6C8B" w:rsidRPr="004662DD" w:rsidRDefault="006F6C8B" w:rsidP="00467269">
      <w:pPr>
        <w:pStyle w:val="3-BodyText"/>
      </w:pPr>
      <w:r>
        <w:t xml:space="preserve">The submission estimated the size of the severe osteoporosis market eligible for treatment from when romosozumab was considered for listing in the first line setting (Table 12, romosozumab PSD, March 2024). The submission applied the percentages for first line romosozumab use to the patient-number ranges shown in the PSD to estimate the market size. The submission considered that </w:t>
      </w:r>
      <w:r w:rsidRPr="00A814B2">
        <w:t xml:space="preserve">the availability of abaloparatide </w:t>
      </w:r>
      <w:r>
        <w:t>would</w:t>
      </w:r>
      <w:r w:rsidRPr="00A814B2">
        <w:t xml:space="preserve"> not </w:t>
      </w:r>
      <w:r>
        <w:t xml:space="preserve">be </w:t>
      </w:r>
      <w:r w:rsidRPr="00A814B2">
        <w:t xml:space="preserve">expected to result in additional patients being diagnosed </w:t>
      </w:r>
      <w:r>
        <w:t xml:space="preserve">or treated </w:t>
      </w:r>
      <w:r w:rsidRPr="00A814B2">
        <w:t>for severe osteoporosis</w:t>
      </w:r>
      <w:r>
        <w:t xml:space="preserve">. </w:t>
      </w:r>
      <w:r w:rsidRPr="004662DD">
        <w:t xml:space="preserve">This does not consider that there may be patients eligible for abaloparatide who are not eligible for romosozumab – such as patients with a history of myocardial infarction or stroke who are contraindicated for romosozumab, or those who develop an intolerance to </w:t>
      </w:r>
      <w:r w:rsidR="00A624EF">
        <w:t>ARTs</w:t>
      </w:r>
      <w:r w:rsidRPr="004662DD">
        <w:t xml:space="preserve"> or romosozumab. </w:t>
      </w:r>
    </w:p>
    <w:p w14:paraId="4FA099E1" w14:textId="4B49E17B" w:rsidR="006F6C8B" w:rsidRPr="004662DD" w:rsidRDefault="006F6C8B" w:rsidP="006F6C8B">
      <w:pPr>
        <w:pStyle w:val="3-BodyText"/>
      </w:pPr>
      <w:r>
        <w:t xml:space="preserve">The submission assumed that the listing of abaloparatide would reduce the use of romosozumab in the first line setting (10.8 scripts per replaced patient per course). </w:t>
      </w:r>
      <w:r w:rsidRPr="00AA54B2">
        <w:t>Th</w:t>
      </w:r>
      <w:r w:rsidR="002827A4" w:rsidRPr="00AA54B2">
        <w:t>e evaluation considered that th</w:t>
      </w:r>
      <w:r w:rsidRPr="00AA54B2">
        <w:t>is</w:t>
      </w:r>
      <w:r w:rsidRPr="00840BB1">
        <w:t xml:space="preserve"> was reasonable.</w:t>
      </w:r>
      <w:r>
        <w:rPr>
          <w:i/>
          <w:iCs/>
        </w:rPr>
        <w:t xml:space="preserve"> </w:t>
      </w:r>
      <w:r>
        <w:t>The submission also assumed a reduction of 2.7 scripts</w:t>
      </w:r>
      <w:r>
        <w:rPr>
          <w:rStyle w:val="FootnoteReference"/>
        </w:rPr>
        <w:footnoteReference w:id="25"/>
      </w:r>
      <w:r>
        <w:t xml:space="preserve"> per replaced patient of subsequent </w:t>
      </w:r>
      <w:r w:rsidR="00A624EF">
        <w:t>ART</w:t>
      </w:r>
      <w:r>
        <w:t xml:space="preserve">, distributed by use (denosumab: 61%, alendronate: 6%; and risedronate: 33%). </w:t>
      </w:r>
      <w:r w:rsidR="00AA4343">
        <w:t>The evaluation considered that a</w:t>
      </w:r>
      <w:r w:rsidRPr="004662DD">
        <w:t xml:space="preserve"> reduction in the use of </w:t>
      </w:r>
      <w:r w:rsidR="00E2785C">
        <w:t>ART</w:t>
      </w:r>
      <w:r w:rsidRPr="004662DD">
        <w:t xml:space="preserve"> may only be reasonable if abaloparatide reduces the duration of </w:t>
      </w:r>
      <w:r w:rsidR="007027A5">
        <w:t>ART</w:t>
      </w:r>
      <w:r w:rsidRPr="004662DD">
        <w:t xml:space="preserve"> (not just later initiation of treatment). Further, the submission did not consider differences in script frequency between the different </w:t>
      </w:r>
      <w:r w:rsidR="00A624EF">
        <w:t>ART</w:t>
      </w:r>
      <w:r w:rsidRPr="004662DD">
        <w:t>s (e.g. denosumab is 6-monthly, compared to alendronate and risedronate which are prescribed every 1–2 months).</w:t>
      </w:r>
    </w:p>
    <w:p w14:paraId="5F3C247A" w14:textId="1C8A0D8F" w:rsidR="006F6C8B" w:rsidRPr="00953760" w:rsidRDefault="006F6C8B" w:rsidP="006F6C8B">
      <w:pPr>
        <w:pStyle w:val="3-BodyText"/>
      </w:pPr>
      <w:r w:rsidRPr="00953760">
        <w:t>The submission’s estimates for the number of patients treated and financial impact of abaloparatide over the first 6 years of listing is presented in</w:t>
      </w:r>
      <w:r>
        <w:t xml:space="preserve"> </w:t>
      </w:r>
      <w:r>
        <w:fldChar w:fldCharType="begin"/>
      </w:r>
      <w:r>
        <w:instrText xml:space="preserve"> REF _Ref195277524 \h </w:instrText>
      </w:r>
      <w:r>
        <w:fldChar w:fldCharType="separate"/>
      </w:r>
      <w:r w:rsidR="005B625A" w:rsidRPr="00D86D87">
        <w:t xml:space="preserve">Table </w:t>
      </w:r>
      <w:r w:rsidR="005B625A">
        <w:rPr>
          <w:noProof/>
        </w:rPr>
        <w:t>14</w:t>
      </w:r>
      <w:r>
        <w:fldChar w:fldCharType="end"/>
      </w:r>
      <w:r w:rsidRPr="00953760">
        <w:t>.</w:t>
      </w:r>
    </w:p>
    <w:p w14:paraId="21505110" w14:textId="536DC4A7" w:rsidR="006F6C8B" w:rsidRDefault="006F6C8B" w:rsidP="006F6C8B">
      <w:pPr>
        <w:pStyle w:val="Caption"/>
      </w:pPr>
      <w:bookmarkStart w:id="69" w:name="_Ref195277524"/>
      <w:r w:rsidRPr="00D86D87">
        <w:t xml:space="preserve">Table </w:t>
      </w:r>
      <w:r w:rsidR="001C1C72">
        <w:fldChar w:fldCharType="begin"/>
      </w:r>
      <w:r w:rsidR="001C1C72">
        <w:instrText xml:space="preserve"> SEQ Table \* ARABIC </w:instrText>
      </w:r>
      <w:r w:rsidR="001C1C72">
        <w:fldChar w:fldCharType="separate"/>
      </w:r>
      <w:r w:rsidR="005B625A">
        <w:rPr>
          <w:noProof/>
        </w:rPr>
        <w:t>14</w:t>
      </w:r>
      <w:r w:rsidR="001C1C72">
        <w:rPr>
          <w:noProof/>
        </w:rPr>
        <w:fldChar w:fldCharType="end"/>
      </w:r>
      <w:bookmarkEnd w:id="69"/>
      <w:r w:rsidRPr="00D86D87">
        <w:t>:</w:t>
      </w:r>
      <w:r w:rsidRPr="00D86D87">
        <w:rPr>
          <w:rStyle w:val="CommentReference"/>
          <w:b/>
          <w:szCs w:val="24"/>
        </w:rPr>
        <w:t xml:space="preserve"> Estimated use and financial implications</w:t>
      </w:r>
      <w:r>
        <w:rPr>
          <w:rStyle w:val="CommentReference"/>
          <w:b/>
          <w:szCs w:val="24"/>
        </w:rPr>
        <w:t xml:space="preserve"> (based on published pricing)</w:t>
      </w:r>
    </w:p>
    <w:tbl>
      <w:tblPr>
        <w:tblStyle w:val="TableGrid"/>
        <w:tblW w:w="5000" w:type="pct"/>
        <w:tblLayout w:type="fixed"/>
        <w:tblLook w:val="04A0" w:firstRow="1" w:lastRow="0" w:firstColumn="1" w:lastColumn="0" w:noHBand="0" w:noVBand="1"/>
        <w:tblCaption w:val="Table 14: Estimated use and financial implications (based on published pricing)"/>
      </w:tblPr>
      <w:tblGrid>
        <w:gridCol w:w="2122"/>
        <w:gridCol w:w="1148"/>
        <w:gridCol w:w="1149"/>
        <w:gridCol w:w="1149"/>
        <w:gridCol w:w="1149"/>
        <w:gridCol w:w="1149"/>
        <w:gridCol w:w="1151"/>
      </w:tblGrid>
      <w:tr w:rsidR="006F6C8B" w:rsidRPr="004662DD" w14:paraId="04B6ADA3" w14:textId="77777777">
        <w:tc>
          <w:tcPr>
            <w:tcW w:w="1177" w:type="pct"/>
            <w:tcBorders>
              <w:bottom w:val="single" w:sz="4" w:space="0" w:color="auto"/>
            </w:tcBorders>
            <w:noWrap/>
            <w:hideMark/>
          </w:tcPr>
          <w:p w14:paraId="21428624" w14:textId="77777777" w:rsidR="006F6C8B" w:rsidRPr="004662DD" w:rsidRDefault="006F6C8B">
            <w:pPr>
              <w:pStyle w:val="In-tableHeading"/>
            </w:pPr>
          </w:p>
        </w:tc>
        <w:tc>
          <w:tcPr>
            <w:tcW w:w="637" w:type="pct"/>
            <w:tcBorders>
              <w:bottom w:val="single" w:sz="4" w:space="0" w:color="auto"/>
            </w:tcBorders>
            <w:noWrap/>
            <w:hideMark/>
          </w:tcPr>
          <w:p w14:paraId="1020D6D1" w14:textId="77777777" w:rsidR="006F6C8B" w:rsidRPr="004662DD" w:rsidRDefault="006F6C8B">
            <w:pPr>
              <w:pStyle w:val="In-tableHeading"/>
              <w:jc w:val="center"/>
            </w:pPr>
            <w:r w:rsidRPr="004662DD">
              <w:t>2025</w:t>
            </w:r>
          </w:p>
        </w:tc>
        <w:tc>
          <w:tcPr>
            <w:tcW w:w="637" w:type="pct"/>
            <w:tcBorders>
              <w:bottom w:val="single" w:sz="4" w:space="0" w:color="auto"/>
            </w:tcBorders>
            <w:noWrap/>
            <w:hideMark/>
          </w:tcPr>
          <w:p w14:paraId="56DDCB31" w14:textId="77777777" w:rsidR="006F6C8B" w:rsidRPr="004662DD" w:rsidRDefault="006F6C8B">
            <w:pPr>
              <w:pStyle w:val="In-tableHeading"/>
              <w:jc w:val="center"/>
            </w:pPr>
            <w:r w:rsidRPr="004662DD">
              <w:t>2026</w:t>
            </w:r>
          </w:p>
        </w:tc>
        <w:tc>
          <w:tcPr>
            <w:tcW w:w="637" w:type="pct"/>
            <w:tcBorders>
              <w:bottom w:val="single" w:sz="4" w:space="0" w:color="auto"/>
            </w:tcBorders>
            <w:noWrap/>
            <w:hideMark/>
          </w:tcPr>
          <w:p w14:paraId="15C90AA5" w14:textId="77777777" w:rsidR="006F6C8B" w:rsidRPr="004662DD" w:rsidRDefault="006F6C8B">
            <w:pPr>
              <w:pStyle w:val="In-tableHeading"/>
              <w:jc w:val="center"/>
            </w:pPr>
            <w:r w:rsidRPr="004662DD">
              <w:t>2027</w:t>
            </w:r>
          </w:p>
        </w:tc>
        <w:tc>
          <w:tcPr>
            <w:tcW w:w="637" w:type="pct"/>
            <w:tcBorders>
              <w:bottom w:val="single" w:sz="4" w:space="0" w:color="auto"/>
            </w:tcBorders>
            <w:noWrap/>
            <w:hideMark/>
          </w:tcPr>
          <w:p w14:paraId="5CAA085F" w14:textId="77777777" w:rsidR="006F6C8B" w:rsidRPr="004662DD" w:rsidRDefault="006F6C8B">
            <w:pPr>
              <w:pStyle w:val="In-tableHeading"/>
              <w:jc w:val="center"/>
            </w:pPr>
            <w:r w:rsidRPr="004662DD">
              <w:t>2028</w:t>
            </w:r>
          </w:p>
        </w:tc>
        <w:tc>
          <w:tcPr>
            <w:tcW w:w="637" w:type="pct"/>
            <w:tcBorders>
              <w:bottom w:val="single" w:sz="4" w:space="0" w:color="auto"/>
            </w:tcBorders>
            <w:noWrap/>
            <w:hideMark/>
          </w:tcPr>
          <w:p w14:paraId="021019B4" w14:textId="77777777" w:rsidR="006F6C8B" w:rsidRPr="004662DD" w:rsidRDefault="006F6C8B">
            <w:pPr>
              <w:pStyle w:val="In-tableHeading"/>
              <w:jc w:val="center"/>
            </w:pPr>
            <w:r w:rsidRPr="004662DD">
              <w:t>2029</w:t>
            </w:r>
          </w:p>
        </w:tc>
        <w:tc>
          <w:tcPr>
            <w:tcW w:w="638" w:type="pct"/>
            <w:tcBorders>
              <w:bottom w:val="single" w:sz="4" w:space="0" w:color="auto"/>
            </w:tcBorders>
            <w:noWrap/>
            <w:hideMark/>
          </w:tcPr>
          <w:p w14:paraId="3EB6C52A" w14:textId="77777777" w:rsidR="006F6C8B" w:rsidRPr="004662DD" w:rsidRDefault="006F6C8B">
            <w:pPr>
              <w:pStyle w:val="In-tableHeading"/>
              <w:jc w:val="center"/>
            </w:pPr>
            <w:r w:rsidRPr="004662DD">
              <w:t>2030</w:t>
            </w:r>
          </w:p>
        </w:tc>
      </w:tr>
      <w:tr w:rsidR="006F6C8B" w:rsidRPr="004662DD" w14:paraId="6F7A954A" w14:textId="77777777">
        <w:tc>
          <w:tcPr>
            <w:tcW w:w="1177" w:type="pct"/>
            <w:tcBorders>
              <w:right w:val="nil"/>
            </w:tcBorders>
            <w:noWrap/>
          </w:tcPr>
          <w:p w14:paraId="6F2FF45E" w14:textId="77777777" w:rsidR="006F6C8B" w:rsidRPr="004662DD" w:rsidRDefault="006F6C8B">
            <w:pPr>
              <w:pStyle w:val="TableText0"/>
            </w:pPr>
            <w:r w:rsidRPr="004662DD">
              <w:rPr>
                <w:b/>
                <w:bCs w:val="0"/>
                <w:szCs w:val="20"/>
              </w:rPr>
              <w:t>Estimated extent of use</w:t>
            </w:r>
          </w:p>
        </w:tc>
        <w:tc>
          <w:tcPr>
            <w:tcW w:w="637" w:type="pct"/>
            <w:tcBorders>
              <w:left w:val="nil"/>
              <w:right w:val="nil"/>
            </w:tcBorders>
            <w:noWrap/>
          </w:tcPr>
          <w:p w14:paraId="1DBEB628" w14:textId="77777777" w:rsidR="006F6C8B" w:rsidRPr="004662DD" w:rsidRDefault="006F6C8B">
            <w:pPr>
              <w:pStyle w:val="TableText0"/>
              <w:jc w:val="right"/>
            </w:pPr>
          </w:p>
        </w:tc>
        <w:tc>
          <w:tcPr>
            <w:tcW w:w="637" w:type="pct"/>
            <w:tcBorders>
              <w:left w:val="nil"/>
              <w:right w:val="nil"/>
            </w:tcBorders>
            <w:noWrap/>
          </w:tcPr>
          <w:p w14:paraId="385EE7AF" w14:textId="77777777" w:rsidR="006F6C8B" w:rsidRPr="004662DD" w:rsidRDefault="006F6C8B">
            <w:pPr>
              <w:pStyle w:val="TableText0"/>
              <w:jc w:val="right"/>
            </w:pPr>
          </w:p>
        </w:tc>
        <w:tc>
          <w:tcPr>
            <w:tcW w:w="637" w:type="pct"/>
            <w:tcBorders>
              <w:left w:val="nil"/>
              <w:right w:val="nil"/>
            </w:tcBorders>
            <w:noWrap/>
          </w:tcPr>
          <w:p w14:paraId="2BEB0588" w14:textId="77777777" w:rsidR="006F6C8B" w:rsidRPr="004662DD" w:rsidRDefault="006F6C8B">
            <w:pPr>
              <w:pStyle w:val="TableText0"/>
              <w:jc w:val="right"/>
            </w:pPr>
          </w:p>
        </w:tc>
        <w:tc>
          <w:tcPr>
            <w:tcW w:w="637" w:type="pct"/>
            <w:tcBorders>
              <w:left w:val="nil"/>
              <w:right w:val="nil"/>
            </w:tcBorders>
            <w:noWrap/>
          </w:tcPr>
          <w:p w14:paraId="72400DE4" w14:textId="77777777" w:rsidR="006F6C8B" w:rsidRPr="004662DD" w:rsidRDefault="006F6C8B">
            <w:pPr>
              <w:pStyle w:val="TableText0"/>
              <w:jc w:val="right"/>
            </w:pPr>
          </w:p>
        </w:tc>
        <w:tc>
          <w:tcPr>
            <w:tcW w:w="637" w:type="pct"/>
            <w:tcBorders>
              <w:left w:val="nil"/>
              <w:right w:val="nil"/>
            </w:tcBorders>
            <w:noWrap/>
          </w:tcPr>
          <w:p w14:paraId="1E61DBB7" w14:textId="77777777" w:rsidR="006F6C8B" w:rsidRPr="004662DD" w:rsidRDefault="006F6C8B">
            <w:pPr>
              <w:pStyle w:val="TableText0"/>
              <w:jc w:val="right"/>
            </w:pPr>
          </w:p>
        </w:tc>
        <w:tc>
          <w:tcPr>
            <w:tcW w:w="638" w:type="pct"/>
            <w:tcBorders>
              <w:left w:val="nil"/>
            </w:tcBorders>
            <w:noWrap/>
          </w:tcPr>
          <w:p w14:paraId="2B36C6EF" w14:textId="77777777" w:rsidR="006F6C8B" w:rsidRPr="004662DD" w:rsidRDefault="006F6C8B">
            <w:pPr>
              <w:pStyle w:val="TableText0"/>
              <w:jc w:val="right"/>
            </w:pPr>
          </w:p>
        </w:tc>
      </w:tr>
      <w:tr w:rsidR="006F6C8B" w:rsidRPr="004662DD" w14:paraId="153F8F07" w14:textId="77777777">
        <w:tc>
          <w:tcPr>
            <w:tcW w:w="1177" w:type="pct"/>
            <w:noWrap/>
            <w:hideMark/>
          </w:tcPr>
          <w:p w14:paraId="4CBE2940" w14:textId="77777777" w:rsidR="006F6C8B" w:rsidRPr="004662DD" w:rsidRDefault="006F6C8B">
            <w:pPr>
              <w:pStyle w:val="TableText0"/>
            </w:pPr>
            <w:r w:rsidRPr="004662DD">
              <w:t>Total no. patients initiating treatment in the 1L setting</w:t>
            </w:r>
          </w:p>
        </w:tc>
        <w:tc>
          <w:tcPr>
            <w:tcW w:w="637" w:type="pct"/>
            <w:noWrap/>
            <w:hideMark/>
          </w:tcPr>
          <w:p w14:paraId="36414F59" w14:textId="2138411D" w:rsidR="006F6C8B" w:rsidRPr="005C0ED0" w:rsidRDefault="00A12619">
            <w:pPr>
              <w:pStyle w:val="TableText0"/>
              <w:jc w:val="right"/>
              <w:rPr>
                <w:vertAlign w:val="superscript"/>
              </w:rPr>
            </w:pPr>
            <w:r w:rsidRPr="003810C4">
              <w:rPr>
                <w:color w:val="000000"/>
                <w:spacing w:val="55"/>
                <w:shd w:val="solid" w:color="000000" w:fill="000000"/>
                <w:fitText w:val="336" w:id="-628483068"/>
                <w14:textFill>
                  <w14:solidFill>
                    <w14:srgbClr w14:val="000000">
                      <w14:alpha w14:val="100000"/>
                    </w14:srgbClr>
                  </w14:solidFill>
                </w14:textFill>
              </w:rPr>
              <w:t>|||</w:t>
            </w:r>
            <w:r w:rsidRPr="003810C4">
              <w:rPr>
                <w:color w:val="000000"/>
                <w:spacing w:val="1"/>
                <w:shd w:val="solid" w:color="000000" w:fill="000000"/>
                <w:fitText w:val="336" w:id="-628483068"/>
                <w14:textFill>
                  <w14:solidFill>
                    <w14:srgbClr w14:val="000000">
                      <w14:alpha w14:val="100000"/>
                    </w14:srgbClr>
                  </w14:solidFill>
                </w14:textFill>
              </w:rPr>
              <w:t>|</w:t>
            </w:r>
            <w:r w:rsidR="005C0ED0">
              <w:rPr>
                <w:vertAlign w:val="superscript"/>
              </w:rPr>
              <w:t>1</w:t>
            </w:r>
          </w:p>
        </w:tc>
        <w:tc>
          <w:tcPr>
            <w:tcW w:w="637" w:type="pct"/>
            <w:noWrap/>
            <w:hideMark/>
          </w:tcPr>
          <w:p w14:paraId="028DCDAC" w14:textId="4223A5C7" w:rsidR="006F6C8B" w:rsidRPr="00CF6D59" w:rsidRDefault="00A12619">
            <w:pPr>
              <w:pStyle w:val="TableText0"/>
              <w:jc w:val="right"/>
              <w:rPr>
                <w:highlight w:val="darkGray"/>
                <w:vertAlign w:val="superscript"/>
              </w:rPr>
            </w:pPr>
            <w:r w:rsidRPr="003810C4">
              <w:rPr>
                <w:color w:val="000000"/>
                <w:spacing w:val="55"/>
                <w:shd w:val="solid" w:color="000000" w:fill="000000"/>
                <w:fitText w:val="336" w:id="-628483067"/>
                <w14:textFill>
                  <w14:solidFill>
                    <w14:srgbClr w14:val="000000">
                      <w14:alpha w14:val="100000"/>
                    </w14:srgbClr>
                  </w14:solidFill>
                </w14:textFill>
              </w:rPr>
              <w:t>|||</w:t>
            </w:r>
            <w:r w:rsidRPr="003810C4">
              <w:rPr>
                <w:color w:val="000000"/>
                <w:spacing w:val="1"/>
                <w:shd w:val="solid" w:color="000000" w:fill="000000"/>
                <w:fitText w:val="336" w:id="-628483067"/>
                <w14:textFill>
                  <w14:solidFill>
                    <w14:srgbClr w14:val="000000">
                      <w14:alpha w14:val="100000"/>
                    </w14:srgbClr>
                  </w14:solidFill>
                </w14:textFill>
              </w:rPr>
              <w:t>|</w:t>
            </w:r>
            <w:r w:rsidR="00CF6D59" w:rsidRPr="00CF6D59">
              <w:rPr>
                <w:vertAlign w:val="superscript"/>
              </w:rPr>
              <w:t>2</w:t>
            </w:r>
          </w:p>
        </w:tc>
        <w:tc>
          <w:tcPr>
            <w:tcW w:w="637" w:type="pct"/>
            <w:noWrap/>
            <w:hideMark/>
          </w:tcPr>
          <w:p w14:paraId="1517E5C7" w14:textId="0808E28C" w:rsidR="006F6C8B" w:rsidRPr="005C6998" w:rsidRDefault="00A12619">
            <w:pPr>
              <w:pStyle w:val="TableText0"/>
              <w:jc w:val="right"/>
              <w:rPr>
                <w:highlight w:val="darkGray"/>
                <w:vertAlign w:val="superscript"/>
              </w:rPr>
            </w:pPr>
            <w:r w:rsidRPr="003810C4">
              <w:rPr>
                <w:color w:val="000000"/>
                <w:spacing w:val="55"/>
                <w:shd w:val="solid" w:color="000000" w:fill="000000"/>
                <w:fitText w:val="336" w:id="-628483066"/>
                <w14:textFill>
                  <w14:solidFill>
                    <w14:srgbClr w14:val="000000">
                      <w14:alpha w14:val="100000"/>
                    </w14:srgbClr>
                  </w14:solidFill>
                </w14:textFill>
              </w:rPr>
              <w:t>|||</w:t>
            </w:r>
            <w:r w:rsidRPr="003810C4">
              <w:rPr>
                <w:color w:val="000000"/>
                <w:spacing w:val="1"/>
                <w:shd w:val="solid" w:color="000000" w:fill="000000"/>
                <w:fitText w:val="336" w:id="-628483066"/>
                <w14:textFill>
                  <w14:solidFill>
                    <w14:srgbClr w14:val="000000">
                      <w14:alpha w14:val="100000"/>
                    </w14:srgbClr>
                  </w14:solidFill>
                </w14:textFill>
              </w:rPr>
              <w:t>|</w:t>
            </w:r>
            <w:r w:rsidR="005C6998" w:rsidRPr="005C6998">
              <w:rPr>
                <w:vertAlign w:val="superscript"/>
              </w:rPr>
              <w:t>2</w:t>
            </w:r>
          </w:p>
        </w:tc>
        <w:tc>
          <w:tcPr>
            <w:tcW w:w="637" w:type="pct"/>
            <w:noWrap/>
            <w:hideMark/>
          </w:tcPr>
          <w:p w14:paraId="50D6AFCD" w14:textId="06630A24" w:rsidR="006F6C8B" w:rsidRPr="005B2399" w:rsidRDefault="00A12619">
            <w:pPr>
              <w:pStyle w:val="TableText0"/>
              <w:jc w:val="right"/>
              <w:rPr>
                <w:highlight w:val="darkGray"/>
                <w:vertAlign w:val="superscript"/>
              </w:rPr>
            </w:pPr>
            <w:r w:rsidRPr="003810C4">
              <w:rPr>
                <w:color w:val="000000"/>
                <w:spacing w:val="55"/>
                <w:shd w:val="solid" w:color="000000" w:fill="000000"/>
                <w:fitText w:val="336" w:id="-628483065"/>
                <w14:textFill>
                  <w14:solidFill>
                    <w14:srgbClr w14:val="000000">
                      <w14:alpha w14:val="100000"/>
                    </w14:srgbClr>
                  </w14:solidFill>
                </w14:textFill>
              </w:rPr>
              <w:t>|||</w:t>
            </w:r>
            <w:r w:rsidRPr="003810C4">
              <w:rPr>
                <w:color w:val="000000"/>
                <w:spacing w:val="1"/>
                <w:shd w:val="solid" w:color="000000" w:fill="000000"/>
                <w:fitText w:val="336" w:id="-628483065"/>
                <w14:textFill>
                  <w14:solidFill>
                    <w14:srgbClr w14:val="000000">
                      <w14:alpha w14:val="100000"/>
                    </w14:srgbClr>
                  </w14:solidFill>
                </w14:textFill>
              </w:rPr>
              <w:t>|</w:t>
            </w:r>
            <w:r w:rsidR="005B2399" w:rsidRPr="005B2399">
              <w:rPr>
                <w:vertAlign w:val="superscript"/>
              </w:rPr>
              <w:t>2</w:t>
            </w:r>
          </w:p>
        </w:tc>
        <w:tc>
          <w:tcPr>
            <w:tcW w:w="637" w:type="pct"/>
            <w:noWrap/>
            <w:hideMark/>
          </w:tcPr>
          <w:p w14:paraId="57233844" w14:textId="06F30051" w:rsidR="006F6C8B" w:rsidRPr="005B2399" w:rsidRDefault="00A12619">
            <w:pPr>
              <w:pStyle w:val="TableText0"/>
              <w:jc w:val="right"/>
              <w:rPr>
                <w:highlight w:val="darkGray"/>
                <w:vertAlign w:val="superscript"/>
              </w:rPr>
            </w:pPr>
            <w:r w:rsidRPr="003810C4">
              <w:rPr>
                <w:color w:val="000000"/>
                <w:spacing w:val="55"/>
                <w:shd w:val="solid" w:color="000000" w:fill="000000"/>
                <w:fitText w:val="336" w:id="-628483064"/>
                <w14:textFill>
                  <w14:solidFill>
                    <w14:srgbClr w14:val="000000">
                      <w14:alpha w14:val="100000"/>
                    </w14:srgbClr>
                  </w14:solidFill>
                </w14:textFill>
              </w:rPr>
              <w:t>|||</w:t>
            </w:r>
            <w:r w:rsidRPr="003810C4">
              <w:rPr>
                <w:color w:val="000000"/>
                <w:spacing w:val="1"/>
                <w:shd w:val="solid" w:color="000000" w:fill="000000"/>
                <w:fitText w:val="336" w:id="-628483064"/>
                <w14:textFill>
                  <w14:solidFill>
                    <w14:srgbClr w14:val="000000">
                      <w14:alpha w14:val="100000"/>
                    </w14:srgbClr>
                  </w14:solidFill>
                </w14:textFill>
              </w:rPr>
              <w:t>|</w:t>
            </w:r>
            <w:r w:rsidR="005B2399" w:rsidRPr="005B2399">
              <w:rPr>
                <w:vertAlign w:val="superscript"/>
              </w:rPr>
              <w:t>2</w:t>
            </w:r>
          </w:p>
        </w:tc>
        <w:tc>
          <w:tcPr>
            <w:tcW w:w="638" w:type="pct"/>
            <w:noWrap/>
            <w:hideMark/>
          </w:tcPr>
          <w:p w14:paraId="7D327F03" w14:textId="4612AB88" w:rsidR="006F6C8B" w:rsidRPr="00654784" w:rsidRDefault="00A12619">
            <w:pPr>
              <w:pStyle w:val="TableText0"/>
              <w:jc w:val="right"/>
              <w:rPr>
                <w:highlight w:val="darkGray"/>
                <w:vertAlign w:val="superscript"/>
              </w:rPr>
            </w:pPr>
            <w:r w:rsidRPr="003810C4">
              <w:rPr>
                <w:color w:val="000000"/>
                <w:spacing w:val="51"/>
                <w:shd w:val="solid" w:color="000000" w:fill="000000"/>
                <w:fitText w:val="324" w:id="-628483063"/>
                <w14:textFill>
                  <w14:solidFill>
                    <w14:srgbClr w14:val="000000">
                      <w14:alpha w14:val="100000"/>
                    </w14:srgbClr>
                  </w14:solidFill>
                </w14:textFill>
              </w:rPr>
              <w:t>|||</w:t>
            </w:r>
            <w:r w:rsidRPr="003810C4">
              <w:rPr>
                <w:color w:val="000000"/>
                <w:spacing w:val="1"/>
                <w:shd w:val="solid" w:color="000000" w:fill="000000"/>
                <w:fitText w:val="324" w:id="-628483063"/>
                <w14:textFill>
                  <w14:solidFill>
                    <w14:srgbClr w14:val="000000">
                      <w14:alpha w14:val="100000"/>
                    </w14:srgbClr>
                  </w14:solidFill>
                </w14:textFill>
              </w:rPr>
              <w:t>|</w:t>
            </w:r>
            <w:r w:rsidR="00654784" w:rsidRPr="00654784">
              <w:rPr>
                <w:vertAlign w:val="superscript"/>
              </w:rPr>
              <w:t>3</w:t>
            </w:r>
          </w:p>
        </w:tc>
      </w:tr>
      <w:tr w:rsidR="006F6C8B" w:rsidRPr="004662DD" w14:paraId="21D6D90D" w14:textId="77777777">
        <w:tc>
          <w:tcPr>
            <w:tcW w:w="1177" w:type="pct"/>
            <w:noWrap/>
            <w:hideMark/>
          </w:tcPr>
          <w:p w14:paraId="425EB99D" w14:textId="77777777" w:rsidR="006F6C8B" w:rsidRPr="004662DD" w:rsidRDefault="006F6C8B">
            <w:pPr>
              <w:pStyle w:val="TableText0"/>
            </w:pPr>
            <w:r w:rsidRPr="004662DD">
              <w:t>Market share of abaloparatide</w:t>
            </w:r>
          </w:p>
        </w:tc>
        <w:tc>
          <w:tcPr>
            <w:tcW w:w="637" w:type="pct"/>
            <w:noWrap/>
            <w:hideMark/>
          </w:tcPr>
          <w:p w14:paraId="47038D1C" w14:textId="3CF713B0" w:rsidR="006F6C8B" w:rsidRPr="004662DD" w:rsidRDefault="00A12619">
            <w:pPr>
              <w:pStyle w:val="TableText0"/>
              <w:jc w:val="right"/>
            </w:pPr>
            <w:r w:rsidRPr="003810C4">
              <w:rPr>
                <w:color w:val="000000"/>
                <w:spacing w:val="55"/>
                <w:shd w:val="solid" w:color="000000" w:fill="000000"/>
                <w:fitText w:val="336" w:id="-628483062"/>
                <w14:textFill>
                  <w14:solidFill>
                    <w14:srgbClr w14:val="000000">
                      <w14:alpha w14:val="100000"/>
                    </w14:srgbClr>
                  </w14:solidFill>
                </w14:textFill>
              </w:rPr>
              <w:t>|||</w:t>
            </w:r>
            <w:r w:rsidRPr="003810C4">
              <w:rPr>
                <w:color w:val="000000"/>
                <w:spacing w:val="1"/>
                <w:shd w:val="solid" w:color="000000" w:fill="000000"/>
                <w:fitText w:val="336" w:id="-628483062"/>
                <w14:textFill>
                  <w14:solidFill>
                    <w14:srgbClr w14:val="000000">
                      <w14:alpha w14:val="100000"/>
                    </w14:srgbClr>
                  </w14:solidFill>
                </w14:textFill>
              </w:rPr>
              <w:t>|</w:t>
            </w:r>
            <w:r w:rsidR="006F6C8B" w:rsidRPr="004662DD">
              <w:t>%</w:t>
            </w:r>
          </w:p>
        </w:tc>
        <w:tc>
          <w:tcPr>
            <w:tcW w:w="637" w:type="pct"/>
            <w:noWrap/>
            <w:hideMark/>
          </w:tcPr>
          <w:p w14:paraId="6E49332D" w14:textId="71E12AD0" w:rsidR="006F6C8B" w:rsidRPr="004662DD" w:rsidRDefault="00A12619">
            <w:pPr>
              <w:pStyle w:val="TableText0"/>
              <w:jc w:val="right"/>
            </w:pPr>
            <w:r w:rsidRPr="003810C4">
              <w:rPr>
                <w:color w:val="000000"/>
                <w:spacing w:val="55"/>
                <w:shd w:val="solid" w:color="000000" w:fill="000000"/>
                <w:fitText w:val="336" w:id="-628483061"/>
                <w14:textFill>
                  <w14:solidFill>
                    <w14:srgbClr w14:val="000000">
                      <w14:alpha w14:val="100000"/>
                    </w14:srgbClr>
                  </w14:solidFill>
                </w14:textFill>
              </w:rPr>
              <w:t>|||</w:t>
            </w:r>
            <w:r w:rsidRPr="003810C4">
              <w:rPr>
                <w:color w:val="000000"/>
                <w:spacing w:val="1"/>
                <w:shd w:val="solid" w:color="000000" w:fill="000000"/>
                <w:fitText w:val="336" w:id="-628483061"/>
                <w14:textFill>
                  <w14:solidFill>
                    <w14:srgbClr w14:val="000000">
                      <w14:alpha w14:val="100000"/>
                    </w14:srgbClr>
                  </w14:solidFill>
                </w14:textFill>
              </w:rPr>
              <w:t>|</w:t>
            </w:r>
            <w:r w:rsidR="006F6C8B" w:rsidRPr="004662DD">
              <w:t>%</w:t>
            </w:r>
          </w:p>
        </w:tc>
        <w:tc>
          <w:tcPr>
            <w:tcW w:w="637" w:type="pct"/>
            <w:noWrap/>
            <w:hideMark/>
          </w:tcPr>
          <w:p w14:paraId="093D348B" w14:textId="54841CB3" w:rsidR="006F6C8B" w:rsidRPr="004662DD" w:rsidRDefault="00A12619">
            <w:pPr>
              <w:pStyle w:val="TableText0"/>
              <w:jc w:val="right"/>
            </w:pPr>
            <w:r w:rsidRPr="003810C4">
              <w:rPr>
                <w:color w:val="000000"/>
                <w:spacing w:val="55"/>
                <w:shd w:val="solid" w:color="000000" w:fill="000000"/>
                <w:fitText w:val="336" w:id="-628483060"/>
                <w14:textFill>
                  <w14:solidFill>
                    <w14:srgbClr w14:val="000000">
                      <w14:alpha w14:val="100000"/>
                    </w14:srgbClr>
                  </w14:solidFill>
                </w14:textFill>
              </w:rPr>
              <w:t>|||</w:t>
            </w:r>
            <w:r w:rsidRPr="003810C4">
              <w:rPr>
                <w:color w:val="000000"/>
                <w:spacing w:val="1"/>
                <w:shd w:val="solid" w:color="000000" w:fill="000000"/>
                <w:fitText w:val="336" w:id="-628483060"/>
                <w14:textFill>
                  <w14:solidFill>
                    <w14:srgbClr w14:val="000000">
                      <w14:alpha w14:val="100000"/>
                    </w14:srgbClr>
                  </w14:solidFill>
                </w14:textFill>
              </w:rPr>
              <w:t>|</w:t>
            </w:r>
            <w:r w:rsidR="006F6C8B" w:rsidRPr="004662DD">
              <w:t>%</w:t>
            </w:r>
          </w:p>
        </w:tc>
        <w:tc>
          <w:tcPr>
            <w:tcW w:w="637" w:type="pct"/>
            <w:noWrap/>
            <w:hideMark/>
          </w:tcPr>
          <w:p w14:paraId="0C158141" w14:textId="3B3E1D2A" w:rsidR="006F6C8B" w:rsidRPr="004662DD" w:rsidRDefault="00A12619">
            <w:pPr>
              <w:pStyle w:val="TableText0"/>
              <w:jc w:val="right"/>
            </w:pPr>
            <w:r w:rsidRPr="003810C4">
              <w:rPr>
                <w:color w:val="000000"/>
                <w:spacing w:val="55"/>
                <w:shd w:val="solid" w:color="000000" w:fill="000000"/>
                <w:fitText w:val="336" w:id="-628483059"/>
                <w14:textFill>
                  <w14:solidFill>
                    <w14:srgbClr w14:val="000000">
                      <w14:alpha w14:val="100000"/>
                    </w14:srgbClr>
                  </w14:solidFill>
                </w14:textFill>
              </w:rPr>
              <w:t>|||</w:t>
            </w:r>
            <w:r w:rsidRPr="003810C4">
              <w:rPr>
                <w:color w:val="000000"/>
                <w:spacing w:val="1"/>
                <w:shd w:val="solid" w:color="000000" w:fill="000000"/>
                <w:fitText w:val="336" w:id="-628483059"/>
                <w14:textFill>
                  <w14:solidFill>
                    <w14:srgbClr w14:val="000000">
                      <w14:alpha w14:val="100000"/>
                    </w14:srgbClr>
                  </w14:solidFill>
                </w14:textFill>
              </w:rPr>
              <w:t>|</w:t>
            </w:r>
            <w:r w:rsidR="006F6C8B" w:rsidRPr="004662DD">
              <w:t>%</w:t>
            </w:r>
          </w:p>
        </w:tc>
        <w:tc>
          <w:tcPr>
            <w:tcW w:w="637" w:type="pct"/>
            <w:noWrap/>
            <w:hideMark/>
          </w:tcPr>
          <w:p w14:paraId="300C5C67" w14:textId="035FAFE3" w:rsidR="006F6C8B" w:rsidRPr="004662DD" w:rsidRDefault="00A12619">
            <w:pPr>
              <w:pStyle w:val="TableText0"/>
              <w:jc w:val="right"/>
            </w:pPr>
            <w:r w:rsidRPr="003810C4">
              <w:rPr>
                <w:color w:val="000000"/>
                <w:spacing w:val="55"/>
                <w:shd w:val="solid" w:color="000000" w:fill="000000"/>
                <w:fitText w:val="336" w:id="-628483058"/>
                <w14:textFill>
                  <w14:solidFill>
                    <w14:srgbClr w14:val="000000">
                      <w14:alpha w14:val="100000"/>
                    </w14:srgbClr>
                  </w14:solidFill>
                </w14:textFill>
              </w:rPr>
              <w:t>|||</w:t>
            </w:r>
            <w:r w:rsidRPr="003810C4">
              <w:rPr>
                <w:color w:val="000000"/>
                <w:spacing w:val="1"/>
                <w:shd w:val="solid" w:color="000000" w:fill="000000"/>
                <w:fitText w:val="336" w:id="-628483058"/>
                <w14:textFill>
                  <w14:solidFill>
                    <w14:srgbClr w14:val="000000">
                      <w14:alpha w14:val="100000"/>
                    </w14:srgbClr>
                  </w14:solidFill>
                </w14:textFill>
              </w:rPr>
              <w:t>|</w:t>
            </w:r>
            <w:r w:rsidR="006F6C8B" w:rsidRPr="004662DD">
              <w:t>%</w:t>
            </w:r>
          </w:p>
        </w:tc>
        <w:tc>
          <w:tcPr>
            <w:tcW w:w="638" w:type="pct"/>
            <w:noWrap/>
            <w:hideMark/>
          </w:tcPr>
          <w:p w14:paraId="6541A153" w14:textId="6295F7BA" w:rsidR="006F6C8B" w:rsidRPr="004662DD" w:rsidRDefault="00A12619">
            <w:pPr>
              <w:pStyle w:val="TableText0"/>
              <w:jc w:val="right"/>
            </w:pPr>
            <w:r w:rsidRPr="003810C4">
              <w:rPr>
                <w:color w:val="000000"/>
                <w:spacing w:val="55"/>
                <w:shd w:val="solid" w:color="000000" w:fill="000000"/>
                <w:fitText w:val="336" w:id="-628483057"/>
                <w14:textFill>
                  <w14:solidFill>
                    <w14:srgbClr w14:val="000000">
                      <w14:alpha w14:val="100000"/>
                    </w14:srgbClr>
                  </w14:solidFill>
                </w14:textFill>
              </w:rPr>
              <w:t>|||</w:t>
            </w:r>
            <w:r w:rsidRPr="003810C4">
              <w:rPr>
                <w:color w:val="000000"/>
                <w:spacing w:val="1"/>
                <w:shd w:val="solid" w:color="000000" w:fill="000000"/>
                <w:fitText w:val="336" w:id="-628483057"/>
                <w14:textFill>
                  <w14:solidFill>
                    <w14:srgbClr w14:val="000000">
                      <w14:alpha w14:val="100000"/>
                    </w14:srgbClr>
                  </w14:solidFill>
                </w14:textFill>
              </w:rPr>
              <w:t>|</w:t>
            </w:r>
            <w:r w:rsidR="006F6C8B" w:rsidRPr="004662DD">
              <w:t>%</w:t>
            </w:r>
          </w:p>
        </w:tc>
      </w:tr>
      <w:tr w:rsidR="006F6C8B" w:rsidRPr="004662DD" w14:paraId="4DC68F71" w14:textId="77777777">
        <w:tc>
          <w:tcPr>
            <w:tcW w:w="1177" w:type="pct"/>
            <w:noWrap/>
            <w:hideMark/>
          </w:tcPr>
          <w:p w14:paraId="4A5190C7" w14:textId="77777777" w:rsidR="006F6C8B" w:rsidRPr="004662DD" w:rsidRDefault="006F6C8B">
            <w:pPr>
              <w:pStyle w:val="TableText0"/>
            </w:pPr>
            <w:r w:rsidRPr="004662DD">
              <w:t>No. patients electing abaloparatide treatment</w:t>
            </w:r>
          </w:p>
        </w:tc>
        <w:tc>
          <w:tcPr>
            <w:tcW w:w="637" w:type="pct"/>
            <w:noWrap/>
            <w:hideMark/>
          </w:tcPr>
          <w:p w14:paraId="362BFFF4" w14:textId="31DC2708" w:rsidR="006F6C8B" w:rsidRPr="00DC45F0" w:rsidRDefault="00A12619">
            <w:pPr>
              <w:pStyle w:val="TableText0"/>
              <w:jc w:val="right"/>
              <w:rPr>
                <w:highlight w:val="darkGray"/>
                <w:vertAlign w:val="superscript"/>
              </w:rPr>
            </w:pPr>
            <w:r w:rsidRPr="00A12619">
              <w:rPr>
                <w:color w:val="000000"/>
                <w:spacing w:val="55"/>
                <w:shd w:val="solid" w:color="000000" w:fill="000000"/>
                <w:fitText w:val="336" w:id="-628483056"/>
                <w14:textFill>
                  <w14:solidFill>
                    <w14:srgbClr w14:val="000000">
                      <w14:alpha w14:val="100000"/>
                    </w14:srgbClr>
                  </w14:solidFill>
                </w14:textFill>
              </w:rPr>
              <w:t>|||</w:t>
            </w:r>
            <w:r w:rsidRPr="00A12619">
              <w:rPr>
                <w:color w:val="000000"/>
                <w:spacing w:val="1"/>
                <w:shd w:val="solid" w:color="000000" w:fill="000000"/>
                <w:fitText w:val="336" w:id="-628483056"/>
                <w14:textFill>
                  <w14:solidFill>
                    <w14:srgbClr w14:val="000000">
                      <w14:alpha w14:val="100000"/>
                    </w14:srgbClr>
                  </w14:solidFill>
                </w14:textFill>
              </w:rPr>
              <w:t>|</w:t>
            </w:r>
            <w:r w:rsidR="00DC45F0" w:rsidRPr="00DC45F0">
              <w:rPr>
                <w:vertAlign w:val="superscript"/>
              </w:rPr>
              <w:t>4</w:t>
            </w:r>
          </w:p>
        </w:tc>
        <w:tc>
          <w:tcPr>
            <w:tcW w:w="637" w:type="pct"/>
            <w:noWrap/>
            <w:hideMark/>
          </w:tcPr>
          <w:p w14:paraId="51070F6D" w14:textId="2EF298C9" w:rsidR="006F6C8B" w:rsidRPr="00DC45F0" w:rsidRDefault="00A12619">
            <w:pPr>
              <w:pStyle w:val="TableText0"/>
              <w:jc w:val="right"/>
              <w:rPr>
                <w:highlight w:val="darkGray"/>
                <w:vertAlign w:val="superscript"/>
              </w:rPr>
            </w:pPr>
            <w:r w:rsidRPr="00A12619">
              <w:rPr>
                <w:color w:val="000000"/>
                <w:spacing w:val="55"/>
                <w:shd w:val="solid" w:color="000000" w:fill="000000"/>
                <w:fitText w:val="336" w:id="-628483072"/>
                <w14:textFill>
                  <w14:solidFill>
                    <w14:srgbClr w14:val="000000">
                      <w14:alpha w14:val="100000"/>
                    </w14:srgbClr>
                  </w14:solidFill>
                </w14:textFill>
              </w:rPr>
              <w:t>|||</w:t>
            </w:r>
            <w:r w:rsidRPr="00A12619">
              <w:rPr>
                <w:color w:val="000000"/>
                <w:spacing w:val="1"/>
                <w:shd w:val="solid" w:color="000000" w:fill="000000"/>
                <w:fitText w:val="336" w:id="-628483072"/>
                <w14:textFill>
                  <w14:solidFill>
                    <w14:srgbClr w14:val="000000">
                      <w14:alpha w14:val="100000"/>
                    </w14:srgbClr>
                  </w14:solidFill>
                </w14:textFill>
              </w:rPr>
              <w:t>|</w:t>
            </w:r>
            <w:r w:rsidR="00DC45F0" w:rsidRPr="00DC45F0">
              <w:rPr>
                <w:vertAlign w:val="superscript"/>
              </w:rPr>
              <w:t>4</w:t>
            </w:r>
          </w:p>
        </w:tc>
        <w:tc>
          <w:tcPr>
            <w:tcW w:w="637" w:type="pct"/>
            <w:noWrap/>
            <w:hideMark/>
          </w:tcPr>
          <w:p w14:paraId="16E7B5FF" w14:textId="4072E6A3" w:rsidR="006F6C8B" w:rsidRPr="00DC45F0" w:rsidRDefault="00A12619">
            <w:pPr>
              <w:pStyle w:val="TableText0"/>
              <w:jc w:val="right"/>
              <w:rPr>
                <w:highlight w:val="darkGray"/>
                <w:vertAlign w:val="superscript"/>
              </w:rPr>
            </w:pPr>
            <w:r w:rsidRPr="00A12619">
              <w:rPr>
                <w:color w:val="000000"/>
                <w:spacing w:val="55"/>
                <w:shd w:val="solid" w:color="000000" w:fill="000000"/>
                <w:fitText w:val="336" w:id="-628483071"/>
                <w14:textFill>
                  <w14:solidFill>
                    <w14:srgbClr w14:val="000000">
                      <w14:alpha w14:val="100000"/>
                    </w14:srgbClr>
                  </w14:solidFill>
                </w14:textFill>
              </w:rPr>
              <w:t>|||</w:t>
            </w:r>
            <w:r w:rsidRPr="00A12619">
              <w:rPr>
                <w:color w:val="000000"/>
                <w:spacing w:val="1"/>
                <w:shd w:val="solid" w:color="000000" w:fill="000000"/>
                <w:fitText w:val="336" w:id="-628483071"/>
                <w14:textFill>
                  <w14:solidFill>
                    <w14:srgbClr w14:val="000000">
                      <w14:alpha w14:val="100000"/>
                    </w14:srgbClr>
                  </w14:solidFill>
                </w14:textFill>
              </w:rPr>
              <w:t>|</w:t>
            </w:r>
            <w:r w:rsidR="00DC45F0" w:rsidRPr="00DC45F0">
              <w:rPr>
                <w:vertAlign w:val="superscript"/>
              </w:rPr>
              <w:t>4</w:t>
            </w:r>
          </w:p>
        </w:tc>
        <w:tc>
          <w:tcPr>
            <w:tcW w:w="637" w:type="pct"/>
            <w:noWrap/>
            <w:hideMark/>
          </w:tcPr>
          <w:p w14:paraId="523DB29B" w14:textId="51F96155" w:rsidR="006F6C8B" w:rsidRPr="00E93A71" w:rsidRDefault="00A12619">
            <w:pPr>
              <w:pStyle w:val="TableText0"/>
              <w:jc w:val="right"/>
              <w:rPr>
                <w:highlight w:val="darkGray"/>
              </w:rPr>
            </w:pPr>
            <w:r w:rsidRPr="00A12619">
              <w:rPr>
                <w:color w:val="000000"/>
                <w:spacing w:val="55"/>
                <w:shd w:val="solid" w:color="000000" w:fill="000000"/>
                <w:fitText w:val="336" w:id="-628483070"/>
                <w14:textFill>
                  <w14:solidFill>
                    <w14:srgbClr w14:val="000000">
                      <w14:alpha w14:val="100000"/>
                    </w14:srgbClr>
                  </w14:solidFill>
                </w14:textFill>
              </w:rPr>
              <w:t>|||</w:t>
            </w:r>
            <w:r w:rsidRPr="00A12619">
              <w:rPr>
                <w:color w:val="000000"/>
                <w:spacing w:val="1"/>
                <w:shd w:val="solid" w:color="000000" w:fill="000000"/>
                <w:fitText w:val="336" w:id="-628483070"/>
                <w14:textFill>
                  <w14:solidFill>
                    <w14:srgbClr w14:val="000000">
                      <w14:alpha w14:val="100000"/>
                    </w14:srgbClr>
                  </w14:solidFill>
                </w14:textFill>
              </w:rPr>
              <w:t>|</w:t>
            </w:r>
            <w:r w:rsidR="00D7212F">
              <w:rPr>
                <w:vertAlign w:val="superscript"/>
              </w:rPr>
              <w:t>1</w:t>
            </w:r>
          </w:p>
        </w:tc>
        <w:tc>
          <w:tcPr>
            <w:tcW w:w="637" w:type="pct"/>
            <w:noWrap/>
            <w:hideMark/>
          </w:tcPr>
          <w:p w14:paraId="23F9BC47" w14:textId="748A47B2" w:rsidR="006F6C8B" w:rsidRPr="00E93A71" w:rsidRDefault="00A12619">
            <w:pPr>
              <w:pStyle w:val="TableText0"/>
              <w:jc w:val="right"/>
              <w:rPr>
                <w:highlight w:val="darkGray"/>
              </w:rPr>
            </w:pPr>
            <w:r w:rsidRPr="00A12619">
              <w:rPr>
                <w:color w:val="000000"/>
                <w:spacing w:val="55"/>
                <w:shd w:val="solid" w:color="000000" w:fill="000000"/>
                <w:fitText w:val="336" w:id="-628483069"/>
                <w14:textFill>
                  <w14:solidFill>
                    <w14:srgbClr w14:val="000000">
                      <w14:alpha w14:val="100000"/>
                    </w14:srgbClr>
                  </w14:solidFill>
                </w14:textFill>
              </w:rPr>
              <w:t>|||</w:t>
            </w:r>
            <w:r w:rsidRPr="00A12619">
              <w:rPr>
                <w:color w:val="000000"/>
                <w:spacing w:val="1"/>
                <w:shd w:val="solid" w:color="000000" w:fill="000000"/>
                <w:fitText w:val="336" w:id="-628483069"/>
                <w14:textFill>
                  <w14:solidFill>
                    <w14:srgbClr w14:val="000000">
                      <w14:alpha w14:val="100000"/>
                    </w14:srgbClr>
                  </w14:solidFill>
                </w14:textFill>
              </w:rPr>
              <w:t>|</w:t>
            </w:r>
            <w:r w:rsidR="00D7212F">
              <w:rPr>
                <w:vertAlign w:val="superscript"/>
              </w:rPr>
              <w:t>1</w:t>
            </w:r>
          </w:p>
        </w:tc>
        <w:tc>
          <w:tcPr>
            <w:tcW w:w="638" w:type="pct"/>
            <w:noWrap/>
            <w:hideMark/>
          </w:tcPr>
          <w:p w14:paraId="3EB8ACB6" w14:textId="19B28CB0" w:rsidR="006F6C8B" w:rsidRPr="00267826" w:rsidRDefault="00A12619">
            <w:pPr>
              <w:pStyle w:val="TableText0"/>
              <w:jc w:val="right"/>
              <w:rPr>
                <w:highlight w:val="darkGray"/>
              </w:rPr>
            </w:pPr>
            <w:r w:rsidRPr="00A12619">
              <w:rPr>
                <w:color w:val="000000"/>
                <w:spacing w:val="51"/>
                <w:shd w:val="solid" w:color="000000" w:fill="000000"/>
                <w:fitText w:val="324" w:id="-628483068"/>
                <w14:textFill>
                  <w14:solidFill>
                    <w14:srgbClr w14:val="000000">
                      <w14:alpha w14:val="100000"/>
                    </w14:srgbClr>
                  </w14:solidFill>
                </w14:textFill>
              </w:rPr>
              <w:t>|||</w:t>
            </w:r>
            <w:r w:rsidRPr="00A12619">
              <w:rPr>
                <w:color w:val="000000"/>
                <w:spacing w:val="1"/>
                <w:shd w:val="solid" w:color="000000" w:fill="000000"/>
                <w:fitText w:val="324" w:id="-628483068"/>
                <w14:textFill>
                  <w14:solidFill>
                    <w14:srgbClr w14:val="000000">
                      <w14:alpha w14:val="100000"/>
                    </w14:srgbClr>
                  </w14:solidFill>
                </w14:textFill>
              </w:rPr>
              <w:t>|</w:t>
            </w:r>
            <w:r w:rsidR="00267826" w:rsidRPr="00267826">
              <w:rPr>
                <w:vertAlign w:val="superscript"/>
              </w:rPr>
              <w:t>2</w:t>
            </w:r>
          </w:p>
        </w:tc>
      </w:tr>
      <w:tr w:rsidR="006F6C8B" w:rsidRPr="004662DD" w14:paraId="6A1CA944" w14:textId="77777777">
        <w:tc>
          <w:tcPr>
            <w:tcW w:w="1177" w:type="pct"/>
            <w:noWrap/>
            <w:hideMark/>
          </w:tcPr>
          <w:p w14:paraId="5579CD46" w14:textId="77777777" w:rsidR="006F6C8B" w:rsidRPr="004662DD" w:rsidRDefault="006F6C8B">
            <w:pPr>
              <w:pStyle w:val="TableText0"/>
            </w:pPr>
            <w:r w:rsidRPr="004662DD">
              <w:t>No. scripts (9.98 per year on treatment)</w:t>
            </w:r>
          </w:p>
        </w:tc>
        <w:tc>
          <w:tcPr>
            <w:tcW w:w="637" w:type="pct"/>
            <w:noWrap/>
            <w:hideMark/>
          </w:tcPr>
          <w:p w14:paraId="3CC4CD7F" w14:textId="4BCBCB9F" w:rsidR="006F6C8B" w:rsidRPr="00932204" w:rsidRDefault="00A12619">
            <w:pPr>
              <w:pStyle w:val="TableText0"/>
              <w:jc w:val="right"/>
              <w:rPr>
                <w:highlight w:val="darkGray"/>
                <w:vertAlign w:val="superscript"/>
              </w:rPr>
            </w:pPr>
            <w:r w:rsidRPr="00A12619">
              <w:rPr>
                <w:color w:val="000000"/>
                <w:spacing w:val="55"/>
                <w:shd w:val="solid" w:color="000000" w:fill="000000"/>
                <w:fitText w:val="336" w:id="-628483067"/>
                <w14:textFill>
                  <w14:solidFill>
                    <w14:srgbClr w14:val="000000">
                      <w14:alpha w14:val="100000"/>
                    </w14:srgbClr>
                  </w14:solidFill>
                </w14:textFill>
              </w:rPr>
              <w:t>|||</w:t>
            </w:r>
            <w:r w:rsidRPr="00A12619">
              <w:rPr>
                <w:color w:val="000000"/>
                <w:spacing w:val="1"/>
                <w:shd w:val="solid" w:color="000000" w:fill="000000"/>
                <w:fitText w:val="336" w:id="-628483067"/>
                <w14:textFill>
                  <w14:solidFill>
                    <w14:srgbClr w14:val="000000">
                      <w14:alpha w14:val="100000"/>
                    </w14:srgbClr>
                  </w14:solidFill>
                </w14:textFill>
              </w:rPr>
              <w:t>|</w:t>
            </w:r>
            <w:r w:rsidR="00932204" w:rsidRPr="00932204">
              <w:rPr>
                <w:vertAlign w:val="superscript"/>
              </w:rPr>
              <w:t>2</w:t>
            </w:r>
          </w:p>
        </w:tc>
        <w:tc>
          <w:tcPr>
            <w:tcW w:w="637" w:type="pct"/>
            <w:noWrap/>
            <w:hideMark/>
          </w:tcPr>
          <w:p w14:paraId="650C5D85" w14:textId="393A689B" w:rsidR="006F6C8B" w:rsidRPr="00F27CF5" w:rsidRDefault="00A12619">
            <w:pPr>
              <w:pStyle w:val="TableText0"/>
              <w:jc w:val="right"/>
              <w:rPr>
                <w:highlight w:val="darkGray"/>
                <w:vertAlign w:val="superscript"/>
              </w:rPr>
            </w:pPr>
            <w:r w:rsidRPr="00A12619">
              <w:rPr>
                <w:color w:val="000000"/>
                <w:spacing w:val="55"/>
                <w:shd w:val="solid" w:color="000000" w:fill="000000"/>
                <w:fitText w:val="336" w:id="-628483066"/>
                <w14:textFill>
                  <w14:solidFill>
                    <w14:srgbClr w14:val="000000">
                      <w14:alpha w14:val="100000"/>
                    </w14:srgbClr>
                  </w14:solidFill>
                </w14:textFill>
              </w:rPr>
              <w:t>|||</w:t>
            </w:r>
            <w:r w:rsidRPr="00A12619">
              <w:rPr>
                <w:color w:val="000000"/>
                <w:spacing w:val="1"/>
                <w:shd w:val="solid" w:color="000000" w:fill="000000"/>
                <w:fitText w:val="336" w:id="-628483066"/>
                <w14:textFill>
                  <w14:solidFill>
                    <w14:srgbClr w14:val="000000">
                      <w14:alpha w14:val="100000"/>
                    </w14:srgbClr>
                  </w14:solidFill>
                </w14:textFill>
              </w:rPr>
              <w:t>|</w:t>
            </w:r>
            <w:r w:rsidR="00F27CF5" w:rsidRPr="00F27CF5">
              <w:rPr>
                <w:vertAlign w:val="superscript"/>
              </w:rPr>
              <w:t>5</w:t>
            </w:r>
          </w:p>
        </w:tc>
        <w:tc>
          <w:tcPr>
            <w:tcW w:w="637" w:type="pct"/>
            <w:noWrap/>
            <w:hideMark/>
          </w:tcPr>
          <w:p w14:paraId="266CB619" w14:textId="55DD1613" w:rsidR="006F6C8B" w:rsidRPr="00951F0A" w:rsidRDefault="00A12619">
            <w:pPr>
              <w:pStyle w:val="TableText0"/>
              <w:jc w:val="right"/>
              <w:rPr>
                <w:highlight w:val="darkGray"/>
                <w:vertAlign w:val="superscript"/>
              </w:rPr>
            </w:pPr>
            <w:r w:rsidRPr="00A12619">
              <w:rPr>
                <w:color w:val="000000"/>
                <w:spacing w:val="55"/>
                <w:shd w:val="solid" w:color="000000" w:fill="000000"/>
                <w:fitText w:val="336" w:id="-628483065"/>
                <w14:textFill>
                  <w14:solidFill>
                    <w14:srgbClr w14:val="000000">
                      <w14:alpha w14:val="100000"/>
                    </w14:srgbClr>
                  </w14:solidFill>
                </w14:textFill>
              </w:rPr>
              <w:t>|||</w:t>
            </w:r>
            <w:r w:rsidRPr="00A12619">
              <w:rPr>
                <w:color w:val="000000"/>
                <w:spacing w:val="1"/>
                <w:shd w:val="solid" w:color="000000" w:fill="000000"/>
                <w:fitText w:val="336" w:id="-628483065"/>
                <w14:textFill>
                  <w14:solidFill>
                    <w14:srgbClr w14:val="000000">
                      <w14:alpha w14:val="100000"/>
                    </w14:srgbClr>
                  </w14:solidFill>
                </w14:textFill>
              </w:rPr>
              <w:t>|</w:t>
            </w:r>
            <w:r w:rsidR="00951F0A" w:rsidRPr="00951F0A">
              <w:rPr>
                <w:vertAlign w:val="superscript"/>
              </w:rPr>
              <w:t>6</w:t>
            </w:r>
          </w:p>
        </w:tc>
        <w:tc>
          <w:tcPr>
            <w:tcW w:w="637" w:type="pct"/>
            <w:noWrap/>
            <w:hideMark/>
          </w:tcPr>
          <w:p w14:paraId="33929D72" w14:textId="1F51DC97" w:rsidR="006F6C8B" w:rsidRPr="00F8782A" w:rsidRDefault="00A12619">
            <w:pPr>
              <w:pStyle w:val="TableText0"/>
              <w:jc w:val="right"/>
              <w:rPr>
                <w:highlight w:val="darkGray"/>
              </w:rPr>
            </w:pPr>
            <w:r w:rsidRPr="00A12619">
              <w:rPr>
                <w:color w:val="000000"/>
                <w:spacing w:val="55"/>
                <w:shd w:val="solid" w:color="000000" w:fill="000000"/>
                <w:fitText w:val="336" w:id="-628483064"/>
                <w14:textFill>
                  <w14:solidFill>
                    <w14:srgbClr w14:val="000000">
                      <w14:alpha w14:val="100000"/>
                    </w14:srgbClr>
                  </w14:solidFill>
                </w14:textFill>
              </w:rPr>
              <w:t>|||</w:t>
            </w:r>
            <w:r w:rsidRPr="00A12619">
              <w:rPr>
                <w:color w:val="000000"/>
                <w:spacing w:val="1"/>
                <w:shd w:val="solid" w:color="000000" w:fill="000000"/>
                <w:fitText w:val="336" w:id="-628483064"/>
                <w14:textFill>
                  <w14:solidFill>
                    <w14:srgbClr w14:val="000000">
                      <w14:alpha w14:val="100000"/>
                    </w14:srgbClr>
                  </w14:solidFill>
                </w14:textFill>
              </w:rPr>
              <w:t>|</w:t>
            </w:r>
            <w:r w:rsidR="00F8782A" w:rsidRPr="00F8782A">
              <w:rPr>
                <w:vertAlign w:val="superscript"/>
              </w:rPr>
              <w:t>7</w:t>
            </w:r>
          </w:p>
        </w:tc>
        <w:tc>
          <w:tcPr>
            <w:tcW w:w="637" w:type="pct"/>
            <w:noWrap/>
            <w:hideMark/>
          </w:tcPr>
          <w:p w14:paraId="1AAEF961" w14:textId="46B07B35" w:rsidR="006F6C8B" w:rsidRPr="00D76057" w:rsidRDefault="00A12619">
            <w:pPr>
              <w:pStyle w:val="TableText0"/>
              <w:jc w:val="right"/>
              <w:rPr>
                <w:highlight w:val="darkGray"/>
                <w:vertAlign w:val="superscript"/>
              </w:rPr>
            </w:pPr>
            <w:r w:rsidRPr="00A12619">
              <w:rPr>
                <w:color w:val="000000"/>
                <w:spacing w:val="55"/>
                <w:shd w:val="solid" w:color="000000" w:fill="000000"/>
                <w:fitText w:val="336" w:id="-628483063"/>
                <w14:textFill>
                  <w14:solidFill>
                    <w14:srgbClr w14:val="000000">
                      <w14:alpha w14:val="100000"/>
                    </w14:srgbClr>
                  </w14:solidFill>
                </w14:textFill>
              </w:rPr>
              <w:t>|||</w:t>
            </w:r>
            <w:r w:rsidRPr="00A12619">
              <w:rPr>
                <w:color w:val="000000"/>
                <w:spacing w:val="1"/>
                <w:shd w:val="solid" w:color="000000" w:fill="000000"/>
                <w:fitText w:val="336" w:id="-628483063"/>
                <w14:textFill>
                  <w14:solidFill>
                    <w14:srgbClr w14:val="000000">
                      <w14:alpha w14:val="100000"/>
                    </w14:srgbClr>
                  </w14:solidFill>
                </w14:textFill>
              </w:rPr>
              <w:t>|</w:t>
            </w:r>
            <w:r w:rsidR="00D76057" w:rsidRPr="00D76057">
              <w:rPr>
                <w:vertAlign w:val="superscript"/>
              </w:rPr>
              <w:t>8</w:t>
            </w:r>
          </w:p>
        </w:tc>
        <w:tc>
          <w:tcPr>
            <w:tcW w:w="638" w:type="pct"/>
            <w:noWrap/>
            <w:hideMark/>
          </w:tcPr>
          <w:p w14:paraId="45A1C558" w14:textId="18925DDE" w:rsidR="006F6C8B" w:rsidRPr="00D76057" w:rsidRDefault="00A12619">
            <w:pPr>
              <w:pStyle w:val="TableText0"/>
              <w:jc w:val="right"/>
              <w:rPr>
                <w:highlight w:val="darkGray"/>
                <w:vertAlign w:val="superscript"/>
              </w:rPr>
            </w:pPr>
            <w:r w:rsidRPr="00A12619">
              <w:rPr>
                <w:color w:val="000000"/>
                <w:spacing w:val="51"/>
                <w:shd w:val="solid" w:color="000000" w:fill="000000"/>
                <w:fitText w:val="324" w:id="-628483062"/>
                <w14:textFill>
                  <w14:solidFill>
                    <w14:srgbClr w14:val="000000">
                      <w14:alpha w14:val="100000"/>
                    </w14:srgbClr>
                  </w14:solidFill>
                </w14:textFill>
              </w:rPr>
              <w:t>|||</w:t>
            </w:r>
            <w:r w:rsidRPr="00A12619">
              <w:rPr>
                <w:color w:val="000000"/>
                <w:spacing w:val="1"/>
                <w:shd w:val="solid" w:color="000000" w:fill="000000"/>
                <w:fitText w:val="324" w:id="-628483062"/>
                <w14:textFill>
                  <w14:solidFill>
                    <w14:srgbClr w14:val="000000">
                      <w14:alpha w14:val="100000"/>
                    </w14:srgbClr>
                  </w14:solidFill>
                </w14:textFill>
              </w:rPr>
              <w:t>|</w:t>
            </w:r>
            <w:r w:rsidR="00D76057" w:rsidRPr="00D76057">
              <w:rPr>
                <w:vertAlign w:val="superscript"/>
              </w:rPr>
              <w:t>8</w:t>
            </w:r>
          </w:p>
        </w:tc>
      </w:tr>
      <w:tr w:rsidR="006F6C8B" w:rsidRPr="004662DD" w14:paraId="731BC14C" w14:textId="77777777">
        <w:tc>
          <w:tcPr>
            <w:tcW w:w="5000" w:type="pct"/>
            <w:gridSpan w:val="7"/>
            <w:noWrap/>
          </w:tcPr>
          <w:p w14:paraId="68968FE9" w14:textId="77777777" w:rsidR="006F6C8B" w:rsidRPr="004662DD" w:rsidRDefault="006F6C8B">
            <w:pPr>
              <w:pStyle w:val="TableText0"/>
            </w:pPr>
            <w:r w:rsidRPr="004662DD">
              <w:rPr>
                <w:b/>
                <w:bCs w:val="0"/>
                <w:szCs w:val="20"/>
              </w:rPr>
              <w:t>Estimated financial implications of abaloparatide</w:t>
            </w:r>
          </w:p>
        </w:tc>
      </w:tr>
      <w:tr w:rsidR="006F6C8B" w:rsidRPr="004662DD" w14:paraId="79507147" w14:textId="77777777">
        <w:tc>
          <w:tcPr>
            <w:tcW w:w="1177" w:type="pct"/>
            <w:noWrap/>
            <w:hideMark/>
          </w:tcPr>
          <w:p w14:paraId="0AD370C8" w14:textId="6054B0CC" w:rsidR="006F6C8B" w:rsidRPr="004662DD" w:rsidRDefault="006F6C8B">
            <w:pPr>
              <w:pStyle w:val="TableText0"/>
              <w:rPr>
                <w:b/>
                <w:bCs w:val="0"/>
              </w:rPr>
            </w:pPr>
            <w:r w:rsidRPr="004662DD">
              <w:rPr>
                <w:szCs w:val="20"/>
              </w:rPr>
              <w:t>Cost to PBS/RPBS less copayments</w:t>
            </w:r>
          </w:p>
        </w:tc>
        <w:tc>
          <w:tcPr>
            <w:tcW w:w="637" w:type="pct"/>
            <w:noWrap/>
            <w:hideMark/>
          </w:tcPr>
          <w:p w14:paraId="6C9A58FC" w14:textId="5CD6620A" w:rsidR="006F6C8B" w:rsidRPr="00C33FC0" w:rsidRDefault="006F6C8B">
            <w:pPr>
              <w:pStyle w:val="TableText0"/>
              <w:jc w:val="right"/>
              <w:rPr>
                <w:vertAlign w:val="superscript"/>
              </w:rPr>
            </w:pPr>
            <w:r w:rsidRPr="00E93A71">
              <w:t>$</w:t>
            </w:r>
            <w:r w:rsidR="00A12619" w:rsidRPr="00A12619">
              <w:rPr>
                <w:color w:val="000000"/>
                <w:spacing w:val="55"/>
                <w:shd w:val="solid" w:color="000000" w:fill="000000"/>
                <w:fitText w:val="336" w:id="-628483061"/>
                <w14:textFill>
                  <w14:solidFill>
                    <w14:srgbClr w14:val="000000">
                      <w14:alpha w14:val="100000"/>
                    </w14:srgbClr>
                  </w14:solidFill>
                </w14:textFill>
              </w:rPr>
              <w:t>|||</w:t>
            </w:r>
            <w:r w:rsidR="00A12619" w:rsidRPr="00A12619">
              <w:rPr>
                <w:color w:val="000000"/>
                <w:spacing w:val="1"/>
                <w:shd w:val="solid" w:color="000000" w:fill="000000"/>
                <w:fitText w:val="336" w:id="-628483061"/>
                <w14:textFill>
                  <w14:solidFill>
                    <w14:srgbClr w14:val="000000">
                      <w14:alpha w14:val="100000"/>
                    </w14:srgbClr>
                  </w14:solidFill>
                </w14:textFill>
              </w:rPr>
              <w:t>|</w:t>
            </w:r>
            <w:r w:rsidR="00C33FC0">
              <w:rPr>
                <w:vertAlign w:val="superscript"/>
              </w:rPr>
              <w:t>9</w:t>
            </w:r>
          </w:p>
        </w:tc>
        <w:tc>
          <w:tcPr>
            <w:tcW w:w="637" w:type="pct"/>
            <w:noWrap/>
            <w:hideMark/>
          </w:tcPr>
          <w:p w14:paraId="78549B74" w14:textId="4179945D" w:rsidR="006F6C8B" w:rsidRPr="004662DD" w:rsidRDefault="006F6C8B">
            <w:pPr>
              <w:pStyle w:val="TableText0"/>
              <w:jc w:val="right"/>
            </w:pPr>
            <w:r w:rsidRPr="004662DD">
              <w:t>$</w:t>
            </w:r>
            <w:r w:rsidR="00A12619" w:rsidRPr="00A12619">
              <w:rPr>
                <w:color w:val="000000"/>
                <w:spacing w:val="51"/>
                <w:shd w:val="solid" w:color="000000" w:fill="000000"/>
                <w:fitText w:val="324" w:id="-628483060"/>
                <w14:textFill>
                  <w14:solidFill>
                    <w14:srgbClr w14:val="000000">
                      <w14:alpha w14:val="100000"/>
                    </w14:srgbClr>
                  </w14:solidFill>
                </w14:textFill>
              </w:rPr>
              <w:t>|||</w:t>
            </w:r>
            <w:r w:rsidR="00A12619" w:rsidRPr="00A12619">
              <w:rPr>
                <w:color w:val="000000"/>
                <w:spacing w:val="1"/>
                <w:shd w:val="solid" w:color="000000" w:fill="000000"/>
                <w:fitText w:val="324" w:id="-628483060"/>
                <w14:textFill>
                  <w14:solidFill>
                    <w14:srgbClr w14:val="000000">
                      <w14:alpha w14:val="100000"/>
                    </w14:srgbClr>
                  </w14:solidFill>
                </w14:textFill>
              </w:rPr>
              <w:t>|</w:t>
            </w:r>
            <w:r w:rsidR="008D0488">
              <w:rPr>
                <w:vertAlign w:val="superscript"/>
              </w:rPr>
              <w:t>10</w:t>
            </w:r>
          </w:p>
        </w:tc>
        <w:tc>
          <w:tcPr>
            <w:tcW w:w="637" w:type="pct"/>
            <w:noWrap/>
            <w:hideMark/>
          </w:tcPr>
          <w:p w14:paraId="60DC9E29" w14:textId="377C5DB3" w:rsidR="006F6C8B" w:rsidRPr="008D0488" w:rsidRDefault="006F6C8B">
            <w:pPr>
              <w:pStyle w:val="TableText0"/>
              <w:jc w:val="right"/>
              <w:rPr>
                <w:vertAlign w:val="superscript"/>
              </w:rPr>
            </w:pPr>
            <w:r w:rsidRPr="004662DD">
              <w:t>$</w:t>
            </w:r>
            <w:r w:rsidR="00A12619" w:rsidRPr="00A12619">
              <w:rPr>
                <w:color w:val="000000"/>
                <w:spacing w:val="51"/>
                <w:shd w:val="solid" w:color="000000" w:fill="000000"/>
                <w:fitText w:val="324" w:id="-628483059"/>
                <w14:textFill>
                  <w14:solidFill>
                    <w14:srgbClr w14:val="000000">
                      <w14:alpha w14:val="100000"/>
                    </w14:srgbClr>
                  </w14:solidFill>
                </w14:textFill>
              </w:rPr>
              <w:t>|||</w:t>
            </w:r>
            <w:r w:rsidR="00A12619" w:rsidRPr="00A12619">
              <w:rPr>
                <w:color w:val="000000"/>
                <w:spacing w:val="1"/>
                <w:shd w:val="solid" w:color="000000" w:fill="000000"/>
                <w:fitText w:val="324" w:id="-628483059"/>
                <w14:textFill>
                  <w14:solidFill>
                    <w14:srgbClr w14:val="000000">
                      <w14:alpha w14:val="100000"/>
                    </w14:srgbClr>
                  </w14:solidFill>
                </w14:textFill>
              </w:rPr>
              <w:t>|</w:t>
            </w:r>
            <w:r w:rsidR="008D0488">
              <w:rPr>
                <w:vertAlign w:val="superscript"/>
              </w:rPr>
              <w:t>11</w:t>
            </w:r>
          </w:p>
        </w:tc>
        <w:tc>
          <w:tcPr>
            <w:tcW w:w="637" w:type="pct"/>
            <w:noWrap/>
            <w:hideMark/>
          </w:tcPr>
          <w:p w14:paraId="0AAC6FD4" w14:textId="18C9EDBA" w:rsidR="006F6C8B" w:rsidRPr="00EA12D2" w:rsidRDefault="006F6C8B">
            <w:pPr>
              <w:pStyle w:val="TableText0"/>
              <w:jc w:val="right"/>
              <w:rPr>
                <w:vertAlign w:val="superscript"/>
              </w:rPr>
            </w:pPr>
            <w:r w:rsidRPr="004662DD">
              <w:t>$</w:t>
            </w:r>
            <w:r w:rsidR="00A12619" w:rsidRPr="00A12619">
              <w:rPr>
                <w:color w:val="000000"/>
                <w:spacing w:val="51"/>
                <w:shd w:val="solid" w:color="000000" w:fill="000000"/>
                <w:fitText w:val="324" w:id="-628483058"/>
                <w14:textFill>
                  <w14:solidFill>
                    <w14:srgbClr w14:val="000000">
                      <w14:alpha w14:val="100000"/>
                    </w14:srgbClr>
                  </w14:solidFill>
                </w14:textFill>
              </w:rPr>
              <w:t>|||</w:t>
            </w:r>
            <w:r w:rsidR="00A12619" w:rsidRPr="00A12619">
              <w:rPr>
                <w:color w:val="000000"/>
                <w:spacing w:val="1"/>
                <w:shd w:val="solid" w:color="000000" w:fill="000000"/>
                <w:fitText w:val="324" w:id="-628483058"/>
                <w14:textFill>
                  <w14:solidFill>
                    <w14:srgbClr w14:val="000000">
                      <w14:alpha w14:val="100000"/>
                    </w14:srgbClr>
                  </w14:solidFill>
                </w14:textFill>
              </w:rPr>
              <w:t>|</w:t>
            </w:r>
            <w:r w:rsidR="00EA12D2">
              <w:rPr>
                <w:vertAlign w:val="superscript"/>
              </w:rPr>
              <w:t>12</w:t>
            </w:r>
          </w:p>
        </w:tc>
        <w:tc>
          <w:tcPr>
            <w:tcW w:w="637" w:type="pct"/>
            <w:noWrap/>
            <w:hideMark/>
          </w:tcPr>
          <w:p w14:paraId="144ABED5" w14:textId="02074559" w:rsidR="006F6C8B" w:rsidRPr="00470714" w:rsidRDefault="006F6C8B">
            <w:pPr>
              <w:pStyle w:val="TableText0"/>
              <w:jc w:val="right"/>
              <w:rPr>
                <w:vertAlign w:val="superscript"/>
              </w:rPr>
            </w:pPr>
            <w:r w:rsidRPr="004662DD">
              <w:t>$</w:t>
            </w:r>
            <w:r w:rsidR="00A12619" w:rsidRPr="00A12619">
              <w:rPr>
                <w:color w:val="000000"/>
                <w:spacing w:val="51"/>
                <w:shd w:val="solid" w:color="000000" w:fill="000000"/>
                <w:fitText w:val="324" w:id="-628483057"/>
                <w14:textFill>
                  <w14:solidFill>
                    <w14:srgbClr w14:val="000000">
                      <w14:alpha w14:val="100000"/>
                    </w14:srgbClr>
                  </w14:solidFill>
                </w14:textFill>
              </w:rPr>
              <w:t>|||</w:t>
            </w:r>
            <w:r w:rsidR="00A12619" w:rsidRPr="00A12619">
              <w:rPr>
                <w:color w:val="000000"/>
                <w:spacing w:val="1"/>
                <w:shd w:val="solid" w:color="000000" w:fill="000000"/>
                <w:fitText w:val="324" w:id="-628483057"/>
                <w14:textFill>
                  <w14:solidFill>
                    <w14:srgbClr w14:val="000000">
                      <w14:alpha w14:val="100000"/>
                    </w14:srgbClr>
                  </w14:solidFill>
                </w14:textFill>
              </w:rPr>
              <w:t>|</w:t>
            </w:r>
            <w:r w:rsidR="00470714">
              <w:rPr>
                <w:vertAlign w:val="superscript"/>
              </w:rPr>
              <w:t>13</w:t>
            </w:r>
          </w:p>
        </w:tc>
        <w:tc>
          <w:tcPr>
            <w:tcW w:w="638" w:type="pct"/>
            <w:noWrap/>
            <w:hideMark/>
          </w:tcPr>
          <w:p w14:paraId="1287A84E" w14:textId="38376682" w:rsidR="006F6C8B" w:rsidRPr="00AD1B81" w:rsidRDefault="006F6C8B">
            <w:pPr>
              <w:pStyle w:val="TableText0"/>
              <w:jc w:val="right"/>
              <w:rPr>
                <w:vertAlign w:val="superscript"/>
              </w:rPr>
            </w:pPr>
            <w:r w:rsidRPr="004662DD">
              <w:t>$</w:t>
            </w:r>
            <w:r w:rsidR="00A12619" w:rsidRPr="00A12619">
              <w:rPr>
                <w:color w:val="000000"/>
                <w:spacing w:val="51"/>
                <w:shd w:val="solid" w:color="000000" w:fill="000000"/>
                <w:fitText w:val="324" w:id="-628483056"/>
                <w14:textFill>
                  <w14:solidFill>
                    <w14:srgbClr w14:val="000000">
                      <w14:alpha w14:val="100000"/>
                    </w14:srgbClr>
                  </w14:solidFill>
                </w14:textFill>
              </w:rPr>
              <w:t>|||</w:t>
            </w:r>
            <w:r w:rsidR="00A12619" w:rsidRPr="00A12619">
              <w:rPr>
                <w:color w:val="000000"/>
                <w:spacing w:val="1"/>
                <w:shd w:val="solid" w:color="000000" w:fill="000000"/>
                <w:fitText w:val="324" w:id="-628483056"/>
                <w14:textFill>
                  <w14:solidFill>
                    <w14:srgbClr w14:val="000000">
                      <w14:alpha w14:val="100000"/>
                    </w14:srgbClr>
                  </w14:solidFill>
                </w14:textFill>
              </w:rPr>
              <w:t>|</w:t>
            </w:r>
            <w:r w:rsidR="00AD1B81">
              <w:rPr>
                <w:vertAlign w:val="superscript"/>
              </w:rPr>
              <w:t>14</w:t>
            </w:r>
          </w:p>
        </w:tc>
      </w:tr>
      <w:tr w:rsidR="006F6C8B" w:rsidRPr="004662DD" w14:paraId="67D5F547" w14:textId="77777777">
        <w:tc>
          <w:tcPr>
            <w:tcW w:w="5000" w:type="pct"/>
            <w:gridSpan w:val="7"/>
            <w:noWrap/>
          </w:tcPr>
          <w:p w14:paraId="1E16B2CC" w14:textId="77777777" w:rsidR="006F6C8B" w:rsidRPr="004662DD" w:rsidRDefault="006F6C8B">
            <w:pPr>
              <w:pStyle w:val="TableText0"/>
            </w:pPr>
            <w:r w:rsidRPr="004662DD">
              <w:rPr>
                <w:b/>
                <w:bCs w:val="0"/>
                <w:szCs w:val="20"/>
              </w:rPr>
              <w:t>Estimated financial implications for changes in use of other affected medicines</w:t>
            </w:r>
          </w:p>
        </w:tc>
      </w:tr>
      <w:tr w:rsidR="006F6C8B" w:rsidRPr="004662DD" w14:paraId="71C38A98" w14:textId="77777777">
        <w:tc>
          <w:tcPr>
            <w:tcW w:w="1177" w:type="pct"/>
            <w:tcBorders>
              <w:bottom w:val="single" w:sz="4" w:space="0" w:color="auto"/>
            </w:tcBorders>
            <w:noWrap/>
            <w:hideMark/>
          </w:tcPr>
          <w:p w14:paraId="162F9557" w14:textId="77777777" w:rsidR="006F6C8B" w:rsidRPr="004662DD" w:rsidRDefault="006F6C8B">
            <w:pPr>
              <w:pStyle w:val="TableText0"/>
              <w:rPr>
                <w:b/>
                <w:bCs w:val="0"/>
              </w:rPr>
            </w:pPr>
            <w:r w:rsidRPr="004662DD">
              <w:rPr>
                <w:szCs w:val="20"/>
              </w:rPr>
              <w:t>Reduction in cost of romosozumab to the PBS/RPBS less copayments</w:t>
            </w:r>
          </w:p>
        </w:tc>
        <w:tc>
          <w:tcPr>
            <w:tcW w:w="637" w:type="pct"/>
            <w:tcBorders>
              <w:bottom w:val="single" w:sz="4" w:space="0" w:color="auto"/>
            </w:tcBorders>
            <w:noWrap/>
            <w:hideMark/>
          </w:tcPr>
          <w:p w14:paraId="3A80D757" w14:textId="1003E1FE" w:rsidR="006F6C8B" w:rsidRPr="00823856" w:rsidRDefault="006F6C8B">
            <w:pPr>
              <w:pStyle w:val="TableText0"/>
              <w:jc w:val="right"/>
              <w:rPr>
                <w:vertAlign w:val="superscript"/>
              </w:rPr>
            </w:pPr>
            <w:r w:rsidRPr="004662DD">
              <w:t>$</w:t>
            </w:r>
            <w:r w:rsidR="00A12619" w:rsidRPr="00A12619">
              <w:rPr>
                <w:color w:val="000000"/>
                <w:spacing w:val="55"/>
                <w:shd w:val="solid" w:color="000000" w:fill="000000"/>
                <w:fitText w:val="336" w:id="-628483072"/>
                <w14:textFill>
                  <w14:solidFill>
                    <w14:srgbClr w14:val="000000">
                      <w14:alpha w14:val="100000"/>
                    </w14:srgbClr>
                  </w14:solidFill>
                </w14:textFill>
              </w:rPr>
              <w:t>|||</w:t>
            </w:r>
            <w:r w:rsidR="00A12619" w:rsidRPr="00A12619">
              <w:rPr>
                <w:color w:val="000000"/>
                <w:spacing w:val="1"/>
                <w:shd w:val="solid" w:color="000000" w:fill="000000"/>
                <w:fitText w:val="336" w:id="-628483072"/>
                <w14:textFill>
                  <w14:solidFill>
                    <w14:srgbClr w14:val="000000">
                      <w14:alpha w14:val="100000"/>
                    </w14:srgbClr>
                  </w14:solidFill>
                </w14:textFill>
              </w:rPr>
              <w:t>|</w:t>
            </w:r>
            <w:r w:rsidR="00823856">
              <w:rPr>
                <w:vertAlign w:val="superscript"/>
              </w:rPr>
              <w:t>9</w:t>
            </w:r>
          </w:p>
        </w:tc>
        <w:tc>
          <w:tcPr>
            <w:tcW w:w="637" w:type="pct"/>
            <w:tcBorders>
              <w:bottom w:val="single" w:sz="4" w:space="0" w:color="auto"/>
            </w:tcBorders>
            <w:noWrap/>
            <w:hideMark/>
          </w:tcPr>
          <w:p w14:paraId="7BD1E8F0" w14:textId="2FE1C3C8" w:rsidR="006F6C8B" w:rsidRPr="00711473" w:rsidRDefault="006F6C8B">
            <w:pPr>
              <w:pStyle w:val="TableText0"/>
              <w:jc w:val="right"/>
              <w:rPr>
                <w:vertAlign w:val="superscript"/>
              </w:rPr>
            </w:pPr>
            <w:r w:rsidRPr="004662DD">
              <w:t>$</w:t>
            </w:r>
            <w:r w:rsidR="00A12619" w:rsidRPr="00A12619">
              <w:rPr>
                <w:color w:val="000000"/>
                <w:spacing w:val="51"/>
                <w:shd w:val="solid" w:color="000000" w:fill="000000"/>
                <w:fitText w:val="324" w:id="-628483071"/>
                <w14:textFill>
                  <w14:solidFill>
                    <w14:srgbClr w14:val="000000">
                      <w14:alpha w14:val="100000"/>
                    </w14:srgbClr>
                  </w14:solidFill>
                </w14:textFill>
              </w:rPr>
              <w:t>|||</w:t>
            </w:r>
            <w:r w:rsidR="00A12619" w:rsidRPr="00A12619">
              <w:rPr>
                <w:color w:val="000000"/>
                <w:spacing w:val="1"/>
                <w:shd w:val="solid" w:color="000000" w:fill="000000"/>
                <w:fitText w:val="324" w:id="-628483071"/>
                <w14:textFill>
                  <w14:solidFill>
                    <w14:srgbClr w14:val="000000">
                      <w14:alpha w14:val="100000"/>
                    </w14:srgbClr>
                  </w14:solidFill>
                </w14:textFill>
              </w:rPr>
              <w:t>|</w:t>
            </w:r>
            <w:r w:rsidR="00711473">
              <w:rPr>
                <w:vertAlign w:val="superscript"/>
              </w:rPr>
              <w:t>10</w:t>
            </w:r>
          </w:p>
        </w:tc>
        <w:tc>
          <w:tcPr>
            <w:tcW w:w="637" w:type="pct"/>
            <w:tcBorders>
              <w:bottom w:val="single" w:sz="4" w:space="0" w:color="auto"/>
            </w:tcBorders>
            <w:noWrap/>
            <w:hideMark/>
          </w:tcPr>
          <w:p w14:paraId="3EE23234" w14:textId="129A89BB" w:rsidR="006F6C8B" w:rsidRPr="003E7A58" w:rsidRDefault="006F6C8B">
            <w:pPr>
              <w:pStyle w:val="TableText0"/>
              <w:jc w:val="right"/>
              <w:rPr>
                <w:vertAlign w:val="superscript"/>
              </w:rPr>
            </w:pPr>
            <w:r w:rsidRPr="004662DD">
              <w:t>$</w:t>
            </w:r>
            <w:r w:rsidR="00A12619" w:rsidRPr="00A12619">
              <w:rPr>
                <w:color w:val="000000"/>
                <w:spacing w:val="51"/>
                <w:shd w:val="solid" w:color="000000" w:fill="000000"/>
                <w:fitText w:val="324" w:id="-628483070"/>
                <w14:textFill>
                  <w14:solidFill>
                    <w14:srgbClr w14:val="000000">
                      <w14:alpha w14:val="100000"/>
                    </w14:srgbClr>
                  </w14:solidFill>
                </w14:textFill>
              </w:rPr>
              <w:t>|||</w:t>
            </w:r>
            <w:r w:rsidR="00A12619" w:rsidRPr="00A12619">
              <w:rPr>
                <w:color w:val="000000"/>
                <w:spacing w:val="1"/>
                <w:shd w:val="solid" w:color="000000" w:fill="000000"/>
                <w:fitText w:val="324" w:id="-628483070"/>
                <w14:textFill>
                  <w14:solidFill>
                    <w14:srgbClr w14:val="000000">
                      <w14:alpha w14:val="100000"/>
                    </w14:srgbClr>
                  </w14:solidFill>
                </w14:textFill>
              </w:rPr>
              <w:t>|</w:t>
            </w:r>
            <w:r w:rsidR="003E7A58">
              <w:rPr>
                <w:vertAlign w:val="superscript"/>
              </w:rPr>
              <w:t>11</w:t>
            </w:r>
          </w:p>
        </w:tc>
        <w:tc>
          <w:tcPr>
            <w:tcW w:w="637" w:type="pct"/>
            <w:tcBorders>
              <w:bottom w:val="single" w:sz="4" w:space="0" w:color="auto"/>
            </w:tcBorders>
            <w:noWrap/>
            <w:hideMark/>
          </w:tcPr>
          <w:p w14:paraId="06ACC7D7" w14:textId="0C3F105D" w:rsidR="006F6C8B" w:rsidRPr="00A015C2" w:rsidRDefault="006F6C8B">
            <w:pPr>
              <w:pStyle w:val="TableText0"/>
              <w:jc w:val="right"/>
              <w:rPr>
                <w:vertAlign w:val="superscript"/>
              </w:rPr>
            </w:pPr>
            <w:r w:rsidRPr="004662DD">
              <w:t>$</w:t>
            </w:r>
            <w:r w:rsidR="00A12619" w:rsidRPr="00A12619">
              <w:rPr>
                <w:color w:val="000000"/>
                <w:spacing w:val="51"/>
                <w:shd w:val="solid" w:color="000000" w:fill="000000"/>
                <w:fitText w:val="324" w:id="-628483069"/>
                <w14:textFill>
                  <w14:solidFill>
                    <w14:srgbClr w14:val="000000">
                      <w14:alpha w14:val="100000"/>
                    </w14:srgbClr>
                  </w14:solidFill>
                </w14:textFill>
              </w:rPr>
              <w:t>|||</w:t>
            </w:r>
            <w:r w:rsidR="00A12619" w:rsidRPr="00A12619">
              <w:rPr>
                <w:color w:val="000000"/>
                <w:spacing w:val="1"/>
                <w:shd w:val="solid" w:color="000000" w:fill="000000"/>
                <w:fitText w:val="324" w:id="-628483069"/>
                <w14:textFill>
                  <w14:solidFill>
                    <w14:srgbClr w14:val="000000">
                      <w14:alpha w14:val="100000"/>
                    </w14:srgbClr>
                  </w14:solidFill>
                </w14:textFill>
              </w:rPr>
              <w:t>|</w:t>
            </w:r>
            <w:r w:rsidR="00A015C2">
              <w:rPr>
                <w:vertAlign w:val="superscript"/>
              </w:rPr>
              <w:t>11</w:t>
            </w:r>
          </w:p>
        </w:tc>
        <w:tc>
          <w:tcPr>
            <w:tcW w:w="637" w:type="pct"/>
            <w:tcBorders>
              <w:bottom w:val="single" w:sz="4" w:space="0" w:color="auto"/>
            </w:tcBorders>
            <w:noWrap/>
            <w:hideMark/>
          </w:tcPr>
          <w:p w14:paraId="2D7B3981" w14:textId="01CEF54A" w:rsidR="006F6C8B" w:rsidRPr="00A015C2" w:rsidRDefault="006F6C8B">
            <w:pPr>
              <w:pStyle w:val="TableText0"/>
              <w:jc w:val="right"/>
              <w:rPr>
                <w:vertAlign w:val="superscript"/>
              </w:rPr>
            </w:pPr>
            <w:r w:rsidRPr="004662DD">
              <w:t>$</w:t>
            </w:r>
            <w:r w:rsidR="00A12619" w:rsidRPr="00A12619">
              <w:rPr>
                <w:color w:val="000000"/>
                <w:spacing w:val="51"/>
                <w:shd w:val="solid" w:color="000000" w:fill="000000"/>
                <w:fitText w:val="324" w:id="-628483068"/>
                <w14:textFill>
                  <w14:solidFill>
                    <w14:srgbClr w14:val="000000">
                      <w14:alpha w14:val="100000"/>
                    </w14:srgbClr>
                  </w14:solidFill>
                </w14:textFill>
              </w:rPr>
              <w:t>|||</w:t>
            </w:r>
            <w:r w:rsidR="00A12619" w:rsidRPr="00A12619">
              <w:rPr>
                <w:color w:val="000000"/>
                <w:spacing w:val="1"/>
                <w:shd w:val="solid" w:color="000000" w:fill="000000"/>
                <w:fitText w:val="324" w:id="-628483068"/>
                <w14:textFill>
                  <w14:solidFill>
                    <w14:srgbClr w14:val="000000">
                      <w14:alpha w14:val="100000"/>
                    </w14:srgbClr>
                  </w14:solidFill>
                </w14:textFill>
              </w:rPr>
              <w:t>|</w:t>
            </w:r>
            <w:r w:rsidR="00A015C2">
              <w:rPr>
                <w:vertAlign w:val="superscript"/>
              </w:rPr>
              <w:t>13</w:t>
            </w:r>
          </w:p>
        </w:tc>
        <w:tc>
          <w:tcPr>
            <w:tcW w:w="638" w:type="pct"/>
            <w:tcBorders>
              <w:bottom w:val="single" w:sz="4" w:space="0" w:color="auto"/>
            </w:tcBorders>
            <w:noWrap/>
            <w:hideMark/>
          </w:tcPr>
          <w:p w14:paraId="6B59DEC1" w14:textId="2DCDB7EB" w:rsidR="006F6C8B" w:rsidRPr="00AD1B81" w:rsidRDefault="006F6C8B">
            <w:pPr>
              <w:pStyle w:val="TableText0"/>
              <w:jc w:val="right"/>
              <w:rPr>
                <w:vertAlign w:val="superscript"/>
              </w:rPr>
            </w:pPr>
            <w:r w:rsidRPr="004662DD">
              <w:t>$</w:t>
            </w:r>
            <w:r w:rsidR="00A12619" w:rsidRPr="00A12619">
              <w:rPr>
                <w:color w:val="000000"/>
                <w:spacing w:val="51"/>
                <w:shd w:val="solid" w:color="000000" w:fill="000000"/>
                <w:fitText w:val="324" w:id="-628483067"/>
                <w14:textFill>
                  <w14:solidFill>
                    <w14:srgbClr w14:val="000000">
                      <w14:alpha w14:val="100000"/>
                    </w14:srgbClr>
                  </w14:solidFill>
                </w14:textFill>
              </w:rPr>
              <w:t>|||</w:t>
            </w:r>
            <w:r w:rsidR="00A12619" w:rsidRPr="00A12619">
              <w:rPr>
                <w:color w:val="000000"/>
                <w:spacing w:val="1"/>
                <w:shd w:val="solid" w:color="000000" w:fill="000000"/>
                <w:fitText w:val="324" w:id="-628483067"/>
                <w14:textFill>
                  <w14:solidFill>
                    <w14:srgbClr w14:val="000000">
                      <w14:alpha w14:val="100000"/>
                    </w14:srgbClr>
                  </w14:solidFill>
                </w14:textFill>
              </w:rPr>
              <w:t>|</w:t>
            </w:r>
            <w:r w:rsidR="001F2A0B">
              <w:rPr>
                <w:vertAlign w:val="superscript"/>
              </w:rPr>
              <w:t>15</w:t>
            </w:r>
          </w:p>
        </w:tc>
      </w:tr>
      <w:tr w:rsidR="006F6C8B" w:rsidRPr="004662DD" w14:paraId="03EF5A68" w14:textId="77777777">
        <w:tc>
          <w:tcPr>
            <w:tcW w:w="1177" w:type="pct"/>
            <w:tcBorders>
              <w:bottom w:val="nil"/>
            </w:tcBorders>
            <w:noWrap/>
          </w:tcPr>
          <w:p w14:paraId="75A8EC6A" w14:textId="77777777" w:rsidR="006F6C8B" w:rsidRPr="004662DD" w:rsidRDefault="006F6C8B">
            <w:pPr>
              <w:pStyle w:val="TableText0"/>
              <w:rPr>
                <w:szCs w:val="20"/>
              </w:rPr>
            </w:pPr>
            <w:r w:rsidRPr="004662DD">
              <w:rPr>
                <w:szCs w:val="20"/>
              </w:rPr>
              <w:t>Reduction in cost of anti-resorptive therapies to the PBS less copayments</w:t>
            </w:r>
          </w:p>
        </w:tc>
        <w:tc>
          <w:tcPr>
            <w:tcW w:w="637" w:type="pct"/>
            <w:tcBorders>
              <w:bottom w:val="nil"/>
            </w:tcBorders>
            <w:noWrap/>
          </w:tcPr>
          <w:p w14:paraId="6C82A0CE" w14:textId="5F54487D" w:rsidR="006F6C8B" w:rsidRPr="0009434A" w:rsidRDefault="006F6C8B">
            <w:pPr>
              <w:pStyle w:val="TableText0"/>
              <w:jc w:val="right"/>
              <w:rPr>
                <w:vertAlign w:val="superscript"/>
              </w:rPr>
            </w:pPr>
            <w:r w:rsidRPr="004662DD">
              <w:t>$</w:t>
            </w:r>
            <w:r w:rsidR="00A12619" w:rsidRPr="00A12619">
              <w:rPr>
                <w:color w:val="000000"/>
                <w:spacing w:val="55"/>
                <w:shd w:val="solid" w:color="000000" w:fill="000000"/>
                <w:fitText w:val="336" w:id="-628483066"/>
                <w14:textFill>
                  <w14:solidFill>
                    <w14:srgbClr w14:val="000000">
                      <w14:alpha w14:val="100000"/>
                    </w14:srgbClr>
                  </w14:solidFill>
                </w14:textFill>
              </w:rPr>
              <w:t>|||</w:t>
            </w:r>
            <w:r w:rsidR="00A12619" w:rsidRPr="00A12619">
              <w:rPr>
                <w:color w:val="000000"/>
                <w:spacing w:val="1"/>
                <w:shd w:val="solid" w:color="000000" w:fill="000000"/>
                <w:fitText w:val="336" w:id="-628483066"/>
                <w14:textFill>
                  <w14:solidFill>
                    <w14:srgbClr w14:val="000000">
                      <w14:alpha w14:val="100000"/>
                    </w14:srgbClr>
                  </w14:solidFill>
                </w14:textFill>
              </w:rPr>
              <w:t>|</w:t>
            </w:r>
            <w:r w:rsidR="0009434A">
              <w:rPr>
                <w:vertAlign w:val="superscript"/>
              </w:rPr>
              <w:t>9</w:t>
            </w:r>
          </w:p>
        </w:tc>
        <w:tc>
          <w:tcPr>
            <w:tcW w:w="637" w:type="pct"/>
            <w:tcBorders>
              <w:bottom w:val="nil"/>
            </w:tcBorders>
            <w:noWrap/>
          </w:tcPr>
          <w:p w14:paraId="6A5FFA3E" w14:textId="24F89FB3" w:rsidR="006F6C8B" w:rsidRPr="00823856" w:rsidRDefault="006F6C8B">
            <w:pPr>
              <w:pStyle w:val="TableText0"/>
              <w:jc w:val="right"/>
              <w:rPr>
                <w:vertAlign w:val="superscript"/>
              </w:rPr>
            </w:pPr>
            <w:r w:rsidRPr="004662DD">
              <w:t>$</w:t>
            </w:r>
            <w:r w:rsidR="00A12619" w:rsidRPr="00A12619">
              <w:rPr>
                <w:color w:val="000000"/>
                <w:spacing w:val="55"/>
                <w:shd w:val="solid" w:color="000000" w:fill="000000"/>
                <w:fitText w:val="336" w:id="-628482816"/>
                <w14:textFill>
                  <w14:solidFill>
                    <w14:srgbClr w14:val="000000">
                      <w14:alpha w14:val="100000"/>
                    </w14:srgbClr>
                  </w14:solidFill>
                </w14:textFill>
              </w:rPr>
              <w:t>|||</w:t>
            </w:r>
            <w:r w:rsidR="00A12619" w:rsidRPr="00A12619">
              <w:rPr>
                <w:color w:val="000000"/>
                <w:spacing w:val="1"/>
                <w:shd w:val="solid" w:color="000000" w:fill="000000"/>
                <w:fitText w:val="336" w:id="-628482816"/>
                <w14:textFill>
                  <w14:solidFill>
                    <w14:srgbClr w14:val="000000">
                      <w14:alpha w14:val="100000"/>
                    </w14:srgbClr>
                  </w14:solidFill>
                </w14:textFill>
              </w:rPr>
              <w:t>|</w:t>
            </w:r>
            <w:r w:rsidR="00823856">
              <w:rPr>
                <w:vertAlign w:val="superscript"/>
              </w:rPr>
              <w:t>9</w:t>
            </w:r>
          </w:p>
        </w:tc>
        <w:tc>
          <w:tcPr>
            <w:tcW w:w="637" w:type="pct"/>
            <w:tcBorders>
              <w:bottom w:val="nil"/>
            </w:tcBorders>
            <w:noWrap/>
          </w:tcPr>
          <w:p w14:paraId="7F0FFCA7" w14:textId="4EF987F5" w:rsidR="006F6C8B" w:rsidRPr="00823856" w:rsidRDefault="006F6C8B">
            <w:pPr>
              <w:pStyle w:val="TableText0"/>
              <w:jc w:val="right"/>
              <w:rPr>
                <w:vertAlign w:val="superscript"/>
              </w:rPr>
            </w:pPr>
            <w:r w:rsidRPr="004662DD">
              <w:t>$</w:t>
            </w:r>
            <w:r w:rsidR="00A12619" w:rsidRPr="00A12619">
              <w:rPr>
                <w:color w:val="000000"/>
                <w:spacing w:val="55"/>
                <w:shd w:val="solid" w:color="000000" w:fill="000000"/>
                <w:fitText w:val="336" w:id="-628482815"/>
                <w14:textFill>
                  <w14:solidFill>
                    <w14:srgbClr w14:val="000000">
                      <w14:alpha w14:val="100000"/>
                    </w14:srgbClr>
                  </w14:solidFill>
                </w14:textFill>
              </w:rPr>
              <w:t>|||</w:t>
            </w:r>
            <w:r w:rsidR="00A12619" w:rsidRPr="00A12619">
              <w:rPr>
                <w:color w:val="000000"/>
                <w:spacing w:val="1"/>
                <w:shd w:val="solid" w:color="000000" w:fill="000000"/>
                <w:fitText w:val="336" w:id="-628482815"/>
                <w14:textFill>
                  <w14:solidFill>
                    <w14:srgbClr w14:val="000000">
                      <w14:alpha w14:val="100000"/>
                    </w14:srgbClr>
                  </w14:solidFill>
                </w14:textFill>
              </w:rPr>
              <w:t>|</w:t>
            </w:r>
            <w:r w:rsidR="00823856">
              <w:rPr>
                <w:vertAlign w:val="superscript"/>
              </w:rPr>
              <w:t>9</w:t>
            </w:r>
          </w:p>
        </w:tc>
        <w:tc>
          <w:tcPr>
            <w:tcW w:w="637" w:type="pct"/>
            <w:tcBorders>
              <w:bottom w:val="nil"/>
            </w:tcBorders>
            <w:noWrap/>
          </w:tcPr>
          <w:p w14:paraId="235C9499" w14:textId="144B1C8F" w:rsidR="006F6C8B" w:rsidRPr="00823856" w:rsidRDefault="006F6C8B">
            <w:pPr>
              <w:pStyle w:val="TableText0"/>
              <w:jc w:val="right"/>
              <w:rPr>
                <w:vertAlign w:val="superscript"/>
              </w:rPr>
            </w:pPr>
            <w:r w:rsidRPr="004662DD">
              <w:t>$</w:t>
            </w:r>
            <w:r w:rsidR="00A12619" w:rsidRPr="00A12619">
              <w:rPr>
                <w:color w:val="000000"/>
                <w:spacing w:val="55"/>
                <w:shd w:val="solid" w:color="000000" w:fill="000000"/>
                <w:fitText w:val="336" w:id="-628482814"/>
                <w14:textFill>
                  <w14:solidFill>
                    <w14:srgbClr w14:val="000000">
                      <w14:alpha w14:val="100000"/>
                    </w14:srgbClr>
                  </w14:solidFill>
                </w14:textFill>
              </w:rPr>
              <w:t>|||</w:t>
            </w:r>
            <w:r w:rsidR="00A12619" w:rsidRPr="00A12619">
              <w:rPr>
                <w:color w:val="000000"/>
                <w:spacing w:val="1"/>
                <w:shd w:val="solid" w:color="000000" w:fill="000000"/>
                <w:fitText w:val="336" w:id="-628482814"/>
                <w14:textFill>
                  <w14:solidFill>
                    <w14:srgbClr w14:val="000000">
                      <w14:alpha w14:val="100000"/>
                    </w14:srgbClr>
                  </w14:solidFill>
                </w14:textFill>
              </w:rPr>
              <w:t>|</w:t>
            </w:r>
            <w:r w:rsidR="00823856">
              <w:rPr>
                <w:vertAlign w:val="superscript"/>
              </w:rPr>
              <w:t>9</w:t>
            </w:r>
          </w:p>
        </w:tc>
        <w:tc>
          <w:tcPr>
            <w:tcW w:w="637" w:type="pct"/>
            <w:tcBorders>
              <w:bottom w:val="nil"/>
            </w:tcBorders>
            <w:noWrap/>
          </w:tcPr>
          <w:p w14:paraId="31BD63DC" w14:textId="21195C9B" w:rsidR="006F6C8B" w:rsidRPr="00823856" w:rsidRDefault="006F6C8B">
            <w:pPr>
              <w:pStyle w:val="TableText0"/>
              <w:jc w:val="right"/>
              <w:rPr>
                <w:vertAlign w:val="superscript"/>
              </w:rPr>
            </w:pPr>
            <w:r w:rsidRPr="004662DD">
              <w:t>$</w:t>
            </w:r>
            <w:r w:rsidR="00A12619" w:rsidRPr="00A12619">
              <w:rPr>
                <w:color w:val="000000"/>
                <w:spacing w:val="55"/>
                <w:shd w:val="solid" w:color="000000" w:fill="000000"/>
                <w:fitText w:val="336" w:id="-628482813"/>
                <w14:textFill>
                  <w14:solidFill>
                    <w14:srgbClr w14:val="000000">
                      <w14:alpha w14:val="100000"/>
                    </w14:srgbClr>
                  </w14:solidFill>
                </w14:textFill>
              </w:rPr>
              <w:t>|||</w:t>
            </w:r>
            <w:r w:rsidR="00A12619" w:rsidRPr="00A12619">
              <w:rPr>
                <w:color w:val="000000"/>
                <w:spacing w:val="1"/>
                <w:shd w:val="solid" w:color="000000" w:fill="000000"/>
                <w:fitText w:val="336" w:id="-628482813"/>
                <w14:textFill>
                  <w14:solidFill>
                    <w14:srgbClr w14:val="000000">
                      <w14:alpha w14:val="100000"/>
                    </w14:srgbClr>
                  </w14:solidFill>
                </w14:textFill>
              </w:rPr>
              <w:t>|</w:t>
            </w:r>
            <w:r w:rsidR="00823856">
              <w:rPr>
                <w:vertAlign w:val="superscript"/>
              </w:rPr>
              <w:t>9</w:t>
            </w:r>
          </w:p>
        </w:tc>
        <w:tc>
          <w:tcPr>
            <w:tcW w:w="638" w:type="pct"/>
            <w:tcBorders>
              <w:bottom w:val="nil"/>
            </w:tcBorders>
            <w:noWrap/>
          </w:tcPr>
          <w:p w14:paraId="49ACC431" w14:textId="4BAFBBB6" w:rsidR="006F6C8B" w:rsidRPr="00823856" w:rsidRDefault="006F6C8B">
            <w:pPr>
              <w:pStyle w:val="TableText0"/>
              <w:jc w:val="right"/>
              <w:rPr>
                <w:vertAlign w:val="superscript"/>
              </w:rPr>
            </w:pPr>
            <w:r w:rsidRPr="004662DD">
              <w:t>$</w:t>
            </w:r>
            <w:r w:rsidR="00A12619" w:rsidRPr="00A12619">
              <w:rPr>
                <w:color w:val="000000"/>
                <w:spacing w:val="51"/>
                <w:shd w:val="solid" w:color="000000" w:fill="000000"/>
                <w:fitText w:val="324" w:id="-628482812"/>
                <w14:textFill>
                  <w14:solidFill>
                    <w14:srgbClr w14:val="000000">
                      <w14:alpha w14:val="100000"/>
                    </w14:srgbClr>
                  </w14:solidFill>
                </w14:textFill>
              </w:rPr>
              <w:t>|||</w:t>
            </w:r>
            <w:r w:rsidR="00A12619" w:rsidRPr="00A12619">
              <w:rPr>
                <w:color w:val="000000"/>
                <w:spacing w:val="1"/>
                <w:shd w:val="solid" w:color="000000" w:fill="000000"/>
                <w:fitText w:val="324" w:id="-628482812"/>
                <w14:textFill>
                  <w14:solidFill>
                    <w14:srgbClr w14:val="000000">
                      <w14:alpha w14:val="100000"/>
                    </w14:srgbClr>
                  </w14:solidFill>
                </w14:textFill>
              </w:rPr>
              <w:t>|</w:t>
            </w:r>
            <w:r w:rsidR="00823856">
              <w:rPr>
                <w:vertAlign w:val="superscript"/>
              </w:rPr>
              <w:t>9</w:t>
            </w:r>
          </w:p>
        </w:tc>
      </w:tr>
      <w:tr w:rsidR="006F6C8B" w:rsidRPr="004662DD" w14:paraId="543DBB2B" w14:textId="77777777">
        <w:tc>
          <w:tcPr>
            <w:tcW w:w="1177" w:type="pct"/>
            <w:tcBorders>
              <w:top w:val="nil"/>
              <w:bottom w:val="single" w:sz="4" w:space="0" w:color="auto"/>
            </w:tcBorders>
            <w:noWrap/>
          </w:tcPr>
          <w:p w14:paraId="106BE9A7" w14:textId="77777777" w:rsidR="006F6C8B" w:rsidRPr="004662DD" w:rsidRDefault="006F6C8B">
            <w:pPr>
              <w:pStyle w:val="TableText0"/>
              <w:rPr>
                <w:szCs w:val="20"/>
              </w:rPr>
            </w:pPr>
            <w:r w:rsidRPr="004662DD">
              <w:rPr>
                <w:szCs w:val="20"/>
              </w:rPr>
              <w:t>Revised </w:t>
            </w:r>
            <w:r w:rsidRPr="004662DD">
              <w:rPr>
                <w:szCs w:val="20"/>
                <w:vertAlign w:val="superscript"/>
              </w:rPr>
              <w:t>a</w:t>
            </w:r>
          </w:p>
        </w:tc>
        <w:tc>
          <w:tcPr>
            <w:tcW w:w="637" w:type="pct"/>
            <w:tcBorders>
              <w:top w:val="nil"/>
              <w:bottom w:val="single" w:sz="4" w:space="0" w:color="auto"/>
            </w:tcBorders>
            <w:noWrap/>
          </w:tcPr>
          <w:p w14:paraId="16EF630B" w14:textId="17176DAC" w:rsidR="006F6C8B" w:rsidRPr="0009434A" w:rsidRDefault="006F6C8B">
            <w:pPr>
              <w:pStyle w:val="TableText0"/>
              <w:jc w:val="right"/>
              <w:rPr>
                <w:vertAlign w:val="superscript"/>
              </w:rPr>
            </w:pPr>
            <w:r w:rsidRPr="004662DD">
              <w:t>$</w:t>
            </w:r>
            <w:r w:rsidR="00A12619" w:rsidRPr="00A12619">
              <w:rPr>
                <w:color w:val="000000"/>
                <w:spacing w:val="55"/>
                <w:shd w:val="solid" w:color="000000" w:fill="000000"/>
                <w:fitText w:val="336" w:id="-628482811"/>
                <w14:textFill>
                  <w14:solidFill>
                    <w14:srgbClr w14:val="000000">
                      <w14:alpha w14:val="100000"/>
                    </w14:srgbClr>
                  </w14:solidFill>
                </w14:textFill>
              </w:rPr>
              <w:t>|||</w:t>
            </w:r>
            <w:r w:rsidR="00A12619" w:rsidRPr="00A12619">
              <w:rPr>
                <w:color w:val="000000"/>
                <w:spacing w:val="1"/>
                <w:shd w:val="solid" w:color="000000" w:fill="000000"/>
                <w:fitText w:val="336" w:id="-628482811"/>
                <w14:textFill>
                  <w14:solidFill>
                    <w14:srgbClr w14:val="000000">
                      <w14:alpha w14:val="100000"/>
                    </w14:srgbClr>
                  </w14:solidFill>
                </w14:textFill>
              </w:rPr>
              <w:t>|</w:t>
            </w:r>
            <w:r w:rsidR="0009434A">
              <w:rPr>
                <w:vertAlign w:val="superscript"/>
              </w:rPr>
              <w:t>9</w:t>
            </w:r>
          </w:p>
        </w:tc>
        <w:tc>
          <w:tcPr>
            <w:tcW w:w="637" w:type="pct"/>
            <w:tcBorders>
              <w:top w:val="nil"/>
              <w:bottom w:val="single" w:sz="4" w:space="0" w:color="auto"/>
            </w:tcBorders>
            <w:noWrap/>
          </w:tcPr>
          <w:p w14:paraId="78B75963" w14:textId="02B0059C" w:rsidR="006F6C8B" w:rsidRPr="00946A8E" w:rsidRDefault="006F6C8B">
            <w:pPr>
              <w:pStyle w:val="TableText0"/>
              <w:jc w:val="right"/>
              <w:rPr>
                <w:vertAlign w:val="superscript"/>
              </w:rPr>
            </w:pPr>
            <w:r w:rsidRPr="004662DD">
              <w:t>$</w:t>
            </w:r>
            <w:r w:rsidR="00A12619" w:rsidRPr="00A12619">
              <w:rPr>
                <w:color w:val="000000"/>
                <w:spacing w:val="55"/>
                <w:shd w:val="solid" w:color="000000" w:fill="000000"/>
                <w:fitText w:val="336" w:id="-628482810"/>
                <w14:textFill>
                  <w14:solidFill>
                    <w14:srgbClr w14:val="000000">
                      <w14:alpha w14:val="100000"/>
                    </w14:srgbClr>
                  </w14:solidFill>
                </w14:textFill>
              </w:rPr>
              <w:t>|||</w:t>
            </w:r>
            <w:r w:rsidR="00A12619" w:rsidRPr="00A12619">
              <w:rPr>
                <w:color w:val="000000"/>
                <w:spacing w:val="1"/>
                <w:shd w:val="solid" w:color="000000" w:fill="000000"/>
                <w:fitText w:val="336" w:id="-628482810"/>
                <w14:textFill>
                  <w14:solidFill>
                    <w14:srgbClr w14:val="000000">
                      <w14:alpha w14:val="100000"/>
                    </w14:srgbClr>
                  </w14:solidFill>
                </w14:textFill>
              </w:rPr>
              <w:t>|</w:t>
            </w:r>
            <w:r w:rsidR="00946A8E">
              <w:rPr>
                <w:vertAlign w:val="superscript"/>
              </w:rPr>
              <w:t>9</w:t>
            </w:r>
          </w:p>
        </w:tc>
        <w:tc>
          <w:tcPr>
            <w:tcW w:w="637" w:type="pct"/>
            <w:tcBorders>
              <w:top w:val="nil"/>
              <w:bottom w:val="single" w:sz="4" w:space="0" w:color="auto"/>
            </w:tcBorders>
            <w:noWrap/>
          </w:tcPr>
          <w:p w14:paraId="2CED143E" w14:textId="663CDA81" w:rsidR="006F6C8B" w:rsidRPr="00946A8E" w:rsidRDefault="006F6C8B">
            <w:pPr>
              <w:pStyle w:val="TableText0"/>
              <w:jc w:val="right"/>
              <w:rPr>
                <w:vertAlign w:val="superscript"/>
              </w:rPr>
            </w:pPr>
            <w:r w:rsidRPr="004662DD">
              <w:t>$</w:t>
            </w:r>
            <w:r w:rsidR="00A12619" w:rsidRPr="00A12619">
              <w:rPr>
                <w:color w:val="000000"/>
                <w:spacing w:val="55"/>
                <w:shd w:val="solid" w:color="000000" w:fill="000000"/>
                <w:fitText w:val="336" w:id="-628482809"/>
                <w14:textFill>
                  <w14:solidFill>
                    <w14:srgbClr w14:val="000000">
                      <w14:alpha w14:val="100000"/>
                    </w14:srgbClr>
                  </w14:solidFill>
                </w14:textFill>
              </w:rPr>
              <w:t>|||</w:t>
            </w:r>
            <w:r w:rsidR="00A12619" w:rsidRPr="00A12619">
              <w:rPr>
                <w:color w:val="000000"/>
                <w:spacing w:val="1"/>
                <w:shd w:val="solid" w:color="000000" w:fill="000000"/>
                <w:fitText w:val="336" w:id="-628482809"/>
                <w14:textFill>
                  <w14:solidFill>
                    <w14:srgbClr w14:val="000000">
                      <w14:alpha w14:val="100000"/>
                    </w14:srgbClr>
                  </w14:solidFill>
                </w14:textFill>
              </w:rPr>
              <w:t>|</w:t>
            </w:r>
            <w:r w:rsidR="00946A8E">
              <w:rPr>
                <w:vertAlign w:val="superscript"/>
              </w:rPr>
              <w:t>9</w:t>
            </w:r>
          </w:p>
        </w:tc>
        <w:tc>
          <w:tcPr>
            <w:tcW w:w="637" w:type="pct"/>
            <w:tcBorders>
              <w:top w:val="nil"/>
              <w:bottom w:val="single" w:sz="4" w:space="0" w:color="auto"/>
            </w:tcBorders>
            <w:noWrap/>
          </w:tcPr>
          <w:p w14:paraId="1E2E49F2" w14:textId="00268260" w:rsidR="006F6C8B" w:rsidRPr="00946A8E" w:rsidRDefault="006F6C8B">
            <w:pPr>
              <w:pStyle w:val="TableText0"/>
              <w:jc w:val="right"/>
              <w:rPr>
                <w:vertAlign w:val="superscript"/>
              </w:rPr>
            </w:pPr>
            <w:r w:rsidRPr="004662DD">
              <w:t>$</w:t>
            </w:r>
            <w:r w:rsidR="00A12619" w:rsidRPr="00A12619">
              <w:rPr>
                <w:color w:val="000000"/>
                <w:spacing w:val="55"/>
                <w:shd w:val="solid" w:color="000000" w:fill="000000"/>
                <w:fitText w:val="336" w:id="-628482808"/>
                <w14:textFill>
                  <w14:solidFill>
                    <w14:srgbClr w14:val="000000">
                      <w14:alpha w14:val="100000"/>
                    </w14:srgbClr>
                  </w14:solidFill>
                </w14:textFill>
              </w:rPr>
              <w:t>|||</w:t>
            </w:r>
            <w:r w:rsidR="00A12619" w:rsidRPr="00A12619">
              <w:rPr>
                <w:color w:val="000000"/>
                <w:spacing w:val="1"/>
                <w:shd w:val="solid" w:color="000000" w:fill="000000"/>
                <w:fitText w:val="336" w:id="-628482808"/>
                <w14:textFill>
                  <w14:solidFill>
                    <w14:srgbClr w14:val="000000">
                      <w14:alpha w14:val="100000"/>
                    </w14:srgbClr>
                  </w14:solidFill>
                </w14:textFill>
              </w:rPr>
              <w:t>|</w:t>
            </w:r>
            <w:r w:rsidR="00946A8E">
              <w:rPr>
                <w:vertAlign w:val="superscript"/>
              </w:rPr>
              <w:t>9</w:t>
            </w:r>
          </w:p>
        </w:tc>
        <w:tc>
          <w:tcPr>
            <w:tcW w:w="637" w:type="pct"/>
            <w:tcBorders>
              <w:top w:val="nil"/>
              <w:bottom w:val="single" w:sz="4" w:space="0" w:color="auto"/>
            </w:tcBorders>
            <w:noWrap/>
          </w:tcPr>
          <w:p w14:paraId="70D77DF6" w14:textId="472CFFA8" w:rsidR="006F6C8B" w:rsidRPr="00946A8E" w:rsidRDefault="006F6C8B">
            <w:pPr>
              <w:pStyle w:val="TableText0"/>
              <w:jc w:val="right"/>
              <w:rPr>
                <w:vertAlign w:val="superscript"/>
              </w:rPr>
            </w:pPr>
            <w:r w:rsidRPr="004662DD">
              <w:t>$</w:t>
            </w:r>
            <w:r w:rsidR="00A12619" w:rsidRPr="00A12619">
              <w:rPr>
                <w:color w:val="000000"/>
                <w:spacing w:val="55"/>
                <w:shd w:val="solid" w:color="000000" w:fill="000000"/>
                <w:fitText w:val="336" w:id="-628482807"/>
                <w14:textFill>
                  <w14:solidFill>
                    <w14:srgbClr w14:val="000000">
                      <w14:alpha w14:val="100000"/>
                    </w14:srgbClr>
                  </w14:solidFill>
                </w14:textFill>
              </w:rPr>
              <w:t>|||</w:t>
            </w:r>
            <w:r w:rsidR="00A12619" w:rsidRPr="00A12619">
              <w:rPr>
                <w:color w:val="000000"/>
                <w:spacing w:val="1"/>
                <w:shd w:val="solid" w:color="000000" w:fill="000000"/>
                <w:fitText w:val="336" w:id="-628482807"/>
                <w14:textFill>
                  <w14:solidFill>
                    <w14:srgbClr w14:val="000000">
                      <w14:alpha w14:val="100000"/>
                    </w14:srgbClr>
                  </w14:solidFill>
                </w14:textFill>
              </w:rPr>
              <w:t>|</w:t>
            </w:r>
            <w:r w:rsidR="00946A8E">
              <w:rPr>
                <w:vertAlign w:val="superscript"/>
              </w:rPr>
              <w:t>9</w:t>
            </w:r>
          </w:p>
        </w:tc>
        <w:tc>
          <w:tcPr>
            <w:tcW w:w="638" w:type="pct"/>
            <w:tcBorders>
              <w:top w:val="nil"/>
              <w:bottom w:val="single" w:sz="4" w:space="0" w:color="auto"/>
            </w:tcBorders>
            <w:noWrap/>
          </w:tcPr>
          <w:p w14:paraId="16083749" w14:textId="23F1A6DF" w:rsidR="006F6C8B" w:rsidRPr="00946A8E" w:rsidRDefault="006F6C8B">
            <w:pPr>
              <w:pStyle w:val="TableText0"/>
              <w:jc w:val="right"/>
              <w:rPr>
                <w:vertAlign w:val="superscript"/>
              </w:rPr>
            </w:pPr>
            <w:r w:rsidRPr="004662DD">
              <w:t>$</w:t>
            </w:r>
            <w:r w:rsidR="00A12619" w:rsidRPr="00A12619">
              <w:rPr>
                <w:color w:val="000000"/>
                <w:spacing w:val="51"/>
                <w:shd w:val="solid" w:color="000000" w:fill="000000"/>
                <w:fitText w:val="324" w:id="-628482806"/>
                <w14:textFill>
                  <w14:solidFill>
                    <w14:srgbClr w14:val="000000">
                      <w14:alpha w14:val="100000"/>
                    </w14:srgbClr>
                  </w14:solidFill>
                </w14:textFill>
              </w:rPr>
              <w:t>|||</w:t>
            </w:r>
            <w:r w:rsidR="00A12619" w:rsidRPr="00A12619">
              <w:rPr>
                <w:color w:val="000000"/>
                <w:spacing w:val="1"/>
                <w:shd w:val="solid" w:color="000000" w:fill="000000"/>
                <w:fitText w:val="324" w:id="-628482806"/>
                <w14:textFill>
                  <w14:solidFill>
                    <w14:srgbClr w14:val="000000">
                      <w14:alpha w14:val="100000"/>
                    </w14:srgbClr>
                  </w14:solidFill>
                </w14:textFill>
              </w:rPr>
              <w:t>|</w:t>
            </w:r>
            <w:r w:rsidR="00946A8E">
              <w:rPr>
                <w:vertAlign w:val="superscript"/>
              </w:rPr>
              <w:t>9</w:t>
            </w:r>
          </w:p>
        </w:tc>
      </w:tr>
      <w:tr w:rsidR="006F6C8B" w:rsidRPr="004662DD" w14:paraId="5A57BEFB" w14:textId="77777777">
        <w:tc>
          <w:tcPr>
            <w:tcW w:w="1177" w:type="pct"/>
            <w:tcBorders>
              <w:top w:val="single" w:sz="4" w:space="0" w:color="auto"/>
              <w:bottom w:val="nil"/>
            </w:tcBorders>
            <w:noWrap/>
          </w:tcPr>
          <w:p w14:paraId="5F423DAE" w14:textId="77777777" w:rsidR="006F6C8B" w:rsidRPr="004662DD" w:rsidRDefault="006F6C8B">
            <w:pPr>
              <w:pStyle w:val="TableText0"/>
              <w:rPr>
                <w:szCs w:val="20"/>
              </w:rPr>
            </w:pPr>
            <w:r w:rsidRPr="004662DD">
              <w:rPr>
                <w:b/>
                <w:bCs w:val="0"/>
              </w:rPr>
              <w:t>Net cost to the PBS/RPBS</w:t>
            </w:r>
          </w:p>
        </w:tc>
        <w:tc>
          <w:tcPr>
            <w:tcW w:w="637" w:type="pct"/>
            <w:tcBorders>
              <w:top w:val="single" w:sz="4" w:space="0" w:color="auto"/>
              <w:bottom w:val="nil"/>
            </w:tcBorders>
            <w:noWrap/>
          </w:tcPr>
          <w:p w14:paraId="0B452CFB" w14:textId="4EBBC177" w:rsidR="006F6C8B" w:rsidRPr="00F36FBD" w:rsidRDefault="006F6C8B">
            <w:pPr>
              <w:pStyle w:val="TableText0"/>
              <w:jc w:val="right"/>
              <w:rPr>
                <w:vertAlign w:val="superscript"/>
              </w:rPr>
            </w:pPr>
            <w:r w:rsidRPr="004662DD">
              <w:rPr>
                <w:b/>
                <w:bCs w:val="0"/>
              </w:rPr>
              <w:t>−$</w:t>
            </w:r>
            <w:r w:rsidR="00A12619" w:rsidRPr="00A12619">
              <w:rPr>
                <w:b/>
                <w:bCs w:val="0"/>
                <w:color w:val="000000"/>
                <w:spacing w:val="58"/>
                <w:shd w:val="solid" w:color="000000" w:fill="000000"/>
                <w:fitText w:val="360" w:id="-628482805"/>
                <w14:textFill>
                  <w14:solidFill>
                    <w14:srgbClr w14:val="000000">
                      <w14:alpha w14:val="100000"/>
                    </w14:srgbClr>
                  </w14:solidFill>
                </w14:textFill>
              </w:rPr>
              <w:t>|||</w:t>
            </w:r>
            <w:r w:rsidR="00A12619" w:rsidRPr="00A12619">
              <w:rPr>
                <w:b/>
                <w:bCs w:val="0"/>
                <w:color w:val="000000"/>
                <w:spacing w:val="3"/>
                <w:shd w:val="solid" w:color="000000" w:fill="000000"/>
                <w:fitText w:val="360" w:id="-628482805"/>
                <w14:textFill>
                  <w14:solidFill>
                    <w14:srgbClr w14:val="000000">
                      <w14:alpha w14:val="100000"/>
                    </w14:srgbClr>
                  </w14:solidFill>
                </w14:textFill>
              </w:rPr>
              <w:t>|</w:t>
            </w:r>
            <w:r w:rsidR="00F36FBD">
              <w:rPr>
                <w:b/>
                <w:bCs w:val="0"/>
                <w:vertAlign w:val="superscript"/>
              </w:rPr>
              <w:t>16</w:t>
            </w:r>
          </w:p>
        </w:tc>
        <w:tc>
          <w:tcPr>
            <w:tcW w:w="637" w:type="pct"/>
            <w:tcBorders>
              <w:top w:val="single" w:sz="4" w:space="0" w:color="auto"/>
              <w:bottom w:val="nil"/>
            </w:tcBorders>
            <w:noWrap/>
          </w:tcPr>
          <w:p w14:paraId="77DB5AD1" w14:textId="2D16A5F9" w:rsidR="006F6C8B" w:rsidRPr="004662DD" w:rsidRDefault="006F6C8B">
            <w:pPr>
              <w:pStyle w:val="TableText0"/>
              <w:jc w:val="right"/>
            </w:pPr>
            <w:r w:rsidRPr="004662DD">
              <w:rPr>
                <w:b/>
                <w:bCs w:val="0"/>
              </w:rPr>
              <w:t>−$</w:t>
            </w:r>
            <w:r w:rsidR="00A12619" w:rsidRPr="00A12619">
              <w:rPr>
                <w:b/>
                <w:bCs w:val="0"/>
                <w:color w:val="000000"/>
                <w:spacing w:val="58"/>
                <w:shd w:val="solid" w:color="000000" w:fill="000000"/>
                <w:fitText w:val="360" w:id="-628482804"/>
                <w14:textFill>
                  <w14:solidFill>
                    <w14:srgbClr w14:val="000000">
                      <w14:alpha w14:val="100000"/>
                    </w14:srgbClr>
                  </w14:solidFill>
                </w14:textFill>
              </w:rPr>
              <w:t>|||</w:t>
            </w:r>
            <w:r w:rsidR="00A12619" w:rsidRPr="00A12619">
              <w:rPr>
                <w:b/>
                <w:bCs w:val="0"/>
                <w:color w:val="000000"/>
                <w:spacing w:val="3"/>
                <w:shd w:val="solid" w:color="000000" w:fill="000000"/>
                <w:fitText w:val="360" w:id="-628482804"/>
                <w14:textFill>
                  <w14:solidFill>
                    <w14:srgbClr w14:val="000000">
                      <w14:alpha w14:val="100000"/>
                    </w14:srgbClr>
                  </w14:solidFill>
                </w14:textFill>
              </w:rPr>
              <w:t>|</w:t>
            </w:r>
            <w:r w:rsidR="00F36FBD" w:rsidRPr="00F36FBD">
              <w:rPr>
                <w:b/>
                <w:bCs w:val="0"/>
                <w:vertAlign w:val="superscript"/>
              </w:rPr>
              <w:t>16</w:t>
            </w:r>
          </w:p>
        </w:tc>
        <w:tc>
          <w:tcPr>
            <w:tcW w:w="637" w:type="pct"/>
            <w:tcBorders>
              <w:top w:val="single" w:sz="4" w:space="0" w:color="auto"/>
              <w:bottom w:val="nil"/>
            </w:tcBorders>
            <w:noWrap/>
          </w:tcPr>
          <w:p w14:paraId="353808A0" w14:textId="2B912566" w:rsidR="006F6C8B" w:rsidRPr="00F36FBD" w:rsidRDefault="006F6C8B">
            <w:pPr>
              <w:pStyle w:val="TableText0"/>
              <w:jc w:val="right"/>
              <w:rPr>
                <w:vertAlign w:val="superscript"/>
              </w:rPr>
            </w:pPr>
            <w:r w:rsidRPr="004662DD">
              <w:rPr>
                <w:b/>
                <w:bCs w:val="0"/>
              </w:rPr>
              <w:t>−$</w:t>
            </w:r>
            <w:r w:rsidR="00A12619" w:rsidRPr="00A12619">
              <w:rPr>
                <w:b/>
                <w:bCs w:val="0"/>
                <w:color w:val="000000"/>
                <w:spacing w:val="58"/>
                <w:shd w:val="solid" w:color="000000" w:fill="000000"/>
                <w:fitText w:val="360" w:id="-628482803"/>
                <w14:textFill>
                  <w14:solidFill>
                    <w14:srgbClr w14:val="000000">
                      <w14:alpha w14:val="100000"/>
                    </w14:srgbClr>
                  </w14:solidFill>
                </w14:textFill>
              </w:rPr>
              <w:t>|||</w:t>
            </w:r>
            <w:r w:rsidR="00A12619" w:rsidRPr="00A12619">
              <w:rPr>
                <w:b/>
                <w:bCs w:val="0"/>
                <w:color w:val="000000"/>
                <w:spacing w:val="3"/>
                <w:shd w:val="solid" w:color="000000" w:fill="000000"/>
                <w:fitText w:val="360" w:id="-628482803"/>
                <w14:textFill>
                  <w14:solidFill>
                    <w14:srgbClr w14:val="000000">
                      <w14:alpha w14:val="100000"/>
                    </w14:srgbClr>
                  </w14:solidFill>
                </w14:textFill>
              </w:rPr>
              <w:t>|</w:t>
            </w:r>
            <w:r w:rsidR="00F36FBD">
              <w:rPr>
                <w:b/>
                <w:bCs w:val="0"/>
                <w:vertAlign w:val="superscript"/>
              </w:rPr>
              <w:t>16</w:t>
            </w:r>
          </w:p>
        </w:tc>
        <w:tc>
          <w:tcPr>
            <w:tcW w:w="637" w:type="pct"/>
            <w:tcBorders>
              <w:top w:val="single" w:sz="4" w:space="0" w:color="auto"/>
              <w:bottom w:val="nil"/>
            </w:tcBorders>
            <w:noWrap/>
          </w:tcPr>
          <w:p w14:paraId="41AFAFFA" w14:textId="6BF3C2B1" w:rsidR="006F6C8B" w:rsidRPr="00F36FBD" w:rsidRDefault="006F6C8B">
            <w:pPr>
              <w:pStyle w:val="TableText0"/>
              <w:jc w:val="right"/>
              <w:rPr>
                <w:vertAlign w:val="superscript"/>
              </w:rPr>
            </w:pPr>
            <w:r w:rsidRPr="004662DD">
              <w:rPr>
                <w:b/>
                <w:bCs w:val="0"/>
              </w:rPr>
              <w:t>−$</w:t>
            </w:r>
            <w:r w:rsidR="00A12619" w:rsidRPr="00A12619">
              <w:rPr>
                <w:b/>
                <w:bCs w:val="0"/>
                <w:color w:val="000000"/>
                <w:spacing w:val="58"/>
                <w:shd w:val="solid" w:color="000000" w:fill="000000"/>
                <w:fitText w:val="360" w:id="-628482802"/>
                <w14:textFill>
                  <w14:solidFill>
                    <w14:srgbClr w14:val="000000">
                      <w14:alpha w14:val="100000"/>
                    </w14:srgbClr>
                  </w14:solidFill>
                </w14:textFill>
              </w:rPr>
              <w:t>|||</w:t>
            </w:r>
            <w:r w:rsidR="00A12619" w:rsidRPr="00A12619">
              <w:rPr>
                <w:b/>
                <w:bCs w:val="0"/>
                <w:color w:val="000000"/>
                <w:spacing w:val="3"/>
                <w:shd w:val="solid" w:color="000000" w:fill="000000"/>
                <w:fitText w:val="360" w:id="-628482802"/>
                <w14:textFill>
                  <w14:solidFill>
                    <w14:srgbClr w14:val="000000">
                      <w14:alpha w14:val="100000"/>
                    </w14:srgbClr>
                  </w14:solidFill>
                </w14:textFill>
              </w:rPr>
              <w:t>|</w:t>
            </w:r>
            <w:r w:rsidR="00F36FBD">
              <w:rPr>
                <w:b/>
                <w:bCs w:val="0"/>
                <w:vertAlign w:val="superscript"/>
              </w:rPr>
              <w:t>16</w:t>
            </w:r>
          </w:p>
        </w:tc>
        <w:tc>
          <w:tcPr>
            <w:tcW w:w="637" w:type="pct"/>
            <w:tcBorders>
              <w:top w:val="single" w:sz="4" w:space="0" w:color="auto"/>
              <w:bottom w:val="nil"/>
            </w:tcBorders>
            <w:noWrap/>
          </w:tcPr>
          <w:p w14:paraId="0BFED919" w14:textId="440414BF" w:rsidR="006F6C8B" w:rsidRPr="00601EFF" w:rsidRDefault="006F6C8B">
            <w:pPr>
              <w:pStyle w:val="TableText0"/>
              <w:jc w:val="right"/>
              <w:rPr>
                <w:vertAlign w:val="superscript"/>
              </w:rPr>
            </w:pPr>
            <w:r w:rsidRPr="004662DD">
              <w:rPr>
                <w:b/>
                <w:bCs w:val="0"/>
              </w:rPr>
              <w:t>$</w:t>
            </w:r>
            <w:r w:rsidR="00A12619" w:rsidRPr="00A12619">
              <w:rPr>
                <w:b/>
                <w:bCs w:val="0"/>
                <w:color w:val="000000"/>
                <w:spacing w:val="58"/>
                <w:shd w:val="solid" w:color="000000" w:fill="000000"/>
                <w:fitText w:val="360" w:id="-628482801"/>
                <w14:textFill>
                  <w14:solidFill>
                    <w14:srgbClr w14:val="000000">
                      <w14:alpha w14:val="100000"/>
                    </w14:srgbClr>
                  </w14:solidFill>
                </w14:textFill>
              </w:rPr>
              <w:t>|||</w:t>
            </w:r>
            <w:r w:rsidR="00A12619" w:rsidRPr="00A12619">
              <w:rPr>
                <w:b/>
                <w:bCs w:val="0"/>
                <w:color w:val="000000"/>
                <w:spacing w:val="3"/>
                <w:shd w:val="solid" w:color="000000" w:fill="000000"/>
                <w:fitText w:val="360" w:id="-628482801"/>
                <w14:textFill>
                  <w14:solidFill>
                    <w14:srgbClr w14:val="000000">
                      <w14:alpha w14:val="100000"/>
                    </w14:srgbClr>
                  </w14:solidFill>
                </w14:textFill>
              </w:rPr>
              <w:t>|</w:t>
            </w:r>
            <w:r w:rsidR="00601EFF">
              <w:rPr>
                <w:b/>
                <w:bCs w:val="0"/>
                <w:vertAlign w:val="superscript"/>
              </w:rPr>
              <w:t>9</w:t>
            </w:r>
          </w:p>
        </w:tc>
        <w:tc>
          <w:tcPr>
            <w:tcW w:w="638" w:type="pct"/>
            <w:tcBorders>
              <w:top w:val="single" w:sz="4" w:space="0" w:color="auto"/>
              <w:bottom w:val="nil"/>
            </w:tcBorders>
            <w:noWrap/>
          </w:tcPr>
          <w:p w14:paraId="4ADB4E4D" w14:textId="2A353498" w:rsidR="006F6C8B" w:rsidRPr="00601EFF" w:rsidRDefault="006F6C8B">
            <w:pPr>
              <w:pStyle w:val="TableText0"/>
              <w:jc w:val="right"/>
              <w:rPr>
                <w:vertAlign w:val="superscript"/>
              </w:rPr>
            </w:pPr>
            <w:r w:rsidRPr="004662DD">
              <w:rPr>
                <w:b/>
                <w:bCs w:val="0"/>
              </w:rPr>
              <w:t>$</w:t>
            </w:r>
            <w:r w:rsidR="00A12619" w:rsidRPr="00A12619">
              <w:rPr>
                <w:b/>
                <w:bCs w:val="0"/>
                <w:color w:val="000000"/>
                <w:spacing w:val="58"/>
                <w:shd w:val="solid" w:color="000000" w:fill="000000"/>
                <w:fitText w:val="360" w:id="-628482800"/>
                <w14:textFill>
                  <w14:solidFill>
                    <w14:srgbClr w14:val="000000">
                      <w14:alpha w14:val="100000"/>
                    </w14:srgbClr>
                  </w14:solidFill>
                </w14:textFill>
              </w:rPr>
              <w:t>|||</w:t>
            </w:r>
            <w:r w:rsidR="00A12619" w:rsidRPr="00A12619">
              <w:rPr>
                <w:b/>
                <w:bCs w:val="0"/>
                <w:color w:val="000000"/>
                <w:spacing w:val="3"/>
                <w:shd w:val="solid" w:color="000000" w:fill="000000"/>
                <w:fitText w:val="360" w:id="-628482800"/>
                <w14:textFill>
                  <w14:solidFill>
                    <w14:srgbClr w14:val="000000">
                      <w14:alpha w14:val="100000"/>
                    </w14:srgbClr>
                  </w14:solidFill>
                </w14:textFill>
              </w:rPr>
              <w:t>|</w:t>
            </w:r>
            <w:r w:rsidR="00601EFF">
              <w:rPr>
                <w:b/>
                <w:bCs w:val="0"/>
                <w:vertAlign w:val="superscript"/>
              </w:rPr>
              <w:t>9</w:t>
            </w:r>
          </w:p>
        </w:tc>
      </w:tr>
      <w:tr w:rsidR="006F6C8B" w:rsidRPr="004662DD" w14:paraId="3911BDAC" w14:textId="77777777">
        <w:tc>
          <w:tcPr>
            <w:tcW w:w="1177" w:type="pct"/>
            <w:tcBorders>
              <w:top w:val="nil"/>
              <w:bottom w:val="single" w:sz="4" w:space="0" w:color="auto"/>
            </w:tcBorders>
            <w:noWrap/>
          </w:tcPr>
          <w:p w14:paraId="7346894F" w14:textId="77777777" w:rsidR="006F6C8B" w:rsidRPr="004662DD" w:rsidRDefault="006F6C8B">
            <w:pPr>
              <w:pStyle w:val="TableText0"/>
              <w:rPr>
                <w:szCs w:val="20"/>
              </w:rPr>
            </w:pPr>
            <w:r w:rsidRPr="004662DD">
              <w:rPr>
                <w:b/>
                <w:bCs w:val="0"/>
              </w:rPr>
              <w:t>Revised </w:t>
            </w:r>
            <w:r w:rsidRPr="004662DD">
              <w:rPr>
                <w:b/>
                <w:bCs w:val="0"/>
                <w:vertAlign w:val="superscript"/>
              </w:rPr>
              <w:t>a</w:t>
            </w:r>
          </w:p>
        </w:tc>
        <w:tc>
          <w:tcPr>
            <w:tcW w:w="637" w:type="pct"/>
            <w:tcBorders>
              <w:top w:val="nil"/>
              <w:bottom w:val="single" w:sz="4" w:space="0" w:color="auto"/>
            </w:tcBorders>
            <w:noWrap/>
          </w:tcPr>
          <w:p w14:paraId="740E8BA4" w14:textId="1FC40527" w:rsidR="006F6C8B" w:rsidRPr="004662DD" w:rsidRDefault="006F6C8B">
            <w:pPr>
              <w:pStyle w:val="TableText0"/>
              <w:jc w:val="right"/>
            </w:pPr>
            <w:r w:rsidRPr="004662DD">
              <w:rPr>
                <w:b/>
                <w:bCs w:val="0"/>
              </w:rPr>
              <w:t>−$</w:t>
            </w:r>
            <w:r w:rsidR="00A12619" w:rsidRPr="00A12619">
              <w:rPr>
                <w:b/>
                <w:bCs w:val="0"/>
                <w:color w:val="000000"/>
                <w:spacing w:val="58"/>
                <w:shd w:val="solid" w:color="000000" w:fill="000000"/>
                <w:fitText w:val="360" w:id="-628482816"/>
                <w14:textFill>
                  <w14:solidFill>
                    <w14:srgbClr w14:val="000000">
                      <w14:alpha w14:val="100000"/>
                    </w14:srgbClr>
                  </w14:solidFill>
                </w14:textFill>
              </w:rPr>
              <w:t>|||</w:t>
            </w:r>
            <w:r w:rsidR="00A12619" w:rsidRPr="00A12619">
              <w:rPr>
                <w:b/>
                <w:bCs w:val="0"/>
                <w:color w:val="000000"/>
                <w:spacing w:val="3"/>
                <w:shd w:val="solid" w:color="000000" w:fill="000000"/>
                <w:fitText w:val="360" w:id="-628482816"/>
                <w14:textFill>
                  <w14:solidFill>
                    <w14:srgbClr w14:val="000000">
                      <w14:alpha w14:val="100000"/>
                    </w14:srgbClr>
                  </w14:solidFill>
                </w14:textFill>
              </w:rPr>
              <w:t>|</w:t>
            </w:r>
          </w:p>
        </w:tc>
        <w:tc>
          <w:tcPr>
            <w:tcW w:w="637" w:type="pct"/>
            <w:tcBorders>
              <w:top w:val="nil"/>
              <w:bottom w:val="single" w:sz="4" w:space="0" w:color="auto"/>
            </w:tcBorders>
            <w:noWrap/>
          </w:tcPr>
          <w:p w14:paraId="6D0FFACD" w14:textId="09234234" w:rsidR="006F6C8B" w:rsidRPr="00601EFF" w:rsidRDefault="006F6C8B">
            <w:pPr>
              <w:pStyle w:val="TableText0"/>
              <w:jc w:val="right"/>
              <w:rPr>
                <w:vertAlign w:val="superscript"/>
              </w:rPr>
            </w:pPr>
            <w:r w:rsidRPr="004662DD">
              <w:rPr>
                <w:b/>
                <w:bCs w:val="0"/>
              </w:rPr>
              <w:t>$</w:t>
            </w:r>
            <w:r w:rsidR="00A12619" w:rsidRPr="00A12619">
              <w:rPr>
                <w:b/>
                <w:bCs w:val="0"/>
                <w:color w:val="000000"/>
                <w:spacing w:val="58"/>
                <w:shd w:val="solid" w:color="000000" w:fill="000000"/>
                <w:fitText w:val="360" w:id="-628482815"/>
                <w14:textFill>
                  <w14:solidFill>
                    <w14:srgbClr w14:val="000000">
                      <w14:alpha w14:val="100000"/>
                    </w14:srgbClr>
                  </w14:solidFill>
                </w14:textFill>
              </w:rPr>
              <w:t>|||</w:t>
            </w:r>
            <w:r w:rsidR="00A12619" w:rsidRPr="00A12619">
              <w:rPr>
                <w:b/>
                <w:bCs w:val="0"/>
                <w:color w:val="000000"/>
                <w:spacing w:val="3"/>
                <w:shd w:val="solid" w:color="000000" w:fill="000000"/>
                <w:fitText w:val="360" w:id="-628482815"/>
                <w14:textFill>
                  <w14:solidFill>
                    <w14:srgbClr w14:val="000000">
                      <w14:alpha w14:val="100000"/>
                    </w14:srgbClr>
                  </w14:solidFill>
                </w14:textFill>
              </w:rPr>
              <w:t>|</w:t>
            </w:r>
            <w:r w:rsidR="00601EFF">
              <w:rPr>
                <w:b/>
                <w:bCs w:val="0"/>
                <w:vertAlign w:val="superscript"/>
              </w:rPr>
              <w:t>9</w:t>
            </w:r>
          </w:p>
        </w:tc>
        <w:tc>
          <w:tcPr>
            <w:tcW w:w="637" w:type="pct"/>
            <w:tcBorders>
              <w:top w:val="nil"/>
              <w:bottom w:val="single" w:sz="4" w:space="0" w:color="auto"/>
            </w:tcBorders>
            <w:noWrap/>
          </w:tcPr>
          <w:p w14:paraId="19157DCA" w14:textId="620D1083" w:rsidR="006F6C8B" w:rsidRPr="00601EFF" w:rsidRDefault="006F6C8B">
            <w:pPr>
              <w:pStyle w:val="TableText0"/>
              <w:jc w:val="right"/>
              <w:rPr>
                <w:vertAlign w:val="superscript"/>
              </w:rPr>
            </w:pPr>
            <w:r w:rsidRPr="004662DD">
              <w:rPr>
                <w:b/>
                <w:bCs w:val="0"/>
              </w:rPr>
              <w:t>$</w:t>
            </w:r>
            <w:r w:rsidR="00A12619" w:rsidRPr="00A12619">
              <w:rPr>
                <w:b/>
                <w:bCs w:val="0"/>
                <w:color w:val="000000"/>
                <w:spacing w:val="58"/>
                <w:shd w:val="solid" w:color="000000" w:fill="000000"/>
                <w:fitText w:val="360" w:id="-628482814"/>
                <w14:textFill>
                  <w14:solidFill>
                    <w14:srgbClr w14:val="000000">
                      <w14:alpha w14:val="100000"/>
                    </w14:srgbClr>
                  </w14:solidFill>
                </w14:textFill>
              </w:rPr>
              <w:t>|||</w:t>
            </w:r>
            <w:r w:rsidR="00A12619" w:rsidRPr="00A12619">
              <w:rPr>
                <w:b/>
                <w:bCs w:val="0"/>
                <w:color w:val="000000"/>
                <w:spacing w:val="3"/>
                <w:shd w:val="solid" w:color="000000" w:fill="000000"/>
                <w:fitText w:val="360" w:id="-628482814"/>
                <w14:textFill>
                  <w14:solidFill>
                    <w14:srgbClr w14:val="000000">
                      <w14:alpha w14:val="100000"/>
                    </w14:srgbClr>
                  </w14:solidFill>
                </w14:textFill>
              </w:rPr>
              <w:t>|</w:t>
            </w:r>
            <w:r w:rsidR="00601EFF">
              <w:rPr>
                <w:b/>
                <w:bCs w:val="0"/>
                <w:vertAlign w:val="superscript"/>
              </w:rPr>
              <w:t>9</w:t>
            </w:r>
          </w:p>
        </w:tc>
        <w:tc>
          <w:tcPr>
            <w:tcW w:w="637" w:type="pct"/>
            <w:tcBorders>
              <w:top w:val="nil"/>
              <w:bottom w:val="single" w:sz="4" w:space="0" w:color="auto"/>
            </w:tcBorders>
            <w:noWrap/>
          </w:tcPr>
          <w:p w14:paraId="688776D6" w14:textId="5E5AEE25" w:rsidR="006F6C8B" w:rsidRPr="00601EFF" w:rsidRDefault="006F6C8B">
            <w:pPr>
              <w:pStyle w:val="TableText0"/>
              <w:jc w:val="right"/>
              <w:rPr>
                <w:vertAlign w:val="superscript"/>
              </w:rPr>
            </w:pPr>
            <w:r w:rsidRPr="004662DD">
              <w:rPr>
                <w:b/>
                <w:bCs w:val="0"/>
              </w:rPr>
              <w:t>$</w:t>
            </w:r>
            <w:r w:rsidR="00A12619" w:rsidRPr="00A12619">
              <w:rPr>
                <w:b/>
                <w:bCs w:val="0"/>
                <w:color w:val="000000"/>
                <w:spacing w:val="58"/>
                <w:shd w:val="solid" w:color="000000" w:fill="000000"/>
                <w:fitText w:val="360" w:id="-628482813"/>
                <w14:textFill>
                  <w14:solidFill>
                    <w14:srgbClr w14:val="000000">
                      <w14:alpha w14:val="100000"/>
                    </w14:srgbClr>
                  </w14:solidFill>
                </w14:textFill>
              </w:rPr>
              <w:t>|||</w:t>
            </w:r>
            <w:r w:rsidR="00A12619" w:rsidRPr="00A12619">
              <w:rPr>
                <w:b/>
                <w:bCs w:val="0"/>
                <w:color w:val="000000"/>
                <w:spacing w:val="3"/>
                <w:shd w:val="solid" w:color="000000" w:fill="000000"/>
                <w:fitText w:val="360" w:id="-628482813"/>
                <w14:textFill>
                  <w14:solidFill>
                    <w14:srgbClr w14:val="000000">
                      <w14:alpha w14:val="100000"/>
                    </w14:srgbClr>
                  </w14:solidFill>
                </w14:textFill>
              </w:rPr>
              <w:t>|</w:t>
            </w:r>
            <w:r w:rsidR="00601EFF">
              <w:rPr>
                <w:b/>
                <w:bCs w:val="0"/>
                <w:vertAlign w:val="superscript"/>
              </w:rPr>
              <w:t>9</w:t>
            </w:r>
          </w:p>
        </w:tc>
        <w:tc>
          <w:tcPr>
            <w:tcW w:w="637" w:type="pct"/>
            <w:tcBorders>
              <w:top w:val="nil"/>
              <w:bottom w:val="single" w:sz="4" w:space="0" w:color="auto"/>
            </w:tcBorders>
            <w:noWrap/>
          </w:tcPr>
          <w:p w14:paraId="2FE6E262" w14:textId="6D75740C" w:rsidR="006F6C8B" w:rsidRPr="00601EFF" w:rsidRDefault="006F6C8B">
            <w:pPr>
              <w:pStyle w:val="TableText0"/>
              <w:jc w:val="right"/>
              <w:rPr>
                <w:vertAlign w:val="superscript"/>
              </w:rPr>
            </w:pPr>
            <w:r w:rsidRPr="004662DD">
              <w:rPr>
                <w:b/>
                <w:bCs w:val="0"/>
              </w:rPr>
              <w:t>$</w:t>
            </w:r>
            <w:r w:rsidR="00A12619" w:rsidRPr="00A12619">
              <w:rPr>
                <w:b/>
                <w:bCs w:val="0"/>
                <w:color w:val="000000"/>
                <w:spacing w:val="58"/>
                <w:shd w:val="solid" w:color="000000" w:fill="000000"/>
                <w:fitText w:val="360" w:id="-628482812"/>
                <w14:textFill>
                  <w14:solidFill>
                    <w14:srgbClr w14:val="000000">
                      <w14:alpha w14:val="100000"/>
                    </w14:srgbClr>
                  </w14:solidFill>
                </w14:textFill>
              </w:rPr>
              <w:t>|||</w:t>
            </w:r>
            <w:r w:rsidR="00A12619" w:rsidRPr="00A12619">
              <w:rPr>
                <w:b/>
                <w:bCs w:val="0"/>
                <w:color w:val="000000"/>
                <w:spacing w:val="3"/>
                <w:shd w:val="solid" w:color="000000" w:fill="000000"/>
                <w:fitText w:val="360" w:id="-628482812"/>
                <w14:textFill>
                  <w14:solidFill>
                    <w14:srgbClr w14:val="000000">
                      <w14:alpha w14:val="100000"/>
                    </w14:srgbClr>
                  </w14:solidFill>
                </w14:textFill>
              </w:rPr>
              <w:t>|</w:t>
            </w:r>
            <w:r w:rsidR="00601EFF">
              <w:rPr>
                <w:b/>
                <w:bCs w:val="0"/>
                <w:vertAlign w:val="superscript"/>
              </w:rPr>
              <w:t>9</w:t>
            </w:r>
          </w:p>
        </w:tc>
        <w:tc>
          <w:tcPr>
            <w:tcW w:w="638" w:type="pct"/>
            <w:tcBorders>
              <w:top w:val="nil"/>
              <w:bottom w:val="single" w:sz="4" w:space="0" w:color="auto"/>
            </w:tcBorders>
            <w:noWrap/>
          </w:tcPr>
          <w:p w14:paraId="47879FFE" w14:textId="63A65B7C" w:rsidR="006F6C8B" w:rsidRPr="00601EFF" w:rsidRDefault="006F6C8B">
            <w:pPr>
              <w:pStyle w:val="TableText0"/>
              <w:jc w:val="right"/>
              <w:rPr>
                <w:vertAlign w:val="superscript"/>
              </w:rPr>
            </w:pPr>
            <w:r w:rsidRPr="004662DD">
              <w:rPr>
                <w:b/>
                <w:bCs w:val="0"/>
              </w:rPr>
              <w:t>$</w:t>
            </w:r>
            <w:r w:rsidR="00A12619" w:rsidRPr="00A12619">
              <w:rPr>
                <w:b/>
                <w:bCs w:val="0"/>
                <w:color w:val="000000"/>
                <w:spacing w:val="58"/>
                <w:shd w:val="solid" w:color="000000" w:fill="000000"/>
                <w:fitText w:val="360" w:id="-628482811"/>
                <w14:textFill>
                  <w14:solidFill>
                    <w14:srgbClr w14:val="000000">
                      <w14:alpha w14:val="100000"/>
                    </w14:srgbClr>
                  </w14:solidFill>
                </w14:textFill>
              </w:rPr>
              <w:t>|||</w:t>
            </w:r>
            <w:r w:rsidR="00A12619" w:rsidRPr="00A12619">
              <w:rPr>
                <w:b/>
                <w:bCs w:val="0"/>
                <w:color w:val="000000"/>
                <w:spacing w:val="3"/>
                <w:shd w:val="solid" w:color="000000" w:fill="000000"/>
                <w:fitText w:val="360" w:id="-628482811"/>
                <w14:textFill>
                  <w14:solidFill>
                    <w14:srgbClr w14:val="000000">
                      <w14:alpha w14:val="100000"/>
                    </w14:srgbClr>
                  </w14:solidFill>
                </w14:textFill>
              </w:rPr>
              <w:t>|</w:t>
            </w:r>
            <w:r w:rsidR="00601EFF">
              <w:rPr>
                <w:b/>
                <w:bCs w:val="0"/>
                <w:vertAlign w:val="superscript"/>
              </w:rPr>
              <w:t>9</w:t>
            </w:r>
          </w:p>
        </w:tc>
      </w:tr>
      <w:tr w:rsidR="006F6C8B" w:rsidRPr="004662DD" w14:paraId="75936CAF" w14:textId="77777777">
        <w:tc>
          <w:tcPr>
            <w:tcW w:w="1177" w:type="pct"/>
            <w:tcBorders>
              <w:bottom w:val="nil"/>
            </w:tcBorders>
            <w:noWrap/>
          </w:tcPr>
          <w:p w14:paraId="78A6469F" w14:textId="77777777" w:rsidR="006F6C8B" w:rsidRPr="004662DD" w:rsidRDefault="006F6C8B">
            <w:pPr>
              <w:pStyle w:val="TableText0"/>
              <w:rPr>
                <w:szCs w:val="20"/>
              </w:rPr>
            </w:pPr>
            <w:r w:rsidRPr="004662DD">
              <w:t>Net impact to the MBS</w:t>
            </w:r>
          </w:p>
        </w:tc>
        <w:tc>
          <w:tcPr>
            <w:tcW w:w="637" w:type="pct"/>
            <w:tcBorders>
              <w:bottom w:val="nil"/>
            </w:tcBorders>
            <w:noWrap/>
          </w:tcPr>
          <w:p w14:paraId="1DF04B7B" w14:textId="25E749DF" w:rsidR="006F6C8B" w:rsidRPr="00F36FBD" w:rsidRDefault="006F6C8B">
            <w:pPr>
              <w:pStyle w:val="TableText0"/>
              <w:jc w:val="right"/>
              <w:rPr>
                <w:vertAlign w:val="superscript"/>
              </w:rPr>
            </w:pPr>
            <w:r w:rsidRPr="004662DD">
              <w:t>−$</w:t>
            </w:r>
            <w:r w:rsidR="00A12619" w:rsidRPr="00A12619">
              <w:rPr>
                <w:color w:val="000000"/>
                <w:spacing w:val="55"/>
                <w:shd w:val="solid" w:color="000000" w:fill="000000"/>
                <w:fitText w:val="336" w:id="-628482810"/>
                <w14:textFill>
                  <w14:solidFill>
                    <w14:srgbClr w14:val="000000">
                      <w14:alpha w14:val="100000"/>
                    </w14:srgbClr>
                  </w14:solidFill>
                </w14:textFill>
              </w:rPr>
              <w:t>|||</w:t>
            </w:r>
            <w:r w:rsidR="00A12619" w:rsidRPr="00A12619">
              <w:rPr>
                <w:color w:val="000000"/>
                <w:spacing w:val="1"/>
                <w:shd w:val="solid" w:color="000000" w:fill="000000"/>
                <w:fitText w:val="336" w:id="-628482810"/>
                <w14:textFill>
                  <w14:solidFill>
                    <w14:srgbClr w14:val="000000">
                      <w14:alpha w14:val="100000"/>
                    </w14:srgbClr>
                  </w14:solidFill>
                </w14:textFill>
              </w:rPr>
              <w:t>|</w:t>
            </w:r>
            <w:r w:rsidR="00F36FBD">
              <w:rPr>
                <w:vertAlign w:val="superscript"/>
              </w:rPr>
              <w:t>16</w:t>
            </w:r>
          </w:p>
        </w:tc>
        <w:tc>
          <w:tcPr>
            <w:tcW w:w="637" w:type="pct"/>
            <w:tcBorders>
              <w:bottom w:val="nil"/>
            </w:tcBorders>
            <w:noWrap/>
          </w:tcPr>
          <w:p w14:paraId="268C8221" w14:textId="2CE038AD" w:rsidR="006F6C8B" w:rsidRPr="00F36FBD" w:rsidRDefault="006F6C8B">
            <w:pPr>
              <w:pStyle w:val="TableText0"/>
              <w:jc w:val="right"/>
              <w:rPr>
                <w:vertAlign w:val="superscript"/>
              </w:rPr>
            </w:pPr>
            <w:r w:rsidRPr="004662DD">
              <w:t>−$</w:t>
            </w:r>
            <w:r w:rsidR="00A12619" w:rsidRPr="00A12619">
              <w:rPr>
                <w:color w:val="000000"/>
                <w:spacing w:val="51"/>
                <w:shd w:val="solid" w:color="000000" w:fill="000000"/>
                <w:fitText w:val="324" w:id="-628482809"/>
                <w14:textFill>
                  <w14:solidFill>
                    <w14:srgbClr w14:val="000000">
                      <w14:alpha w14:val="100000"/>
                    </w14:srgbClr>
                  </w14:solidFill>
                </w14:textFill>
              </w:rPr>
              <w:t>|||</w:t>
            </w:r>
            <w:r w:rsidR="00A12619" w:rsidRPr="00A12619">
              <w:rPr>
                <w:color w:val="000000"/>
                <w:spacing w:val="1"/>
                <w:shd w:val="solid" w:color="000000" w:fill="000000"/>
                <w:fitText w:val="324" w:id="-628482809"/>
                <w14:textFill>
                  <w14:solidFill>
                    <w14:srgbClr w14:val="000000">
                      <w14:alpha w14:val="100000"/>
                    </w14:srgbClr>
                  </w14:solidFill>
                </w14:textFill>
              </w:rPr>
              <w:t>|</w:t>
            </w:r>
            <w:r w:rsidR="00F36FBD">
              <w:rPr>
                <w:vertAlign w:val="superscript"/>
              </w:rPr>
              <w:t>16</w:t>
            </w:r>
          </w:p>
        </w:tc>
        <w:tc>
          <w:tcPr>
            <w:tcW w:w="637" w:type="pct"/>
            <w:tcBorders>
              <w:bottom w:val="nil"/>
            </w:tcBorders>
            <w:noWrap/>
          </w:tcPr>
          <w:p w14:paraId="7768FAA9" w14:textId="5870928C" w:rsidR="006F6C8B" w:rsidRPr="00F36FBD" w:rsidRDefault="006F6C8B">
            <w:pPr>
              <w:pStyle w:val="TableText0"/>
              <w:jc w:val="right"/>
              <w:rPr>
                <w:vertAlign w:val="superscript"/>
              </w:rPr>
            </w:pPr>
            <w:r w:rsidRPr="004662DD">
              <w:t>−$</w:t>
            </w:r>
            <w:r w:rsidR="00A12619" w:rsidRPr="00A12619">
              <w:rPr>
                <w:color w:val="000000"/>
                <w:spacing w:val="51"/>
                <w:shd w:val="solid" w:color="000000" w:fill="000000"/>
                <w:fitText w:val="324" w:id="-628482808"/>
                <w14:textFill>
                  <w14:solidFill>
                    <w14:srgbClr w14:val="000000">
                      <w14:alpha w14:val="100000"/>
                    </w14:srgbClr>
                  </w14:solidFill>
                </w14:textFill>
              </w:rPr>
              <w:t>|||</w:t>
            </w:r>
            <w:r w:rsidR="00A12619" w:rsidRPr="00A12619">
              <w:rPr>
                <w:color w:val="000000"/>
                <w:spacing w:val="1"/>
                <w:shd w:val="solid" w:color="000000" w:fill="000000"/>
                <w:fitText w:val="324" w:id="-628482808"/>
                <w14:textFill>
                  <w14:solidFill>
                    <w14:srgbClr w14:val="000000">
                      <w14:alpha w14:val="100000"/>
                    </w14:srgbClr>
                  </w14:solidFill>
                </w14:textFill>
              </w:rPr>
              <w:t>|</w:t>
            </w:r>
            <w:r w:rsidR="00F36FBD">
              <w:rPr>
                <w:vertAlign w:val="superscript"/>
              </w:rPr>
              <w:t>16</w:t>
            </w:r>
          </w:p>
        </w:tc>
        <w:tc>
          <w:tcPr>
            <w:tcW w:w="637" w:type="pct"/>
            <w:tcBorders>
              <w:bottom w:val="nil"/>
            </w:tcBorders>
            <w:noWrap/>
          </w:tcPr>
          <w:p w14:paraId="11651AF6" w14:textId="6F3DA9B5" w:rsidR="006F6C8B" w:rsidRPr="00F36FBD" w:rsidRDefault="006F6C8B">
            <w:pPr>
              <w:pStyle w:val="TableText0"/>
              <w:jc w:val="right"/>
              <w:rPr>
                <w:vertAlign w:val="superscript"/>
              </w:rPr>
            </w:pPr>
            <w:r w:rsidRPr="004662DD">
              <w:t>−$</w:t>
            </w:r>
            <w:r w:rsidR="00A12619" w:rsidRPr="00A12619">
              <w:rPr>
                <w:color w:val="000000"/>
                <w:spacing w:val="51"/>
                <w:shd w:val="solid" w:color="000000" w:fill="000000"/>
                <w:fitText w:val="324" w:id="-628482807"/>
                <w14:textFill>
                  <w14:solidFill>
                    <w14:srgbClr w14:val="000000">
                      <w14:alpha w14:val="100000"/>
                    </w14:srgbClr>
                  </w14:solidFill>
                </w14:textFill>
              </w:rPr>
              <w:t>|||</w:t>
            </w:r>
            <w:r w:rsidR="00A12619" w:rsidRPr="00A12619">
              <w:rPr>
                <w:color w:val="000000"/>
                <w:spacing w:val="1"/>
                <w:shd w:val="solid" w:color="000000" w:fill="000000"/>
                <w:fitText w:val="324" w:id="-628482807"/>
                <w14:textFill>
                  <w14:solidFill>
                    <w14:srgbClr w14:val="000000">
                      <w14:alpha w14:val="100000"/>
                    </w14:srgbClr>
                  </w14:solidFill>
                </w14:textFill>
              </w:rPr>
              <w:t>|</w:t>
            </w:r>
            <w:r w:rsidR="00F36FBD">
              <w:rPr>
                <w:vertAlign w:val="superscript"/>
              </w:rPr>
              <w:t>16</w:t>
            </w:r>
          </w:p>
        </w:tc>
        <w:tc>
          <w:tcPr>
            <w:tcW w:w="637" w:type="pct"/>
            <w:tcBorders>
              <w:bottom w:val="nil"/>
            </w:tcBorders>
            <w:noWrap/>
          </w:tcPr>
          <w:p w14:paraId="6EC802B1" w14:textId="04A0E133" w:rsidR="006F6C8B" w:rsidRPr="00F36FBD" w:rsidRDefault="006F6C8B">
            <w:pPr>
              <w:pStyle w:val="TableText0"/>
              <w:jc w:val="right"/>
              <w:rPr>
                <w:vertAlign w:val="superscript"/>
              </w:rPr>
            </w:pPr>
            <w:r w:rsidRPr="004662DD">
              <w:t>−$</w:t>
            </w:r>
            <w:r w:rsidR="00A12619" w:rsidRPr="00A12619">
              <w:rPr>
                <w:color w:val="000000"/>
                <w:spacing w:val="51"/>
                <w:shd w:val="solid" w:color="000000" w:fill="000000"/>
                <w:fitText w:val="324" w:id="-628482806"/>
                <w14:textFill>
                  <w14:solidFill>
                    <w14:srgbClr w14:val="000000">
                      <w14:alpha w14:val="100000"/>
                    </w14:srgbClr>
                  </w14:solidFill>
                </w14:textFill>
              </w:rPr>
              <w:t>|||</w:t>
            </w:r>
            <w:r w:rsidR="00A12619" w:rsidRPr="00A12619">
              <w:rPr>
                <w:color w:val="000000"/>
                <w:spacing w:val="1"/>
                <w:shd w:val="solid" w:color="000000" w:fill="000000"/>
                <w:fitText w:val="324" w:id="-628482806"/>
                <w14:textFill>
                  <w14:solidFill>
                    <w14:srgbClr w14:val="000000">
                      <w14:alpha w14:val="100000"/>
                    </w14:srgbClr>
                  </w14:solidFill>
                </w14:textFill>
              </w:rPr>
              <w:t>|</w:t>
            </w:r>
            <w:r w:rsidR="00F36FBD">
              <w:rPr>
                <w:vertAlign w:val="superscript"/>
              </w:rPr>
              <w:t>16</w:t>
            </w:r>
          </w:p>
        </w:tc>
        <w:tc>
          <w:tcPr>
            <w:tcW w:w="638" w:type="pct"/>
            <w:tcBorders>
              <w:bottom w:val="nil"/>
            </w:tcBorders>
            <w:noWrap/>
          </w:tcPr>
          <w:p w14:paraId="0A1C2A67" w14:textId="607EB56B" w:rsidR="006F6C8B" w:rsidRPr="00F36FBD" w:rsidRDefault="006F6C8B">
            <w:pPr>
              <w:pStyle w:val="TableText0"/>
              <w:jc w:val="right"/>
              <w:rPr>
                <w:vertAlign w:val="superscript"/>
              </w:rPr>
            </w:pPr>
            <w:r w:rsidRPr="004662DD">
              <w:t>−$</w:t>
            </w:r>
            <w:r w:rsidR="00A12619" w:rsidRPr="00A12619">
              <w:rPr>
                <w:color w:val="000000"/>
                <w:spacing w:val="51"/>
                <w:shd w:val="solid" w:color="000000" w:fill="000000"/>
                <w:fitText w:val="324" w:id="-628482805"/>
                <w14:textFill>
                  <w14:solidFill>
                    <w14:srgbClr w14:val="000000">
                      <w14:alpha w14:val="100000"/>
                    </w14:srgbClr>
                  </w14:solidFill>
                </w14:textFill>
              </w:rPr>
              <w:t>|||</w:t>
            </w:r>
            <w:r w:rsidR="00A12619" w:rsidRPr="00A12619">
              <w:rPr>
                <w:color w:val="000000"/>
                <w:spacing w:val="1"/>
                <w:shd w:val="solid" w:color="000000" w:fill="000000"/>
                <w:fitText w:val="324" w:id="-628482805"/>
                <w14:textFill>
                  <w14:solidFill>
                    <w14:srgbClr w14:val="000000">
                      <w14:alpha w14:val="100000"/>
                    </w14:srgbClr>
                  </w14:solidFill>
                </w14:textFill>
              </w:rPr>
              <w:t>|</w:t>
            </w:r>
            <w:r w:rsidR="00F36FBD">
              <w:rPr>
                <w:vertAlign w:val="superscript"/>
              </w:rPr>
              <w:t>16</w:t>
            </w:r>
          </w:p>
        </w:tc>
      </w:tr>
      <w:tr w:rsidR="006F6C8B" w:rsidRPr="004662DD" w14:paraId="698A32E5" w14:textId="77777777">
        <w:tc>
          <w:tcPr>
            <w:tcW w:w="1177" w:type="pct"/>
            <w:tcBorders>
              <w:top w:val="nil"/>
            </w:tcBorders>
            <w:noWrap/>
          </w:tcPr>
          <w:p w14:paraId="33BD696A" w14:textId="77777777" w:rsidR="006F6C8B" w:rsidRPr="004662DD" w:rsidRDefault="006F6C8B">
            <w:pPr>
              <w:pStyle w:val="TableText0"/>
              <w:rPr>
                <w:szCs w:val="20"/>
              </w:rPr>
            </w:pPr>
            <w:r w:rsidRPr="004662DD">
              <w:t>Revised </w:t>
            </w:r>
            <w:r w:rsidRPr="004662DD">
              <w:rPr>
                <w:vertAlign w:val="superscript"/>
              </w:rPr>
              <w:t>b</w:t>
            </w:r>
          </w:p>
        </w:tc>
        <w:tc>
          <w:tcPr>
            <w:tcW w:w="637" w:type="pct"/>
            <w:tcBorders>
              <w:top w:val="nil"/>
            </w:tcBorders>
            <w:noWrap/>
          </w:tcPr>
          <w:p w14:paraId="0481DA75" w14:textId="4E023D5A" w:rsidR="006F6C8B" w:rsidRPr="00F36FBD" w:rsidRDefault="006F6C8B">
            <w:pPr>
              <w:pStyle w:val="TableText0"/>
              <w:jc w:val="right"/>
              <w:rPr>
                <w:vertAlign w:val="superscript"/>
              </w:rPr>
            </w:pPr>
            <w:r w:rsidRPr="004662DD">
              <w:t>−$</w:t>
            </w:r>
            <w:r w:rsidR="00A12619" w:rsidRPr="00A12619">
              <w:rPr>
                <w:color w:val="000000"/>
                <w:spacing w:val="55"/>
                <w:shd w:val="solid" w:color="000000" w:fill="000000"/>
                <w:fitText w:val="336" w:id="-628482804"/>
                <w14:textFill>
                  <w14:solidFill>
                    <w14:srgbClr w14:val="000000">
                      <w14:alpha w14:val="100000"/>
                    </w14:srgbClr>
                  </w14:solidFill>
                </w14:textFill>
              </w:rPr>
              <w:t>|||</w:t>
            </w:r>
            <w:r w:rsidR="00A12619" w:rsidRPr="00A12619">
              <w:rPr>
                <w:color w:val="000000"/>
                <w:spacing w:val="1"/>
                <w:shd w:val="solid" w:color="000000" w:fill="000000"/>
                <w:fitText w:val="336" w:id="-628482804"/>
                <w14:textFill>
                  <w14:solidFill>
                    <w14:srgbClr w14:val="000000">
                      <w14:alpha w14:val="100000"/>
                    </w14:srgbClr>
                  </w14:solidFill>
                </w14:textFill>
              </w:rPr>
              <w:t>|</w:t>
            </w:r>
            <w:r w:rsidR="00F36FBD">
              <w:rPr>
                <w:vertAlign w:val="superscript"/>
              </w:rPr>
              <w:t>16</w:t>
            </w:r>
          </w:p>
        </w:tc>
        <w:tc>
          <w:tcPr>
            <w:tcW w:w="637" w:type="pct"/>
            <w:tcBorders>
              <w:top w:val="nil"/>
            </w:tcBorders>
            <w:noWrap/>
          </w:tcPr>
          <w:p w14:paraId="04A670E8" w14:textId="33EDE85C" w:rsidR="006F6C8B" w:rsidRPr="00F36FBD" w:rsidRDefault="006F6C8B">
            <w:pPr>
              <w:pStyle w:val="TableText0"/>
              <w:jc w:val="right"/>
              <w:rPr>
                <w:vertAlign w:val="superscript"/>
              </w:rPr>
            </w:pPr>
            <w:r w:rsidRPr="004662DD">
              <w:t>−$</w:t>
            </w:r>
            <w:r w:rsidR="00A12619" w:rsidRPr="00A12619">
              <w:rPr>
                <w:color w:val="000000"/>
                <w:spacing w:val="51"/>
                <w:shd w:val="solid" w:color="000000" w:fill="000000"/>
                <w:fitText w:val="324" w:id="-628482803"/>
                <w14:textFill>
                  <w14:solidFill>
                    <w14:srgbClr w14:val="000000">
                      <w14:alpha w14:val="100000"/>
                    </w14:srgbClr>
                  </w14:solidFill>
                </w14:textFill>
              </w:rPr>
              <w:t>|||</w:t>
            </w:r>
            <w:r w:rsidR="00A12619" w:rsidRPr="00A12619">
              <w:rPr>
                <w:color w:val="000000"/>
                <w:spacing w:val="1"/>
                <w:shd w:val="solid" w:color="000000" w:fill="000000"/>
                <w:fitText w:val="324" w:id="-628482803"/>
                <w14:textFill>
                  <w14:solidFill>
                    <w14:srgbClr w14:val="000000">
                      <w14:alpha w14:val="100000"/>
                    </w14:srgbClr>
                  </w14:solidFill>
                </w14:textFill>
              </w:rPr>
              <w:t>|</w:t>
            </w:r>
            <w:r w:rsidR="00F36FBD">
              <w:rPr>
                <w:vertAlign w:val="superscript"/>
              </w:rPr>
              <w:t>16</w:t>
            </w:r>
          </w:p>
        </w:tc>
        <w:tc>
          <w:tcPr>
            <w:tcW w:w="637" w:type="pct"/>
            <w:tcBorders>
              <w:top w:val="nil"/>
            </w:tcBorders>
            <w:noWrap/>
          </w:tcPr>
          <w:p w14:paraId="004622D1" w14:textId="46E06BBA" w:rsidR="006F6C8B" w:rsidRPr="00F36FBD" w:rsidRDefault="006F6C8B">
            <w:pPr>
              <w:pStyle w:val="TableText0"/>
              <w:jc w:val="right"/>
              <w:rPr>
                <w:vertAlign w:val="superscript"/>
              </w:rPr>
            </w:pPr>
            <w:r w:rsidRPr="004662DD">
              <w:t>−$</w:t>
            </w:r>
            <w:r w:rsidR="00A12619" w:rsidRPr="00A12619">
              <w:rPr>
                <w:color w:val="000000"/>
                <w:spacing w:val="51"/>
                <w:shd w:val="solid" w:color="000000" w:fill="000000"/>
                <w:fitText w:val="324" w:id="-628482802"/>
                <w14:textFill>
                  <w14:solidFill>
                    <w14:srgbClr w14:val="000000">
                      <w14:alpha w14:val="100000"/>
                    </w14:srgbClr>
                  </w14:solidFill>
                </w14:textFill>
              </w:rPr>
              <w:t>|||</w:t>
            </w:r>
            <w:r w:rsidR="00A12619" w:rsidRPr="00A12619">
              <w:rPr>
                <w:color w:val="000000"/>
                <w:spacing w:val="1"/>
                <w:shd w:val="solid" w:color="000000" w:fill="000000"/>
                <w:fitText w:val="324" w:id="-628482802"/>
                <w14:textFill>
                  <w14:solidFill>
                    <w14:srgbClr w14:val="000000">
                      <w14:alpha w14:val="100000"/>
                    </w14:srgbClr>
                  </w14:solidFill>
                </w14:textFill>
              </w:rPr>
              <w:t>|</w:t>
            </w:r>
            <w:r w:rsidR="00F36FBD">
              <w:rPr>
                <w:vertAlign w:val="superscript"/>
              </w:rPr>
              <w:t>16</w:t>
            </w:r>
          </w:p>
        </w:tc>
        <w:tc>
          <w:tcPr>
            <w:tcW w:w="637" w:type="pct"/>
            <w:tcBorders>
              <w:top w:val="nil"/>
            </w:tcBorders>
            <w:noWrap/>
          </w:tcPr>
          <w:p w14:paraId="1DB257B0" w14:textId="56F76AA3" w:rsidR="006F6C8B" w:rsidRPr="00F36FBD" w:rsidRDefault="006F6C8B">
            <w:pPr>
              <w:pStyle w:val="TableText0"/>
              <w:jc w:val="right"/>
              <w:rPr>
                <w:vertAlign w:val="superscript"/>
              </w:rPr>
            </w:pPr>
            <w:r w:rsidRPr="004662DD">
              <w:t>−$</w:t>
            </w:r>
            <w:r w:rsidR="00A12619" w:rsidRPr="00A12619">
              <w:rPr>
                <w:color w:val="000000"/>
                <w:spacing w:val="51"/>
                <w:shd w:val="solid" w:color="000000" w:fill="000000"/>
                <w:fitText w:val="324" w:id="-628482801"/>
                <w14:textFill>
                  <w14:solidFill>
                    <w14:srgbClr w14:val="000000">
                      <w14:alpha w14:val="100000"/>
                    </w14:srgbClr>
                  </w14:solidFill>
                </w14:textFill>
              </w:rPr>
              <w:t>|||</w:t>
            </w:r>
            <w:r w:rsidR="00A12619" w:rsidRPr="00A12619">
              <w:rPr>
                <w:color w:val="000000"/>
                <w:spacing w:val="1"/>
                <w:shd w:val="solid" w:color="000000" w:fill="000000"/>
                <w:fitText w:val="324" w:id="-628482801"/>
                <w14:textFill>
                  <w14:solidFill>
                    <w14:srgbClr w14:val="000000">
                      <w14:alpha w14:val="100000"/>
                    </w14:srgbClr>
                  </w14:solidFill>
                </w14:textFill>
              </w:rPr>
              <w:t>|</w:t>
            </w:r>
            <w:r w:rsidR="00F36FBD">
              <w:rPr>
                <w:vertAlign w:val="superscript"/>
              </w:rPr>
              <w:t>16</w:t>
            </w:r>
          </w:p>
        </w:tc>
        <w:tc>
          <w:tcPr>
            <w:tcW w:w="637" w:type="pct"/>
            <w:tcBorders>
              <w:top w:val="nil"/>
            </w:tcBorders>
            <w:noWrap/>
          </w:tcPr>
          <w:p w14:paraId="5DDAB169" w14:textId="247D1F24" w:rsidR="006F6C8B" w:rsidRPr="00F36FBD" w:rsidRDefault="006F6C8B">
            <w:pPr>
              <w:pStyle w:val="TableText0"/>
              <w:jc w:val="right"/>
              <w:rPr>
                <w:vertAlign w:val="superscript"/>
              </w:rPr>
            </w:pPr>
            <w:r w:rsidRPr="004662DD">
              <w:t>−$</w:t>
            </w:r>
            <w:r w:rsidR="00A12619" w:rsidRPr="00A12619">
              <w:rPr>
                <w:color w:val="000000"/>
                <w:spacing w:val="51"/>
                <w:shd w:val="solid" w:color="000000" w:fill="000000"/>
                <w:fitText w:val="324" w:id="-628482800"/>
                <w14:textFill>
                  <w14:solidFill>
                    <w14:srgbClr w14:val="000000">
                      <w14:alpha w14:val="100000"/>
                    </w14:srgbClr>
                  </w14:solidFill>
                </w14:textFill>
              </w:rPr>
              <w:t>|||</w:t>
            </w:r>
            <w:r w:rsidR="00A12619" w:rsidRPr="00A12619">
              <w:rPr>
                <w:color w:val="000000"/>
                <w:spacing w:val="1"/>
                <w:shd w:val="solid" w:color="000000" w:fill="000000"/>
                <w:fitText w:val="324" w:id="-628482800"/>
                <w14:textFill>
                  <w14:solidFill>
                    <w14:srgbClr w14:val="000000">
                      <w14:alpha w14:val="100000"/>
                    </w14:srgbClr>
                  </w14:solidFill>
                </w14:textFill>
              </w:rPr>
              <w:t>|</w:t>
            </w:r>
            <w:r w:rsidR="00F36FBD">
              <w:rPr>
                <w:vertAlign w:val="superscript"/>
              </w:rPr>
              <w:t>16</w:t>
            </w:r>
          </w:p>
        </w:tc>
        <w:tc>
          <w:tcPr>
            <w:tcW w:w="638" w:type="pct"/>
            <w:tcBorders>
              <w:top w:val="nil"/>
            </w:tcBorders>
            <w:noWrap/>
          </w:tcPr>
          <w:p w14:paraId="29D4F365" w14:textId="7537F594" w:rsidR="006F6C8B" w:rsidRPr="00F36FBD" w:rsidRDefault="006F6C8B">
            <w:pPr>
              <w:pStyle w:val="TableText0"/>
              <w:jc w:val="right"/>
              <w:rPr>
                <w:vertAlign w:val="superscript"/>
              </w:rPr>
            </w:pPr>
            <w:r w:rsidRPr="004662DD">
              <w:t>−$</w:t>
            </w:r>
            <w:r w:rsidR="00A12619" w:rsidRPr="00A12619">
              <w:rPr>
                <w:color w:val="000000"/>
                <w:spacing w:val="51"/>
                <w:shd w:val="solid" w:color="000000" w:fill="000000"/>
                <w:fitText w:val="324" w:id="-628482816"/>
                <w14:textFill>
                  <w14:solidFill>
                    <w14:srgbClr w14:val="000000">
                      <w14:alpha w14:val="100000"/>
                    </w14:srgbClr>
                  </w14:solidFill>
                </w14:textFill>
              </w:rPr>
              <w:t>|||</w:t>
            </w:r>
            <w:r w:rsidR="00A12619" w:rsidRPr="00A12619">
              <w:rPr>
                <w:color w:val="000000"/>
                <w:spacing w:val="1"/>
                <w:shd w:val="solid" w:color="000000" w:fill="000000"/>
                <w:fitText w:val="324" w:id="-628482816"/>
                <w14:textFill>
                  <w14:solidFill>
                    <w14:srgbClr w14:val="000000">
                      <w14:alpha w14:val="100000"/>
                    </w14:srgbClr>
                  </w14:solidFill>
                </w14:textFill>
              </w:rPr>
              <w:t>|</w:t>
            </w:r>
            <w:r w:rsidR="00F36FBD">
              <w:rPr>
                <w:vertAlign w:val="superscript"/>
              </w:rPr>
              <w:t>16</w:t>
            </w:r>
          </w:p>
        </w:tc>
      </w:tr>
      <w:tr w:rsidR="006F6C8B" w:rsidRPr="004662DD" w14:paraId="1118F8BF" w14:textId="77777777">
        <w:tc>
          <w:tcPr>
            <w:tcW w:w="1177" w:type="pct"/>
            <w:tcBorders>
              <w:bottom w:val="single" w:sz="4" w:space="0" w:color="auto"/>
            </w:tcBorders>
            <w:noWrap/>
          </w:tcPr>
          <w:p w14:paraId="75CF66C9" w14:textId="5BA30921" w:rsidR="006F6C8B" w:rsidRPr="004662DD" w:rsidRDefault="006F6C8B">
            <w:pPr>
              <w:pStyle w:val="TableText0"/>
              <w:rPr>
                <w:szCs w:val="20"/>
              </w:rPr>
            </w:pPr>
            <w:r w:rsidRPr="004662DD">
              <w:t>Impact to state hospital budgets</w:t>
            </w:r>
            <w:r w:rsidR="001614D0">
              <w:t xml:space="preserve"> </w:t>
            </w:r>
            <w:r w:rsidR="001614D0" w:rsidRPr="001614D0">
              <w:rPr>
                <w:vertAlign w:val="superscript"/>
              </w:rPr>
              <w:t>c</w:t>
            </w:r>
          </w:p>
        </w:tc>
        <w:tc>
          <w:tcPr>
            <w:tcW w:w="637" w:type="pct"/>
            <w:tcBorders>
              <w:bottom w:val="single" w:sz="4" w:space="0" w:color="auto"/>
            </w:tcBorders>
            <w:noWrap/>
          </w:tcPr>
          <w:p w14:paraId="30A726EE" w14:textId="0B5569E9" w:rsidR="006F6C8B" w:rsidRPr="00F36FBD" w:rsidRDefault="006F6C8B">
            <w:pPr>
              <w:pStyle w:val="TableText0"/>
              <w:jc w:val="right"/>
              <w:rPr>
                <w:vertAlign w:val="superscript"/>
              </w:rPr>
            </w:pPr>
            <w:r w:rsidRPr="004662DD">
              <w:t>−$</w:t>
            </w:r>
            <w:r w:rsidR="00A12619" w:rsidRPr="00A12619">
              <w:rPr>
                <w:color w:val="000000"/>
                <w:spacing w:val="55"/>
                <w:shd w:val="solid" w:color="000000" w:fill="000000"/>
                <w:fitText w:val="336" w:id="-628482815"/>
                <w14:textFill>
                  <w14:solidFill>
                    <w14:srgbClr w14:val="000000">
                      <w14:alpha w14:val="100000"/>
                    </w14:srgbClr>
                  </w14:solidFill>
                </w14:textFill>
              </w:rPr>
              <w:t>|||</w:t>
            </w:r>
            <w:r w:rsidR="00A12619" w:rsidRPr="00A12619">
              <w:rPr>
                <w:color w:val="000000"/>
                <w:spacing w:val="1"/>
                <w:shd w:val="solid" w:color="000000" w:fill="000000"/>
                <w:fitText w:val="336" w:id="-628482815"/>
                <w14:textFill>
                  <w14:solidFill>
                    <w14:srgbClr w14:val="000000">
                      <w14:alpha w14:val="100000"/>
                    </w14:srgbClr>
                  </w14:solidFill>
                </w14:textFill>
              </w:rPr>
              <w:t>|</w:t>
            </w:r>
            <w:r w:rsidR="00F36FBD">
              <w:rPr>
                <w:vertAlign w:val="superscript"/>
              </w:rPr>
              <w:t>16</w:t>
            </w:r>
          </w:p>
        </w:tc>
        <w:tc>
          <w:tcPr>
            <w:tcW w:w="637" w:type="pct"/>
            <w:tcBorders>
              <w:bottom w:val="single" w:sz="4" w:space="0" w:color="auto"/>
            </w:tcBorders>
            <w:noWrap/>
          </w:tcPr>
          <w:p w14:paraId="178D4052" w14:textId="46547430" w:rsidR="006F6C8B" w:rsidRPr="00F36FBD" w:rsidRDefault="006F6C8B">
            <w:pPr>
              <w:pStyle w:val="TableText0"/>
              <w:jc w:val="right"/>
              <w:rPr>
                <w:vertAlign w:val="superscript"/>
              </w:rPr>
            </w:pPr>
            <w:r w:rsidRPr="004662DD">
              <w:t>−$</w:t>
            </w:r>
            <w:r w:rsidR="00A12619" w:rsidRPr="00A12619">
              <w:rPr>
                <w:color w:val="000000"/>
                <w:spacing w:val="51"/>
                <w:shd w:val="solid" w:color="000000" w:fill="000000"/>
                <w:fitText w:val="324" w:id="-628482814"/>
                <w14:textFill>
                  <w14:solidFill>
                    <w14:srgbClr w14:val="000000">
                      <w14:alpha w14:val="100000"/>
                    </w14:srgbClr>
                  </w14:solidFill>
                </w14:textFill>
              </w:rPr>
              <w:t>|||</w:t>
            </w:r>
            <w:r w:rsidR="00A12619" w:rsidRPr="00A12619">
              <w:rPr>
                <w:color w:val="000000"/>
                <w:spacing w:val="1"/>
                <w:shd w:val="solid" w:color="000000" w:fill="000000"/>
                <w:fitText w:val="324" w:id="-628482814"/>
                <w14:textFill>
                  <w14:solidFill>
                    <w14:srgbClr w14:val="000000">
                      <w14:alpha w14:val="100000"/>
                    </w14:srgbClr>
                  </w14:solidFill>
                </w14:textFill>
              </w:rPr>
              <w:t>|</w:t>
            </w:r>
            <w:r w:rsidR="00F36FBD">
              <w:rPr>
                <w:vertAlign w:val="superscript"/>
              </w:rPr>
              <w:t>16</w:t>
            </w:r>
          </w:p>
        </w:tc>
        <w:tc>
          <w:tcPr>
            <w:tcW w:w="637" w:type="pct"/>
            <w:tcBorders>
              <w:bottom w:val="single" w:sz="4" w:space="0" w:color="auto"/>
            </w:tcBorders>
            <w:noWrap/>
          </w:tcPr>
          <w:p w14:paraId="20E944AF" w14:textId="41ACFA73" w:rsidR="006F6C8B" w:rsidRPr="00F36FBD" w:rsidRDefault="006F6C8B">
            <w:pPr>
              <w:pStyle w:val="TableText0"/>
              <w:jc w:val="right"/>
              <w:rPr>
                <w:vertAlign w:val="superscript"/>
              </w:rPr>
            </w:pPr>
            <w:r w:rsidRPr="004662DD">
              <w:t>−$</w:t>
            </w:r>
            <w:r w:rsidR="00A12619" w:rsidRPr="00A12619">
              <w:rPr>
                <w:color w:val="000000"/>
                <w:spacing w:val="51"/>
                <w:shd w:val="solid" w:color="000000" w:fill="000000"/>
                <w:fitText w:val="324" w:id="-628482813"/>
                <w14:textFill>
                  <w14:solidFill>
                    <w14:srgbClr w14:val="000000">
                      <w14:alpha w14:val="100000"/>
                    </w14:srgbClr>
                  </w14:solidFill>
                </w14:textFill>
              </w:rPr>
              <w:t>|||</w:t>
            </w:r>
            <w:r w:rsidR="00A12619" w:rsidRPr="00A12619">
              <w:rPr>
                <w:color w:val="000000"/>
                <w:spacing w:val="1"/>
                <w:shd w:val="solid" w:color="000000" w:fill="000000"/>
                <w:fitText w:val="324" w:id="-628482813"/>
                <w14:textFill>
                  <w14:solidFill>
                    <w14:srgbClr w14:val="000000">
                      <w14:alpha w14:val="100000"/>
                    </w14:srgbClr>
                  </w14:solidFill>
                </w14:textFill>
              </w:rPr>
              <w:t>|</w:t>
            </w:r>
            <w:r w:rsidR="00F36FBD">
              <w:rPr>
                <w:vertAlign w:val="superscript"/>
              </w:rPr>
              <w:t>16</w:t>
            </w:r>
          </w:p>
        </w:tc>
        <w:tc>
          <w:tcPr>
            <w:tcW w:w="637" w:type="pct"/>
            <w:tcBorders>
              <w:bottom w:val="single" w:sz="4" w:space="0" w:color="auto"/>
            </w:tcBorders>
            <w:noWrap/>
          </w:tcPr>
          <w:p w14:paraId="2FFCBE93" w14:textId="2E7618AA" w:rsidR="006F6C8B" w:rsidRPr="00F36FBD" w:rsidRDefault="006F6C8B">
            <w:pPr>
              <w:pStyle w:val="TableText0"/>
              <w:jc w:val="right"/>
              <w:rPr>
                <w:vertAlign w:val="superscript"/>
              </w:rPr>
            </w:pPr>
            <w:r w:rsidRPr="004662DD">
              <w:t>−$</w:t>
            </w:r>
            <w:r w:rsidR="00A12619" w:rsidRPr="00A12619">
              <w:rPr>
                <w:color w:val="000000"/>
                <w:spacing w:val="51"/>
                <w:shd w:val="solid" w:color="000000" w:fill="000000"/>
                <w:fitText w:val="324" w:id="-628482812"/>
                <w14:textFill>
                  <w14:solidFill>
                    <w14:srgbClr w14:val="000000">
                      <w14:alpha w14:val="100000"/>
                    </w14:srgbClr>
                  </w14:solidFill>
                </w14:textFill>
              </w:rPr>
              <w:t>|||</w:t>
            </w:r>
            <w:r w:rsidR="00A12619" w:rsidRPr="00A12619">
              <w:rPr>
                <w:color w:val="000000"/>
                <w:spacing w:val="1"/>
                <w:shd w:val="solid" w:color="000000" w:fill="000000"/>
                <w:fitText w:val="324" w:id="-628482812"/>
                <w14:textFill>
                  <w14:solidFill>
                    <w14:srgbClr w14:val="000000">
                      <w14:alpha w14:val="100000"/>
                    </w14:srgbClr>
                  </w14:solidFill>
                </w14:textFill>
              </w:rPr>
              <w:t>|</w:t>
            </w:r>
            <w:r w:rsidR="00F36FBD">
              <w:rPr>
                <w:vertAlign w:val="superscript"/>
              </w:rPr>
              <w:t>16</w:t>
            </w:r>
          </w:p>
        </w:tc>
        <w:tc>
          <w:tcPr>
            <w:tcW w:w="637" w:type="pct"/>
            <w:tcBorders>
              <w:bottom w:val="single" w:sz="4" w:space="0" w:color="auto"/>
            </w:tcBorders>
            <w:noWrap/>
          </w:tcPr>
          <w:p w14:paraId="0E27CE72" w14:textId="3D39BC09" w:rsidR="006F6C8B" w:rsidRPr="00F36FBD" w:rsidRDefault="006F6C8B">
            <w:pPr>
              <w:pStyle w:val="TableText0"/>
              <w:jc w:val="right"/>
              <w:rPr>
                <w:vertAlign w:val="superscript"/>
              </w:rPr>
            </w:pPr>
            <w:r w:rsidRPr="004662DD">
              <w:t>−$</w:t>
            </w:r>
            <w:r w:rsidR="00A12619" w:rsidRPr="00A12619">
              <w:rPr>
                <w:color w:val="000000"/>
                <w:spacing w:val="51"/>
                <w:shd w:val="solid" w:color="000000" w:fill="000000"/>
                <w:fitText w:val="324" w:id="-628482811"/>
                <w14:textFill>
                  <w14:solidFill>
                    <w14:srgbClr w14:val="000000">
                      <w14:alpha w14:val="100000"/>
                    </w14:srgbClr>
                  </w14:solidFill>
                </w14:textFill>
              </w:rPr>
              <w:t>|||</w:t>
            </w:r>
            <w:r w:rsidR="00A12619" w:rsidRPr="00A12619">
              <w:rPr>
                <w:color w:val="000000"/>
                <w:spacing w:val="1"/>
                <w:shd w:val="solid" w:color="000000" w:fill="000000"/>
                <w:fitText w:val="324" w:id="-628482811"/>
                <w14:textFill>
                  <w14:solidFill>
                    <w14:srgbClr w14:val="000000">
                      <w14:alpha w14:val="100000"/>
                    </w14:srgbClr>
                  </w14:solidFill>
                </w14:textFill>
              </w:rPr>
              <w:t>|</w:t>
            </w:r>
            <w:r w:rsidR="00F36FBD">
              <w:rPr>
                <w:vertAlign w:val="superscript"/>
              </w:rPr>
              <w:t>16</w:t>
            </w:r>
          </w:p>
        </w:tc>
        <w:tc>
          <w:tcPr>
            <w:tcW w:w="638" w:type="pct"/>
            <w:tcBorders>
              <w:bottom w:val="single" w:sz="4" w:space="0" w:color="auto"/>
            </w:tcBorders>
            <w:noWrap/>
          </w:tcPr>
          <w:p w14:paraId="28279201" w14:textId="285B0696" w:rsidR="006F6C8B" w:rsidRPr="00F36FBD" w:rsidRDefault="006F6C8B">
            <w:pPr>
              <w:pStyle w:val="TableText0"/>
              <w:jc w:val="right"/>
              <w:rPr>
                <w:vertAlign w:val="superscript"/>
              </w:rPr>
            </w:pPr>
            <w:r w:rsidRPr="004662DD">
              <w:t>−$</w:t>
            </w:r>
            <w:r w:rsidR="00A12619" w:rsidRPr="00A12619">
              <w:rPr>
                <w:color w:val="000000"/>
                <w:spacing w:val="51"/>
                <w:shd w:val="solid" w:color="000000" w:fill="000000"/>
                <w:fitText w:val="324" w:id="-628482810"/>
                <w14:textFill>
                  <w14:solidFill>
                    <w14:srgbClr w14:val="000000">
                      <w14:alpha w14:val="100000"/>
                    </w14:srgbClr>
                  </w14:solidFill>
                </w14:textFill>
              </w:rPr>
              <w:t>|||</w:t>
            </w:r>
            <w:r w:rsidR="00A12619" w:rsidRPr="00A12619">
              <w:rPr>
                <w:color w:val="000000"/>
                <w:spacing w:val="1"/>
                <w:shd w:val="solid" w:color="000000" w:fill="000000"/>
                <w:fitText w:val="324" w:id="-628482810"/>
                <w14:textFill>
                  <w14:solidFill>
                    <w14:srgbClr w14:val="000000">
                      <w14:alpha w14:val="100000"/>
                    </w14:srgbClr>
                  </w14:solidFill>
                </w14:textFill>
              </w:rPr>
              <w:t>|</w:t>
            </w:r>
            <w:r w:rsidR="00F36FBD">
              <w:rPr>
                <w:vertAlign w:val="superscript"/>
              </w:rPr>
              <w:t>16</w:t>
            </w:r>
          </w:p>
        </w:tc>
      </w:tr>
      <w:tr w:rsidR="006F6C8B" w:rsidRPr="004662DD" w14:paraId="6F71167B" w14:textId="77777777">
        <w:tc>
          <w:tcPr>
            <w:tcW w:w="1177" w:type="pct"/>
            <w:tcBorders>
              <w:bottom w:val="nil"/>
            </w:tcBorders>
            <w:noWrap/>
          </w:tcPr>
          <w:p w14:paraId="060B7CB3" w14:textId="77777777" w:rsidR="006F6C8B" w:rsidRPr="004662DD" w:rsidRDefault="006F6C8B">
            <w:pPr>
              <w:pStyle w:val="TableText0"/>
              <w:rPr>
                <w:szCs w:val="20"/>
              </w:rPr>
            </w:pPr>
            <w:r w:rsidRPr="004662DD">
              <w:rPr>
                <w:b/>
                <w:bCs w:val="0"/>
              </w:rPr>
              <w:t>Net impact to Government health budgets</w:t>
            </w:r>
          </w:p>
        </w:tc>
        <w:tc>
          <w:tcPr>
            <w:tcW w:w="637" w:type="pct"/>
            <w:tcBorders>
              <w:bottom w:val="nil"/>
            </w:tcBorders>
            <w:noWrap/>
          </w:tcPr>
          <w:p w14:paraId="01BB932E" w14:textId="7DAE78F4" w:rsidR="006F6C8B" w:rsidRPr="00F36FBD" w:rsidRDefault="006F6C8B">
            <w:pPr>
              <w:pStyle w:val="TableText0"/>
              <w:jc w:val="right"/>
              <w:rPr>
                <w:vertAlign w:val="superscript"/>
              </w:rPr>
            </w:pPr>
            <w:r w:rsidRPr="004662DD">
              <w:rPr>
                <w:b/>
                <w:bCs w:val="0"/>
              </w:rPr>
              <w:t>−$</w:t>
            </w:r>
            <w:r w:rsidR="00A12619" w:rsidRPr="00A12619">
              <w:rPr>
                <w:b/>
                <w:bCs w:val="0"/>
                <w:color w:val="000000"/>
                <w:spacing w:val="58"/>
                <w:shd w:val="solid" w:color="000000" w:fill="000000"/>
                <w:fitText w:val="360" w:id="-628482809"/>
                <w14:textFill>
                  <w14:solidFill>
                    <w14:srgbClr w14:val="000000">
                      <w14:alpha w14:val="100000"/>
                    </w14:srgbClr>
                  </w14:solidFill>
                </w14:textFill>
              </w:rPr>
              <w:t>|||</w:t>
            </w:r>
            <w:r w:rsidR="00A12619" w:rsidRPr="00A12619">
              <w:rPr>
                <w:b/>
                <w:bCs w:val="0"/>
                <w:color w:val="000000"/>
                <w:spacing w:val="3"/>
                <w:shd w:val="solid" w:color="000000" w:fill="000000"/>
                <w:fitText w:val="360" w:id="-628482809"/>
                <w14:textFill>
                  <w14:solidFill>
                    <w14:srgbClr w14:val="000000">
                      <w14:alpha w14:val="100000"/>
                    </w14:srgbClr>
                  </w14:solidFill>
                </w14:textFill>
              </w:rPr>
              <w:t>|</w:t>
            </w:r>
            <w:r w:rsidR="00F36FBD">
              <w:rPr>
                <w:b/>
                <w:bCs w:val="0"/>
                <w:vertAlign w:val="superscript"/>
              </w:rPr>
              <w:t>16</w:t>
            </w:r>
          </w:p>
        </w:tc>
        <w:tc>
          <w:tcPr>
            <w:tcW w:w="637" w:type="pct"/>
            <w:tcBorders>
              <w:bottom w:val="nil"/>
            </w:tcBorders>
            <w:noWrap/>
          </w:tcPr>
          <w:p w14:paraId="140A0F60" w14:textId="21983C58" w:rsidR="006F6C8B" w:rsidRPr="00F36FBD" w:rsidRDefault="006F6C8B">
            <w:pPr>
              <w:pStyle w:val="TableText0"/>
              <w:jc w:val="right"/>
              <w:rPr>
                <w:vertAlign w:val="superscript"/>
              </w:rPr>
            </w:pPr>
            <w:r w:rsidRPr="004662DD">
              <w:rPr>
                <w:b/>
                <w:bCs w:val="0"/>
              </w:rPr>
              <w:t>−$</w:t>
            </w:r>
            <w:r w:rsidR="00A12619" w:rsidRPr="00A12619">
              <w:rPr>
                <w:b/>
                <w:bCs w:val="0"/>
                <w:color w:val="000000"/>
                <w:spacing w:val="58"/>
                <w:shd w:val="solid" w:color="000000" w:fill="000000"/>
                <w:fitText w:val="360" w:id="-628482808"/>
                <w14:textFill>
                  <w14:solidFill>
                    <w14:srgbClr w14:val="000000">
                      <w14:alpha w14:val="100000"/>
                    </w14:srgbClr>
                  </w14:solidFill>
                </w14:textFill>
              </w:rPr>
              <w:t>|||</w:t>
            </w:r>
            <w:r w:rsidR="00A12619" w:rsidRPr="00A12619">
              <w:rPr>
                <w:b/>
                <w:bCs w:val="0"/>
                <w:color w:val="000000"/>
                <w:spacing w:val="3"/>
                <w:shd w:val="solid" w:color="000000" w:fill="000000"/>
                <w:fitText w:val="360" w:id="-628482808"/>
                <w14:textFill>
                  <w14:solidFill>
                    <w14:srgbClr w14:val="000000">
                      <w14:alpha w14:val="100000"/>
                    </w14:srgbClr>
                  </w14:solidFill>
                </w14:textFill>
              </w:rPr>
              <w:t>|</w:t>
            </w:r>
            <w:r w:rsidR="00F36FBD">
              <w:rPr>
                <w:b/>
                <w:bCs w:val="0"/>
                <w:vertAlign w:val="superscript"/>
              </w:rPr>
              <w:t>16</w:t>
            </w:r>
          </w:p>
        </w:tc>
        <w:tc>
          <w:tcPr>
            <w:tcW w:w="637" w:type="pct"/>
            <w:tcBorders>
              <w:bottom w:val="nil"/>
            </w:tcBorders>
            <w:noWrap/>
          </w:tcPr>
          <w:p w14:paraId="60FC8A2D" w14:textId="41AD9B93" w:rsidR="006F6C8B" w:rsidRPr="00F36FBD" w:rsidRDefault="006F6C8B">
            <w:pPr>
              <w:pStyle w:val="TableText0"/>
              <w:jc w:val="right"/>
              <w:rPr>
                <w:vertAlign w:val="superscript"/>
              </w:rPr>
            </w:pPr>
            <w:r w:rsidRPr="004662DD">
              <w:rPr>
                <w:b/>
                <w:bCs w:val="0"/>
              </w:rPr>
              <w:t>−$</w:t>
            </w:r>
            <w:r w:rsidR="00A12619" w:rsidRPr="00A12619">
              <w:rPr>
                <w:b/>
                <w:bCs w:val="0"/>
                <w:color w:val="000000"/>
                <w:spacing w:val="58"/>
                <w:shd w:val="solid" w:color="000000" w:fill="000000"/>
                <w:fitText w:val="360" w:id="-628482807"/>
                <w14:textFill>
                  <w14:solidFill>
                    <w14:srgbClr w14:val="000000">
                      <w14:alpha w14:val="100000"/>
                    </w14:srgbClr>
                  </w14:solidFill>
                </w14:textFill>
              </w:rPr>
              <w:t>|||</w:t>
            </w:r>
            <w:r w:rsidR="00A12619" w:rsidRPr="00A12619">
              <w:rPr>
                <w:b/>
                <w:bCs w:val="0"/>
                <w:color w:val="000000"/>
                <w:spacing w:val="3"/>
                <w:shd w:val="solid" w:color="000000" w:fill="000000"/>
                <w:fitText w:val="360" w:id="-628482807"/>
                <w14:textFill>
                  <w14:solidFill>
                    <w14:srgbClr w14:val="000000">
                      <w14:alpha w14:val="100000"/>
                    </w14:srgbClr>
                  </w14:solidFill>
                </w14:textFill>
              </w:rPr>
              <w:t>|</w:t>
            </w:r>
            <w:r w:rsidR="00F36FBD">
              <w:rPr>
                <w:b/>
                <w:bCs w:val="0"/>
                <w:vertAlign w:val="superscript"/>
              </w:rPr>
              <w:t>16</w:t>
            </w:r>
          </w:p>
        </w:tc>
        <w:tc>
          <w:tcPr>
            <w:tcW w:w="637" w:type="pct"/>
            <w:tcBorders>
              <w:bottom w:val="nil"/>
            </w:tcBorders>
            <w:noWrap/>
          </w:tcPr>
          <w:p w14:paraId="534DC8F2" w14:textId="7DCC68D7" w:rsidR="006F6C8B" w:rsidRPr="00F36FBD" w:rsidRDefault="006F6C8B">
            <w:pPr>
              <w:pStyle w:val="TableText0"/>
              <w:jc w:val="right"/>
              <w:rPr>
                <w:vertAlign w:val="superscript"/>
              </w:rPr>
            </w:pPr>
            <w:r w:rsidRPr="004662DD">
              <w:rPr>
                <w:b/>
                <w:bCs w:val="0"/>
              </w:rPr>
              <w:t>−$</w:t>
            </w:r>
            <w:r w:rsidR="00A12619" w:rsidRPr="00A12619">
              <w:rPr>
                <w:b/>
                <w:bCs w:val="0"/>
                <w:color w:val="000000"/>
                <w:spacing w:val="58"/>
                <w:shd w:val="solid" w:color="000000" w:fill="000000"/>
                <w:fitText w:val="360" w:id="-628482806"/>
                <w14:textFill>
                  <w14:solidFill>
                    <w14:srgbClr w14:val="000000">
                      <w14:alpha w14:val="100000"/>
                    </w14:srgbClr>
                  </w14:solidFill>
                </w14:textFill>
              </w:rPr>
              <w:t>|||</w:t>
            </w:r>
            <w:r w:rsidR="00A12619" w:rsidRPr="00A12619">
              <w:rPr>
                <w:b/>
                <w:bCs w:val="0"/>
                <w:color w:val="000000"/>
                <w:spacing w:val="3"/>
                <w:shd w:val="solid" w:color="000000" w:fill="000000"/>
                <w:fitText w:val="360" w:id="-628482806"/>
                <w14:textFill>
                  <w14:solidFill>
                    <w14:srgbClr w14:val="000000">
                      <w14:alpha w14:val="100000"/>
                    </w14:srgbClr>
                  </w14:solidFill>
                </w14:textFill>
              </w:rPr>
              <w:t>|</w:t>
            </w:r>
            <w:r w:rsidR="00F36FBD">
              <w:rPr>
                <w:b/>
                <w:bCs w:val="0"/>
                <w:vertAlign w:val="superscript"/>
              </w:rPr>
              <w:t>16</w:t>
            </w:r>
          </w:p>
        </w:tc>
        <w:tc>
          <w:tcPr>
            <w:tcW w:w="637" w:type="pct"/>
            <w:tcBorders>
              <w:bottom w:val="nil"/>
            </w:tcBorders>
            <w:noWrap/>
          </w:tcPr>
          <w:p w14:paraId="6A22DBA1" w14:textId="33FC8223" w:rsidR="006F6C8B" w:rsidRPr="00F36FBD" w:rsidRDefault="006F6C8B">
            <w:pPr>
              <w:pStyle w:val="TableText0"/>
              <w:jc w:val="right"/>
              <w:rPr>
                <w:vertAlign w:val="superscript"/>
              </w:rPr>
            </w:pPr>
            <w:r w:rsidRPr="004662DD">
              <w:rPr>
                <w:b/>
                <w:bCs w:val="0"/>
              </w:rPr>
              <w:t>−$</w:t>
            </w:r>
            <w:r w:rsidR="00A12619" w:rsidRPr="00A12619">
              <w:rPr>
                <w:b/>
                <w:bCs w:val="0"/>
                <w:color w:val="000000"/>
                <w:spacing w:val="58"/>
                <w:shd w:val="solid" w:color="000000" w:fill="000000"/>
                <w:fitText w:val="360" w:id="-628482805"/>
                <w14:textFill>
                  <w14:solidFill>
                    <w14:srgbClr w14:val="000000">
                      <w14:alpha w14:val="100000"/>
                    </w14:srgbClr>
                  </w14:solidFill>
                </w14:textFill>
              </w:rPr>
              <w:t>|||</w:t>
            </w:r>
            <w:r w:rsidR="00A12619" w:rsidRPr="00A12619">
              <w:rPr>
                <w:b/>
                <w:bCs w:val="0"/>
                <w:color w:val="000000"/>
                <w:spacing w:val="3"/>
                <w:shd w:val="solid" w:color="000000" w:fill="000000"/>
                <w:fitText w:val="360" w:id="-628482805"/>
                <w14:textFill>
                  <w14:solidFill>
                    <w14:srgbClr w14:val="000000">
                      <w14:alpha w14:val="100000"/>
                    </w14:srgbClr>
                  </w14:solidFill>
                </w14:textFill>
              </w:rPr>
              <w:t>|</w:t>
            </w:r>
            <w:r w:rsidR="00F36FBD">
              <w:rPr>
                <w:b/>
                <w:bCs w:val="0"/>
                <w:vertAlign w:val="superscript"/>
              </w:rPr>
              <w:t>16</w:t>
            </w:r>
          </w:p>
        </w:tc>
        <w:tc>
          <w:tcPr>
            <w:tcW w:w="638" w:type="pct"/>
            <w:tcBorders>
              <w:bottom w:val="nil"/>
            </w:tcBorders>
            <w:noWrap/>
          </w:tcPr>
          <w:p w14:paraId="5650A905" w14:textId="763394A6" w:rsidR="006F6C8B" w:rsidRPr="00F36FBD" w:rsidRDefault="006F6C8B">
            <w:pPr>
              <w:pStyle w:val="TableText0"/>
              <w:jc w:val="right"/>
              <w:rPr>
                <w:vertAlign w:val="superscript"/>
              </w:rPr>
            </w:pPr>
            <w:r w:rsidRPr="004662DD">
              <w:rPr>
                <w:b/>
                <w:bCs w:val="0"/>
              </w:rPr>
              <w:t>−$</w:t>
            </w:r>
            <w:r w:rsidR="00A12619" w:rsidRPr="00A12619">
              <w:rPr>
                <w:b/>
                <w:bCs w:val="0"/>
                <w:color w:val="000000"/>
                <w:spacing w:val="58"/>
                <w:shd w:val="solid" w:color="000000" w:fill="000000"/>
                <w:fitText w:val="360" w:id="-628482804"/>
                <w14:textFill>
                  <w14:solidFill>
                    <w14:srgbClr w14:val="000000">
                      <w14:alpha w14:val="100000"/>
                    </w14:srgbClr>
                  </w14:solidFill>
                </w14:textFill>
              </w:rPr>
              <w:t>|||</w:t>
            </w:r>
            <w:r w:rsidR="00A12619" w:rsidRPr="00A12619">
              <w:rPr>
                <w:b/>
                <w:bCs w:val="0"/>
                <w:color w:val="000000"/>
                <w:spacing w:val="3"/>
                <w:shd w:val="solid" w:color="000000" w:fill="000000"/>
                <w:fitText w:val="360" w:id="-628482804"/>
                <w14:textFill>
                  <w14:solidFill>
                    <w14:srgbClr w14:val="000000">
                      <w14:alpha w14:val="100000"/>
                    </w14:srgbClr>
                  </w14:solidFill>
                </w14:textFill>
              </w:rPr>
              <w:t>|</w:t>
            </w:r>
            <w:r w:rsidR="00F36FBD">
              <w:rPr>
                <w:b/>
                <w:bCs w:val="0"/>
                <w:vertAlign w:val="superscript"/>
              </w:rPr>
              <w:t>16</w:t>
            </w:r>
          </w:p>
        </w:tc>
      </w:tr>
      <w:tr w:rsidR="006F6C8B" w:rsidRPr="004662DD" w14:paraId="7EC61FF0" w14:textId="77777777">
        <w:tc>
          <w:tcPr>
            <w:tcW w:w="1177" w:type="pct"/>
            <w:tcBorders>
              <w:top w:val="nil"/>
            </w:tcBorders>
            <w:noWrap/>
          </w:tcPr>
          <w:p w14:paraId="60785B93" w14:textId="66BF8379" w:rsidR="006F6C8B" w:rsidRPr="004662DD" w:rsidRDefault="006F6C8B">
            <w:pPr>
              <w:pStyle w:val="TableText0"/>
              <w:rPr>
                <w:szCs w:val="20"/>
              </w:rPr>
            </w:pPr>
            <w:r w:rsidRPr="004662DD">
              <w:rPr>
                <w:b/>
                <w:bCs w:val="0"/>
              </w:rPr>
              <w:t>Revised </w:t>
            </w:r>
            <w:r w:rsidRPr="004662DD">
              <w:rPr>
                <w:b/>
                <w:bCs w:val="0"/>
                <w:vertAlign w:val="superscript"/>
              </w:rPr>
              <w:t>a,</w:t>
            </w:r>
            <w:r w:rsidR="00A86FCC">
              <w:rPr>
                <w:b/>
                <w:bCs w:val="0"/>
                <w:vertAlign w:val="superscript"/>
              </w:rPr>
              <w:t xml:space="preserve"> </w:t>
            </w:r>
            <w:r w:rsidRPr="004662DD">
              <w:rPr>
                <w:b/>
                <w:bCs w:val="0"/>
                <w:vertAlign w:val="superscript"/>
              </w:rPr>
              <w:t>b</w:t>
            </w:r>
            <w:r w:rsidR="00DE03A6" w:rsidRPr="00DE03A6">
              <w:rPr>
                <w:b/>
                <w:bCs w:val="0"/>
                <w:vertAlign w:val="superscript"/>
              </w:rPr>
              <w:t>, c</w:t>
            </w:r>
          </w:p>
        </w:tc>
        <w:tc>
          <w:tcPr>
            <w:tcW w:w="637" w:type="pct"/>
            <w:tcBorders>
              <w:top w:val="nil"/>
            </w:tcBorders>
            <w:noWrap/>
          </w:tcPr>
          <w:p w14:paraId="045E1004" w14:textId="370A2854" w:rsidR="006F6C8B" w:rsidRPr="00F36FBD" w:rsidRDefault="006F6C8B">
            <w:pPr>
              <w:pStyle w:val="TableText0"/>
              <w:jc w:val="right"/>
              <w:rPr>
                <w:vertAlign w:val="superscript"/>
              </w:rPr>
            </w:pPr>
            <w:r w:rsidRPr="004662DD">
              <w:rPr>
                <w:b/>
                <w:bCs w:val="0"/>
              </w:rPr>
              <w:t>−$</w:t>
            </w:r>
            <w:r w:rsidR="00A12619" w:rsidRPr="00A12619">
              <w:rPr>
                <w:b/>
                <w:bCs w:val="0"/>
                <w:color w:val="000000"/>
                <w:spacing w:val="58"/>
                <w:shd w:val="solid" w:color="000000" w:fill="000000"/>
                <w:fitText w:val="360" w:id="-628482803"/>
                <w14:textFill>
                  <w14:solidFill>
                    <w14:srgbClr w14:val="000000">
                      <w14:alpha w14:val="100000"/>
                    </w14:srgbClr>
                  </w14:solidFill>
                </w14:textFill>
              </w:rPr>
              <w:t>|||</w:t>
            </w:r>
            <w:r w:rsidR="00A12619" w:rsidRPr="00A12619">
              <w:rPr>
                <w:b/>
                <w:bCs w:val="0"/>
                <w:color w:val="000000"/>
                <w:spacing w:val="3"/>
                <w:shd w:val="solid" w:color="000000" w:fill="000000"/>
                <w:fitText w:val="360" w:id="-628482803"/>
                <w14:textFill>
                  <w14:solidFill>
                    <w14:srgbClr w14:val="000000">
                      <w14:alpha w14:val="100000"/>
                    </w14:srgbClr>
                  </w14:solidFill>
                </w14:textFill>
              </w:rPr>
              <w:t>|</w:t>
            </w:r>
            <w:r w:rsidR="00F36FBD">
              <w:rPr>
                <w:b/>
                <w:bCs w:val="0"/>
                <w:vertAlign w:val="superscript"/>
              </w:rPr>
              <w:t>16</w:t>
            </w:r>
          </w:p>
        </w:tc>
        <w:tc>
          <w:tcPr>
            <w:tcW w:w="637" w:type="pct"/>
            <w:tcBorders>
              <w:top w:val="nil"/>
            </w:tcBorders>
            <w:noWrap/>
          </w:tcPr>
          <w:p w14:paraId="2799155D" w14:textId="6849F5C0" w:rsidR="006F6C8B" w:rsidRPr="00F36FBD" w:rsidRDefault="006F6C8B">
            <w:pPr>
              <w:pStyle w:val="TableText0"/>
              <w:jc w:val="right"/>
              <w:rPr>
                <w:vertAlign w:val="superscript"/>
              </w:rPr>
            </w:pPr>
            <w:r w:rsidRPr="004662DD">
              <w:rPr>
                <w:b/>
                <w:bCs w:val="0"/>
              </w:rPr>
              <w:t>−$</w:t>
            </w:r>
            <w:r w:rsidR="00A12619" w:rsidRPr="00A12619">
              <w:rPr>
                <w:b/>
                <w:bCs w:val="0"/>
                <w:color w:val="000000"/>
                <w:spacing w:val="58"/>
                <w:shd w:val="solid" w:color="000000" w:fill="000000"/>
                <w:fitText w:val="360" w:id="-628482802"/>
                <w14:textFill>
                  <w14:solidFill>
                    <w14:srgbClr w14:val="000000">
                      <w14:alpha w14:val="100000"/>
                    </w14:srgbClr>
                  </w14:solidFill>
                </w14:textFill>
              </w:rPr>
              <w:t>|||</w:t>
            </w:r>
            <w:r w:rsidR="00A12619" w:rsidRPr="00A12619">
              <w:rPr>
                <w:b/>
                <w:bCs w:val="0"/>
                <w:color w:val="000000"/>
                <w:spacing w:val="3"/>
                <w:shd w:val="solid" w:color="000000" w:fill="000000"/>
                <w:fitText w:val="360" w:id="-628482802"/>
                <w14:textFill>
                  <w14:solidFill>
                    <w14:srgbClr w14:val="000000">
                      <w14:alpha w14:val="100000"/>
                    </w14:srgbClr>
                  </w14:solidFill>
                </w14:textFill>
              </w:rPr>
              <w:t>|</w:t>
            </w:r>
            <w:r w:rsidR="00F36FBD">
              <w:rPr>
                <w:b/>
                <w:bCs w:val="0"/>
                <w:vertAlign w:val="superscript"/>
              </w:rPr>
              <w:t>16</w:t>
            </w:r>
          </w:p>
        </w:tc>
        <w:tc>
          <w:tcPr>
            <w:tcW w:w="637" w:type="pct"/>
            <w:tcBorders>
              <w:top w:val="nil"/>
            </w:tcBorders>
            <w:noWrap/>
          </w:tcPr>
          <w:p w14:paraId="36D55532" w14:textId="5310E079" w:rsidR="006F6C8B" w:rsidRPr="00F36FBD" w:rsidRDefault="006F6C8B">
            <w:pPr>
              <w:pStyle w:val="TableText0"/>
              <w:jc w:val="right"/>
              <w:rPr>
                <w:vertAlign w:val="superscript"/>
              </w:rPr>
            </w:pPr>
            <w:r w:rsidRPr="004662DD">
              <w:rPr>
                <w:b/>
                <w:bCs w:val="0"/>
              </w:rPr>
              <w:t>−$</w:t>
            </w:r>
            <w:r w:rsidR="00A12619" w:rsidRPr="00A12619">
              <w:rPr>
                <w:b/>
                <w:bCs w:val="0"/>
                <w:color w:val="000000"/>
                <w:spacing w:val="58"/>
                <w:shd w:val="solid" w:color="000000" w:fill="000000"/>
                <w:fitText w:val="360" w:id="-628482801"/>
                <w14:textFill>
                  <w14:solidFill>
                    <w14:srgbClr w14:val="000000">
                      <w14:alpha w14:val="100000"/>
                    </w14:srgbClr>
                  </w14:solidFill>
                </w14:textFill>
              </w:rPr>
              <w:t>|||</w:t>
            </w:r>
            <w:r w:rsidR="00A12619" w:rsidRPr="00A12619">
              <w:rPr>
                <w:b/>
                <w:bCs w:val="0"/>
                <w:color w:val="000000"/>
                <w:spacing w:val="3"/>
                <w:shd w:val="solid" w:color="000000" w:fill="000000"/>
                <w:fitText w:val="360" w:id="-628482801"/>
                <w14:textFill>
                  <w14:solidFill>
                    <w14:srgbClr w14:val="000000">
                      <w14:alpha w14:val="100000"/>
                    </w14:srgbClr>
                  </w14:solidFill>
                </w14:textFill>
              </w:rPr>
              <w:t>|</w:t>
            </w:r>
            <w:r w:rsidR="00F36FBD">
              <w:rPr>
                <w:b/>
                <w:bCs w:val="0"/>
                <w:vertAlign w:val="superscript"/>
              </w:rPr>
              <w:t>16</w:t>
            </w:r>
          </w:p>
        </w:tc>
        <w:tc>
          <w:tcPr>
            <w:tcW w:w="637" w:type="pct"/>
            <w:tcBorders>
              <w:top w:val="nil"/>
            </w:tcBorders>
            <w:noWrap/>
          </w:tcPr>
          <w:p w14:paraId="313232C9" w14:textId="3AC174B7" w:rsidR="006F6C8B" w:rsidRPr="00F36FBD" w:rsidRDefault="006F6C8B">
            <w:pPr>
              <w:pStyle w:val="TableText0"/>
              <w:jc w:val="right"/>
              <w:rPr>
                <w:vertAlign w:val="superscript"/>
              </w:rPr>
            </w:pPr>
            <w:r w:rsidRPr="004662DD">
              <w:rPr>
                <w:b/>
                <w:bCs w:val="0"/>
              </w:rPr>
              <w:t>−$</w:t>
            </w:r>
            <w:r w:rsidR="00A12619" w:rsidRPr="00A12619">
              <w:rPr>
                <w:b/>
                <w:bCs w:val="0"/>
                <w:color w:val="000000"/>
                <w:spacing w:val="58"/>
                <w:shd w:val="solid" w:color="000000" w:fill="000000"/>
                <w:fitText w:val="360" w:id="-628482800"/>
                <w14:textFill>
                  <w14:solidFill>
                    <w14:srgbClr w14:val="000000">
                      <w14:alpha w14:val="100000"/>
                    </w14:srgbClr>
                  </w14:solidFill>
                </w14:textFill>
              </w:rPr>
              <w:t>|||</w:t>
            </w:r>
            <w:r w:rsidR="00A12619" w:rsidRPr="00A12619">
              <w:rPr>
                <w:b/>
                <w:bCs w:val="0"/>
                <w:color w:val="000000"/>
                <w:spacing w:val="3"/>
                <w:shd w:val="solid" w:color="000000" w:fill="000000"/>
                <w:fitText w:val="360" w:id="-628482800"/>
                <w14:textFill>
                  <w14:solidFill>
                    <w14:srgbClr w14:val="000000">
                      <w14:alpha w14:val="100000"/>
                    </w14:srgbClr>
                  </w14:solidFill>
                </w14:textFill>
              </w:rPr>
              <w:t>|</w:t>
            </w:r>
            <w:r w:rsidR="00F36FBD">
              <w:rPr>
                <w:b/>
                <w:bCs w:val="0"/>
                <w:vertAlign w:val="superscript"/>
              </w:rPr>
              <w:t>16</w:t>
            </w:r>
          </w:p>
        </w:tc>
        <w:tc>
          <w:tcPr>
            <w:tcW w:w="637" w:type="pct"/>
            <w:tcBorders>
              <w:top w:val="nil"/>
            </w:tcBorders>
            <w:noWrap/>
          </w:tcPr>
          <w:p w14:paraId="6DD317C4" w14:textId="0A220548" w:rsidR="006F6C8B" w:rsidRPr="00F36FBD" w:rsidRDefault="006F6C8B">
            <w:pPr>
              <w:pStyle w:val="TableText0"/>
              <w:jc w:val="right"/>
              <w:rPr>
                <w:vertAlign w:val="superscript"/>
              </w:rPr>
            </w:pPr>
            <w:r w:rsidRPr="004662DD">
              <w:rPr>
                <w:b/>
                <w:bCs w:val="0"/>
              </w:rPr>
              <w:t>−$</w:t>
            </w:r>
            <w:r w:rsidR="00A12619" w:rsidRPr="00A12619">
              <w:rPr>
                <w:b/>
                <w:bCs w:val="0"/>
                <w:color w:val="000000"/>
                <w:spacing w:val="58"/>
                <w:shd w:val="solid" w:color="000000" w:fill="000000"/>
                <w:fitText w:val="360" w:id="-628482816"/>
                <w14:textFill>
                  <w14:solidFill>
                    <w14:srgbClr w14:val="000000">
                      <w14:alpha w14:val="100000"/>
                    </w14:srgbClr>
                  </w14:solidFill>
                </w14:textFill>
              </w:rPr>
              <w:t>|||</w:t>
            </w:r>
            <w:r w:rsidR="00A12619" w:rsidRPr="00A12619">
              <w:rPr>
                <w:b/>
                <w:bCs w:val="0"/>
                <w:color w:val="000000"/>
                <w:spacing w:val="3"/>
                <w:shd w:val="solid" w:color="000000" w:fill="000000"/>
                <w:fitText w:val="360" w:id="-628482816"/>
                <w14:textFill>
                  <w14:solidFill>
                    <w14:srgbClr w14:val="000000">
                      <w14:alpha w14:val="100000"/>
                    </w14:srgbClr>
                  </w14:solidFill>
                </w14:textFill>
              </w:rPr>
              <w:t>|</w:t>
            </w:r>
            <w:r w:rsidR="00F36FBD">
              <w:rPr>
                <w:b/>
                <w:bCs w:val="0"/>
                <w:vertAlign w:val="superscript"/>
              </w:rPr>
              <w:t>16</w:t>
            </w:r>
          </w:p>
        </w:tc>
        <w:tc>
          <w:tcPr>
            <w:tcW w:w="638" w:type="pct"/>
            <w:tcBorders>
              <w:top w:val="nil"/>
            </w:tcBorders>
            <w:noWrap/>
          </w:tcPr>
          <w:p w14:paraId="5643B6BC" w14:textId="78FC0507" w:rsidR="006F6C8B" w:rsidRPr="00F36FBD" w:rsidRDefault="006F6C8B">
            <w:pPr>
              <w:pStyle w:val="TableText0"/>
              <w:jc w:val="right"/>
              <w:rPr>
                <w:vertAlign w:val="superscript"/>
              </w:rPr>
            </w:pPr>
            <w:r w:rsidRPr="004662DD">
              <w:rPr>
                <w:b/>
                <w:bCs w:val="0"/>
              </w:rPr>
              <w:t>−$</w:t>
            </w:r>
            <w:r w:rsidR="00A12619" w:rsidRPr="00A12619">
              <w:rPr>
                <w:b/>
                <w:bCs w:val="0"/>
                <w:color w:val="000000"/>
                <w:spacing w:val="58"/>
                <w:shd w:val="solid" w:color="000000" w:fill="000000"/>
                <w:fitText w:val="360" w:id="-628482815"/>
                <w14:textFill>
                  <w14:solidFill>
                    <w14:srgbClr w14:val="000000">
                      <w14:alpha w14:val="100000"/>
                    </w14:srgbClr>
                  </w14:solidFill>
                </w14:textFill>
              </w:rPr>
              <w:t>|||</w:t>
            </w:r>
            <w:r w:rsidR="00A12619" w:rsidRPr="00A12619">
              <w:rPr>
                <w:b/>
                <w:bCs w:val="0"/>
                <w:color w:val="000000"/>
                <w:spacing w:val="3"/>
                <w:shd w:val="solid" w:color="000000" w:fill="000000"/>
                <w:fitText w:val="360" w:id="-628482815"/>
                <w14:textFill>
                  <w14:solidFill>
                    <w14:srgbClr w14:val="000000">
                      <w14:alpha w14:val="100000"/>
                    </w14:srgbClr>
                  </w14:solidFill>
                </w14:textFill>
              </w:rPr>
              <w:t>|</w:t>
            </w:r>
            <w:r w:rsidR="00F36FBD">
              <w:rPr>
                <w:b/>
                <w:bCs w:val="0"/>
                <w:vertAlign w:val="superscript"/>
              </w:rPr>
              <w:t>16</w:t>
            </w:r>
          </w:p>
        </w:tc>
      </w:tr>
    </w:tbl>
    <w:p w14:paraId="11C42BA2" w14:textId="6627A117" w:rsidR="006F6C8B" w:rsidRPr="004662DD" w:rsidRDefault="006F6C8B" w:rsidP="006F6C8B">
      <w:pPr>
        <w:pStyle w:val="TableFigureFooter"/>
      </w:pPr>
      <w:r w:rsidRPr="004662DD">
        <w:t xml:space="preserve">Source: Constructed during the evaluation </w:t>
      </w:r>
      <w:r w:rsidRPr="00C700E1">
        <w:t>from the</w:t>
      </w:r>
      <w:r w:rsidRPr="004662DD">
        <w:t xml:space="preserve"> submission and the ‘Abaloparatide - Eladynos - Section 4 - Base Case - 8 March 2025.xlsx’ file.</w:t>
      </w:r>
    </w:p>
    <w:p w14:paraId="2DCA99A1" w14:textId="34B4ACDA" w:rsidR="006F6C8B" w:rsidRDefault="006F6C8B" w:rsidP="006F6C8B">
      <w:pPr>
        <w:pStyle w:val="TableFigureFooter"/>
      </w:pPr>
      <w:r>
        <w:t>1L = first line.</w:t>
      </w:r>
    </w:p>
    <w:p w14:paraId="50747CAB" w14:textId="77777777" w:rsidR="006F6C8B" w:rsidRDefault="006F6C8B" w:rsidP="006F6C8B">
      <w:pPr>
        <w:pStyle w:val="TableFigureFooter"/>
      </w:pPr>
      <w:r>
        <w:t xml:space="preserve">Note: </w:t>
      </w:r>
      <w:r w:rsidRPr="004F204D">
        <w:t xml:space="preserve">The use of published pricing </w:t>
      </w:r>
      <w:r>
        <w:t>may</w:t>
      </w:r>
      <w:r w:rsidRPr="004F204D">
        <w:t xml:space="preserve"> not represent the</w:t>
      </w:r>
      <w:r>
        <w:t xml:space="preserve"> financial impact to the respective Government health budgets following the application of special-pricing and risk-sharing arrangements.</w:t>
      </w:r>
    </w:p>
    <w:p w14:paraId="1FDF9B64" w14:textId="0365C3A6" w:rsidR="006F6C8B" w:rsidRPr="004662DD" w:rsidRDefault="006F6C8B" w:rsidP="006F6C8B">
      <w:pPr>
        <w:pStyle w:val="TableFigureFooter"/>
      </w:pPr>
      <w:r w:rsidRPr="004662DD">
        <w:rPr>
          <w:vertAlign w:val="superscript"/>
        </w:rPr>
        <w:t>a</w:t>
      </w:r>
      <w:r w:rsidRPr="004662DD">
        <w:t xml:space="preserve"> Impact to the PBS/RPBS was revised to account for differences in script frequency between the different anti-resorptive therapies, assuming only 30-day supply scripts (which represents &gt;90% of current supply) for alendronate or risedronate</w:t>
      </w:r>
      <w:r w:rsidR="005A2800">
        <w:t>.</w:t>
      </w:r>
    </w:p>
    <w:p w14:paraId="60591B0D" w14:textId="77777777" w:rsidR="006F6C8B" w:rsidRDefault="006F6C8B" w:rsidP="006F6C8B">
      <w:pPr>
        <w:pStyle w:val="TableFigureFooter"/>
      </w:pPr>
      <w:r w:rsidRPr="004662DD">
        <w:rPr>
          <w:vertAlign w:val="superscript"/>
        </w:rPr>
        <w:t>b</w:t>
      </w:r>
      <w:r w:rsidRPr="004662DD">
        <w:t xml:space="preserve"> Impact to the MBS was revised during the evaluation to exclude the impact on GP services and to reduce the number of nurse attendances applied per patient for consistency with the cost-minimisation approach (50% of 10.8 × 69%)</w:t>
      </w:r>
    </w:p>
    <w:p w14:paraId="4FA78C79" w14:textId="3658CC14" w:rsidR="00DE03A6" w:rsidRDefault="00DE03A6" w:rsidP="006F6C8B">
      <w:pPr>
        <w:pStyle w:val="TableFigureFooter"/>
      </w:pPr>
      <w:r w:rsidRPr="00B15D4D">
        <w:rPr>
          <w:vertAlign w:val="superscript"/>
        </w:rPr>
        <w:t>c</w:t>
      </w:r>
      <w:r>
        <w:t xml:space="preserve"> </w:t>
      </w:r>
      <w:r w:rsidR="00B15D4D">
        <w:t>Reduction in costs for cardiovascular event management</w:t>
      </w:r>
    </w:p>
    <w:p w14:paraId="61B49955" w14:textId="56EA10B4" w:rsidR="005C0ED0" w:rsidRDefault="00175F91" w:rsidP="006F6C8B">
      <w:pPr>
        <w:pStyle w:val="TableFigureFooter"/>
        <w:rPr>
          <w:i/>
          <w:iCs/>
        </w:rPr>
      </w:pPr>
      <w:r w:rsidRPr="00175F91">
        <w:rPr>
          <w:i/>
          <w:iCs/>
        </w:rPr>
        <w:t>The redacted values correspond to the following ranges:</w:t>
      </w:r>
    </w:p>
    <w:p w14:paraId="00C8D586" w14:textId="4307E707" w:rsidR="00175F91" w:rsidRDefault="00175F91" w:rsidP="006F6C8B">
      <w:pPr>
        <w:pStyle w:val="TableFigureFooter"/>
        <w:rPr>
          <w:i/>
          <w:iCs/>
        </w:rPr>
      </w:pPr>
      <w:r>
        <w:rPr>
          <w:i/>
          <w:iCs/>
          <w:vertAlign w:val="superscript"/>
        </w:rPr>
        <w:t>1</w:t>
      </w:r>
      <w:r w:rsidR="00267826">
        <w:rPr>
          <w:i/>
          <w:iCs/>
          <w:vertAlign w:val="superscript"/>
        </w:rPr>
        <w:t xml:space="preserve"> </w:t>
      </w:r>
      <w:r w:rsidR="00DA32C4" w:rsidRPr="00DA32C4">
        <w:rPr>
          <w:i/>
          <w:iCs/>
        </w:rPr>
        <w:t>5,000 to &lt; 10,000</w:t>
      </w:r>
      <w:r w:rsidR="00DA32C4">
        <w:rPr>
          <w:i/>
          <w:iCs/>
        </w:rPr>
        <w:t xml:space="preserve"> </w:t>
      </w:r>
    </w:p>
    <w:p w14:paraId="236225FB" w14:textId="46FE2605" w:rsidR="005C6998" w:rsidRDefault="005C6998" w:rsidP="006F6C8B">
      <w:pPr>
        <w:pStyle w:val="TableFigureFooter"/>
        <w:rPr>
          <w:i/>
          <w:iCs/>
        </w:rPr>
      </w:pPr>
      <w:r>
        <w:rPr>
          <w:i/>
          <w:iCs/>
          <w:vertAlign w:val="superscript"/>
        </w:rPr>
        <w:t>2</w:t>
      </w:r>
      <w:r w:rsidR="00267826">
        <w:rPr>
          <w:i/>
          <w:iCs/>
          <w:vertAlign w:val="superscript"/>
        </w:rPr>
        <w:t xml:space="preserve"> </w:t>
      </w:r>
      <w:r w:rsidRPr="005C6998">
        <w:rPr>
          <w:i/>
          <w:iCs/>
        </w:rPr>
        <w:t>10,000 to &lt; 20,000</w:t>
      </w:r>
    </w:p>
    <w:p w14:paraId="0D5917B9" w14:textId="70613EAE" w:rsidR="00654784" w:rsidRDefault="00654784" w:rsidP="006F6C8B">
      <w:pPr>
        <w:pStyle w:val="TableFigureFooter"/>
        <w:rPr>
          <w:i/>
          <w:iCs/>
        </w:rPr>
      </w:pPr>
      <w:r>
        <w:rPr>
          <w:i/>
          <w:iCs/>
          <w:vertAlign w:val="superscript"/>
        </w:rPr>
        <w:t>3</w:t>
      </w:r>
      <w:r w:rsidR="00267826">
        <w:rPr>
          <w:i/>
          <w:iCs/>
          <w:vertAlign w:val="superscript"/>
        </w:rPr>
        <w:t xml:space="preserve"> </w:t>
      </w:r>
      <w:r w:rsidRPr="00654784">
        <w:rPr>
          <w:i/>
          <w:iCs/>
        </w:rPr>
        <w:t>20,000 to &lt; 30,000</w:t>
      </w:r>
    </w:p>
    <w:p w14:paraId="1167562D" w14:textId="77777777" w:rsidR="00F27CF5" w:rsidRDefault="0068689B" w:rsidP="006F6C8B">
      <w:pPr>
        <w:pStyle w:val="TableFigureFooter"/>
        <w:rPr>
          <w:i/>
          <w:iCs/>
        </w:rPr>
      </w:pPr>
      <w:r>
        <w:rPr>
          <w:i/>
          <w:iCs/>
          <w:vertAlign w:val="superscript"/>
        </w:rPr>
        <w:t>4</w:t>
      </w:r>
      <w:r w:rsidR="00267826">
        <w:rPr>
          <w:i/>
          <w:iCs/>
          <w:vertAlign w:val="superscript"/>
        </w:rPr>
        <w:t xml:space="preserve"> </w:t>
      </w:r>
      <w:r w:rsidRPr="0068689B">
        <w:rPr>
          <w:i/>
          <w:iCs/>
        </w:rPr>
        <w:t>500 to &lt; 5,000</w:t>
      </w:r>
    </w:p>
    <w:p w14:paraId="06A1ECFF" w14:textId="53A1B57F" w:rsidR="00F27CF5" w:rsidRDefault="00F27CF5" w:rsidP="00F27CF5">
      <w:pPr>
        <w:pStyle w:val="TableFigureFooter"/>
        <w:rPr>
          <w:i/>
          <w:iCs/>
        </w:rPr>
      </w:pPr>
      <w:r>
        <w:rPr>
          <w:i/>
          <w:iCs/>
          <w:vertAlign w:val="superscript"/>
        </w:rPr>
        <w:t>5</w:t>
      </w:r>
      <w:r>
        <w:rPr>
          <w:i/>
          <w:iCs/>
        </w:rPr>
        <w:t xml:space="preserve"> </w:t>
      </w:r>
      <w:r w:rsidRPr="00F27CF5">
        <w:rPr>
          <w:i/>
          <w:iCs/>
        </w:rPr>
        <w:t>30,000 to &lt; 40,000</w:t>
      </w:r>
    </w:p>
    <w:p w14:paraId="7C4C2A3F" w14:textId="5FCE6E52" w:rsidR="00F27CF5" w:rsidRPr="00F27CF5" w:rsidRDefault="00F27CF5" w:rsidP="00F27CF5">
      <w:pPr>
        <w:pStyle w:val="TableFigureFooter"/>
        <w:rPr>
          <w:i/>
          <w:iCs/>
        </w:rPr>
      </w:pPr>
      <w:r>
        <w:rPr>
          <w:i/>
          <w:iCs/>
          <w:vertAlign w:val="superscript"/>
        </w:rPr>
        <w:t>6</w:t>
      </w:r>
      <w:r>
        <w:rPr>
          <w:i/>
          <w:iCs/>
        </w:rPr>
        <w:t xml:space="preserve"> </w:t>
      </w:r>
      <w:r w:rsidR="00951F0A" w:rsidRPr="00951F0A">
        <w:rPr>
          <w:i/>
          <w:iCs/>
        </w:rPr>
        <w:t>60,000 to &lt; 70,000</w:t>
      </w:r>
    </w:p>
    <w:p w14:paraId="2F101342" w14:textId="117C2DCF" w:rsidR="00E93ABB" w:rsidRDefault="00F8782A" w:rsidP="006F6C8B">
      <w:pPr>
        <w:pStyle w:val="TableFigureFooter"/>
        <w:rPr>
          <w:i/>
          <w:iCs/>
        </w:rPr>
      </w:pPr>
      <w:r>
        <w:rPr>
          <w:i/>
          <w:iCs/>
          <w:vertAlign w:val="superscript"/>
        </w:rPr>
        <w:t>7</w:t>
      </w:r>
      <w:r>
        <w:rPr>
          <w:i/>
          <w:iCs/>
        </w:rPr>
        <w:t xml:space="preserve"> </w:t>
      </w:r>
      <w:r w:rsidRPr="00F8782A">
        <w:rPr>
          <w:i/>
          <w:iCs/>
        </w:rPr>
        <w:t>90,000 to &lt; 100,000</w:t>
      </w:r>
    </w:p>
    <w:p w14:paraId="18CB3765" w14:textId="368F62BC" w:rsidR="00823856" w:rsidRDefault="00F8782A" w:rsidP="00823856">
      <w:pPr>
        <w:pStyle w:val="TableFigureFooter"/>
        <w:rPr>
          <w:i/>
          <w:iCs/>
        </w:rPr>
      </w:pPr>
      <w:r>
        <w:rPr>
          <w:i/>
          <w:iCs/>
          <w:vertAlign w:val="superscript"/>
        </w:rPr>
        <w:t xml:space="preserve">8 </w:t>
      </w:r>
      <w:r w:rsidR="00A86FCC" w:rsidRPr="00A86FCC">
        <w:rPr>
          <w:i/>
          <w:iCs/>
        </w:rPr>
        <w:t>100,000 to &lt; 200,000</w:t>
      </w:r>
    </w:p>
    <w:p w14:paraId="2F42A5B9" w14:textId="786D07B7" w:rsidR="007E0EE9" w:rsidRDefault="007E0EE9" w:rsidP="00823856">
      <w:pPr>
        <w:pStyle w:val="TableFigureFooter"/>
        <w:rPr>
          <w:i/>
          <w:iCs/>
        </w:rPr>
      </w:pPr>
      <w:r>
        <w:rPr>
          <w:i/>
          <w:iCs/>
          <w:vertAlign w:val="superscript"/>
        </w:rPr>
        <w:t xml:space="preserve">9 </w:t>
      </w:r>
      <w:r w:rsidR="00A86FCC" w:rsidRPr="00823856">
        <w:rPr>
          <w:i/>
          <w:iCs/>
        </w:rPr>
        <w:t>$0 to &lt; $10 million</w:t>
      </w:r>
    </w:p>
    <w:p w14:paraId="5982B8E8" w14:textId="77777777" w:rsidR="00A2212D" w:rsidRDefault="009B78D6" w:rsidP="00A2212D">
      <w:pPr>
        <w:pStyle w:val="TableFigureFooter"/>
        <w:rPr>
          <w:i/>
          <w:iCs/>
        </w:rPr>
      </w:pPr>
      <w:r>
        <w:rPr>
          <w:i/>
          <w:iCs/>
          <w:vertAlign w:val="superscript"/>
        </w:rPr>
        <w:t>10</w:t>
      </w:r>
      <w:r>
        <w:rPr>
          <w:i/>
          <w:iCs/>
        </w:rPr>
        <w:t xml:space="preserve"> </w:t>
      </w:r>
      <w:r w:rsidR="00A2212D" w:rsidRPr="00A2212D">
        <w:rPr>
          <w:i/>
          <w:iCs/>
        </w:rPr>
        <w:t>$10 million to &lt; $20 million</w:t>
      </w:r>
    </w:p>
    <w:p w14:paraId="7E75FDDD" w14:textId="458F74E9" w:rsidR="007A217C" w:rsidRDefault="007A217C" w:rsidP="00A2212D">
      <w:pPr>
        <w:pStyle w:val="TableFigureFooter"/>
        <w:rPr>
          <w:i/>
          <w:iCs/>
        </w:rPr>
      </w:pPr>
      <w:r w:rsidRPr="007A217C">
        <w:rPr>
          <w:i/>
          <w:iCs/>
          <w:vertAlign w:val="superscript"/>
        </w:rPr>
        <w:t>11</w:t>
      </w:r>
      <w:r>
        <w:rPr>
          <w:i/>
          <w:iCs/>
        </w:rPr>
        <w:t xml:space="preserve"> </w:t>
      </w:r>
      <w:r w:rsidR="008D0488" w:rsidRPr="008D0488">
        <w:rPr>
          <w:i/>
          <w:iCs/>
        </w:rPr>
        <w:t>$20 million to &lt; $30 million</w:t>
      </w:r>
    </w:p>
    <w:p w14:paraId="3CD782D2" w14:textId="2E885B35" w:rsidR="008D0488" w:rsidRDefault="008D0488" w:rsidP="00A2212D">
      <w:pPr>
        <w:pStyle w:val="TableFigureFooter"/>
        <w:rPr>
          <w:i/>
          <w:iCs/>
        </w:rPr>
      </w:pPr>
      <w:r w:rsidRPr="008D0488">
        <w:rPr>
          <w:i/>
          <w:iCs/>
          <w:vertAlign w:val="superscript"/>
        </w:rPr>
        <w:t>12</w:t>
      </w:r>
      <w:r w:rsidR="00875BC7">
        <w:rPr>
          <w:i/>
          <w:iCs/>
        </w:rPr>
        <w:t xml:space="preserve"> </w:t>
      </w:r>
      <w:r w:rsidR="00875BC7" w:rsidRPr="00875BC7">
        <w:rPr>
          <w:i/>
          <w:iCs/>
        </w:rPr>
        <w:t>$30 million to &lt; $40 million</w:t>
      </w:r>
    </w:p>
    <w:p w14:paraId="4DE00E7F" w14:textId="50E50ED9" w:rsidR="00470714" w:rsidRDefault="00470714" w:rsidP="00A2212D">
      <w:pPr>
        <w:pStyle w:val="TableFigureFooter"/>
        <w:rPr>
          <w:i/>
          <w:iCs/>
        </w:rPr>
      </w:pPr>
      <w:r>
        <w:rPr>
          <w:i/>
          <w:iCs/>
          <w:vertAlign w:val="superscript"/>
        </w:rPr>
        <w:t>13</w:t>
      </w:r>
      <w:r>
        <w:rPr>
          <w:i/>
          <w:iCs/>
        </w:rPr>
        <w:t xml:space="preserve"> </w:t>
      </w:r>
      <w:r w:rsidRPr="00470714">
        <w:rPr>
          <w:i/>
          <w:iCs/>
        </w:rPr>
        <w:t>$40 million to &lt; $50 million</w:t>
      </w:r>
    </w:p>
    <w:p w14:paraId="1806BB53" w14:textId="77777777" w:rsidR="00775A01" w:rsidRDefault="00775A01" w:rsidP="00775A01">
      <w:pPr>
        <w:pStyle w:val="TableFigureFooter"/>
        <w:rPr>
          <w:i/>
          <w:iCs/>
        </w:rPr>
      </w:pPr>
      <w:r>
        <w:rPr>
          <w:i/>
          <w:iCs/>
          <w:vertAlign w:val="superscript"/>
        </w:rPr>
        <w:t>14</w:t>
      </w:r>
      <w:r>
        <w:rPr>
          <w:i/>
          <w:iCs/>
        </w:rPr>
        <w:t xml:space="preserve"> </w:t>
      </w:r>
      <w:r w:rsidRPr="00775A01">
        <w:rPr>
          <w:i/>
          <w:iCs/>
        </w:rPr>
        <w:t>$60 million to &lt; $70 million</w:t>
      </w:r>
    </w:p>
    <w:p w14:paraId="5A28C271" w14:textId="59524283" w:rsidR="00A015C2" w:rsidRDefault="00A015C2" w:rsidP="00775A01">
      <w:pPr>
        <w:pStyle w:val="TableFigureFooter"/>
        <w:rPr>
          <w:i/>
          <w:iCs/>
        </w:rPr>
      </w:pPr>
      <w:r w:rsidRPr="00A015C2">
        <w:rPr>
          <w:i/>
          <w:iCs/>
          <w:vertAlign w:val="superscript"/>
        </w:rPr>
        <w:t>15</w:t>
      </w:r>
      <w:r>
        <w:rPr>
          <w:i/>
          <w:iCs/>
        </w:rPr>
        <w:t xml:space="preserve"> </w:t>
      </w:r>
      <w:r w:rsidRPr="00A015C2">
        <w:rPr>
          <w:i/>
          <w:iCs/>
        </w:rPr>
        <w:t>$</w:t>
      </w:r>
      <w:r>
        <w:rPr>
          <w:i/>
          <w:iCs/>
        </w:rPr>
        <w:t>50</w:t>
      </w:r>
      <w:r w:rsidRPr="00A015C2">
        <w:rPr>
          <w:i/>
          <w:iCs/>
        </w:rPr>
        <w:t xml:space="preserve"> million to &lt; $</w:t>
      </w:r>
      <w:r>
        <w:rPr>
          <w:i/>
          <w:iCs/>
        </w:rPr>
        <w:t>60</w:t>
      </w:r>
      <w:r w:rsidRPr="00A015C2">
        <w:rPr>
          <w:i/>
          <w:iCs/>
        </w:rPr>
        <w:t xml:space="preserve"> million</w:t>
      </w:r>
    </w:p>
    <w:p w14:paraId="2765071D" w14:textId="0D1503B8" w:rsidR="00F8782A" w:rsidRPr="008515F4" w:rsidRDefault="00F36FBD" w:rsidP="006F6C8B">
      <w:pPr>
        <w:pStyle w:val="TableFigureFooter"/>
        <w:rPr>
          <w:i/>
          <w:iCs/>
        </w:rPr>
      </w:pPr>
      <w:r>
        <w:rPr>
          <w:i/>
          <w:iCs/>
          <w:vertAlign w:val="superscript"/>
        </w:rPr>
        <w:t xml:space="preserve">16 </w:t>
      </w:r>
      <w:r w:rsidRPr="00F36FBD">
        <w:rPr>
          <w:i/>
          <w:iCs/>
        </w:rPr>
        <w:t>net cost saving</w:t>
      </w:r>
    </w:p>
    <w:p w14:paraId="556FA5C0" w14:textId="755D775F" w:rsidR="006F6C8B" w:rsidRPr="004662DD" w:rsidRDefault="006F6C8B" w:rsidP="006F6C8B">
      <w:pPr>
        <w:pStyle w:val="3-BodyText"/>
      </w:pPr>
      <w:r w:rsidRPr="00D86D87">
        <w:t xml:space="preserve">The total cost to the PBS/RPBS of listing </w:t>
      </w:r>
      <w:r>
        <w:t>abaloparatide (based on published pricing)</w:t>
      </w:r>
      <w:r w:rsidRPr="00D86D87">
        <w:t xml:space="preserve"> was estimated to be $</w:t>
      </w:r>
      <w:r w:rsidR="00156233" w:rsidRPr="00156233">
        <w:t>0 to &lt; $10 million</w:t>
      </w:r>
      <w:r w:rsidRPr="00D86D87">
        <w:t xml:space="preserve"> in Year 6, </w:t>
      </w:r>
      <w:r>
        <w:t xml:space="preserve">with a cost-saving </w:t>
      </w:r>
      <w:r w:rsidRPr="00D86D87">
        <w:t>of $</w:t>
      </w:r>
      <w:r w:rsidR="00832F26" w:rsidRPr="00832F26">
        <w:t>0 to &lt; $10 million</w:t>
      </w:r>
      <w:r w:rsidR="00832F26" w:rsidRPr="00832F26" w:rsidDel="00832F26">
        <w:t xml:space="preserve"> </w:t>
      </w:r>
      <w:r>
        <w:t>over</w:t>
      </w:r>
      <w:r w:rsidRPr="00D86D87">
        <w:t xml:space="preserve"> the first 6 years of listing</w:t>
      </w:r>
      <w:r w:rsidRPr="001B0C1F">
        <w:t>.</w:t>
      </w:r>
      <w:r>
        <w:t xml:space="preserve"> </w:t>
      </w:r>
      <w:r w:rsidRPr="004662DD">
        <w:t>Estimates were revised during the evaluation to correctly account for differences in script frequency between the different anti-resorptive therapies. The revised total cost to the PBS/RPBS was estimated to be $</w:t>
      </w:r>
      <w:r w:rsidR="00832F26" w:rsidRPr="00832F26">
        <w:t>0 to &lt; $10 million</w:t>
      </w:r>
      <w:r w:rsidR="00832F26" w:rsidRPr="00832F26" w:rsidDel="00832F26">
        <w:t xml:space="preserve"> </w:t>
      </w:r>
      <w:r w:rsidRPr="004662DD">
        <w:t>in Year 6, and a total of $</w:t>
      </w:r>
      <w:r w:rsidR="00832F26" w:rsidRPr="00832F26">
        <w:t>0 to &lt; $10 million</w:t>
      </w:r>
      <w:r w:rsidRPr="004662DD">
        <w:t xml:space="preserve"> in the first 6 years of listing.</w:t>
      </w:r>
      <w:r w:rsidRPr="004662DD">
        <w:rPr>
          <w:color w:val="3366FF"/>
        </w:rPr>
        <w:t xml:space="preserve"> </w:t>
      </w:r>
    </w:p>
    <w:p w14:paraId="3736A366" w14:textId="77777777" w:rsidR="006F6C8B" w:rsidRPr="004662DD" w:rsidRDefault="006F6C8B" w:rsidP="006F6C8B">
      <w:pPr>
        <w:pStyle w:val="3-BodyText"/>
      </w:pPr>
      <w:r w:rsidRPr="004662DD">
        <w:t>Cost savings to the PBS/RPBS are observed in the first year of listing as this compares a full course of romosozumab treatment relative to two-thirds of a course of abaloparatide in those patients who initiate in the first year of listing. In subsequent years, net costs to the PBS/RPBS are observed, which is consistent with the cost-minimised price which included offsets for reduced treatment administration and cardiovascular monitoring medical services, in addition to a reduction in hospitalisation costs for management of cardiovascular events.</w:t>
      </w:r>
    </w:p>
    <w:p w14:paraId="46274211" w14:textId="0A351D45" w:rsidR="006F6C8B" w:rsidRPr="00D53D4B" w:rsidRDefault="006F6C8B" w:rsidP="006F6C8B">
      <w:pPr>
        <w:pStyle w:val="3-BodyText"/>
      </w:pPr>
      <w:bookmarkStart w:id="70" w:name="_Ref201247536"/>
      <w:r w:rsidRPr="004662DD">
        <w:t xml:space="preserve">The submission assumed that the listing of abaloparatide would lead to a net reduction in GP and nurse attendances for treatment administration and a reduction in services for cardiovascular monitoring. </w:t>
      </w:r>
      <w:r w:rsidR="00396A12" w:rsidRPr="00D53D4B">
        <w:t>The evaluation noted that</w:t>
      </w:r>
      <w:r w:rsidR="00396A12">
        <w:t xml:space="preserve"> w</w:t>
      </w:r>
      <w:r w:rsidRPr="004662DD">
        <w:t>hile this was consistent with affected medical services included in the CMA, the estimated cost savings are not likely to be realised due to the demand on GP services. The submission assumed a reduction of 8.28 nurse attendances for romosozumab administration derived from the maximum number of doses per patient (12), assuming 69% would be performed by nurses. It was not reasonable to assume a higher reduction of services for treatment administration (12) than for doses of romosozumab (10.8). Further, the proportion of services delivered by nurses was not consistent with what was applied in the base case economic analysis (34.5%)</w:t>
      </w:r>
      <w:r w:rsidRPr="004662DD">
        <w:rPr>
          <w:rStyle w:val="FootnoteReference"/>
        </w:rPr>
        <w:footnoteReference w:id="26"/>
      </w:r>
      <w:r w:rsidRPr="004662DD">
        <w:t xml:space="preserve"> (equivalent to 3.73 per patient treated).</w:t>
      </w:r>
      <w:r w:rsidR="00350D16">
        <w:t xml:space="preserve"> </w:t>
      </w:r>
      <w:r w:rsidR="00350D16" w:rsidRPr="00D53D4B">
        <w:t>The PSCR maintained that GP costs should have been included in the financial estimates.</w:t>
      </w:r>
      <w:bookmarkEnd w:id="70"/>
    </w:p>
    <w:p w14:paraId="6B1E60FD" w14:textId="10C1FE1D" w:rsidR="006F6C8B" w:rsidRPr="004662DD" w:rsidRDefault="006F6C8B" w:rsidP="006F6C8B">
      <w:pPr>
        <w:pStyle w:val="3-BodyText"/>
      </w:pPr>
      <w:r w:rsidRPr="004662DD">
        <w:t xml:space="preserve">The submission assumed that the reduction in romosozumab use would also be associated with a reduction in the number of cardiovascular events managed in hospitals, due to the reduced incidence of treatment-related MI and stroke, assuming an average cost of $91.09 per patient treated (paragraph </w:t>
      </w:r>
      <w:r w:rsidRPr="004662DD">
        <w:rPr>
          <w:highlight w:val="yellow"/>
        </w:rPr>
        <w:fldChar w:fldCharType="begin"/>
      </w:r>
      <w:r w:rsidRPr="004662DD">
        <w:instrText xml:space="preserve"> REF _Ref195277602 \n \h </w:instrText>
      </w:r>
      <w:r w:rsidR="004662DD">
        <w:rPr>
          <w:highlight w:val="yellow"/>
        </w:rPr>
        <w:instrText xml:space="preserve"> \* MERGEFORMAT </w:instrText>
      </w:r>
      <w:r w:rsidRPr="004662DD">
        <w:rPr>
          <w:highlight w:val="yellow"/>
        </w:rPr>
      </w:r>
      <w:r w:rsidRPr="004662DD">
        <w:rPr>
          <w:highlight w:val="yellow"/>
        </w:rPr>
        <w:fldChar w:fldCharType="separate"/>
      </w:r>
      <w:r w:rsidR="005B625A">
        <w:t>6.53</w:t>
      </w:r>
      <w:r w:rsidRPr="004662DD">
        <w:rPr>
          <w:highlight w:val="yellow"/>
        </w:rPr>
        <w:fldChar w:fldCharType="end"/>
      </w:r>
      <w:r w:rsidRPr="004662DD">
        <w:t xml:space="preserve">) with an 80% rebate applied. </w:t>
      </w:r>
      <w:r w:rsidR="00B45831">
        <w:t xml:space="preserve">Application of an 80% rebate to the </w:t>
      </w:r>
      <w:r w:rsidR="00247908">
        <w:t>hospitalisation costs was not appropriate.</w:t>
      </w:r>
    </w:p>
    <w:p w14:paraId="077BA973" w14:textId="0BC88987" w:rsidR="006F6C8B" w:rsidRPr="00D86D87" w:rsidRDefault="006F6C8B" w:rsidP="006F6C8B">
      <w:pPr>
        <w:pStyle w:val="4-SubsectionHeading"/>
      </w:pPr>
      <w:bookmarkStart w:id="71" w:name="_Toc198219111"/>
      <w:r w:rsidRPr="00D86D87">
        <w:t xml:space="preserve">Quality Use of </w:t>
      </w:r>
      <w:bookmarkEnd w:id="48"/>
      <w:r w:rsidRPr="00D86D87">
        <w:t>Medicines</w:t>
      </w:r>
      <w:bookmarkEnd w:id="71"/>
    </w:p>
    <w:p w14:paraId="2E2044AB" w14:textId="77777777" w:rsidR="006F6C8B" w:rsidRDefault="006F6C8B" w:rsidP="006F6C8B">
      <w:pPr>
        <w:pStyle w:val="3-BodyText"/>
      </w:pPr>
      <w:r>
        <w:t>The submission outlined the following:</w:t>
      </w:r>
    </w:p>
    <w:p w14:paraId="26F72E30" w14:textId="77777777" w:rsidR="006F6C8B" w:rsidRDefault="006F6C8B" w:rsidP="00A84D3C">
      <w:pPr>
        <w:pStyle w:val="ListParagraph"/>
        <w:numPr>
          <w:ilvl w:val="0"/>
          <w:numId w:val="11"/>
        </w:numPr>
        <w:spacing w:after="0"/>
        <w:ind w:left="1134" w:hanging="357"/>
        <w:jc w:val="both"/>
      </w:pPr>
      <w:r>
        <w:t>Abaloparatide is a drug that has less cardiac safety concern and causes less incidence of hypercalcaemia.</w:t>
      </w:r>
    </w:p>
    <w:p w14:paraId="73B3A7A6" w14:textId="77777777" w:rsidR="006F6C8B" w:rsidRDefault="006F6C8B" w:rsidP="00A84D3C">
      <w:pPr>
        <w:pStyle w:val="ListParagraph"/>
        <w:numPr>
          <w:ilvl w:val="0"/>
          <w:numId w:val="11"/>
        </w:numPr>
        <w:spacing w:after="0"/>
        <w:ind w:left="1134" w:hanging="357"/>
        <w:jc w:val="both"/>
      </w:pPr>
      <w:r>
        <w:t>Abaloparatide is available in a pen injector device for daily self-injection and does not require refrigeration.</w:t>
      </w:r>
    </w:p>
    <w:p w14:paraId="4E337EB2" w14:textId="77777777" w:rsidR="006F6C8B" w:rsidRDefault="006F6C8B" w:rsidP="00A84D3C">
      <w:pPr>
        <w:pStyle w:val="ListParagraph"/>
        <w:numPr>
          <w:ilvl w:val="0"/>
          <w:numId w:val="11"/>
        </w:numPr>
        <w:spacing w:after="0"/>
        <w:ind w:left="1134" w:hanging="357"/>
        <w:jc w:val="both"/>
      </w:pPr>
      <w:r>
        <w:t>The sponsor will provide clinician support and education programs for health professionals</w:t>
      </w:r>
    </w:p>
    <w:p w14:paraId="28904204" w14:textId="77777777" w:rsidR="006F6C8B" w:rsidRDefault="006F6C8B" w:rsidP="00A84D3C">
      <w:pPr>
        <w:pStyle w:val="ListParagraph"/>
        <w:numPr>
          <w:ilvl w:val="0"/>
          <w:numId w:val="11"/>
        </w:numPr>
        <w:spacing w:after="0"/>
        <w:ind w:left="1134" w:hanging="357"/>
        <w:jc w:val="both"/>
      </w:pPr>
      <w:r>
        <w:t>The sponsor will provide patient support program and patient kits.</w:t>
      </w:r>
    </w:p>
    <w:p w14:paraId="414154A4" w14:textId="13C4827A" w:rsidR="006F6C8B" w:rsidRPr="004662DD" w:rsidRDefault="006F6C8B" w:rsidP="006F6C8B">
      <w:pPr>
        <w:spacing w:before="120"/>
        <w:ind w:left="851"/>
      </w:pPr>
      <w:r w:rsidRPr="004662DD">
        <w:t>As abaloparatide has a short half-life (approximately 1 hour), this allows for flexibility in managing adverse effects and adjusting therapy. However,</w:t>
      </w:r>
      <w:r w:rsidR="00E07CAF">
        <w:t xml:space="preserve"> the evaluation considered that</w:t>
      </w:r>
      <w:r w:rsidRPr="004662DD">
        <w:t xml:space="preserve"> the daily injection requirement may become a burden in some patients and may affect the treatment compliance. Also, the safety of abaloparatide in terms of increasing the risk of falls might be a concern in the quality use of this drug.</w:t>
      </w:r>
    </w:p>
    <w:p w14:paraId="0258F278" w14:textId="3DD2261B" w:rsidR="006F6C8B" w:rsidRPr="00D86D87" w:rsidRDefault="006F6C8B" w:rsidP="006F6C8B">
      <w:pPr>
        <w:pStyle w:val="4-SubsectionHeading"/>
      </w:pPr>
      <w:bookmarkStart w:id="72" w:name="_Toc22897649"/>
      <w:bookmarkStart w:id="73" w:name="_Toc198219112"/>
      <w:r w:rsidRPr="00D86D87">
        <w:t>Financial Management – Risk Sharing Arrangements</w:t>
      </w:r>
      <w:bookmarkEnd w:id="72"/>
      <w:bookmarkEnd w:id="73"/>
    </w:p>
    <w:p w14:paraId="1F31B385" w14:textId="57CCA014" w:rsidR="006F6C8B" w:rsidRDefault="006F6C8B" w:rsidP="004662DD">
      <w:pPr>
        <w:pStyle w:val="3-BodyText"/>
      </w:pPr>
      <w:r w:rsidRPr="004662DD">
        <w:t>The submission d</w:t>
      </w:r>
      <w:r w:rsidR="00442E69">
        <w:t>id</w:t>
      </w:r>
      <w:r w:rsidRPr="004662DD">
        <w:t xml:space="preserve"> not propose a risk-sharing arrangement (RSA). However, there is a RSA </w:t>
      </w:r>
      <w:r w:rsidR="007713C2">
        <w:t>that</w:t>
      </w:r>
      <w:r w:rsidRPr="004662DD">
        <w:t xml:space="preserve"> covers use of romosozumab in the </w:t>
      </w:r>
      <w:r w:rsidRPr="006A5C54">
        <w:t>first</w:t>
      </w:r>
      <w:r w:rsidR="00D15FEB" w:rsidRPr="006A5C54">
        <w:t>- and second-</w:t>
      </w:r>
      <w:r w:rsidRPr="006A5C54">
        <w:t>line setting</w:t>
      </w:r>
      <w:r w:rsidR="00D15FEB" w:rsidRPr="006A5C54">
        <w:t>s</w:t>
      </w:r>
      <w:r w:rsidRPr="004662DD">
        <w:t xml:space="preserve">. Given the proposed substitution of romosozumab by abaloparatide, </w:t>
      </w:r>
      <w:r w:rsidR="006E7ACA">
        <w:t xml:space="preserve">the evaluation noted that </w:t>
      </w:r>
      <w:r w:rsidRPr="004662DD">
        <w:t xml:space="preserve">it may be appropriate for abaloparatide to join this RSA. </w:t>
      </w:r>
    </w:p>
    <w:p w14:paraId="092988D0" w14:textId="04A06378" w:rsidR="008E7394" w:rsidRPr="00DD1F6B" w:rsidRDefault="00BB5BA7" w:rsidP="00DD1F6B">
      <w:pPr>
        <w:pStyle w:val="3-BodyText"/>
        <w:numPr>
          <w:ilvl w:val="0"/>
          <w:numId w:val="0"/>
        </w:numPr>
        <w:ind w:left="720"/>
        <w:rPr>
          <w:i/>
        </w:rPr>
      </w:pPr>
      <w:r w:rsidRPr="00C33D30">
        <w:rPr>
          <w:i/>
        </w:rPr>
        <w:t>For more detail on PBAC’s view, see section 7 PBAC outcome.</w:t>
      </w:r>
    </w:p>
    <w:p w14:paraId="77ECB452" w14:textId="77777777" w:rsidR="00DD1F6B" w:rsidRPr="0090150D" w:rsidRDefault="00DD1F6B" w:rsidP="00DD1F6B">
      <w:pPr>
        <w:pStyle w:val="2-SectionHeading"/>
        <w:numPr>
          <w:ilvl w:val="0"/>
          <w:numId w:val="1"/>
        </w:numPr>
      </w:pPr>
      <w:bookmarkStart w:id="74" w:name="_Hlk76381249"/>
      <w:r w:rsidRPr="0090150D">
        <w:t>PBAC Outcome</w:t>
      </w:r>
    </w:p>
    <w:p w14:paraId="7322ABFF" w14:textId="03E25B8C" w:rsidR="00DD1F6B" w:rsidRPr="00C56370" w:rsidRDefault="00E47D88" w:rsidP="00C56370">
      <w:pPr>
        <w:widowControl w:val="0"/>
        <w:numPr>
          <w:ilvl w:val="1"/>
          <w:numId w:val="1"/>
        </w:numPr>
        <w:spacing w:after="120"/>
        <w:rPr>
          <w:rFonts w:asciiTheme="minorHAnsi" w:hAnsiTheme="minorHAnsi"/>
          <w:snapToGrid w:val="0"/>
          <w:lang w:val="en-GB"/>
        </w:rPr>
      </w:pPr>
      <w:r w:rsidRPr="007E7CA0">
        <w:t xml:space="preserve">The PBAC recommended the General Schedule Authority Required listing of </w:t>
      </w:r>
      <w:r w:rsidR="0082177C">
        <w:t>abaloparatide</w:t>
      </w:r>
      <w:r w:rsidRPr="007E7CA0">
        <w:t xml:space="preserve"> for the</w:t>
      </w:r>
      <w:r w:rsidR="00407CBC">
        <w:t xml:space="preserve"> </w:t>
      </w:r>
      <w:r w:rsidR="00407CBC" w:rsidRPr="00C64F2F">
        <w:t xml:space="preserve">treatment </w:t>
      </w:r>
      <w:r w:rsidR="00407CBC">
        <w:t>of</w:t>
      </w:r>
      <w:r w:rsidR="00407CBC" w:rsidRPr="00C64F2F">
        <w:t xml:space="preserve"> patients with severe established osteoporosis </w:t>
      </w:r>
      <w:r w:rsidR="00407CBC">
        <w:t>and</w:t>
      </w:r>
      <w:r w:rsidR="00407CBC" w:rsidRPr="00C64F2F">
        <w:t xml:space="preserve"> very high risk of fractur</w:t>
      </w:r>
      <w:r w:rsidR="005A6C8C">
        <w:t>e.</w:t>
      </w:r>
      <w:r w:rsidR="00A53539">
        <w:t xml:space="preserve"> </w:t>
      </w:r>
      <w:r w:rsidR="003631D2">
        <w:t xml:space="preserve">The PBAC considered that it would be appropriate for the PBS listings for abaloparatide to allow use in either the first or second-line settings, consistent with the listings for the main comparator, romosozumab. </w:t>
      </w:r>
      <w:r w:rsidR="00A53539" w:rsidRPr="00292E81">
        <w:rPr>
          <w:rFonts w:asciiTheme="minorHAnsi" w:hAnsiTheme="minorHAnsi"/>
          <w:snapToGrid w:val="0"/>
          <w:lang w:val="en-GB"/>
        </w:rPr>
        <w:t>The PBAC’s recommendation for listing was based on, among</w:t>
      </w:r>
      <w:r w:rsidR="00195CA1">
        <w:rPr>
          <w:rFonts w:asciiTheme="minorHAnsi" w:hAnsiTheme="minorHAnsi"/>
          <w:snapToGrid w:val="0"/>
          <w:lang w:val="en-GB"/>
        </w:rPr>
        <w:t>st</w:t>
      </w:r>
      <w:r w:rsidR="00A53539" w:rsidRPr="00292E81">
        <w:rPr>
          <w:rFonts w:asciiTheme="minorHAnsi" w:hAnsiTheme="minorHAnsi"/>
          <w:snapToGrid w:val="0"/>
          <w:lang w:val="en-GB"/>
        </w:rPr>
        <w:t xml:space="preserve"> other matters, its assessment that the cost-effectiveness of </w:t>
      </w:r>
      <w:r w:rsidR="00A53539">
        <w:rPr>
          <w:rFonts w:asciiTheme="minorHAnsi" w:hAnsiTheme="minorHAnsi"/>
          <w:snapToGrid w:val="0"/>
          <w:lang w:val="en-GB"/>
        </w:rPr>
        <w:t>abaloparatide</w:t>
      </w:r>
      <w:r w:rsidR="00A53539" w:rsidRPr="00292E81">
        <w:rPr>
          <w:rFonts w:asciiTheme="minorHAnsi" w:hAnsiTheme="minorHAnsi"/>
          <w:snapToGrid w:val="0"/>
          <w:lang w:val="en-GB"/>
        </w:rPr>
        <w:t xml:space="preserve"> would be acceptable if it were cost minimised to </w:t>
      </w:r>
      <w:r w:rsidR="00A72CAA">
        <w:rPr>
          <w:rFonts w:asciiTheme="minorHAnsi" w:hAnsiTheme="minorHAnsi"/>
          <w:snapToGrid w:val="0"/>
          <w:lang w:val="en-GB"/>
        </w:rPr>
        <w:t>romosozumab</w:t>
      </w:r>
      <w:r w:rsidR="00E3762A">
        <w:rPr>
          <w:rFonts w:asciiTheme="minorHAnsi" w:hAnsiTheme="minorHAnsi"/>
          <w:snapToGrid w:val="0"/>
          <w:lang w:val="en-GB"/>
        </w:rPr>
        <w:t xml:space="preserve"> in the first-line </w:t>
      </w:r>
      <w:r w:rsidR="007058BB">
        <w:rPr>
          <w:rFonts w:asciiTheme="minorHAnsi" w:hAnsiTheme="minorHAnsi"/>
          <w:snapToGrid w:val="0"/>
          <w:lang w:val="en-GB"/>
        </w:rPr>
        <w:t xml:space="preserve">(1L) </w:t>
      </w:r>
      <w:r w:rsidR="00E3762A">
        <w:rPr>
          <w:rFonts w:asciiTheme="minorHAnsi" w:hAnsiTheme="minorHAnsi"/>
          <w:snapToGrid w:val="0"/>
          <w:lang w:val="en-GB"/>
        </w:rPr>
        <w:t>setting</w:t>
      </w:r>
      <w:r w:rsidR="00286F88">
        <w:rPr>
          <w:rFonts w:asciiTheme="minorHAnsi" w:hAnsiTheme="minorHAnsi"/>
          <w:snapToGrid w:val="0"/>
          <w:lang w:val="en-GB"/>
        </w:rPr>
        <w:t>,</w:t>
      </w:r>
      <w:r w:rsidR="00A04ECF">
        <w:rPr>
          <w:rFonts w:asciiTheme="minorHAnsi" w:hAnsiTheme="minorHAnsi"/>
          <w:snapToGrid w:val="0"/>
          <w:lang w:val="en-GB"/>
        </w:rPr>
        <w:t xml:space="preserve"> </w:t>
      </w:r>
      <w:r w:rsidR="007F0104">
        <w:rPr>
          <w:rFonts w:asciiTheme="minorHAnsi" w:hAnsiTheme="minorHAnsi"/>
          <w:snapToGrid w:val="0"/>
          <w:lang w:val="en-GB"/>
        </w:rPr>
        <w:t>and</w:t>
      </w:r>
      <w:r w:rsidR="00E9783F">
        <w:rPr>
          <w:rFonts w:asciiTheme="minorHAnsi" w:hAnsiTheme="minorHAnsi"/>
          <w:snapToGrid w:val="0"/>
          <w:lang w:val="en-GB"/>
        </w:rPr>
        <w:t xml:space="preserve"> </w:t>
      </w:r>
      <w:r w:rsidR="00286F88">
        <w:rPr>
          <w:rFonts w:asciiTheme="minorHAnsi" w:hAnsiTheme="minorHAnsi"/>
          <w:snapToGrid w:val="0"/>
          <w:lang w:val="en-GB"/>
        </w:rPr>
        <w:t xml:space="preserve">to </w:t>
      </w:r>
      <w:r w:rsidR="00496036">
        <w:rPr>
          <w:rFonts w:asciiTheme="minorHAnsi" w:hAnsiTheme="minorHAnsi"/>
          <w:snapToGrid w:val="0"/>
          <w:lang w:val="en-GB"/>
        </w:rPr>
        <w:t xml:space="preserve">the least costly alternative of </w:t>
      </w:r>
      <w:r w:rsidR="00A04ECF">
        <w:rPr>
          <w:rFonts w:asciiTheme="minorHAnsi" w:hAnsiTheme="minorHAnsi"/>
          <w:snapToGrid w:val="0"/>
          <w:lang w:val="en-GB"/>
        </w:rPr>
        <w:t>teriparatide</w:t>
      </w:r>
      <w:r w:rsidR="00EB17CB">
        <w:rPr>
          <w:rFonts w:asciiTheme="minorHAnsi" w:hAnsiTheme="minorHAnsi"/>
          <w:snapToGrid w:val="0"/>
          <w:lang w:val="en-GB"/>
        </w:rPr>
        <w:t xml:space="preserve"> </w:t>
      </w:r>
      <w:r w:rsidR="00496036">
        <w:rPr>
          <w:rFonts w:asciiTheme="minorHAnsi" w:hAnsiTheme="minorHAnsi"/>
          <w:snapToGrid w:val="0"/>
          <w:lang w:val="en-GB"/>
        </w:rPr>
        <w:t>or romosozumab</w:t>
      </w:r>
      <w:r w:rsidR="00EB17CB">
        <w:rPr>
          <w:rFonts w:asciiTheme="minorHAnsi" w:hAnsiTheme="minorHAnsi"/>
          <w:snapToGrid w:val="0"/>
          <w:lang w:val="en-GB"/>
        </w:rPr>
        <w:t xml:space="preserve"> for second-line </w:t>
      </w:r>
      <w:r w:rsidR="007058BB">
        <w:rPr>
          <w:rFonts w:asciiTheme="minorHAnsi" w:hAnsiTheme="minorHAnsi"/>
          <w:snapToGrid w:val="0"/>
          <w:lang w:val="en-GB"/>
        </w:rPr>
        <w:t xml:space="preserve">(2L) </w:t>
      </w:r>
      <w:r w:rsidR="00EB17CB">
        <w:rPr>
          <w:rFonts w:asciiTheme="minorHAnsi" w:hAnsiTheme="minorHAnsi"/>
          <w:snapToGrid w:val="0"/>
          <w:lang w:val="en-GB"/>
        </w:rPr>
        <w:t>use</w:t>
      </w:r>
      <w:r w:rsidR="00A53539" w:rsidRPr="00292E81">
        <w:rPr>
          <w:rFonts w:asciiTheme="minorHAnsi" w:hAnsiTheme="minorHAnsi"/>
          <w:snapToGrid w:val="0"/>
          <w:lang w:val="en-GB"/>
        </w:rPr>
        <w:t>.</w:t>
      </w:r>
      <w:r w:rsidR="00A53539" w:rsidRPr="00292E81">
        <w:t xml:space="preserve"> The PBAC considered the evidence presented in the submission demonstrated that</w:t>
      </w:r>
      <w:r w:rsidR="00124D13">
        <w:t xml:space="preserve"> </w:t>
      </w:r>
      <w:r w:rsidR="002D4808">
        <w:t>abaloparatide</w:t>
      </w:r>
      <w:r w:rsidR="00A53539" w:rsidRPr="00292E81">
        <w:t xml:space="preserve"> has non-inferior eff</w:t>
      </w:r>
      <w:r w:rsidR="00C51DC6">
        <w:t>ectiveness</w:t>
      </w:r>
      <w:r w:rsidR="00362966">
        <w:t xml:space="preserve">, </w:t>
      </w:r>
      <w:r w:rsidR="00A53539" w:rsidRPr="00292E81">
        <w:t xml:space="preserve">a </w:t>
      </w:r>
      <w:r w:rsidR="00374E30">
        <w:t>superior</w:t>
      </w:r>
      <w:r w:rsidR="00A53539" w:rsidRPr="00292E81">
        <w:t xml:space="preserve"> safety profile</w:t>
      </w:r>
      <w:r w:rsidR="00374E30">
        <w:t xml:space="preserve"> with respect to cardiovascular </w:t>
      </w:r>
      <w:r w:rsidR="00253604">
        <w:t xml:space="preserve">(CV) </w:t>
      </w:r>
      <w:r w:rsidR="0011012F">
        <w:t>events</w:t>
      </w:r>
      <w:r w:rsidR="00362966">
        <w:t>,</w:t>
      </w:r>
      <w:r w:rsidR="00A44E9A">
        <w:t xml:space="preserve"> and a non-inferior safety profile</w:t>
      </w:r>
      <w:r w:rsidR="00EC1194">
        <w:t xml:space="preserve"> </w:t>
      </w:r>
      <w:r w:rsidR="00362966">
        <w:t>with respect to</w:t>
      </w:r>
      <w:r w:rsidR="00EC1194">
        <w:t xml:space="preserve"> other adverse events</w:t>
      </w:r>
      <w:r w:rsidR="00F62874">
        <w:t xml:space="preserve"> compared to romosozumab</w:t>
      </w:r>
      <w:r w:rsidR="00A53539" w:rsidRPr="00292E81">
        <w:t>.</w:t>
      </w:r>
      <w:r w:rsidR="005F7877">
        <w:t xml:space="preserve"> </w:t>
      </w:r>
    </w:p>
    <w:p w14:paraId="59099D38" w14:textId="59529A6D" w:rsidR="0054595A" w:rsidRDefault="0054595A" w:rsidP="007B38AF">
      <w:pPr>
        <w:widowControl w:val="0"/>
        <w:numPr>
          <w:ilvl w:val="1"/>
          <w:numId w:val="1"/>
        </w:numPr>
        <w:rPr>
          <w:rFonts w:asciiTheme="minorHAnsi" w:hAnsiTheme="minorHAnsi"/>
          <w:snapToGrid w:val="0"/>
          <w:lang w:val="en-GB"/>
        </w:rPr>
      </w:pPr>
      <w:bookmarkStart w:id="75" w:name="_Ref118727999"/>
      <w:r>
        <w:rPr>
          <w:rFonts w:asciiTheme="minorHAnsi" w:hAnsiTheme="minorHAnsi"/>
          <w:snapToGrid w:val="0"/>
          <w:lang w:val="en-GB"/>
        </w:rPr>
        <w:t>The PBAC considered that a cost-minimisation approach</w:t>
      </w:r>
      <w:r w:rsidR="002B4847">
        <w:rPr>
          <w:rFonts w:asciiTheme="minorHAnsi" w:hAnsiTheme="minorHAnsi"/>
          <w:snapToGrid w:val="0"/>
          <w:lang w:val="en-GB"/>
        </w:rPr>
        <w:t xml:space="preserve"> </w:t>
      </w:r>
      <w:r w:rsidR="001E773B">
        <w:rPr>
          <w:rFonts w:asciiTheme="minorHAnsi" w:hAnsiTheme="minorHAnsi"/>
          <w:snapToGrid w:val="0"/>
          <w:lang w:val="en-GB"/>
        </w:rPr>
        <w:t xml:space="preserve">(CMA) </w:t>
      </w:r>
      <w:r w:rsidR="002B4847">
        <w:rPr>
          <w:rFonts w:asciiTheme="minorHAnsi" w:hAnsiTheme="minorHAnsi"/>
          <w:snapToGrid w:val="0"/>
          <w:lang w:val="en-GB"/>
        </w:rPr>
        <w:t xml:space="preserve">to romosozumab in the </w:t>
      </w:r>
      <w:r w:rsidR="007058BB">
        <w:rPr>
          <w:rFonts w:asciiTheme="minorHAnsi" w:hAnsiTheme="minorHAnsi"/>
          <w:snapToGrid w:val="0"/>
          <w:lang w:val="en-GB"/>
        </w:rPr>
        <w:t>1L</w:t>
      </w:r>
      <w:r w:rsidR="002B4847">
        <w:rPr>
          <w:rFonts w:asciiTheme="minorHAnsi" w:hAnsiTheme="minorHAnsi"/>
          <w:snapToGrid w:val="0"/>
          <w:lang w:val="en-GB"/>
        </w:rPr>
        <w:t xml:space="preserve"> setting, and to </w:t>
      </w:r>
      <w:r w:rsidR="00983ACE">
        <w:rPr>
          <w:rFonts w:asciiTheme="minorHAnsi" w:hAnsiTheme="minorHAnsi"/>
          <w:snapToGrid w:val="0"/>
          <w:lang w:val="en-GB"/>
        </w:rPr>
        <w:t>the l</w:t>
      </w:r>
      <w:r w:rsidR="003D5D7C">
        <w:rPr>
          <w:rFonts w:asciiTheme="minorHAnsi" w:hAnsiTheme="minorHAnsi"/>
          <w:snapToGrid w:val="0"/>
          <w:lang w:val="en-GB"/>
        </w:rPr>
        <w:t>east</w:t>
      </w:r>
      <w:r w:rsidR="008212D3">
        <w:rPr>
          <w:rFonts w:asciiTheme="minorHAnsi" w:hAnsiTheme="minorHAnsi"/>
          <w:snapToGrid w:val="0"/>
          <w:lang w:val="en-GB"/>
        </w:rPr>
        <w:t xml:space="preserve"> costly alternative</w:t>
      </w:r>
      <w:r w:rsidR="00983ACE">
        <w:rPr>
          <w:rFonts w:asciiTheme="minorHAnsi" w:hAnsiTheme="minorHAnsi"/>
          <w:snapToGrid w:val="0"/>
          <w:lang w:val="en-GB"/>
        </w:rPr>
        <w:t xml:space="preserve"> of romosozumab or </w:t>
      </w:r>
      <w:r w:rsidR="002B4847">
        <w:rPr>
          <w:rFonts w:asciiTheme="minorHAnsi" w:hAnsiTheme="minorHAnsi"/>
          <w:snapToGrid w:val="0"/>
          <w:lang w:val="en-GB"/>
        </w:rPr>
        <w:t xml:space="preserve">teriparatide in the </w:t>
      </w:r>
      <w:r w:rsidR="007058BB">
        <w:rPr>
          <w:rFonts w:asciiTheme="minorHAnsi" w:hAnsiTheme="minorHAnsi"/>
          <w:snapToGrid w:val="0"/>
          <w:lang w:val="en-GB"/>
        </w:rPr>
        <w:t>2L</w:t>
      </w:r>
      <w:r w:rsidR="002B4847">
        <w:rPr>
          <w:rFonts w:asciiTheme="minorHAnsi" w:hAnsiTheme="minorHAnsi"/>
          <w:snapToGrid w:val="0"/>
          <w:lang w:val="en-GB"/>
        </w:rPr>
        <w:t xml:space="preserve"> setting would be appropriate. </w:t>
      </w:r>
    </w:p>
    <w:p w14:paraId="73444DBE" w14:textId="77777777" w:rsidR="002B4847" w:rsidRDefault="002B4847" w:rsidP="002B4847">
      <w:pPr>
        <w:widowControl w:val="0"/>
        <w:rPr>
          <w:rFonts w:asciiTheme="minorHAnsi" w:hAnsiTheme="minorHAnsi"/>
          <w:snapToGrid w:val="0"/>
          <w:lang w:val="en-GB"/>
        </w:rPr>
      </w:pPr>
    </w:p>
    <w:p w14:paraId="4270565F" w14:textId="6B9EA2F6" w:rsidR="00B547CD" w:rsidRPr="00EA73FF" w:rsidRDefault="00B547CD" w:rsidP="007B38AF">
      <w:pPr>
        <w:widowControl w:val="0"/>
        <w:numPr>
          <w:ilvl w:val="1"/>
          <w:numId w:val="1"/>
        </w:numPr>
        <w:rPr>
          <w:rFonts w:asciiTheme="minorHAnsi" w:hAnsiTheme="minorHAnsi"/>
          <w:snapToGrid w:val="0"/>
          <w:lang w:val="en-GB"/>
        </w:rPr>
      </w:pPr>
      <w:r w:rsidRPr="00EA73FF">
        <w:rPr>
          <w:rFonts w:asciiTheme="minorHAnsi" w:hAnsiTheme="minorHAnsi"/>
          <w:snapToGrid w:val="0"/>
          <w:lang w:val="en-GB"/>
        </w:rPr>
        <w:t>The PBAC considered the equi-effective doses</w:t>
      </w:r>
      <w:r w:rsidR="00861306">
        <w:rPr>
          <w:rFonts w:asciiTheme="minorHAnsi" w:hAnsiTheme="minorHAnsi"/>
          <w:snapToGrid w:val="0"/>
          <w:lang w:val="en-GB"/>
        </w:rPr>
        <w:t xml:space="preserve"> for </w:t>
      </w:r>
      <w:r w:rsidR="007058BB">
        <w:rPr>
          <w:rFonts w:asciiTheme="minorHAnsi" w:hAnsiTheme="minorHAnsi"/>
          <w:snapToGrid w:val="0"/>
          <w:lang w:val="en-GB"/>
        </w:rPr>
        <w:t>1L</w:t>
      </w:r>
      <w:r w:rsidR="00861306">
        <w:rPr>
          <w:rFonts w:asciiTheme="minorHAnsi" w:hAnsiTheme="minorHAnsi"/>
          <w:snapToGrid w:val="0"/>
          <w:lang w:val="en-GB"/>
        </w:rPr>
        <w:t xml:space="preserve"> use</w:t>
      </w:r>
      <w:r w:rsidRPr="00EA73FF">
        <w:rPr>
          <w:rFonts w:asciiTheme="minorHAnsi" w:hAnsiTheme="minorHAnsi"/>
          <w:snapToGrid w:val="0"/>
          <w:lang w:val="en-GB"/>
        </w:rPr>
        <w:t xml:space="preserve"> were:</w:t>
      </w:r>
      <w:r w:rsidRPr="00EA73FF">
        <w:rPr>
          <w:rFonts w:asciiTheme="minorHAnsi" w:hAnsiTheme="minorHAnsi"/>
          <w:snapToGrid w:val="0"/>
        </w:rPr>
        <w:t xml:space="preserve"> </w:t>
      </w:r>
      <w:bookmarkEnd w:id="75"/>
    </w:p>
    <w:p w14:paraId="6AAE4583" w14:textId="33B269D8" w:rsidR="00B547CD" w:rsidRDefault="00D872B1" w:rsidP="007B38AF">
      <w:pPr>
        <w:pStyle w:val="3-BodyText"/>
        <w:numPr>
          <w:ilvl w:val="1"/>
          <w:numId w:val="42"/>
        </w:numPr>
        <w:spacing w:before="0" w:after="0"/>
        <w:ind w:hanging="357"/>
        <w:rPr>
          <w:rFonts w:eastAsia="Times New Roman" w:cs="Arial"/>
          <w:snapToGrid w:val="0"/>
          <w:szCs w:val="24"/>
          <w:lang w:val="en-GB"/>
        </w:rPr>
      </w:pPr>
      <w:r>
        <w:t>Abaloparatide</w:t>
      </w:r>
      <w:r w:rsidRPr="00D86D87">
        <w:t xml:space="preserve"> </w:t>
      </w:r>
      <w:r>
        <w:t>80 </w:t>
      </w:r>
      <w:r w:rsidR="00C27B89">
        <w:t>microgram</w:t>
      </w:r>
      <w:r>
        <w:t xml:space="preserve"> per </w:t>
      </w:r>
      <w:r w:rsidR="00AF0D9E">
        <w:t>day</w:t>
      </w:r>
      <w:r>
        <w:t xml:space="preserve"> for 1</w:t>
      </w:r>
      <w:r w:rsidR="00A74F89">
        <w:t>8</w:t>
      </w:r>
      <w:r>
        <w:t xml:space="preserve"> months</w:t>
      </w:r>
      <w:r w:rsidR="00B547CD" w:rsidRPr="00EA73FF">
        <w:rPr>
          <w:rFonts w:eastAsia="Times New Roman" w:cs="Arial"/>
          <w:snapToGrid w:val="0"/>
          <w:szCs w:val="24"/>
          <w:lang w:val="en-GB"/>
        </w:rPr>
        <w:t xml:space="preserve">; </w:t>
      </w:r>
    </w:p>
    <w:p w14:paraId="0DC09D28" w14:textId="66819911" w:rsidR="00DD1F6B" w:rsidRPr="00861306" w:rsidRDefault="00A74F89" w:rsidP="007B38AF">
      <w:pPr>
        <w:pStyle w:val="3-BodyText"/>
        <w:numPr>
          <w:ilvl w:val="1"/>
          <w:numId w:val="42"/>
        </w:numPr>
        <w:spacing w:before="0"/>
        <w:ind w:hanging="357"/>
        <w:rPr>
          <w:rFonts w:eastAsia="Times New Roman" w:cs="Arial"/>
          <w:snapToGrid w:val="0"/>
          <w:szCs w:val="24"/>
          <w:lang w:val="en-GB"/>
        </w:rPr>
      </w:pPr>
      <w:r>
        <w:t>R</w:t>
      </w:r>
      <w:r w:rsidRPr="008B4632">
        <w:t xml:space="preserve">omosozumab </w:t>
      </w:r>
      <w:r w:rsidR="00B80F7D">
        <w:t xml:space="preserve">210 </w:t>
      </w:r>
      <w:r w:rsidRPr="00560E2B">
        <w:t>mg</w:t>
      </w:r>
      <w:r>
        <w:t xml:space="preserve"> </w:t>
      </w:r>
      <w:r w:rsidR="00602128">
        <w:t xml:space="preserve">once </w:t>
      </w:r>
      <w:r>
        <w:t xml:space="preserve">per month for </w:t>
      </w:r>
      <w:r w:rsidR="00A2582D">
        <w:t>12</w:t>
      </w:r>
      <w:r>
        <w:t xml:space="preserve"> months</w:t>
      </w:r>
      <w:r w:rsidRPr="00D86D87">
        <w:t>.</w:t>
      </w:r>
    </w:p>
    <w:p w14:paraId="4AAC9FF6" w14:textId="14D9FF97" w:rsidR="00861306" w:rsidRDefault="00861306" w:rsidP="005615F5">
      <w:pPr>
        <w:pStyle w:val="3-BodyText"/>
        <w:numPr>
          <w:ilvl w:val="0"/>
          <w:numId w:val="0"/>
        </w:numPr>
        <w:spacing w:before="0" w:after="0"/>
        <w:ind w:left="720"/>
        <w:rPr>
          <w:snapToGrid w:val="0"/>
          <w:lang w:val="en-GB"/>
        </w:rPr>
      </w:pPr>
      <w:r>
        <w:rPr>
          <w:snapToGrid w:val="0"/>
          <w:lang w:val="en-GB"/>
        </w:rPr>
        <w:t xml:space="preserve">The PBAC considered the </w:t>
      </w:r>
      <w:r w:rsidRPr="00EA73FF">
        <w:rPr>
          <w:snapToGrid w:val="0"/>
          <w:lang w:val="en-GB"/>
        </w:rPr>
        <w:t>equi-effective doses</w:t>
      </w:r>
      <w:r>
        <w:rPr>
          <w:snapToGrid w:val="0"/>
          <w:lang w:val="en-GB"/>
        </w:rPr>
        <w:t xml:space="preserve"> for </w:t>
      </w:r>
      <w:r w:rsidR="007058BB">
        <w:rPr>
          <w:snapToGrid w:val="0"/>
          <w:lang w:val="en-GB"/>
        </w:rPr>
        <w:t>2L</w:t>
      </w:r>
      <w:r>
        <w:rPr>
          <w:snapToGrid w:val="0"/>
          <w:lang w:val="en-GB"/>
        </w:rPr>
        <w:t xml:space="preserve"> use</w:t>
      </w:r>
      <w:r w:rsidRPr="00EA73FF">
        <w:rPr>
          <w:snapToGrid w:val="0"/>
          <w:lang w:val="en-GB"/>
        </w:rPr>
        <w:t xml:space="preserve"> were:</w:t>
      </w:r>
    </w:p>
    <w:p w14:paraId="06397467" w14:textId="6878E8B9" w:rsidR="00894C93" w:rsidRDefault="00A2582D" w:rsidP="007B38AF">
      <w:pPr>
        <w:pStyle w:val="3-BodyText"/>
        <w:numPr>
          <w:ilvl w:val="1"/>
          <w:numId w:val="42"/>
        </w:numPr>
        <w:spacing w:before="0" w:after="0"/>
        <w:ind w:hanging="357"/>
        <w:rPr>
          <w:rFonts w:eastAsia="Times New Roman" w:cs="Arial"/>
          <w:snapToGrid w:val="0"/>
          <w:szCs w:val="24"/>
          <w:lang w:val="en-GB"/>
        </w:rPr>
      </w:pPr>
      <w:r>
        <w:t>Abaloparatide</w:t>
      </w:r>
      <w:r w:rsidRPr="00D86D87">
        <w:t xml:space="preserve"> </w:t>
      </w:r>
      <w:r>
        <w:t>80 </w:t>
      </w:r>
      <w:r w:rsidR="005A07BD">
        <w:t>microgram</w:t>
      </w:r>
      <w:r w:rsidR="00B67077">
        <w:t xml:space="preserve"> per day</w:t>
      </w:r>
      <w:r w:rsidR="001C4AD9">
        <w:t xml:space="preserve"> for 18 months</w:t>
      </w:r>
      <w:r w:rsidRPr="00EA73FF">
        <w:rPr>
          <w:rFonts w:eastAsia="Times New Roman" w:cs="Arial"/>
          <w:snapToGrid w:val="0"/>
          <w:szCs w:val="24"/>
          <w:lang w:val="en-GB"/>
        </w:rPr>
        <w:t>;</w:t>
      </w:r>
    </w:p>
    <w:p w14:paraId="20FBF062" w14:textId="7F782F90" w:rsidR="00BA3F33" w:rsidRDefault="00BA3F33" w:rsidP="007B38AF">
      <w:pPr>
        <w:pStyle w:val="3-BodyText"/>
        <w:numPr>
          <w:ilvl w:val="1"/>
          <w:numId w:val="42"/>
        </w:numPr>
        <w:spacing w:before="0" w:after="0"/>
        <w:ind w:hanging="357"/>
        <w:rPr>
          <w:rFonts w:eastAsia="Times New Roman" w:cs="Arial"/>
          <w:snapToGrid w:val="0"/>
          <w:szCs w:val="24"/>
          <w:lang w:val="en-GB"/>
        </w:rPr>
      </w:pPr>
      <w:r>
        <w:t>R</w:t>
      </w:r>
      <w:r w:rsidRPr="008B4632">
        <w:t xml:space="preserve">omosozumab </w:t>
      </w:r>
      <w:r w:rsidR="005A07BD">
        <w:t>210</w:t>
      </w:r>
      <w:r>
        <w:t> </w:t>
      </w:r>
      <w:r w:rsidRPr="00560E2B">
        <w:t>mg</w:t>
      </w:r>
      <w:r>
        <w:t xml:space="preserve"> once per month for 12 months</w:t>
      </w:r>
      <w:r w:rsidR="00512E77">
        <w:t>;</w:t>
      </w:r>
    </w:p>
    <w:p w14:paraId="15490ABD" w14:textId="275EA891" w:rsidR="00861306" w:rsidRDefault="00D32CAB" w:rsidP="007B38AF">
      <w:pPr>
        <w:pStyle w:val="3-BodyText"/>
        <w:numPr>
          <w:ilvl w:val="1"/>
          <w:numId w:val="42"/>
        </w:numPr>
        <w:spacing w:before="0"/>
        <w:ind w:hanging="357"/>
        <w:rPr>
          <w:rFonts w:eastAsia="Times New Roman" w:cs="Arial"/>
          <w:snapToGrid w:val="0"/>
          <w:szCs w:val="24"/>
          <w:lang w:val="en-GB"/>
        </w:rPr>
      </w:pPr>
      <w:r>
        <w:rPr>
          <w:rFonts w:eastAsia="Times New Roman" w:cs="Arial"/>
          <w:snapToGrid w:val="0"/>
          <w:szCs w:val="24"/>
          <w:lang w:val="en-GB"/>
        </w:rPr>
        <w:t>Teriparatide</w:t>
      </w:r>
      <w:r w:rsidR="00B67077">
        <w:rPr>
          <w:rFonts w:eastAsia="Times New Roman" w:cs="Arial"/>
          <w:snapToGrid w:val="0"/>
          <w:szCs w:val="24"/>
          <w:lang w:val="en-GB"/>
        </w:rPr>
        <w:t xml:space="preserve"> 20 m</w:t>
      </w:r>
      <w:r w:rsidR="004A49CA">
        <w:rPr>
          <w:rFonts w:eastAsia="Times New Roman" w:cs="Arial"/>
          <w:snapToGrid w:val="0"/>
          <w:szCs w:val="24"/>
          <w:lang w:val="en-GB"/>
        </w:rPr>
        <w:t>icrogram</w:t>
      </w:r>
      <w:r w:rsidR="00B67077">
        <w:rPr>
          <w:rFonts w:eastAsia="Times New Roman" w:cs="Arial"/>
          <w:snapToGrid w:val="0"/>
          <w:szCs w:val="24"/>
          <w:lang w:val="en-GB"/>
        </w:rPr>
        <w:t xml:space="preserve"> per day</w:t>
      </w:r>
      <w:r w:rsidR="001C4AD9">
        <w:rPr>
          <w:rFonts w:eastAsia="Times New Roman" w:cs="Arial"/>
          <w:snapToGrid w:val="0"/>
          <w:szCs w:val="24"/>
          <w:lang w:val="en-GB"/>
        </w:rPr>
        <w:t xml:space="preserve"> </w:t>
      </w:r>
      <w:r w:rsidR="001C4AD9">
        <w:t>for 18 months</w:t>
      </w:r>
      <w:r w:rsidR="00B67077">
        <w:rPr>
          <w:rFonts w:eastAsia="Times New Roman" w:cs="Arial"/>
          <w:snapToGrid w:val="0"/>
          <w:szCs w:val="24"/>
          <w:lang w:val="en-GB"/>
        </w:rPr>
        <w:t>.</w:t>
      </w:r>
      <w:r w:rsidR="00306E37">
        <w:rPr>
          <w:rFonts w:eastAsia="Times New Roman" w:cs="Arial"/>
          <w:snapToGrid w:val="0"/>
          <w:szCs w:val="24"/>
          <w:lang w:val="en-GB"/>
        </w:rPr>
        <w:t xml:space="preserve"> </w:t>
      </w:r>
    </w:p>
    <w:p w14:paraId="3159D289" w14:textId="02A6C8A8" w:rsidR="00DD1F6B" w:rsidRPr="00CE42B4" w:rsidRDefault="006D5002" w:rsidP="00DD1F6B">
      <w:pPr>
        <w:widowControl w:val="0"/>
        <w:numPr>
          <w:ilvl w:val="1"/>
          <w:numId w:val="1"/>
        </w:numPr>
        <w:spacing w:after="120"/>
        <w:rPr>
          <w:rFonts w:asciiTheme="minorHAnsi" w:hAnsiTheme="minorHAnsi"/>
          <w:snapToGrid w:val="0"/>
          <w:lang w:val="en-GB"/>
        </w:rPr>
      </w:pPr>
      <w:r w:rsidRPr="00062A82">
        <w:rPr>
          <w:rFonts w:asciiTheme="minorHAnsi" w:hAnsiTheme="minorHAnsi"/>
          <w:snapToGrid w:val="0"/>
          <w:lang w:val="en-GB"/>
        </w:rPr>
        <w:t xml:space="preserve">The PBAC noted </w:t>
      </w:r>
      <w:r>
        <w:rPr>
          <w:rFonts w:asciiTheme="minorHAnsi" w:hAnsiTheme="minorHAnsi"/>
          <w:snapToGrid w:val="0"/>
          <w:lang w:val="en-GB"/>
        </w:rPr>
        <w:t xml:space="preserve">that there was a </w:t>
      </w:r>
      <w:r w:rsidRPr="00062A82">
        <w:rPr>
          <w:rFonts w:asciiTheme="minorHAnsi" w:hAnsiTheme="minorHAnsi"/>
          <w:snapToGrid w:val="0"/>
          <w:lang w:val="en-GB"/>
        </w:rPr>
        <w:t xml:space="preserve">moderate clinical need to have an alternative </w:t>
      </w:r>
      <w:r w:rsidR="00BF0DCA">
        <w:rPr>
          <w:rFonts w:asciiTheme="minorHAnsi" w:hAnsiTheme="minorHAnsi"/>
          <w:snapToGrid w:val="0"/>
          <w:lang w:val="en-GB"/>
        </w:rPr>
        <w:t>anabolic</w:t>
      </w:r>
      <w:r w:rsidRPr="00062A82">
        <w:rPr>
          <w:rFonts w:asciiTheme="minorHAnsi" w:hAnsiTheme="minorHAnsi"/>
          <w:snapToGrid w:val="0"/>
          <w:lang w:val="en-GB"/>
        </w:rPr>
        <w:t xml:space="preserve"> treatment for </w:t>
      </w:r>
      <w:r w:rsidR="00BF0DCA">
        <w:rPr>
          <w:rFonts w:asciiTheme="minorHAnsi" w:hAnsiTheme="minorHAnsi"/>
          <w:snapToGrid w:val="0"/>
          <w:lang w:val="en-GB"/>
        </w:rPr>
        <w:t>osteoporosis</w:t>
      </w:r>
      <w:r w:rsidRPr="00062A82">
        <w:rPr>
          <w:rFonts w:asciiTheme="minorHAnsi" w:hAnsiTheme="minorHAnsi"/>
          <w:snapToGrid w:val="0"/>
          <w:lang w:val="en-GB"/>
        </w:rPr>
        <w:t xml:space="preserve"> on the PBS, </w:t>
      </w:r>
      <w:proofErr w:type="gramStart"/>
      <w:r w:rsidRPr="00062A82">
        <w:rPr>
          <w:rFonts w:asciiTheme="minorHAnsi" w:hAnsiTheme="minorHAnsi"/>
          <w:snapToGrid w:val="0"/>
          <w:lang w:val="en-GB"/>
        </w:rPr>
        <w:t>in particular for</w:t>
      </w:r>
      <w:proofErr w:type="gramEnd"/>
      <w:r w:rsidRPr="00062A82">
        <w:rPr>
          <w:rFonts w:asciiTheme="minorHAnsi" w:hAnsiTheme="minorHAnsi"/>
          <w:bCs/>
          <w:snapToGrid w:val="0"/>
        </w:rPr>
        <w:t xml:space="preserve"> patients unable to tolerate</w:t>
      </w:r>
      <w:r w:rsidR="00216222">
        <w:rPr>
          <w:rFonts w:asciiTheme="minorHAnsi" w:hAnsiTheme="minorHAnsi"/>
          <w:bCs/>
          <w:snapToGrid w:val="0"/>
        </w:rPr>
        <w:t xml:space="preserve"> or </w:t>
      </w:r>
      <w:r w:rsidR="008C68B4">
        <w:rPr>
          <w:rFonts w:asciiTheme="minorHAnsi" w:hAnsiTheme="minorHAnsi"/>
          <w:bCs/>
          <w:snapToGrid w:val="0"/>
        </w:rPr>
        <w:t xml:space="preserve">who have a </w:t>
      </w:r>
      <w:r w:rsidR="00216222">
        <w:rPr>
          <w:rFonts w:asciiTheme="minorHAnsi" w:hAnsiTheme="minorHAnsi"/>
          <w:bCs/>
          <w:snapToGrid w:val="0"/>
        </w:rPr>
        <w:t>contraindicat</w:t>
      </w:r>
      <w:r w:rsidR="008C68B4">
        <w:rPr>
          <w:rFonts w:asciiTheme="minorHAnsi" w:hAnsiTheme="minorHAnsi"/>
          <w:bCs/>
          <w:snapToGrid w:val="0"/>
        </w:rPr>
        <w:t>ion</w:t>
      </w:r>
      <w:r w:rsidR="00216222">
        <w:rPr>
          <w:rFonts w:asciiTheme="minorHAnsi" w:hAnsiTheme="minorHAnsi"/>
          <w:bCs/>
          <w:snapToGrid w:val="0"/>
        </w:rPr>
        <w:t xml:space="preserve"> to romosozumab</w:t>
      </w:r>
      <w:r w:rsidRPr="00062A82">
        <w:rPr>
          <w:rFonts w:asciiTheme="minorHAnsi" w:hAnsiTheme="minorHAnsi"/>
          <w:bCs/>
          <w:snapToGrid w:val="0"/>
        </w:rPr>
        <w:t>. The PBAC noted the consumer comments to this effect and acknowledged</w:t>
      </w:r>
      <w:r w:rsidR="00C85706">
        <w:rPr>
          <w:rFonts w:asciiTheme="minorHAnsi" w:hAnsiTheme="minorHAnsi"/>
          <w:bCs/>
          <w:snapToGrid w:val="0"/>
        </w:rPr>
        <w:t xml:space="preserve"> </w:t>
      </w:r>
      <w:r w:rsidR="00C85706" w:rsidRPr="0026395A">
        <w:rPr>
          <w:snapToGrid w:val="0"/>
        </w:rPr>
        <w:t xml:space="preserve">the increasing evidence to suggest that anabolic agents should be used </w:t>
      </w:r>
      <w:r w:rsidR="00FC48D4">
        <w:rPr>
          <w:snapToGrid w:val="0"/>
        </w:rPr>
        <w:t>1L</w:t>
      </w:r>
      <w:r w:rsidR="00C85706" w:rsidRPr="0026395A">
        <w:rPr>
          <w:snapToGrid w:val="0"/>
        </w:rPr>
        <w:t xml:space="preserve"> to build new bone,</w:t>
      </w:r>
      <w:r w:rsidR="00BE6BC7">
        <w:rPr>
          <w:snapToGrid w:val="0"/>
        </w:rPr>
        <w:t xml:space="preserve"> yet some patients do not have</w:t>
      </w:r>
      <w:r w:rsidR="00BE6BC7" w:rsidRPr="0026395A">
        <w:rPr>
          <w:snapToGrid w:val="0"/>
        </w:rPr>
        <w:t xml:space="preserve"> access to</w:t>
      </w:r>
      <w:r w:rsidR="00BE6BC7">
        <w:rPr>
          <w:snapToGrid w:val="0"/>
        </w:rPr>
        <w:t xml:space="preserve"> </w:t>
      </w:r>
      <w:r w:rsidR="00FC48D4">
        <w:rPr>
          <w:snapToGrid w:val="0"/>
        </w:rPr>
        <w:t>1L</w:t>
      </w:r>
      <w:r w:rsidR="00BE6BC7" w:rsidRPr="0026395A">
        <w:rPr>
          <w:snapToGrid w:val="0"/>
        </w:rPr>
        <w:t xml:space="preserve"> anabolic treatment</w:t>
      </w:r>
      <w:r w:rsidR="00E20B00">
        <w:rPr>
          <w:snapToGrid w:val="0"/>
        </w:rPr>
        <w:t xml:space="preserve"> due to </w:t>
      </w:r>
      <w:r w:rsidR="00E20B00" w:rsidRPr="0026395A">
        <w:rPr>
          <w:snapToGrid w:val="0"/>
        </w:rPr>
        <w:t>cardiovascular contraindication</w:t>
      </w:r>
      <w:r w:rsidR="00E04157">
        <w:rPr>
          <w:snapToGrid w:val="0"/>
        </w:rPr>
        <w:t>s</w:t>
      </w:r>
      <w:r w:rsidRPr="00062A82">
        <w:rPr>
          <w:rFonts w:asciiTheme="minorHAnsi" w:hAnsiTheme="minorHAnsi"/>
          <w:bCs/>
          <w:snapToGrid w:val="0"/>
        </w:rPr>
        <w:t>.</w:t>
      </w:r>
    </w:p>
    <w:p w14:paraId="1D059BF1" w14:textId="31E8704A" w:rsidR="00DD1F6B" w:rsidRDefault="00087556" w:rsidP="00283EE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w:t>
      </w:r>
      <w:r w:rsidR="009341CC">
        <w:rPr>
          <w:rFonts w:asciiTheme="minorHAnsi" w:hAnsiTheme="minorHAnsi"/>
          <w:snapToGrid w:val="0"/>
          <w:lang w:val="en-GB"/>
        </w:rPr>
        <w:t>considered that</w:t>
      </w:r>
      <w:r>
        <w:rPr>
          <w:rFonts w:asciiTheme="minorHAnsi" w:hAnsiTheme="minorHAnsi"/>
          <w:snapToGrid w:val="0"/>
          <w:lang w:val="en-GB"/>
        </w:rPr>
        <w:t xml:space="preserve"> the restriction</w:t>
      </w:r>
      <w:r w:rsidR="003002FA">
        <w:rPr>
          <w:rFonts w:asciiTheme="minorHAnsi" w:hAnsiTheme="minorHAnsi"/>
          <w:snapToGrid w:val="0"/>
          <w:lang w:val="en-GB"/>
        </w:rPr>
        <w:t>s</w:t>
      </w:r>
      <w:r w:rsidR="009341CC">
        <w:rPr>
          <w:rFonts w:asciiTheme="minorHAnsi" w:hAnsiTheme="minorHAnsi"/>
          <w:snapToGrid w:val="0"/>
          <w:lang w:val="en-GB"/>
        </w:rPr>
        <w:t xml:space="preserve"> for</w:t>
      </w:r>
      <w:r>
        <w:rPr>
          <w:rFonts w:asciiTheme="minorHAnsi" w:hAnsiTheme="minorHAnsi"/>
          <w:snapToGrid w:val="0"/>
          <w:lang w:val="en-GB"/>
        </w:rPr>
        <w:t xml:space="preserve"> abaloparatide </w:t>
      </w:r>
      <w:r w:rsidR="00FD3620">
        <w:rPr>
          <w:rFonts w:asciiTheme="minorHAnsi" w:hAnsiTheme="minorHAnsi"/>
          <w:snapToGrid w:val="0"/>
          <w:lang w:val="en-GB"/>
        </w:rPr>
        <w:t>should</w:t>
      </w:r>
      <w:r w:rsidR="00F37A90">
        <w:rPr>
          <w:rFonts w:asciiTheme="minorHAnsi" w:hAnsiTheme="minorHAnsi"/>
          <w:snapToGrid w:val="0"/>
          <w:lang w:val="en-GB"/>
        </w:rPr>
        <w:t xml:space="preserve"> generally be consistent with the restriction</w:t>
      </w:r>
      <w:r w:rsidR="003002FA">
        <w:rPr>
          <w:rFonts w:asciiTheme="minorHAnsi" w:hAnsiTheme="minorHAnsi"/>
          <w:snapToGrid w:val="0"/>
          <w:lang w:val="en-GB"/>
        </w:rPr>
        <w:t>s</w:t>
      </w:r>
      <w:r w:rsidR="00F37A90">
        <w:rPr>
          <w:rFonts w:asciiTheme="minorHAnsi" w:hAnsiTheme="minorHAnsi"/>
          <w:snapToGrid w:val="0"/>
          <w:lang w:val="en-GB"/>
        </w:rPr>
        <w:t xml:space="preserve"> for romo</w:t>
      </w:r>
      <w:r w:rsidR="00D510BA">
        <w:rPr>
          <w:rFonts w:asciiTheme="minorHAnsi" w:hAnsiTheme="minorHAnsi"/>
          <w:snapToGrid w:val="0"/>
          <w:lang w:val="en-GB"/>
        </w:rPr>
        <w:t>sozumab</w:t>
      </w:r>
      <w:r w:rsidR="00FF7C3D">
        <w:rPr>
          <w:rFonts w:asciiTheme="minorHAnsi" w:hAnsiTheme="minorHAnsi"/>
          <w:snapToGrid w:val="0"/>
          <w:lang w:val="en-GB"/>
        </w:rPr>
        <w:t xml:space="preserve">. </w:t>
      </w:r>
      <w:r w:rsidR="003002FA">
        <w:rPr>
          <w:rFonts w:asciiTheme="minorHAnsi" w:hAnsiTheme="minorHAnsi"/>
          <w:snapToGrid w:val="0"/>
          <w:lang w:val="en-GB"/>
        </w:rPr>
        <w:t>The Committee</w:t>
      </w:r>
      <w:r w:rsidR="00FF7C3D">
        <w:rPr>
          <w:rFonts w:asciiTheme="minorHAnsi" w:hAnsiTheme="minorHAnsi"/>
          <w:snapToGrid w:val="0"/>
          <w:lang w:val="en-GB"/>
        </w:rPr>
        <w:t xml:space="preserve"> noted that </w:t>
      </w:r>
      <w:r w:rsidR="003002FA">
        <w:rPr>
          <w:rFonts w:asciiTheme="minorHAnsi" w:hAnsiTheme="minorHAnsi"/>
          <w:snapToGrid w:val="0"/>
          <w:lang w:val="en-GB"/>
        </w:rPr>
        <w:t>the restrictions</w:t>
      </w:r>
      <w:r w:rsidR="00FF7C3D">
        <w:rPr>
          <w:rFonts w:asciiTheme="minorHAnsi" w:hAnsiTheme="minorHAnsi"/>
          <w:snapToGrid w:val="0"/>
          <w:lang w:val="en-GB"/>
        </w:rPr>
        <w:t xml:space="preserve"> should be</w:t>
      </w:r>
      <w:r w:rsidR="00FD3620">
        <w:rPr>
          <w:rFonts w:asciiTheme="minorHAnsi" w:hAnsiTheme="minorHAnsi"/>
          <w:snapToGrid w:val="0"/>
          <w:lang w:val="en-GB"/>
        </w:rPr>
        <w:t xml:space="preserve"> gender agnostic</w:t>
      </w:r>
      <w:r w:rsidR="00FF7C3D">
        <w:rPr>
          <w:rFonts w:asciiTheme="minorHAnsi" w:hAnsiTheme="minorHAnsi"/>
          <w:snapToGrid w:val="0"/>
          <w:lang w:val="en-GB"/>
        </w:rPr>
        <w:t xml:space="preserve"> and specify a </w:t>
      </w:r>
      <w:r w:rsidR="006475A7">
        <w:rPr>
          <w:rFonts w:asciiTheme="minorHAnsi" w:hAnsiTheme="minorHAnsi"/>
          <w:snapToGrid w:val="0"/>
          <w:lang w:val="en-GB"/>
        </w:rPr>
        <w:t xml:space="preserve">lifetime maximum of 18 months (compared with 12 months for </w:t>
      </w:r>
      <w:r w:rsidR="008F77DB">
        <w:rPr>
          <w:rFonts w:asciiTheme="minorHAnsi" w:hAnsiTheme="minorHAnsi"/>
          <w:snapToGrid w:val="0"/>
          <w:lang w:val="en-GB"/>
        </w:rPr>
        <w:t xml:space="preserve">romosozumab). </w:t>
      </w:r>
    </w:p>
    <w:p w14:paraId="339C98CB" w14:textId="04B5E2DC" w:rsidR="00CC3ACA" w:rsidRPr="00283EE4" w:rsidRDefault="00CC3ACA" w:rsidP="00283EE4">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 xml:space="preserve">The PBAC noted that </w:t>
      </w:r>
      <w:r w:rsidR="004B7A11">
        <w:rPr>
          <w:rFonts w:asciiTheme="minorHAnsi" w:hAnsiTheme="minorHAnsi"/>
          <w:snapToGrid w:val="0"/>
          <w:lang w:val="en-GB"/>
        </w:rPr>
        <w:t xml:space="preserve">as anabolic treatments are limited to once per lifetime, </w:t>
      </w:r>
      <w:r>
        <w:rPr>
          <w:rFonts w:asciiTheme="minorHAnsi" w:hAnsiTheme="minorHAnsi"/>
          <w:snapToGrid w:val="0"/>
          <w:lang w:val="en-GB"/>
        </w:rPr>
        <w:t xml:space="preserve">flow-on changes to the restrictions for romosozumab and teriparatide would be required to </w:t>
      </w:r>
      <w:r w:rsidR="00D17D23">
        <w:rPr>
          <w:rFonts w:asciiTheme="minorHAnsi" w:hAnsiTheme="minorHAnsi"/>
          <w:snapToGrid w:val="0"/>
          <w:lang w:val="en-GB"/>
        </w:rPr>
        <w:t xml:space="preserve">prevent sequential therapy for </w:t>
      </w:r>
      <w:r w:rsidR="00EA7BB3">
        <w:rPr>
          <w:rFonts w:asciiTheme="minorHAnsi" w:hAnsiTheme="minorHAnsi"/>
          <w:snapToGrid w:val="0"/>
          <w:lang w:val="en-GB"/>
        </w:rPr>
        <w:t>patients who had previously received treatment with abaloparatide</w:t>
      </w:r>
      <w:r w:rsidR="004B7A11">
        <w:rPr>
          <w:rFonts w:asciiTheme="minorHAnsi" w:hAnsiTheme="minorHAnsi"/>
          <w:snapToGrid w:val="0"/>
          <w:lang w:val="en-GB"/>
        </w:rPr>
        <w:t>.</w:t>
      </w:r>
    </w:p>
    <w:p w14:paraId="7B3C3C6C" w14:textId="1CDEA783" w:rsidR="00DD1F6B" w:rsidRPr="00CE42B4" w:rsidRDefault="00017589" w:rsidP="00DD1F6B">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The PBAC accepted the proposed comparator of romosozumab</w:t>
      </w:r>
      <w:r w:rsidR="00F00FC1">
        <w:rPr>
          <w:rFonts w:asciiTheme="minorHAnsi" w:hAnsiTheme="minorHAnsi"/>
          <w:snapToGrid w:val="0"/>
          <w:lang w:val="en-GB"/>
        </w:rPr>
        <w:t xml:space="preserve"> in the </w:t>
      </w:r>
      <w:r w:rsidR="00B10436">
        <w:rPr>
          <w:rFonts w:asciiTheme="minorHAnsi" w:hAnsiTheme="minorHAnsi"/>
          <w:snapToGrid w:val="0"/>
          <w:lang w:val="en-GB"/>
        </w:rPr>
        <w:t>1L</w:t>
      </w:r>
      <w:r w:rsidR="00F00FC1">
        <w:rPr>
          <w:rFonts w:asciiTheme="minorHAnsi" w:hAnsiTheme="minorHAnsi"/>
          <w:snapToGrid w:val="0"/>
          <w:lang w:val="en-GB"/>
        </w:rPr>
        <w:t xml:space="preserve"> setting</w:t>
      </w:r>
      <w:r w:rsidR="00D553A7">
        <w:rPr>
          <w:rFonts w:asciiTheme="minorHAnsi" w:hAnsiTheme="minorHAnsi"/>
          <w:snapToGrid w:val="0"/>
          <w:lang w:val="en-GB"/>
        </w:rPr>
        <w:t xml:space="preserve">, given that it is the RACGP-recommended </w:t>
      </w:r>
      <w:r w:rsidR="00B10436">
        <w:rPr>
          <w:rFonts w:asciiTheme="minorHAnsi" w:hAnsiTheme="minorHAnsi"/>
          <w:snapToGrid w:val="0"/>
          <w:lang w:val="en-GB"/>
        </w:rPr>
        <w:t>1L</w:t>
      </w:r>
      <w:r w:rsidR="00D553A7">
        <w:rPr>
          <w:rFonts w:asciiTheme="minorHAnsi" w:hAnsiTheme="minorHAnsi"/>
          <w:snapToGrid w:val="0"/>
          <w:lang w:val="en-GB"/>
        </w:rPr>
        <w:t xml:space="preserve"> therapy </w:t>
      </w:r>
      <w:r w:rsidR="004D0765">
        <w:t>for</w:t>
      </w:r>
      <w:r w:rsidR="001352F3">
        <w:t xml:space="preserve"> osteoporotic</w:t>
      </w:r>
      <w:r w:rsidR="004D0765">
        <w:t xml:space="preserve"> men and post-menopausal women with very high risk of fracture.</w:t>
      </w:r>
      <w:r w:rsidR="003760BC">
        <w:t xml:space="preserve"> </w:t>
      </w:r>
      <w:r w:rsidR="00CE4820">
        <w:t>Notwithstanding, t</w:t>
      </w:r>
      <w:r w:rsidR="003760BC">
        <w:t>he PBAC noted that</w:t>
      </w:r>
      <w:r w:rsidR="00CE4820">
        <w:t xml:space="preserve"> </w:t>
      </w:r>
      <w:r w:rsidR="00CE4820" w:rsidRPr="00E20F32">
        <w:t>romosozumab may not be an appropriate comparator</w:t>
      </w:r>
      <w:r w:rsidR="00CE4820">
        <w:t xml:space="preserve"> for</w:t>
      </w:r>
      <w:r w:rsidR="003760BC">
        <w:t xml:space="preserve"> </w:t>
      </w:r>
      <w:r w:rsidR="00703FDC">
        <w:t>patients</w:t>
      </w:r>
      <w:r w:rsidR="00B66B0C">
        <w:t xml:space="preserve"> who</w:t>
      </w:r>
      <w:r w:rsidR="00703FDC">
        <w:t xml:space="preserve"> </w:t>
      </w:r>
      <w:r w:rsidR="005B647F">
        <w:t>have</w:t>
      </w:r>
      <w:r w:rsidR="003A7CCF">
        <w:t xml:space="preserve"> CV-related contraindications</w:t>
      </w:r>
      <w:r w:rsidR="005B647F">
        <w:t xml:space="preserve"> to romosozumab</w:t>
      </w:r>
      <w:r w:rsidR="00921A6C">
        <w:t xml:space="preserve"> and that</w:t>
      </w:r>
      <w:r w:rsidR="00711A11">
        <w:t xml:space="preserve"> the size of this population is uncertain</w:t>
      </w:r>
      <w:r w:rsidR="00CE4820">
        <w:t>.</w:t>
      </w:r>
      <w:r w:rsidR="00F14947">
        <w:t xml:space="preserve"> Further, the PBAC noted that </w:t>
      </w:r>
      <w:r w:rsidR="007C3798">
        <w:t xml:space="preserve">teriparatide is listed as a </w:t>
      </w:r>
      <w:r w:rsidR="00B10436">
        <w:t>2L</w:t>
      </w:r>
      <w:r w:rsidR="007C3798">
        <w:t xml:space="preserve"> treatment</w:t>
      </w:r>
      <w:r w:rsidR="000139F8">
        <w:t xml:space="preserve"> and </w:t>
      </w:r>
      <w:r w:rsidR="000139F8" w:rsidRPr="000139F8">
        <w:t xml:space="preserve">was a comparator to abaloparatide in the </w:t>
      </w:r>
      <w:r w:rsidR="005D33AA">
        <w:t xml:space="preserve">pivotal </w:t>
      </w:r>
      <w:r w:rsidR="000139F8" w:rsidRPr="000139F8">
        <w:t>ACTIVE</w:t>
      </w:r>
      <w:r w:rsidR="005D33AA">
        <w:t xml:space="preserve"> trial</w:t>
      </w:r>
      <w:r w:rsidR="000139F8" w:rsidRPr="000139F8">
        <w:t xml:space="preserve"> for the secondary outcomes of BMD and for safety</w:t>
      </w:r>
      <w:r w:rsidR="005D33AA">
        <w:t>.</w:t>
      </w:r>
      <w:r w:rsidR="0008026E">
        <w:t xml:space="preserve"> The PBAC considered that in the </w:t>
      </w:r>
      <w:r w:rsidR="00B10436">
        <w:t>2L</w:t>
      </w:r>
      <w:r w:rsidR="0008026E">
        <w:t xml:space="preserve"> setting, </w:t>
      </w:r>
      <w:r w:rsidR="00E34075">
        <w:t xml:space="preserve">both </w:t>
      </w:r>
      <w:r w:rsidR="0008026E">
        <w:t xml:space="preserve">teriparatide </w:t>
      </w:r>
      <w:r w:rsidR="00E34075">
        <w:t xml:space="preserve">and romosozumab </w:t>
      </w:r>
      <w:r w:rsidR="003A4487">
        <w:t>should be considered</w:t>
      </w:r>
      <w:r w:rsidR="00961A6A">
        <w:t xml:space="preserve"> </w:t>
      </w:r>
      <w:r w:rsidR="0008026E">
        <w:t>appropriate comparator</w:t>
      </w:r>
      <w:r w:rsidR="00E34075">
        <w:t>s</w:t>
      </w:r>
      <w:r w:rsidR="0008026E">
        <w:t>.</w:t>
      </w:r>
    </w:p>
    <w:p w14:paraId="787F7364" w14:textId="694DC95D" w:rsidR="00CE2591" w:rsidRPr="00CE2591" w:rsidRDefault="004A2A82" w:rsidP="00F24E3A">
      <w:pPr>
        <w:widowControl w:val="0"/>
        <w:numPr>
          <w:ilvl w:val="1"/>
          <w:numId w:val="1"/>
        </w:numPr>
        <w:spacing w:after="120"/>
      </w:pPr>
      <w:r w:rsidRPr="00F41978">
        <w:rPr>
          <w:rFonts w:asciiTheme="minorHAnsi" w:hAnsiTheme="minorHAnsi"/>
          <w:snapToGrid w:val="0"/>
          <w:lang w:val="en-GB"/>
        </w:rPr>
        <w:t xml:space="preserve">The PBAC noted that the pivotal trial evidence presented in the submission, which informed the indirect comparison and CMA, was based on one randomised controlled trial (RCT) of </w:t>
      </w:r>
      <w:r w:rsidR="00DB7855" w:rsidRPr="00F41978">
        <w:rPr>
          <w:rFonts w:asciiTheme="minorHAnsi" w:hAnsiTheme="minorHAnsi"/>
          <w:snapToGrid w:val="0"/>
          <w:lang w:val="en-GB"/>
        </w:rPr>
        <w:t>abaloparatide</w:t>
      </w:r>
      <w:r w:rsidRPr="00F41978">
        <w:rPr>
          <w:rFonts w:asciiTheme="minorHAnsi" w:hAnsiTheme="minorHAnsi"/>
          <w:snapToGrid w:val="0"/>
          <w:lang w:val="en-GB"/>
        </w:rPr>
        <w:t xml:space="preserve"> (</w:t>
      </w:r>
      <w:r w:rsidR="00DB7855" w:rsidRPr="00F41978">
        <w:rPr>
          <w:rFonts w:asciiTheme="minorHAnsi" w:hAnsiTheme="minorHAnsi"/>
          <w:snapToGrid w:val="0"/>
          <w:lang w:val="en-GB"/>
        </w:rPr>
        <w:t>ACTIVE</w:t>
      </w:r>
      <w:r w:rsidRPr="00F41978">
        <w:rPr>
          <w:rFonts w:asciiTheme="minorHAnsi" w:hAnsiTheme="minorHAnsi"/>
          <w:snapToGrid w:val="0"/>
          <w:lang w:val="en-GB"/>
        </w:rPr>
        <w:t xml:space="preserve">) and one RCT of </w:t>
      </w:r>
      <w:r w:rsidR="00F41978" w:rsidRPr="00F41978">
        <w:rPr>
          <w:rFonts w:asciiTheme="minorHAnsi" w:hAnsiTheme="minorHAnsi"/>
          <w:snapToGrid w:val="0"/>
          <w:lang w:val="en-GB"/>
        </w:rPr>
        <w:t>romosozumab</w:t>
      </w:r>
      <w:r w:rsidRPr="00F41978">
        <w:rPr>
          <w:rFonts w:asciiTheme="minorHAnsi" w:hAnsiTheme="minorHAnsi"/>
          <w:snapToGrid w:val="0"/>
          <w:lang w:val="en-GB"/>
        </w:rPr>
        <w:t xml:space="preserve"> (</w:t>
      </w:r>
      <w:r w:rsidR="00F41978" w:rsidRPr="00F41978">
        <w:rPr>
          <w:rFonts w:asciiTheme="minorHAnsi" w:hAnsiTheme="minorHAnsi"/>
          <w:snapToGrid w:val="0"/>
          <w:lang w:val="en-GB"/>
        </w:rPr>
        <w:t>FRAME</w:t>
      </w:r>
      <w:r w:rsidRPr="00F41978">
        <w:rPr>
          <w:rFonts w:asciiTheme="minorHAnsi" w:hAnsiTheme="minorHAnsi"/>
          <w:snapToGrid w:val="0"/>
          <w:lang w:val="en-GB"/>
        </w:rPr>
        <w:t>).</w:t>
      </w:r>
      <w:r w:rsidR="00F23A12">
        <w:rPr>
          <w:rFonts w:asciiTheme="minorHAnsi" w:hAnsiTheme="minorHAnsi"/>
          <w:snapToGrid w:val="0"/>
          <w:lang w:val="en-GB"/>
        </w:rPr>
        <w:t xml:space="preserve"> </w:t>
      </w:r>
      <w:r w:rsidR="00BB0921">
        <w:rPr>
          <w:rFonts w:asciiTheme="minorHAnsi" w:hAnsiTheme="minorHAnsi"/>
          <w:snapToGrid w:val="0"/>
          <w:lang w:val="en-GB"/>
        </w:rPr>
        <w:t>T</w:t>
      </w:r>
      <w:r w:rsidR="00F23A12">
        <w:rPr>
          <w:rFonts w:asciiTheme="minorHAnsi" w:hAnsiTheme="minorHAnsi"/>
          <w:snapToGrid w:val="0"/>
          <w:lang w:val="en-GB"/>
        </w:rPr>
        <w:t xml:space="preserve">he PBAC acknowledged the </w:t>
      </w:r>
      <w:r w:rsidR="00BB0921">
        <w:rPr>
          <w:rFonts w:asciiTheme="minorHAnsi" w:hAnsiTheme="minorHAnsi"/>
          <w:snapToGrid w:val="0"/>
          <w:lang w:val="en-GB"/>
        </w:rPr>
        <w:t>differences between the ACTIVE and FRAME trials that</w:t>
      </w:r>
      <w:r w:rsidR="00AF7D35">
        <w:rPr>
          <w:rFonts w:asciiTheme="minorHAnsi" w:hAnsiTheme="minorHAnsi"/>
          <w:snapToGrid w:val="0"/>
          <w:lang w:val="en-GB"/>
        </w:rPr>
        <w:t xml:space="preserve"> may</w:t>
      </w:r>
      <w:r w:rsidR="00BB0921">
        <w:rPr>
          <w:rFonts w:asciiTheme="minorHAnsi" w:hAnsiTheme="minorHAnsi"/>
          <w:snapToGrid w:val="0"/>
          <w:lang w:val="en-GB"/>
        </w:rPr>
        <w:t xml:space="preserve"> limit the reliability of the</w:t>
      </w:r>
      <w:r w:rsidR="00825906">
        <w:rPr>
          <w:rFonts w:asciiTheme="minorHAnsi" w:hAnsiTheme="minorHAnsi"/>
          <w:snapToGrid w:val="0"/>
          <w:lang w:val="en-GB"/>
        </w:rPr>
        <w:t xml:space="preserve"> ITC</w:t>
      </w:r>
      <w:r w:rsidR="000E49B9">
        <w:rPr>
          <w:rFonts w:asciiTheme="minorHAnsi" w:hAnsiTheme="minorHAnsi"/>
          <w:snapToGrid w:val="0"/>
          <w:lang w:val="en-GB"/>
        </w:rPr>
        <w:t xml:space="preserve"> due to transitivity issues</w:t>
      </w:r>
      <w:r w:rsidR="00DD1662">
        <w:rPr>
          <w:rFonts w:asciiTheme="minorHAnsi" w:hAnsiTheme="minorHAnsi"/>
          <w:snapToGrid w:val="0"/>
          <w:lang w:val="en-GB"/>
        </w:rPr>
        <w:t xml:space="preserve">, as well as </w:t>
      </w:r>
      <w:r w:rsidR="00A02780">
        <w:rPr>
          <w:rFonts w:asciiTheme="minorHAnsi" w:hAnsiTheme="minorHAnsi"/>
          <w:snapToGrid w:val="0"/>
          <w:lang w:val="en-GB"/>
        </w:rPr>
        <w:t>differences between the ACTIVE trial</w:t>
      </w:r>
      <w:r w:rsidR="00A90A25">
        <w:rPr>
          <w:rFonts w:asciiTheme="minorHAnsi" w:hAnsiTheme="minorHAnsi"/>
          <w:snapToGrid w:val="0"/>
          <w:lang w:val="en-GB"/>
        </w:rPr>
        <w:t xml:space="preserve"> population</w:t>
      </w:r>
      <w:r w:rsidR="00050DC6">
        <w:rPr>
          <w:rFonts w:asciiTheme="minorHAnsi" w:hAnsiTheme="minorHAnsi"/>
          <w:snapToGrid w:val="0"/>
          <w:lang w:val="en-GB"/>
        </w:rPr>
        <w:t xml:space="preserve"> and</w:t>
      </w:r>
      <w:r w:rsidR="00AF7D35">
        <w:rPr>
          <w:rFonts w:asciiTheme="minorHAnsi" w:hAnsiTheme="minorHAnsi"/>
          <w:snapToGrid w:val="0"/>
          <w:lang w:val="en-GB"/>
        </w:rPr>
        <w:t xml:space="preserve"> Australian patient</w:t>
      </w:r>
      <w:r w:rsidR="00A90A25">
        <w:rPr>
          <w:rFonts w:asciiTheme="minorHAnsi" w:hAnsiTheme="minorHAnsi"/>
          <w:snapToGrid w:val="0"/>
          <w:lang w:val="en-GB"/>
        </w:rPr>
        <w:t>s</w:t>
      </w:r>
      <w:r w:rsidR="00A02780">
        <w:rPr>
          <w:rFonts w:asciiTheme="minorHAnsi" w:hAnsiTheme="minorHAnsi"/>
          <w:snapToGrid w:val="0"/>
          <w:lang w:val="en-GB"/>
        </w:rPr>
        <w:t xml:space="preserve"> </w:t>
      </w:r>
      <w:r w:rsidR="00AF7D35">
        <w:rPr>
          <w:rFonts w:asciiTheme="minorHAnsi" w:hAnsiTheme="minorHAnsi"/>
          <w:snapToGrid w:val="0"/>
          <w:lang w:val="en-GB"/>
        </w:rPr>
        <w:t xml:space="preserve">that may limit the applicability </w:t>
      </w:r>
      <w:r w:rsidR="009A5A16">
        <w:rPr>
          <w:rFonts w:asciiTheme="minorHAnsi" w:hAnsiTheme="minorHAnsi"/>
          <w:snapToGrid w:val="0"/>
          <w:lang w:val="en-GB"/>
        </w:rPr>
        <w:t xml:space="preserve">of the trial </w:t>
      </w:r>
      <w:r w:rsidR="00A90A25">
        <w:rPr>
          <w:rFonts w:asciiTheme="minorHAnsi" w:hAnsiTheme="minorHAnsi"/>
          <w:snapToGrid w:val="0"/>
          <w:lang w:val="en-GB"/>
        </w:rPr>
        <w:t>results</w:t>
      </w:r>
      <w:r w:rsidR="009A5A16">
        <w:rPr>
          <w:rFonts w:asciiTheme="minorHAnsi" w:hAnsiTheme="minorHAnsi"/>
          <w:snapToGrid w:val="0"/>
          <w:lang w:val="en-GB"/>
        </w:rPr>
        <w:t>.</w:t>
      </w:r>
      <w:r w:rsidR="008120A7">
        <w:rPr>
          <w:rFonts w:asciiTheme="minorHAnsi" w:hAnsiTheme="minorHAnsi"/>
          <w:snapToGrid w:val="0"/>
          <w:lang w:val="en-GB"/>
        </w:rPr>
        <w:t xml:space="preserve"> However, </w:t>
      </w:r>
      <w:r w:rsidR="00E61789">
        <w:rPr>
          <w:rFonts w:asciiTheme="minorHAnsi" w:hAnsiTheme="minorHAnsi"/>
          <w:snapToGrid w:val="0"/>
          <w:lang w:val="en-GB"/>
        </w:rPr>
        <w:t>overall,</w:t>
      </w:r>
      <w:r w:rsidR="008120A7">
        <w:rPr>
          <w:rFonts w:asciiTheme="minorHAnsi" w:hAnsiTheme="minorHAnsi"/>
          <w:snapToGrid w:val="0"/>
          <w:lang w:val="en-GB"/>
        </w:rPr>
        <w:t xml:space="preserve"> </w:t>
      </w:r>
      <w:r w:rsidR="00CC49B7">
        <w:rPr>
          <w:rFonts w:asciiTheme="minorHAnsi" w:hAnsiTheme="minorHAnsi"/>
          <w:snapToGrid w:val="0"/>
          <w:lang w:val="en-GB"/>
        </w:rPr>
        <w:t>the Committee</w:t>
      </w:r>
      <w:r w:rsidR="008120A7">
        <w:rPr>
          <w:rFonts w:asciiTheme="minorHAnsi" w:hAnsiTheme="minorHAnsi"/>
          <w:snapToGrid w:val="0"/>
          <w:lang w:val="en-GB"/>
        </w:rPr>
        <w:t xml:space="preserve"> considered that </w:t>
      </w:r>
      <w:r w:rsidR="00FD2C74" w:rsidRPr="00FD2C74">
        <w:rPr>
          <w:rFonts w:asciiTheme="minorHAnsi" w:hAnsiTheme="minorHAnsi"/>
          <w:snapToGrid w:val="0"/>
        </w:rPr>
        <w:t>the claim of non-inferior comparative effectiveness</w:t>
      </w:r>
      <w:r w:rsidR="00853050">
        <w:rPr>
          <w:rFonts w:asciiTheme="minorHAnsi" w:hAnsiTheme="minorHAnsi"/>
          <w:snapToGrid w:val="0"/>
        </w:rPr>
        <w:t xml:space="preserve"> of abaloparatide </w:t>
      </w:r>
      <w:r w:rsidR="00C60462">
        <w:rPr>
          <w:rFonts w:asciiTheme="minorHAnsi" w:hAnsiTheme="minorHAnsi"/>
          <w:snapToGrid w:val="0"/>
        </w:rPr>
        <w:t>to romosozumab</w:t>
      </w:r>
      <w:r w:rsidR="00FD2C74" w:rsidRPr="00FD2C74">
        <w:rPr>
          <w:rFonts w:asciiTheme="minorHAnsi" w:hAnsiTheme="minorHAnsi"/>
          <w:snapToGrid w:val="0"/>
        </w:rPr>
        <w:t xml:space="preserve"> was adequately supported by the data</w:t>
      </w:r>
      <w:r w:rsidR="00276C53">
        <w:rPr>
          <w:rFonts w:asciiTheme="minorHAnsi" w:hAnsiTheme="minorHAnsi"/>
          <w:snapToGrid w:val="0"/>
        </w:rPr>
        <w:t>, and that the</w:t>
      </w:r>
      <w:r w:rsidR="00C60462">
        <w:rPr>
          <w:rFonts w:asciiTheme="minorHAnsi" w:hAnsiTheme="minorHAnsi"/>
          <w:snapToGrid w:val="0"/>
        </w:rPr>
        <w:t xml:space="preserve"> ACTIVE</w:t>
      </w:r>
      <w:r w:rsidR="00276C53">
        <w:rPr>
          <w:rFonts w:asciiTheme="minorHAnsi" w:hAnsiTheme="minorHAnsi"/>
          <w:snapToGrid w:val="0"/>
        </w:rPr>
        <w:t xml:space="preserve"> </w:t>
      </w:r>
      <w:r w:rsidR="00276C53" w:rsidRPr="00276C53">
        <w:rPr>
          <w:rFonts w:asciiTheme="minorHAnsi" w:hAnsiTheme="minorHAnsi"/>
          <w:snapToGrid w:val="0"/>
        </w:rPr>
        <w:t>trial population and processes of care were</w:t>
      </w:r>
      <w:r w:rsidR="00276C53">
        <w:rPr>
          <w:rFonts w:asciiTheme="minorHAnsi" w:hAnsiTheme="minorHAnsi"/>
          <w:snapToGrid w:val="0"/>
        </w:rPr>
        <w:t xml:space="preserve"> sufficiently</w:t>
      </w:r>
      <w:r w:rsidR="00276C53" w:rsidRPr="00276C53">
        <w:rPr>
          <w:rFonts w:asciiTheme="minorHAnsi" w:hAnsiTheme="minorHAnsi"/>
          <w:snapToGrid w:val="0"/>
        </w:rPr>
        <w:t xml:space="preserve"> representative of that seen in Australia</w:t>
      </w:r>
      <w:r w:rsidR="003621D7">
        <w:rPr>
          <w:rFonts w:asciiTheme="minorHAnsi" w:hAnsiTheme="minorHAnsi"/>
          <w:snapToGrid w:val="0"/>
        </w:rPr>
        <w:t>.</w:t>
      </w:r>
      <w:r w:rsidR="00853050">
        <w:rPr>
          <w:rFonts w:asciiTheme="minorHAnsi" w:hAnsiTheme="minorHAnsi"/>
          <w:snapToGrid w:val="0"/>
        </w:rPr>
        <w:t xml:space="preserve"> </w:t>
      </w:r>
    </w:p>
    <w:p w14:paraId="6FC5D5A8" w14:textId="2FFF5742" w:rsidR="00770CE3" w:rsidRPr="00770CE3" w:rsidRDefault="00460067" w:rsidP="00F24E3A">
      <w:pPr>
        <w:widowControl w:val="0"/>
        <w:numPr>
          <w:ilvl w:val="1"/>
          <w:numId w:val="1"/>
        </w:numPr>
        <w:spacing w:after="120"/>
      </w:pPr>
      <w:r>
        <w:rPr>
          <w:rFonts w:asciiTheme="minorHAnsi" w:hAnsiTheme="minorHAnsi"/>
          <w:snapToGrid w:val="0"/>
        </w:rPr>
        <w:t xml:space="preserve">The Committee </w:t>
      </w:r>
      <w:r w:rsidR="001904B4">
        <w:rPr>
          <w:rFonts w:asciiTheme="minorHAnsi" w:hAnsiTheme="minorHAnsi"/>
          <w:snapToGrid w:val="0"/>
        </w:rPr>
        <w:t xml:space="preserve">further </w:t>
      </w:r>
      <w:r>
        <w:rPr>
          <w:rFonts w:asciiTheme="minorHAnsi" w:hAnsiTheme="minorHAnsi"/>
          <w:snapToGrid w:val="0"/>
        </w:rPr>
        <w:t xml:space="preserve">noted the results of the </w:t>
      </w:r>
      <w:r w:rsidR="00DE24BC">
        <w:rPr>
          <w:rFonts w:asciiTheme="minorHAnsi" w:hAnsiTheme="minorHAnsi"/>
          <w:snapToGrid w:val="0"/>
        </w:rPr>
        <w:t>ACTIVE trial</w:t>
      </w:r>
      <w:r w:rsidR="00715BF4">
        <w:rPr>
          <w:rFonts w:asciiTheme="minorHAnsi" w:hAnsiTheme="minorHAnsi"/>
          <w:snapToGrid w:val="0"/>
        </w:rPr>
        <w:t xml:space="preserve"> </w:t>
      </w:r>
      <w:r w:rsidR="001904B4">
        <w:rPr>
          <w:rFonts w:asciiTheme="minorHAnsi" w:hAnsiTheme="minorHAnsi"/>
          <w:snapToGrid w:val="0"/>
        </w:rPr>
        <w:t xml:space="preserve">included a comparison of abaloparatide to teriparatide </w:t>
      </w:r>
      <w:r w:rsidR="00715BF4">
        <w:rPr>
          <w:rFonts w:asciiTheme="minorHAnsi" w:hAnsiTheme="minorHAnsi"/>
          <w:snapToGrid w:val="0"/>
        </w:rPr>
        <w:t>(Figure</w:t>
      </w:r>
      <w:r w:rsidR="007C1A93">
        <w:rPr>
          <w:rFonts w:asciiTheme="minorHAnsi" w:hAnsiTheme="minorHAnsi"/>
          <w:snapToGrid w:val="0"/>
        </w:rPr>
        <w:t>s</w:t>
      </w:r>
      <w:r w:rsidR="00715BF4">
        <w:rPr>
          <w:rFonts w:asciiTheme="minorHAnsi" w:hAnsiTheme="minorHAnsi"/>
          <w:snapToGrid w:val="0"/>
        </w:rPr>
        <w:t xml:space="preserve"> 1</w:t>
      </w:r>
      <w:r w:rsidR="007C1A93">
        <w:rPr>
          <w:rFonts w:asciiTheme="minorHAnsi" w:hAnsiTheme="minorHAnsi"/>
          <w:snapToGrid w:val="0"/>
        </w:rPr>
        <w:t xml:space="preserve"> and</w:t>
      </w:r>
      <w:r w:rsidR="00715BF4">
        <w:rPr>
          <w:rFonts w:asciiTheme="minorHAnsi" w:hAnsiTheme="minorHAnsi"/>
          <w:snapToGrid w:val="0"/>
        </w:rPr>
        <w:t xml:space="preserve"> </w:t>
      </w:r>
      <w:r w:rsidR="007C1A93">
        <w:rPr>
          <w:rFonts w:asciiTheme="minorHAnsi" w:hAnsiTheme="minorHAnsi"/>
          <w:snapToGrid w:val="0"/>
        </w:rPr>
        <w:t>2</w:t>
      </w:r>
      <w:r w:rsidR="00715BF4">
        <w:rPr>
          <w:rFonts w:asciiTheme="minorHAnsi" w:hAnsiTheme="minorHAnsi"/>
          <w:snapToGrid w:val="0"/>
        </w:rPr>
        <w:t xml:space="preserve">) and </w:t>
      </w:r>
      <w:r w:rsidR="0016367F">
        <w:rPr>
          <w:rFonts w:asciiTheme="minorHAnsi" w:hAnsiTheme="minorHAnsi"/>
          <w:snapToGrid w:val="0"/>
        </w:rPr>
        <w:t>th</w:t>
      </w:r>
      <w:r w:rsidR="001904B4">
        <w:rPr>
          <w:rFonts w:asciiTheme="minorHAnsi" w:hAnsiTheme="minorHAnsi"/>
          <w:snapToGrid w:val="0"/>
        </w:rPr>
        <w:t xml:space="preserve">at the comparisons were limited </w:t>
      </w:r>
      <w:r w:rsidR="00AB4EF5">
        <w:rPr>
          <w:rFonts w:asciiTheme="minorHAnsi" w:hAnsiTheme="minorHAnsi"/>
          <w:snapToGrid w:val="0"/>
        </w:rPr>
        <w:t>b</w:t>
      </w:r>
      <w:r w:rsidR="008C35D5">
        <w:rPr>
          <w:rFonts w:asciiTheme="minorHAnsi" w:hAnsiTheme="minorHAnsi"/>
          <w:snapToGrid w:val="0"/>
        </w:rPr>
        <w:t>ecause patients in</w:t>
      </w:r>
      <w:r w:rsidR="00AB4EF5">
        <w:rPr>
          <w:rFonts w:asciiTheme="minorHAnsi" w:hAnsiTheme="minorHAnsi"/>
          <w:snapToGrid w:val="0"/>
        </w:rPr>
        <w:t xml:space="preserve"> the</w:t>
      </w:r>
      <w:r w:rsidR="005A64FD">
        <w:rPr>
          <w:rFonts w:asciiTheme="minorHAnsi" w:hAnsiTheme="minorHAnsi"/>
          <w:snapToGrid w:val="0"/>
        </w:rPr>
        <w:t xml:space="preserve"> </w:t>
      </w:r>
      <w:r w:rsidR="003A2CA1">
        <w:rPr>
          <w:rFonts w:asciiTheme="minorHAnsi" w:hAnsiTheme="minorHAnsi"/>
          <w:snapToGrid w:val="0"/>
        </w:rPr>
        <w:t>teriparatide</w:t>
      </w:r>
      <w:r w:rsidR="00E82282">
        <w:rPr>
          <w:rFonts w:asciiTheme="minorHAnsi" w:hAnsiTheme="minorHAnsi"/>
          <w:snapToGrid w:val="0"/>
        </w:rPr>
        <w:t xml:space="preserve"> arm </w:t>
      </w:r>
      <w:r w:rsidR="008C35D5">
        <w:rPr>
          <w:rFonts w:asciiTheme="minorHAnsi" w:hAnsiTheme="minorHAnsi"/>
          <w:snapToGrid w:val="0"/>
        </w:rPr>
        <w:t>were treated</w:t>
      </w:r>
      <w:r w:rsidR="00E82282">
        <w:rPr>
          <w:rFonts w:asciiTheme="minorHAnsi" w:hAnsiTheme="minorHAnsi"/>
          <w:snapToGrid w:val="0"/>
        </w:rPr>
        <w:t xml:space="preserve"> </w:t>
      </w:r>
      <w:r w:rsidR="00E61789">
        <w:rPr>
          <w:rFonts w:asciiTheme="minorHAnsi" w:hAnsiTheme="minorHAnsi"/>
          <w:snapToGrid w:val="0"/>
        </w:rPr>
        <w:t>open label</w:t>
      </w:r>
      <w:r w:rsidR="006412C5">
        <w:rPr>
          <w:rFonts w:asciiTheme="minorHAnsi" w:hAnsiTheme="minorHAnsi"/>
          <w:snapToGrid w:val="0"/>
        </w:rPr>
        <w:t xml:space="preserve">. However, </w:t>
      </w:r>
      <w:r w:rsidR="00ED6D4A">
        <w:rPr>
          <w:rFonts w:asciiTheme="minorHAnsi" w:hAnsiTheme="minorHAnsi"/>
          <w:snapToGrid w:val="0"/>
        </w:rPr>
        <w:t>notwithstanding th</w:t>
      </w:r>
      <w:r w:rsidR="00AB5A87">
        <w:rPr>
          <w:rFonts w:asciiTheme="minorHAnsi" w:hAnsiTheme="minorHAnsi"/>
          <w:snapToGrid w:val="0"/>
        </w:rPr>
        <w:t xml:space="preserve">is limitation, </w:t>
      </w:r>
      <w:r w:rsidR="006412C5">
        <w:rPr>
          <w:rFonts w:asciiTheme="minorHAnsi" w:hAnsiTheme="minorHAnsi"/>
          <w:snapToGrid w:val="0"/>
        </w:rPr>
        <w:t xml:space="preserve">the Committee considered it would be reasonable to consider that the data </w:t>
      </w:r>
      <w:r w:rsidR="00AB4EF5">
        <w:rPr>
          <w:rFonts w:asciiTheme="minorHAnsi" w:hAnsiTheme="minorHAnsi"/>
          <w:snapToGrid w:val="0"/>
        </w:rPr>
        <w:t>was suggestive of</w:t>
      </w:r>
      <w:r w:rsidR="00901E4F">
        <w:rPr>
          <w:rFonts w:asciiTheme="minorHAnsi" w:hAnsiTheme="minorHAnsi"/>
          <w:snapToGrid w:val="0"/>
        </w:rPr>
        <w:t xml:space="preserve"> non-infe</w:t>
      </w:r>
      <w:r w:rsidR="00296A41">
        <w:rPr>
          <w:rFonts w:asciiTheme="minorHAnsi" w:hAnsiTheme="minorHAnsi"/>
          <w:snapToGrid w:val="0"/>
        </w:rPr>
        <w:t xml:space="preserve">riority. The Committee </w:t>
      </w:r>
      <w:r w:rsidR="00715BF4">
        <w:rPr>
          <w:rFonts w:asciiTheme="minorHAnsi" w:hAnsiTheme="minorHAnsi"/>
          <w:snapToGrid w:val="0"/>
        </w:rPr>
        <w:t>f</w:t>
      </w:r>
      <w:r w:rsidR="0054686E">
        <w:rPr>
          <w:rFonts w:asciiTheme="minorHAnsi" w:hAnsiTheme="minorHAnsi"/>
          <w:snapToGrid w:val="0"/>
        </w:rPr>
        <w:t>urther</w:t>
      </w:r>
      <w:r w:rsidR="00715BF4">
        <w:rPr>
          <w:rFonts w:asciiTheme="minorHAnsi" w:hAnsiTheme="minorHAnsi"/>
          <w:snapToGrid w:val="0"/>
        </w:rPr>
        <w:t xml:space="preserve"> </w:t>
      </w:r>
      <w:r w:rsidR="0054686E">
        <w:rPr>
          <w:rFonts w:asciiTheme="minorHAnsi" w:hAnsiTheme="minorHAnsi"/>
          <w:snapToGrid w:val="0"/>
        </w:rPr>
        <w:t xml:space="preserve">considered that </w:t>
      </w:r>
      <w:r w:rsidR="008F2C2A">
        <w:rPr>
          <w:rFonts w:asciiTheme="minorHAnsi" w:hAnsiTheme="minorHAnsi"/>
          <w:snapToGrid w:val="0"/>
        </w:rPr>
        <w:t xml:space="preserve">it would be reasonable to </w:t>
      </w:r>
      <w:r w:rsidR="00E740A5">
        <w:rPr>
          <w:rFonts w:asciiTheme="minorHAnsi" w:hAnsiTheme="minorHAnsi"/>
          <w:snapToGrid w:val="0"/>
        </w:rPr>
        <w:t xml:space="preserve">consider that </w:t>
      </w:r>
      <w:r w:rsidR="00B83151">
        <w:rPr>
          <w:rFonts w:asciiTheme="minorHAnsi" w:hAnsiTheme="minorHAnsi"/>
          <w:snapToGrid w:val="0"/>
        </w:rPr>
        <w:t xml:space="preserve">the </w:t>
      </w:r>
      <w:r w:rsidR="00F76881">
        <w:rPr>
          <w:rFonts w:asciiTheme="minorHAnsi" w:hAnsiTheme="minorHAnsi"/>
          <w:snapToGrid w:val="0"/>
        </w:rPr>
        <w:t>results</w:t>
      </w:r>
      <w:r w:rsidR="001C0E13">
        <w:rPr>
          <w:rFonts w:asciiTheme="minorHAnsi" w:hAnsiTheme="minorHAnsi"/>
          <w:snapToGrid w:val="0"/>
        </w:rPr>
        <w:t xml:space="preserve"> of the ACTIVE </w:t>
      </w:r>
      <w:r w:rsidR="00E61789">
        <w:rPr>
          <w:rFonts w:asciiTheme="minorHAnsi" w:hAnsiTheme="minorHAnsi"/>
          <w:snapToGrid w:val="0"/>
        </w:rPr>
        <w:t>trial and</w:t>
      </w:r>
      <w:r w:rsidR="0006678C">
        <w:rPr>
          <w:rFonts w:asciiTheme="minorHAnsi" w:hAnsiTheme="minorHAnsi"/>
          <w:snapToGrid w:val="0"/>
        </w:rPr>
        <w:t xml:space="preserve"> the ITCs presented </w:t>
      </w:r>
      <w:r w:rsidR="00A1425E">
        <w:rPr>
          <w:rFonts w:asciiTheme="minorHAnsi" w:hAnsiTheme="minorHAnsi"/>
          <w:snapToGrid w:val="0"/>
        </w:rPr>
        <w:t xml:space="preserve">could be extended to the </w:t>
      </w:r>
      <w:r w:rsidR="00422BAF">
        <w:rPr>
          <w:rFonts w:asciiTheme="minorHAnsi" w:hAnsiTheme="minorHAnsi"/>
          <w:snapToGrid w:val="0"/>
        </w:rPr>
        <w:t>2L</w:t>
      </w:r>
      <w:r w:rsidR="00A1425E">
        <w:rPr>
          <w:rFonts w:asciiTheme="minorHAnsi" w:hAnsiTheme="minorHAnsi"/>
          <w:snapToGrid w:val="0"/>
        </w:rPr>
        <w:t xml:space="preserve"> setting</w:t>
      </w:r>
      <w:r w:rsidR="00AC4024">
        <w:rPr>
          <w:rFonts w:asciiTheme="minorHAnsi" w:hAnsiTheme="minorHAnsi"/>
          <w:snapToGrid w:val="0"/>
        </w:rPr>
        <w:t>.</w:t>
      </w:r>
    </w:p>
    <w:p w14:paraId="5321F075" w14:textId="55E17CD4" w:rsidR="00DD1F6B" w:rsidRPr="004A5664" w:rsidRDefault="00B43909" w:rsidP="004A5664">
      <w:pPr>
        <w:widowControl w:val="0"/>
        <w:numPr>
          <w:ilvl w:val="1"/>
          <w:numId w:val="1"/>
        </w:numPr>
        <w:spacing w:after="120"/>
      </w:pPr>
      <w:r>
        <w:rPr>
          <w:rFonts w:asciiTheme="minorHAnsi" w:hAnsiTheme="minorHAnsi"/>
          <w:snapToGrid w:val="0"/>
        </w:rPr>
        <w:t>With respect to</w:t>
      </w:r>
      <w:r w:rsidR="00770CE3">
        <w:rPr>
          <w:rFonts w:asciiTheme="minorHAnsi" w:hAnsiTheme="minorHAnsi"/>
          <w:snapToGrid w:val="0"/>
        </w:rPr>
        <w:t xml:space="preserve"> clinical</w:t>
      </w:r>
      <w:r>
        <w:rPr>
          <w:rFonts w:asciiTheme="minorHAnsi" w:hAnsiTheme="minorHAnsi"/>
          <w:snapToGrid w:val="0"/>
        </w:rPr>
        <w:t xml:space="preserve"> safety, the</w:t>
      </w:r>
      <w:r w:rsidR="00F24E3A">
        <w:rPr>
          <w:rFonts w:asciiTheme="minorHAnsi" w:hAnsiTheme="minorHAnsi"/>
          <w:snapToGrid w:val="0"/>
        </w:rPr>
        <w:t xml:space="preserve"> </w:t>
      </w:r>
      <w:r w:rsidR="00F24E3A" w:rsidRPr="00F24E3A">
        <w:t>PBAC considered that the claim of superior comparative safety</w:t>
      </w:r>
      <w:r w:rsidR="00004096">
        <w:t xml:space="preserve"> </w:t>
      </w:r>
      <w:r w:rsidR="0011140C">
        <w:t xml:space="preserve">of abaloparatide </w:t>
      </w:r>
      <w:r w:rsidR="00004096">
        <w:t>could be</w:t>
      </w:r>
      <w:r w:rsidR="00F24E3A" w:rsidRPr="00F24E3A">
        <w:t xml:space="preserve"> reasonabl</w:t>
      </w:r>
      <w:r w:rsidR="00004096">
        <w:t>y</w:t>
      </w:r>
      <w:r w:rsidR="00FD025C">
        <w:t xml:space="preserve"> applied</w:t>
      </w:r>
      <w:r w:rsidR="00F24E3A" w:rsidRPr="00F24E3A">
        <w:t xml:space="preserve"> </w:t>
      </w:r>
      <w:r w:rsidR="003C4483">
        <w:t>noting the</w:t>
      </w:r>
      <w:r w:rsidR="008C3773">
        <w:t xml:space="preserve"> CV-related adverse events with romosozumab</w:t>
      </w:r>
      <w:r w:rsidR="00F24E3A">
        <w:t>,</w:t>
      </w:r>
      <w:r w:rsidR="00154399">
        <w:t xml:space="preserve"> </w:t>
      </w:r>
      <w:r w:rsidR="001A6F38">
        <w:t xml:space="preserve">and that access to abaloparatide </w:t>
      </w:r>
      <w:r w:rsidR="00350509">
        <w:t>would</w:t>
      </w:r>
      <w:r w:rsidR="00154399" w:rsidRPr="00994FBC">
        <w:t xml:space="preserve"> assist patients who are unable to tolerate romosozumab.</w:t>
      </w:r>
      <w:r w:rsidR="00F24E3A" w:rsidRPr="00F24E3A">
        <w:t xml:space="preserve"> </w:t>
      </w:r>
      <w:r w:rsidR="00C164DD" w:rsidRPr="0069026A">
        <w:t>T</w:t>
      </w:r>
      <w:r w:rsidR="00154399" w:rsidRPr="0069026A">
        <w:t xml:space="preserve">he PBAC </w:t>
      </w:r>
      <w:r w:rsidR="00C164DD" w:rsidRPr="0069026A">
        <w:t xml:space="preserve">additionally </w:t>
      </w:r>
      <w:r w:rsidR="00154399" w:rsidRPr="0069026A">
        <w:t xml:space="preserve">considered that </w:t>
      </w:r>
      <w:r w:rsidR="00585F11" w:rsidRPr="0069026A">
        <w:t>based on data from the ACTIVE trial</w:t>
      </w:r>
      <w:r w:rsidR="00BC1504" w:rsidRPr="0069026A">
        <w:t xml:space="preserve">, </w:t>
      </w:r>
      <w:r w:rsidR="00030402" w:rsidRPr="0069026A">
        <w:t xml:space="preserve">and </w:t>
      </w:r>
      <w:r w:rsidR="00BC1504" w:rsidRPr="0069026A">
        <w:t>data from the romosozumab Product Information</w:t>
      </w:r>
      <w:r w:rsidR="00585F11" w:rsidRPr="0069026A">
        <w:t xml:space="preserve">, that </w:t>
      </w:r>
      <w:r w:rsidR="002B2EAB" w:rsidRPr="0069026A">
        <w:t>abaloparatide is</w:t>
      </w:r>
      <w:r w:rsidR="00F24E3A" w:rsidRPr="0069026A">
        <w:t xml:space="preserve"> non-inferior</w:t>
      </w:r>
      <w:r w:rsidR="002B2EAB" w:rsidRPr="0069026A">
        <w:t xml:space="preserve"> to </w:t>
      </w:r>
      <w:r w:rsidR="00BF7D67" w:rsidRPr="0069026A">
        <w:t xml:space="preserve">teriparatide, and non-inferior to </w:t>
      </w:r>
      <w:r w:rsidR="002B2EAB" w:rsidRPr="0069026A">
        <w:t>romosozumab</w:t>
      </w:r>
      <w:r w:rsidR="00F24E3A" w:rsidRPr="0069026A">
        <w:t xml:space="preserve"> for</w:t>
      </w:r>
      <w:r w:rsidR="00780E62" w:rsidRPr="0069026A">
        <w:t xml:space="preserve"> non-C</w:t>
      </w:r>
      <w:r w:rsidR="008D0BF4" w:rsidRPr="0069026A">
        <w:t>V-related safety</w:t>
      </w:r>
      <w:r w:rsidR="004F7181" w:rsidRPr="0069026A" w:rsidDel="00204792">
        <w:t>.</w:t>
      </w:r>
    </w:p>
    <w:p w14:paraId="6689929E" w14:textId="467EBFE9" w:rsidR="00421689" w:rsidRPr="00421689" w:rsidRDefault="00797CEB" w:rsidP="00DD1F6B">
      <w:pPr>
        <w:widowControl w:val="0"/>
        <w:numPr>
          <w:ilvl w:val="1"/>
          <w:numId w:val="1"/>
        </w:numPr>
        <w:spacing w:after="120"/>
        <w:rPr>
          <w:rFonts w:asciiTheme="minorHAnsi" w:hAnsiTheme="minorHAnsi"/>
          <w:snapToGrid w:val="0"/>
          <w:lang w:val="en-GB"/>
        </w:rPr>
      </w:pPr>
      <w:r>
        <w:t xml:space="preserve">For </w:t>
      </w:r>
      <w:r w:rsidR="00E66A6A">
        <w:t>1L</w:t>
      </w:r>
      <w:r>
        <w:t xml:space="preserve"> use, t</w:t>
      </w:r>
      <w:r w:rsidR="009E5781" w:rsidRPr="00B814B6">
        <w:t xml:space="preserve">he PBAC supported the submission’s approach to present a CMA </w:t>
      </w:r>
      <w:r w:rsidR="009E5781" w:rsidRPr="00B814B6">
        <w:rPr>
          <w:rFonts w:cs="Calibri"/>
        </w:rPr>
        <w:t xml:space="preserve">on the basis that </w:t>
      </w:r>
      <w:r w:rsidR="00200DA4">
        <w:rPr>
          <w:rFonts w:cs="Calibri"/>
        </w:rPr>
        <w:t>abaloparatide</w:t>
      </w:r>
      <w:r w:rsidR="009E5781" w:rsidRPr="00B814B6">
        <w:rPr>
          <w:rFonts w:cs="Calibri"/>
        </w:rPr>
        <w:t xml:space="preserve"> and </w:t>
      </w:r>
      <w:r w:rsidR="00CC7817">
        <w:rPr>
          <w:rFonts w:cs="Calibri"/>
        </w:rPr>
        <w:t>romosozumab</w:t>
      </w:r>
      <w:r w:rsidR="009E5781" w:rsidRPr="00B814B6">
        <w:rPr>
          <w:rFonts w:cs="Calibri"/>
        </w:rPr>
        <w:t xml:space="preserve"> are </w:t>
      </w:r>
      <w:r w:rsidR="009E5781" w:rsidRPr="009908D6">
        <w:rPr>
          <w:rFonts w:cs="Calibri"/>
        </w:rPr>
        <w:t>non-inferior in terms of effectiveness and</w:t>
      </w:r>
      <w:r w:rsidR="00D44DBA" w:rsidRPr="009908D6">
        <w:rPr>
          <w:rFonts w:cs="Calibri"/>
        </w:rPr>
        <w:t xml:space="preserve"> non-CV</w:t>
      </w:r>
      <w:r w:rsidR="009E5781" w:rsidRPr="009908D6">
        <w:rPr>
          <w:rFonts w:cs="Calibri"/>
        </w:rPr>
        <w:t xml:space="preserve"> safety</w:t>
      </w:r>
      <w:r w:rsidR="00D44DBA" w:rsidRPr="009908D6">
        <w:rPr>
          <w:rFonts w:cs="Calibri"/>
        </w:rPr>
        <w:t>, and</w:t>
      </w:r>
      <w:r w:rsidR="007B4DB3">
        <w:rPr>
          <w:rFonts w:cs="Calibri"/>
        </w:rPr>
        <w:t xml:space="preserve"> </w:t>
      </w:r>
      <w:r w:rsidR="00B94FC2">
        <w:rPr>
          <w:rFonts w:cs="Calibri"/>
        </w:rPr>
        <w:t xml:space="preserve">that </w:t>
      </w:r>
      <w:r w:rsidR="007B4DB3">
        <w:rPr>
          <w:rFonts w:cs="Calibri"/>
        </w:rPr>
        <w:t>abaloparatide is</w:t>
      </w:r>
      <w:r w:rsidR="00D44DBA" w:rsidRPr="009908D6">
        <w:rPr>
          <w:rFonts w:cs="Calibri"/>
        </w:rPr>
        <w:t xml:space="preserve"> superior</w:t>
      </w:r>
      <w:r w:rsidR="007B4DB3">
        <w:rPr>
          <w:rFonts w:cs="Calibri"/>
        </w:rPr>
        <w:t xml:space="preserve"> to romosozumab</w:t>
      </w:r>
      <w:r w:rsidR="00D44DBA" w:rsidRPr="009908D6">
        <w:rPr>
          <w:rFonts w:cs="Calibri"/>
        </w:rPr>
        <w:t xml:space="preserve"> for </w:t>
      </w:r>
      <w:r w:rsidR="009908D6" w:rsidRPr="009908D6">
        <w:rPr>
          <w:rFonts w:cs="Calibri"/>
        </w:rPr>
        <w:t>CV safety</w:t>
      </w:r>
      <w:r w:rsidR="009E5781" w:rsidRPr="009908D6">
        <w:rPr>
          <w:rFonts w:cs="Calibri"/>
        </w:rPr>
        <w:t>.</w:t>
      </w:r>
      <w:r w:rsidR="009E5781" w:rsidRPr="00B814B6">
        <w:rPr>
          <w:rFonts w:cs="Calibri"/>
        </w:rPr>
        <w:t xml:space="preserve"> The PBAC noted that the CMA in the submission </w:t>
      </w:r>
      <w:r w:rsidR="009E5781">
        <w:rPr>
          <w:rFonts w:cs="Calibri"/>
        </w:rPr>
        <w:t>accounted for</w:t>
      </w:r>
      <w:r w:rsidR="00421689">
        <w:rPr>
          <w:rFonts w:cs="Calibri"/>
        </w:rPr>
        <w:t>:</w:t>
      </w:r>
      <w:r w:rsidR="009E5781" w:rsidRPr="00B814B6">
        <w:rPr>
          <w:rFonts w:cs="Calibri"/>
        </w:rPr>
        <w:t xml:space="preserve"> </w:t>
      </w:r>
    </w:p>
    <w:p w14:paraId="7300BC69" w14:textId="3C953DF4" w:rsidR="00421689" w:rsidRPr="00421689" w:rsidRDefault="009E5781" w:rsidP="006703AB">
      <w:pPr>
        <w:pStyle w:val="ListParagraph"/>
        <w:widowControl w:val="0"/>
        <w:numPr>
          <w:ilvl w:val="0"/>
          <w:numId w:val="43"/>
        </w:numPr>
        <w:spacing w:after="0"/>
        <w:ind w:left="1434" w:hanging="357"/>
        <w:jc w:val="both"/>
        <w:rPr>
          <w:lang w:val="en-GB"/>
        </w:rPr>
      </w:pPr>
      <w:r w:rsidRPr="00421689">
        <w:rPr>
          <w:rFonts w:cs="Calibri"/>
        </w:rPr>
        <w:t>the cost of the medicines</w:t>
      </w:r>
      <w:r w:rsidR="003F7870">
        <w:rPr>
          <w:rFonts w:cs="Calibri"/>
        </w:rPr>
        <w:t>;</w:t>
      </w:r>
      <w:r w:rsidR="00574D73" w:rsidRPr="00421689">
        <w:rPr>
          <w:rFonts w:cs="Calibri"/>
        </w:rPr>
        <w:t xml:space="preserve"> </w:t>
      </w:r>
    </w:p>
    <w:p w14:paraId="1DA4672C" w14:textId="4A467DAC" w:rsidR="00421689" w:rsidRPr="0082736E" w:rsidRDefault="00574D73" w:rsidP="006703AB">
      <w:pPr>
        <w:pStyle w:val="ListParagraph"/>
        <w:widowControl w:val="0"/>
        <w:numPr>
          <w:ilvl w:val="0"/>
          <w:numId w:val="43"/>
        </w:numPr>
        <w:spacing w:after="0"/>
        <w:ind w:left="1434" w:hanging="357"/>
        <w:jc w:val="both"/>
        <w:rPr>
          <w:lang w:val="en-GB"/>
        </w:rPr>
      </w:pPr>
      <w:r w:rsidRPr="0082736E">
        <w:rPr>
          <w:rFonts w:cs="Calibri"/>
        </w:rPr>
        <w:t>the</w:t>
      </w:r>
      <w:r w:rsidR="00421689" w:rsidRPr="0082736E">
        <w:rPr>
          <w:rFonts w:cs="Calibri"/>
        </w:rPr>
        <w:t xml:space="preserve"> abaloparatide and romosozumab</w:t>
      </w:r>
      <w:r w:rsidRPr="0082736E">
        <w:rPr>
          <w:rFonts w:cs="Calibri"/>
        </w:rPr>
        <w:t xml:space="preserve"> treatment duration</w:t>
      </w:r>
      <w:r w:rsidR="00421689" w:rsidRPr="0082736E">
        <w:rPr>
          <w:rFonts w:cs="Calibri"/>
        </w:rPr>
        <w:t>s</w:t>
      </w:r>
      <w:r w:rsidRPr="0082736E">
        <w:rPr>
          <w:rFonts w:cs="Calibri"/>
        </w:rPr>
        <w:t xml:space="preserve"> based on exposure in the ACTIVE and </w:t>
      </w:r>
      <w:r w:rsidR="00421689" w:rsidRPr="0082736E">
        <w:rPr>
          <w:rFonts w:cs="Calibri"/>
        </w:rPr>
        <w:t>FRAME trials, respectively</w:t>
      </w:r>
      <w:r w:rsidR="004D36AE" w:rsidRPr="0082736E">
        <w:rPr>
          <w:rFonts w:cs="Calibri"/>
        </w:rPr>
        <w:t xml:space="preserve"> (paragraph </w:t>
      </w:r>
      <w:r w:rsidR="004D36AE" w:rsidRPr="0082736E">
        <w:rPr>
          <w:rFonts w:cs="Calibri"/>
        </w:rPr>
        <w:fldChar w:fldCharType="begin"/>
      </w:r>
      <w:r w:rsidR="004D36AE" w:rsidRPr="0082736E">
        <w:rPr>
          <w:rFonts w:cs="Calibri"/>
        </w:rPr>
        <w:instrText xml:space="preserve"> REF _Ref203241442 \r \h  \* MERGEFORMAT </w:instrText>
      </w:r>
      <w:r w:rsidR="004D36AE" w:rsidRPr="0082736E">
        <w:rPr>
          <w:rFonts w:cs="Calibri"/>
        </w:rPr>
      </w:r>
      <w:r w:rsidR="004D36AE" w:rsidRPr="0082736E">
        <w:rPr>
          <w:rFonts w:cs="Calibri"/>
        </w:rPr>
        <w:fldChar w:fldCharType="separate"/>
      </w:r>
      <w:r w:rsidR="005B625A">
        <w:rPr>
          <w:rFonts w:cs="Calibri"/>
        </w:rPr>
        <w:t>6.46</w:t>
      </w:r>
      <w:r w:rsidR="004D36AE" w:rsidRPr="0082736E">
        <w:rPr>
          <w:rFonts w:cs="Calibri"/>
        </w:rPr>
        <w:fldChar w:fldCharType="end"/>
      </w:r>
      <w:proofErr w:type="gramStart"/>
      <w:r w:rsidR="004D36AE" w:rsidRPr="0082736E">
        <w:rPr>
          <w:rFonts w:cs="Calibri"/>
        </w:rPr>
        <w:t>)</w:t>
      </w:r>
      <w:r w:rsidR="003F7870" w:rsidRPr="0082736E">
        <w:rPr>
          <w:rFonts w:cs="Calibri"/>
        </w:rPr>
        <w:t>;</w:t>
      </w:r>
      <w:proofErr w:type="gramEnd"/>
      <w:r w:rsidR="00421689" w:rsidRPr="0082736E">
        <w:rPr>
          <w:rFonts w:cs="Calibri"/>
        </w:rPr>
        <w:t xml:space="preserve"> </w:t>
      </w:r>
    </w:p>
    <w:p w14:paraId="6DCA5B11" w14:textId="54936F07" w:rsidR="00CC052D" w:rsidRPr="0082736E" w:rsidRDefault="00421689" w:rsidP="006703AB">
      <w:pPr>
        <w:pStyle w:val="ListParagraph"/>
        <w:widowControl w:val="0"/>
        <w:numPr>
          <w:ilvl w:val="0"/>
          <w:numId w:val="43"/>
        </w:numPr>
        <w:spacing w:after="0"/>
        <w:ind w:left="1434" w:hanging="357"/>
        <w:jc w:val="both"/>
        <w:rPr>
          <w:lang w:val="en-GB"/>
        </w:rPr>
      </w:pPr>
      <w:r w:rsidRPr="0082736E">
        <w:rPr>
          <w:rFonts w:cs="Calibri"/>
        </w:rPr>
        <w:t>the cost of professional attendances for administration</w:t>
      </w:r>
      <w:r w:rsidR="00A45425" w:rsidRPr="0082736E">
        <w:rPr>
          <w:rFonts w:cs="Calibri"/>
        </w:rPr>
        <w:t xml:space="preserve"> (</w:t>
      </w:r>
      <w:r w:rsidR="00330C93" w:rsidRPr="0082736E">
        <w:rPr>
          <w:rFonts w:cs="Calibri"/>
        </w:rPr>
        <w:t>higher</w:t>
      </w:r>
      <w:r w:rsidR="008D2ABD" w:rsidRPr="0082736E">
        <w:rPr>
          <w:rFonts w:cs="Calibri"/>
        </w:rPr>
        <w:t xml:space="preserve"> cost for </w:t>
      </w:r>
      <w:r w:rsidR="00330C93" w:rsidRPr="0082736E">
        <w:rPr>
          <w:rFonts w:cs="Calibri"/>
        </w:rPr>
        <w:t xml:space="preserve">romosozumab than </w:t>
      </w:r>
      <w:r w:rsidR="008D2ABD" w:rsidRPr="0082736E">
        <w:rPr>
          <w:rFonts w:cs="Calibri"/>
        </w:rPr>
        <w:t>abaloparatide</w:t>
      </w:r>
      <w:r w:rsidR="00330C93" w:rsidRPr="0082736E">
        <w:rPr>
          <w:rFonts w:cs="Calibri"/>
        </w:rPr>
        <w:t>,</w:t>
      </w:r>
      <w:r w:rsidR="008D2ABD" w:rsidRPr="0082736E">
        <w:rPr>
          <w:rFonts w:cs="Calibri"/>
        </w:rPr>
        <w:t xml:space="preserve"> </w:t>
      </w:r>
      <w:r w:rsidR="00A45425" w:rsidRPr="0082736E">
        <w:rPr>
          <w:rFonts w:cs="Calibri"/>
        </w:rPr>
        <w:t xml:space="preserve">paragraph </w:t>
      </w:r>
      <w:r w:rsidR="00A45425" w:rsidRPr="0082736E">
        <w:rPr>
          <w:rFonts w:cs="Calibri"/>
        </w:rPr>
        <w:fldChar w:fldCharType="begin"/>
      </w:r>
      <w:r w:rsidR="00A45425" w:rsidRPr="0082736E">
        <w:rPr>
          <w:rFonts w:cs="Calibri"/>
        </w:rPr>
        <w:instrText xml:space="preserve"> REF _Ref201246635 \r \h  \* MERGEFORMAT </w:instrText>
      </w:r>
      <w:r w:rsidR="00A45425" w:rsidRPr="0082736E">
        <w:rPr>
          <w:rFonts w:cs="Calibri"/>
        </w:rPr>
      </w:r>
      <w:r w:rsidR="00A45425" w:rsidRPr="0082736E">
        <w:rPr>
          <w:rFonts w:cs="Calibri"/>
        </w:rPr>
        <w:fldChar w:fldCharType="separate"/>
      </w:r>
      <w:r w:rsidR="005B625A">
        <w:rPr>
          <w:rFonts w:cs="Calibri"/>
        </w:rPr>
        <w:t>6.49</w:t>
      </w:r>
      <w:r w:rsidR="00A45425" w:rsidRPr="0082736E">
        <w:rPr>
          <w:rFonts w:cs="Calibri"/>
        </w:rPr>
        <w:fldChar w:fldCharType="end"/>
      </w:r>
      <w:proofErr w:type="gramStart"/>
      <w:r w:rsidR="00A45425" w:rsidRPr="0082736E">
        <w:rPr>
          <w:rFonts w:cs="Calibri"/>
        </w:rPr>
        <w:t>)</w:t>
      </w:r>
      <w:r w:rsidR="003F7870" w:rsidRPr="0082736E">
        <w:rPr>
          <w:rFonts w:cs="Calibri"/>
        </w:rPr>
        <w:t>;</w:t>
      </w:r>
      <w:proofErr w:type="gramEnd"/>
    </w:p>
    <w:p w14:paraId="3557ADA5" w14:textId="1248E789" w:rsidR="009D7923" w:rsidRPr="0082736E" w:rsidRDefault="009D7923" w:rsidP="006703AB">
      <w:pPr>
        <w:pStyle w:val="ListParagraph"/>
        <w:widowControl w:val="0"/>
        <w:numPr>
          <w:ilvl w:val="0"/>
          <w:numId w:val="43"/>
        </w:numPr>
        <w:spacing w:after="0"/>
        <w:ind w:left="1434" w:hanging="357"/>
        <w:jc w:val="both"/>
        <w:rPr>
          <w:lang w:val="en-GB"/>
        </w:rPr>
      </w:pPr>
      <w:r w:rsidRPr="0082736E">
        <w:rPr>
          <w:rFonts w:cs="Calibri"/>
        </w:rPr>
        <w:t xml:space="preserve">the cost of additional </w:t>
      </w:r>
      <w:r w:rsidR="0020502D" w:rsidRPr="0082736E">
        <w:rPr>
          <w:rFonts w:cs="Calibri"/>
        </w:rPr>
        <w:t>ART in patients who discontinue anabolic treatment prematurely</w:t>
      </w:r>
      <w:r w:rsidR="00D025AC" w:rsidRPr="0082736E">
        <w:rPr>
          <w:rFonts w:cs="Calibri"/>
        </w:rPr>
        <w:t xml:space="preserve"> (equal cost for both drugs</w:t>
      </w:r>
      <w:r w:rsidR="00A02AC7" w:rsidRPr="0082736E">
        <w:rPr>
          <w:rFonts w:cs="Calibri"/>
        </w:rPr>
        <w:t xml:space="preserve"> that cancel</w:t>
      </w:r>
      <w:r w:rsidR="002E1DC9" w:rsidRPr="0082736E">
        <w:rPr>
          <w:rFonts w:cs="Calibri"/>
        </w:rPr>
        <w:t>s</w:t>
      </w:r>
      <w:r w:rsidR="00A02AC7" w:rsidRPr="0082736E">
        <w:rPr>
          <w:rFonts w:cs="Calibri"/>
        </w:rPr>
        <w:t xml:space="preserve"> out in the CMA</w:t>
      </w:r>
      <w:r w:rsidR="00D025AC" w:rsidRPr="0082736E">
        <w:rPr>
          <w:rFonts w:cs="Calibri"/>
        </w:rPr>
        <w:t xml:space="preserve">, paragraph </w:t>
      </w:r>
      <w:r w:rsidR="006E3B48" w:rsidRPr="0082736E">
        <w:rPr>
          <w:rFonts w:cs="Calibri"/>
        </w:rPr>
        <w:fldChar w:fldCharType="begin"/>
      </w:r>
      <w:r w:rsidR="006E3B48" w:rsidRPr="0082736E">
        <w:rPr>
          <w:rFonts w:cs="Calibri"/>
        </w:rPr>
        <w:instrText xml:space="preserve"> REF _Ref203242251 \r \h  \* MERGEFORMAT </w:instrText>
      </w:r>
      <w:r w:rsidR="006E3B48" w:rsidRPr="0082736E">
        <w:rPr>
          <w:rFonts w:cs="Calibri"/>
        </w:rPr>
      </w:r>
      <w:r w:rsidR="006E3B48" w:rsidRPr="0082736E">
        <w:rPr>
          <w:rFonts w:cs="Calibri"/>
        </w:rPr>
        <w:fldChar w:fldCharType="separate"/>
      </w:r>
      <w:r w:rsidR="005B625A">
        <w:rPr>
          <w:rFonts w:cs="Calibri"/>
        </w:rPr>
        <w:t>6.51</w:t>
      </w:r>
      <w:r w:rsidR="006E3B48" w:rsidRPr="0082736E">
        <w:rPr>
          <w:rFonts w:cs="Calibri"/>
        </w:rPr>
        <w:fldChar w:fldCharType="end"/>
      </w:r>
      <w:proofErr w:type="gramStart"/>
      <w:r w:rsidR="006E3B48" w:rsidRPr="0082736E">
        <w:rPr>
          <w:rFonts w:cs="Calibri"/>
        </w:rPr>
        <w:t>);</w:t>
      </w:r>
      <w:proofErr w:type="gramEnd"/>
    </w:p>
    <w:p w14:paraId="25C8166C" w14:textId="6A37A1A1" w:rsidR="003F7870" w:rsidRPr="0082736E" w:rsidRDefault="00CC052D" w:rsidP="006703AB">
      <w:pPr>
        <w:pStyle w:val="ListParagraph"/>
        <w:widowControl w:val="0"/>
        <w:numPr>
          <w:ilvl w:val="0"/>
          <w:numId w:val="43"/>
        </w:numPr>
        <w:spacing w:after="0"/>
        <w:ind w:left="1434" w:hanging="357"/>
        <w:jc w:val="both"/>
        <w:rPr>
          <w:lang w:val="en-GB"/>
        </w:rPr>
      </w:pPr>
      <w:r w:rsidRPr="0082736E">
        <w:rPr>
          <w:rFonts w:cs="Calibri"/>
        </w:rPr>
        <w:t xml:space="preserve">the cost of subsequent ART to balance the total treatment period </w:t>
      </w:r>
      <w:r w:rsidR="004F32D1" w:rsidRPr="0082736E">
        <w:rPr>
          <w:rFonts w:cs="Calibri"/>
        </w:rPr>
        <w:t>for romosozumab</w:t>
      </w:r>
      <w:r w:rsidR="003C5BB6" w:rsidRPr="0082736E">
        <w:rPr>
          <w:rFonts w:cs="Calibri"/>
        </w:rPr>
        <w:t xml:space="preserve"> (paragraph </w:t>
      </w:r>
      <w:r w:rsidR="003C5BB6" w:rsidRPr="0082736E">
        <w:rPr>
          <w:rFonts w:cs="Calibri"/>
        </w:rPr>
        <w:fldChar w:fldCharType="begin"/>
      </w:r>
      <w:r w:rsidR="003C5BB6" w:rsidRPr="0082736E">
        <w:rPr>
          <w:rFonts w:cs="Calibri"/>
        </w:rPr>
        <w:instrText xml:space="preserve"> REF _Ref203241813 \r \h  \* MERGEFORMAT </w:instrText>
      </w:r>
      <w:r w:rsidR="003C5BB6" w:rsidRPr="0082736E">
        <w:rPr>
          <w:rFonts w:cs="Calibri"/>
        </w:rPr>
      </w:r>
      <w:r w:rsidR="003C5BB6" w:rsidRPr="0082736E">
        <w:rPr>
          <w:rFonts w:cs="Calibri"/>
        </w:rPr>
        <w:fldChar w:fldCharType="separate"/>
      </w:r>
      <w:r w:rsidR="005B625A">
        <w:rPr>
          <w:rFonts w:cs="Calibri"/>
        </w:rPr>
        <w:t>6.50</w:t>
      </w:r>
      <w:r w:rsidR="003C5BB6" w:rsidRPr="0082736E">
        <w:rPr>
          <w:rFonts w:cs="Calibri"/>
        </w:rPr>
        <w:fldChar w:fldCharType="end"/>
      </w:r>
      <w:proofErr w:type="gramStart"/>
      <w:r w:rsidR="003C5BB6" w:rsidRPr="0082736E">
        <w:rPr>
          <w:rFonts w:cs="Calibri"/>
        </w:rPr>
        <w:t>)</w:t>
      </w:r>
      <w:r w:rsidR="004F32D1" w:rsidRPr="0082736E">
        <w:rPr>
          <w:rFonts w:cs="Calibri"/>
        </w:rPr>
        <w:t>;</w:t>
      </w:r>
      <w:proofErr w:type="gramEnd"/>
      <w:r w:rsidR="009E5781" w:rsidRPr="0082736E">
        <w:rPr>
          <w:rFonts w:cs="Calibri"/>
        </w:rPr>
        <w:t xml:space="preserve"> </w:t>
      </w:r>
    </w:p>
    <w:p w14:paraId="1288E511" w14:textId="0C25D812" w:rsidR="009E5781" w:rsidRPr="0082736E" w:rsidRDefault="009E5781" w:rsidP="006703AB">
      <w:pPr>
        <w:pStyle w:val="ListParagraph"/>
        <w:widowControl w:val="0"/>
        <w:numPr>
          <w:ilvl w:val="0"/>
          <w:numId w:val="43"/>
        </w:numPr>
        <w:jc w:val="both"/>
        <w:rPr>
          <w:lang w:val="en-GB"/>
        </w:rPr>
      </w:pPr>
      <w:r w:rsidRPr="0082736E">
        <w:rPr>
          <w:rFonts w:cs="Calibri"/>
        </w:rPr>
        <w:t>the cost of</w:t>
      </w:r>
      <w:r w:rsidR="006B6EEB" w:rsidRPr="0082736E">
        <w:rPr>
          <w:rFonts w:cs="Calibri"/>
        </w:rPr>
        <w:t xml:space="preserve"> CV</w:t>
      </w:r>
      <w:r w:rsidRPr="0082736E">
        <w:rPr>
          <w:rFonts w:cs="Calibri"/>
        </w:rPr>
        <w:t xml:space="preserve"> monitoring</w:t>
      </w:r>
      <w:r w:rsidR="00EE359D" w:rsidRPr="0082736E">
        <w:rPr>
          <w:rFonts w:cs="Calibri"/>
        </w:rPr>
        <w:t xml:space="preserve"> and event management for romosozumab (</w:t>
      </w:r>
      <w:r w:rsidR="000F45F4" w:rsidRPr="0082736E">
        <w:rPr>
          <w:rFonts w:cs="Calibri"/>
        </w:rPr>
        <w:t>parag</w:t>
      </w:r>
      <w:r w:rsidR="00112F08" w:rsidRPr="0082736E">
        <w:rPr>
          <w:rFonts w:cs="Calibri"/>
        </w:rPr>
        <w:t xml:space="preserve">raph </w:t>
      </w:r>
      <w:r w:rsidR="00112F08" w:rsidRPr="0082736E">
        <w:rPr>
          <w:rFonts w:cs="Calibri"/>
        </w:rPr>
        <w:fldChar w:fldCharType="begin"/>
      </w:r>
      <w:r w:rsidR="00112F08" w:rsidRPr="0082736E">
        <w:rPr>
          <w:rFonts w:cs="Calibri"/>
        </w:rPr>
        <w:instrText xml:space="preserve"> REF _Ref203242426 \r \h  \* MERGEFORMAT </w:instrText>
      </w:r>
      <w:r w:rsidR="00112F08" w:rsidRPr="0082736E">
        <w:rPr>
          <w:rFonts w:cs="Calibri"/>
        </w:rPr>
      </w:r>
      <w:r w:rsidR="00112F08" w:rsidRPr="0082736E">
        <w:rPr>
          <w:rFonts w:cs="Calibri"/>
        </w:rPr>
        <w:fldChar w:fldCharType="separate"/>
      </w:r>
      <w:r w:rsidR="005B625A">
        <w:rPr>
          <w:rFonts w:cs="Calibri"/>
        </w:rPr>
        <w:t>6.52</w:t>
      </w:r>
      <w:r w:rsidR="00112F08" w:rsidRPr="0082736E">
        <w:rPr>
          <w:rFonts w:cs="Calibri"/>
        </w:rPr>
        <w:fldChar w:fldCharType="end"/>
      </w:r>
      <w:r w:rsidR="00EE359D" w:rsidRPr="0082736E">
        <w:rPr>
          <w:rFonts w:cs="Calibri"/>
        </w:rPr>
        <w:t>).</w:t>
      </w:r>
    </w:p>
    <w:p w14:paraId="24E22123" w14:textId="31E4BEBD" w:rsidR="00112F08" w:rsidRPr="00112F08" w:rsidRDefault="003217FE" w:rsidP="00112F08">
      <w:pPr>
        <w:widowControl w:val="0"/>
        <w:spacing w:after="120"/>
        <w:ind w:left="720"/>
        <w:rPr>
          <w:snapToGrid w:val="0"/>
          <w:lang w:val="en-GB"/>
        </w:rPr>
      </w:pPr>
      <w:r>
        <w:rPr>
          <w:snapToGrid w:val="0"/>
          <w:lang w:val="en-GB"/>
        </w:rPr>
        <w:t>T</w:t>
      </w:r>
      <w:r w:rsidR="008D1ABB">
        <w:rPr>
          <w:snapToGrid w:val="0"/>
          <w:lang w:val="en-GB"/>
        </w:rPr>
        <w:t>he PBAC accepted the submission</w:t>
      </w:r>
      <w:r w:rsidR="00536D78">
        <w:rPr>
          <w:snapToGrid w:val="0"/>
          <w:lang w:val="en-GB"/>
        </w:rPr>
        <w:t>’s approach of</w:t>
      </w:r>
      <w:r w:rsidR="005413C5">
        <w:rPr>
          <w:snapToGrid w:val="0"/>
          <w:lang w:val="en-GB"/>
        </w:rPr>
        <w:t xml:space="preserve"> </w:t>
      </w:r>
      <w:r w:rsidR="00536D78">
        <w:rPr>
          <w:snapToGrid w:val="0"/>
          <w:lang w:val="en-GB"/>
        </w:rPr>
        <w:t xml:space="preserve">including </w:t>
      </w:r>
      <w:r>
        <w:rPr>
          <w:snapToGrid w:val="0"/>
          <w:lang w:val="en-GB"/>
        </w:rPr>
        <w:t xml:space="preserve">a higher administration cost for </w:t>
      </w:r>
      <w:r>
        <w:rPr>
          <w:rFonts w:cs="Calibri"/>
        </w:rPr>
        <w:t>romosozumab than abaloparatide</w:t>
      </w:r>
      <w:r w:rsidR="005413C5">
        <w:rPr>
          <w:rFonts w:cs="Calibri"/>
        </w:rPr>
        <w:t xml:space="preserve"> and</w:t>
      </w:r>
      <w:r w:rsidR="00431EC2">
        <w:rPr>
          <w:rFonts w:cs="Calibri"/>
        </w:rPr>
        <w:t xml:space="preserve"> including costs for CV</w:t>
      </w:r>
      <w:r w:rsidR="00431EC2" w:rsidRPr="00421689">
        <w:rPr>
          <w:rFonts w:cs="Calibri"/>
        </w:rPr>
        <w:t xml:space="preserve"> monitoring</w:t>
      </w:r>
      <w:r w:rsidR="00431EC2">
        <w:rPr>
          <w:rFonts w:cs="Calibri"/>
        </w:rPr>
        <w:t xml:space="preserve"> and event management for romosozumab. However,</w:t>
      </w:r>
      <w:r w:rsidR="001C60B2">
        <w:rPr>
          <w:rFonts w:cs="Calibri"/>
        </w:rPr>
        <w:t xml:space="preserve"> t</w:t>
      </w:r>
      <w:r w:rsidR="000A2AC3">
        <w:rPr>
          <w:snapToGrid w:val="0"/>
          <w:lang w:val="en-GB"/>
        </w:rPr>
        <w:t>he PBAC considered that</w:t>
      </w:r>
      <w:r w:rsidR="001819E7">
        <w:rPr>
          <w:snapToGrid w:val="0"/>
          <w:lang w:val="en-GB"/>
        </w:rPr>
        <w:t xml:space="preserve"> the persistence and adherence to both agents</w:t>
      </w:r>
      <w:r w:rsidR="003D171D">
        <w:rPr>
          <w:snapToGrid w:val="0"/>
          <w:lang w:val="en-GB"/>
        </w:rPr>
        <w:t xml:space="preserve"> in the community would be</w:t>
      </w:r>
      <w:r w:rsidR="000A2AC3">
        <w:rPr>
          <w:snapToGrid w:val="0"/>
          <w:lang w:val="en-GB"/>
        </w:rPr>
        <w:t xml:space="preserve"> uncertain and</w:t>
      </w:r>
      <w:r w:rsidR="001A58FD">
        <w:rPr>
          <w:snapToGrid w:val="0"/>
          <w:lang w:val="en-GB"/>
        </w:rPr>
        <w:t xml:space="preserve"> therefore</w:t>
      </w:r>
      <w:r w:rsidR="000A2AC3">
        <w:rPr>
          <w:snapToGrid w:val="0"/>
          <w:lang w:val="en-GB"/>
        </w:rPr>
        <w:t xml:space="preserve"> advised that duration of treatment</w:t>
      </w:r>
      <w:r w:rsidR="001A58FD">
        <w:rPr>
          <w:snapToGrid w:val="0"/>
          <w:lang w:val="en-GB"/>
        </w:rPr>
        <w:t xml:space="preserve"> in the CMA</w:t>
      </w:r>
      <w:r w:rsidR="000A2AC3">
        <w:rPr>
          <w:snapToGrid w:val="0"/>
          <w:lang w:val="en-GB"/>
        </w:rPr>
        <w:t xml:space="preserve"> should be based on the maximum duration </w:t>
      </w:r>
      <w:r w:rsidR="00CE430F">
        <w:rPr>
          <w:snapToGrid w:val="0"/>
          <w:lang w:eastAsia="en-US"/>
        </w:rPr>
        <w:t>in the respective Product Information (18 months for abaloparatide and 12 months for romosozumab)</w:t>
      </w:r>
      <w:r w:rsidR="00E92D1E">
        <w:rPr>
          <w:snapToGrid w:val="0"/>
          <w:lang w:eastAsia="en-US"/>
        </w:rPr>
        <w:t>.</w:t>
      </w:r>
      <w:r w:rsidR="00B677DD">
        <w:rPr>
          <w:snapToGrid w:val="0"/>
          <w:lang w:eastAsia="en-US"/>
        </w:rPr>
        <w:t xml:space="preserve"> The PBAC also considered that the </w:t>
      </w:r>
      <w:r w:rsidR="00F45CF3">
        <w:rPr>
          <w:rFonts w:cs="Calibri"/>
        </w:rPr>
        <w:t xml:space="preserve">cost of subsequent ART to balance the total treatment period for romosozumab should be excluded, as </w:t>
      </w:r>
      <w:r w:rsidR="00246E70">
        <w:rPr>
          <w:rFonts w:cs="Calibri"/>
        </w:rPr>
        <w:t>ART would be brought forward</w:t>
      </w:r>
      <w:r w:rsidR="001E63C3">
        <w:rPr>
          <w:rFonts w:cs="Calibri"/>
        </w:rPr>
        <w:t xml:space="preserve"> rather than</w:t>
      </w:r>
      <w:r w:rsidR="00AD256E">
        <w:rPr>
          <w:rFonts w:cs="Calibri"/>
        </w:rPr>
        <w:t xml:space="preserve"> having an</w:t>
      </w:r>
      <w:r w:rsidR="00246E70">
        <w:rPr>
          <w:rFonts w:cs="Calibri"/>
        </w:rPr>
        <w:t xml:space="preserve"> extended</w:t>
      </w:r>
      <w:r w:rsidR="00FA769D">
        <w:rPr>
          <w:rFonts w:cs="Calibri"/>
        </w:rPr>
        <w:t xml:space="preserve"> treatment</w:t>
      </w:r>
      <w:r w:rsidR="00AD256E">
        <w:rPr>
          <w:rFonts w:cs="Calibri"/>
        </w:rPr>
        <w:t xml:space="preserve"> duration</w:t>
      </w:r>
      <w:r w:rsidR="00246E70">
        <w:rPr>
          <w:rFonts w:cs="Calibri"/>
        </w:rPr>
        <w:t>.</w:t>
      </w:r>
      <w:r w:rsidR="005835FD">
        <w:rPr>
          <w:rFonts w:cs="Calibri"/>
        </w:rPr>
        <w:t xml:space="preserve"> </w:t>
      </w:r>
      <w:r w:rsidR="00A85084">
        <w:rPr>
          <w:rFonts w:cs="Calibri"/>
        </w:rPr>
        <w:t xml:space="preserve">As such, the PBAC accepted the </w:t>
      </w:r>
      <w:r w:rsidR="008023BC">
        <w:rPr>
          <w:rFonts w:cs="Calibri"/>
        </w:rPr>
        <w:t xml:space="preserve">sensitivity analysis for the </w:t>
      </w:r>
      <w:r w:rsidR="00A85084">
        <w:rPr>
          <w:rFonts w:cs="Calibri"/>
        </w:rPr>
        <w:t xml:space="preserve">CMA as detailed in Table 11, with the exception </w:t>
      </w:r>
      <w:r w:rsidR="004C2472">
        <w:rPr>
          <w:rFonts w:cs="Calibri"/>
        </w:rPr>
        <w:t xml:space="preserve">that the cost of $167.02 for </w:t>
      </w:r>
      <w:r w:rsidR="008023BC">
        <w:rPr>
          <w:rFonts w:cs="Calibri"/>
        </w:rPr>
        <w:t xml:space="preserve">the cost of subsequent ART </w:t>
      </w:r>
      <w:r w:rsidR="00750C3C">
        <w:rPr>
          <w:rFonts w:cs="Calibri"/>
        </w:rPr>
        <w:t>‘</w:t>
      </w:r>
      <w:r w:rsidR="008023BC">
        <w:rPr>
          <w:rFonts w:cs="Calibri"/>
        </w:rPr>
        <w:t xml:space="preserve">to balance </w:t>
      </w:r>
      <w:r w:rsidR="00BE5555">
        <w:rPr>
          <w:rFonts w:cs="Calibri"/>
        </w:rPr>
        <w:t>of total treatment period (</w:t>
      </w:r>
      <w:r w:rsidR="004C2472">
        <w:rPr>
          <w:rFonts w:cs="Calibri"/>
        </w:rPr>
        <w:t>175 days</w:t>
      </w:r>
      <w:r w:rsidR="00BE5555">
        <w:rPr>
          <w:rFonts w:cs="Calibri"/>
        </w:rPr>
        <w:t>)</w:t>
      </w:r>
      <w:r w:rsidR="00750C3C">
        <w:rPr>
          <w:rFonts w:cs="Calibri"/>
        </w:rPr>
        <w:t>’</w:t>
      </w:r>
      <w:r w:rsidR="004C2472">
        <w:rPr>
          <w:rFonts w:cs="Calibri"/>
        </w:rPr>
        <w:t xml:space="preserve"> should be excluded</w:t>
      </w:r>
      <w:r w:rsidR="00B12570">
        <w:rPr>
          <w:rFonts w:cs="Calibri"/>
        </w:rPr>
        <w:t xml:space="preserve">, and noting that the CMA </w:t>
      </w:r>
      <w:r w:rsidR="00690312">
        <w:rPr>
          <w:rFonts w:cs="Calibri"/>
        </w:rPr>
        <w:t>should use the actual AEMP for romosozumab rather than the AEMP estimated by the submission</w:t>
      </w:r>
      <w:r w:rsidR="004C2472">
        <w:rPr>
          <w:rFonts w:cs="Calibri"/>
        </w:rPr>
        <w:t xml:space="preserve">. </w:t>
      </w:r>
    </w:p>
    <w:p w14:paraId="58128827" w14:textId="1291C1D8" w:rsidR="00DD1F6B" w:rsidRPr="00921FAA" w:rsidRDefault="00D558DD" w:rsidP="00DD1F6B">
      <w:pPr>
        <w:widowControl w:val="0"/>
        <w:numPr>
          <w:ilvl w:val="1"/>
          <w:numId w:val="1"/>
        </w:numPr>
        <w:spacing w:after="120"/>
        <w:rPr>
          <w:rFonts w:asciiTheme="minorHAnsi" w:hAnsiTheme="minorHAnsi"/>
          <w:snapToGrid w:val="0"/>
          <w:lang w:val="en-GB"/>
        </w:rPr>
      </w:pPr>
      <w:r>
        <w:rPr>
          <w:rFonts w:asciiTheme="minorHAnsi" w:hAnsiTheme="minorHAnsi"/>
          <w:snapToGrid w:val="0"/>
          <w:lang w:val="en-GB"/>
        </w:rPr>
        <w:t>T</w:t>
      </w:r>
      <w:r w:rsidRPr="00D558DD">
        <w:rPr>
          <w:rFonts w:asciiTheme="minorHAnsi" w:hAnsiTheme="minorHAnsi"/>
          <w:snapToGrid w:val="0"/>
          <w:lang w:val="en-GB"/>
        </w:rPr>
        <w:t xml:space="preserve">he PBAC considered that restricting abaloparatide to </w:t>
      </w:r>
      <w:r w:rsidR="00895A68">
        <w:rPr>
          <w:rFonts w:asciiTheme="minorHAnsi" w:hAnsiTheme="minorHAnsi"/>
          <w:snapToGrid w:val="0"/>
          <w:lang w:val="en-GB"/>
        </w:rPr>
        <w:t>1L</w:t>
      </w:r>
      <w:r w:rsidRPr="00D558DD">
        <w:rPr>
          <w:rFonts w:asciiTheme="minorHAnsi" w:hAnsiTheme="minorHAnsi"/>
          <w:snapToGrid w:val="0"/>
          <w:lang w:val="en-GB"/>
        </w:rPr>
        <w:t xml:space="preserve"> use </w:t>
      </w:r>
      <w:r w:rsidR="00F2295C">
        <w:rPr>
          <w:rFonts w:asciiTheme="minorHAnsi" w:hAnsiTheme="minorHAnsi"/>
          <w:snapToGrid w:val="0"/>
          <w:lang w:val="en-GB"/>
        </w:rPr>
        <w:t xml:space="preserve">on the PBS </w:t>
      </w:r>
      <w:r w:rsidRPr="00D558DD">
        <w:rPr>
          <w:rFonts w:asciiTheme="minorHAnsi" w:hAnsiTheme="minorHAnsi"/>
          <w:snapToGrid w:val="0"/>
          <w:lang w:val="en-GB"/>
        </w:rPr>
        <w:t xml:space="preserve">would not be reasonable. </w:t>
      </w:r>
      <w:r w:rsidR="00DB4CE5">
        <w:rPr>
          <w:rFonts w:asciiTheme="minorHAnsi" w:hAnsiTheme="minorHAnsi"/>
          <w:snapToGrid w:val="0"/>
          <w:lang w:val="en-GB"/>
        </w:rPr>
        <w:t>As per paragraph 7.7, t</w:t>
      </w:r>
      <w:r w:rsidR="008C6338" w:rsidRPr="00921FAA">
        <w:rPr>
          <w:rFonts w:asciiTheme="minorHAnsi" w:hAnsiTheme="minorHAnsi"/>
          <w:snapToGrid w:val="0"/>
          <w:lang w:val="en-GB"/>
        </w:rPr>
        <w:t xml:space="preserve">he PBAC </w:t>
      </w:r>
      <w:r w:rsidR="007F6165">
        <w:rPr>
          <w:rFonts w:asciiTheme="minorHAnsi" w:hAnsiTheme="minorHAnsi"/>
          <w:snapToGrid w:val="0"/>
          <w:lang w:val="en-GB"/>
        </w:rPr>
        <w:t xml:space="preserve">considered </w:t>
      </w:r>
      <w:r w:rsidR="007F00BF">
        <w:rPr>
          <w:rFonts w:asciiTheme="minorHAnsi" w:hAnsiTheme="minorHAnsi"/>
          <w:snapToGrid w:val="0"/>
          <w:lang w:val="en-GB"/>
        </w:rPr>
        <w:t>teriparatide</w:t>
      </w:r>
      <w:r w:rsidR="007F6165">
        <w:rPr>
          <w:rFonts w:asciiTheme="minorHAnsi" w:hAnsiTheme="minorHAnsi"/>
          <w:snapToGrid w:val="0"/>
          <w:lang w:val="en-GB"/>
        </w:rPr>
        <w:t xml:space="preserve"> </w:t>
      </w:r>
      <w:r w:rsidR="00A528EE">
        <w:rPr>
          <w:rFonts w:asciiTheme="minorHAnsi" w:hAnsiTheme="minorHAnsi"/>
          <w:snapToGrid w:val="0"/>
          <w:lang w:val="en-GB"/>
        </w:rPr>
        <w:t xml:space="preserve">and romosozumab </w:t>
      </w:r>
      <w:r w:rsidR="00C33657">
        <w:rPr>
          <w:rFonts w:asciiTheme="minorHAnsi" w:hAnsiTheme="minorHAnsi"/>
          <w:snapToGrid w:val="0"/>
          <w:lang w:val="en-GB"/>
        </w:rPr>
        <w:t xml:space="preserve">to be appropriate </w:t>
      </w:r>
      <w:r w:rsidR="00C33657" w:rsidRPr="00321543">
        <w:rPr>
          <w:rFonts w:asciiTheme="minorHAnsi" w:hAnsiTheme="minorHAnsi"/>
          <w:snapToGrid w:val="0"/>
          <w:lang w:val="en-GB"/>
        </w:rPr>
        <w:t>c</w:t>
      </w:r>
      <w:r w:rsidR="00C33657" w:rsidRPr="00C5717F">
        <w:rPr>
          <w:rFonts w:asciiTheme="minorHAnsi" w:hAnsiTheme="minorHAnsi"/>
          <w:snapToGrid w:val="0"/>
          <w:lang w:val="en-GB"/>
        </w:rPr>
        <w:t>omparator</w:t>
      </w:r>
      <w:r w:rsidR="00A528EE" w:rsidRPr="00C5717F">
        <w:rPr>
          <w:rFonts w:asciiTheme="minorHAnsi" w:hAnsiTheme="minorHAnsi"/>
          <w:snapToGrid w:val="0"/>
          <w:lang w:val="en-GB"/>
        </w:rPr>
        <w:t>s</w:t>
      </w:r>
      <w:r w:rsidR="00C33657" w:rsidRPr="00C5717F">
        <w:rPr>
          <w:rFonts w:asciiTheme="minorHAnsi" w:hAnsiTheme="minorHAnsi"/>
          <w:snapToGrid w:val="0"/>
          <w:lang w:val="en-GB"/>
        </w:rPr>
        <w:t xml:space="preserve"> </w:t>
      </w:r>
      <w:r w:rsidR="00C33657">
        <w:rPr>
          <w:rFonts w:asciiTheme="minorHAnsi" w:hAnsiTheme="minorHAnsi"/>
          <w:snapToGrid w:val="0"/>
          <w:lang w:val="en-GB"/>
        </w:rPr>
        <w:t xml:space="preserve">for </w:t>
      </w:r>
      <w:r w:rsidR="00895A68">
        <w:rPr>
          <w:rFonts w:asciiTheme="minorHAnsi" w:hAnsiTheme="minorHAnsi"/>
          <w:snapToGrid w:val="0"/>
          <w:lang w:val="en-GB"/>
        </w:rPr>
        <w:t>2L</w:t>
      </w:r>
      <w:r w:rsidR="00C33657">
        <w:rPr>
          <w:rFonts w:asciiTheme="minorHAnsi" w:hAnsiTheme="minorHAnsi"/>
          <w:snapToGrid w:val="0"/>
          <w:lang w:val="en-GB"/>
        </w:rPr>
        <w:t xml:space="preserve"> treatment of severe established osteoporosis</w:t>
      </w:r>
      <w:r w:rsidR="003E7262">
        <w:rPr>
          <w:rFonts w:asciiTheme="minorHAnsi" w:hAnsiTheme="minorHAnsi"/>
          <w:snapToGrid w:val="0"/>
          <w:lang w:val="en-GB"/>
        </w:rPr>
        <w:t xml:space="preserve"> and in this setting</w:t>
      </w:r>
      <w:r w:rsidR="00C432DC">
        <w:rPr>
          <w:rFonts w:asciiTheme="minorHAnsi" w:hAnsiTheme="minorHAnsi"/>
          <w:snapToGrid w:val="0"/>
          <w:lang w:val="en-GB"/>
        </w:rPr>
        <w:t xml:space="preserve"> t</w:t>
      </w:r>
      <w:r w:rsidR="00C435CE">
        <w:rPr>
          <w:rFonts w:asciiTheme="minorHAnsi" w:hAnsiTheme="minorHAnsi"/>
          <w:snapToGrid w:val="0"/>
          <w:lang w:val="en-GB"/>
        </w:rPr>
        <w:t xml:space="preserve">he Committee </w:t>
      </w:r>
      <w:r w:rsidR="007F00BF">
        <w:rPr>
          <w:rFonts w:asciiTheme="minorHAnsi" w:hAnsiTheme="minorHAnsi"/>
          <w:snapToGrid w:val="0"/>
          <w:lang w:val="en-GB"/>
        </w:rPr>
        <w:t xml:space="preserve">recommended that </w:t>
      </w:r>
      <w:r w:rsidR="005E6982">
        <w:rPr>
          <w:rFonts w:asciiTheme="minorHAnsi" w:hAnsiTheme="minorHAnsi"/>
          <w:snapToGrid w:val="0"/>
          <w:lang w:val="en-GB"/>
        </w:rPr>
        <w:t>i</w:t>
      </w:r>
      <w:r w:rsidR="007F00BF">
        <w:rPr>
          <w:rFonts w:asciiTheme="minorHAnsi" w:hAnsiTheme="minorHAnsi"/>
          <w:snapToGrid w:val="0"/>
          <w:lang w:val="en-GB"/>
        </w:rPr>
        <w:t xml:space="preserve">t would be appropriate for abaloparatide to </w:t>
      </w:r>
      <w:r w:rsidR="00FA2DF7">
        <w:rPr>
          <w:rFonts w:asciiTheme="minorHAnsi" w:hAnsiTheme="minorHAnsi"/>
          <w:snapToGrid w:val="0"/>
          <w:lang w:val="en-GB"/>
        </w:rPr>
        <w:t xml:space="preserve">be PBS-listed at the same </w:t>
      </w:r>
      <w:r w:rsidR="00797CEB">
        <w:rPr>
          <w:rFonts w:asciiTheme="minorHAnsi" w:hAnsiTheme="minorHAnsi"/>
          <w:snapToGrid w:val="0"/>
          <w:lang w:val="en-GB"/>
        </w:rPr>
        <w:t>cost per course</w:t>
      </w:r>
      <w:r w:rsidR="00FA2DF7">
        <w:rPr>
          <w:rFonts w:asciiTheme="minorHAnsi" w:hAnsiTheme="minorHAnsi"/>
          <w:snapToGrid w:val="0"/>
          <w:lang w:val="en-GB"/>
        </w:rPr>
        <w:t xml:space="preserve"> </w:t>
      </w:r>
      <w:r w:rsidR="00DB4CE5">
        <w:rPr>
          <w:rFonts w:asciiTheme="minorHAnsi" w:hAnsiTheme="minorHAnsi"/>
          <w:snapToGrid w:val="0"/>
          <w:lang w:val="en-GB"/>
        </w:rPr>
        <w:t xml:space="preserve">as </w:t>
      </w:r>
      <w:r w:rsidR="00A528EE">
        <w:rPr>
          <w:rFonts w:asciiTheme="minorHAnsi" w:hAnsiTheme="minorHAnsi"/>
          <w:snapToGrid w:val="0"/>
          <w:lang w:val="en-GB"/>
        </w:rPr>
        <w:t>the l</w:t>
      </w:r>
      <w:r w:rsidR="009C2851">
        <w:rPr>
          <w:rFonts w:asciiTheme="minorHAnsi" w:hAnsiTheme="minorHAnsi"/>
          <w:snapToGrid w:val="0"/>
          <w:lang w:val="en-GB"/>
        </w:rPr>
        <w:t>east costly alternative</w:t>
      </w:r>
      <w:r w:rsidR="00A528EE">
        <w:rPr>
          <w:rFonts w:asciiTheme="minorHAnsi" w:hAnsiTheme="minorHAnsi"/>
          <w:snapToGrid w:val="0"/>
          <w:lang w:val="en-GB"/>
        </w:rPr>
        <w:t xml:space="preserve"> of either </w:t>
      </w:r>
      <w:r w:rsidR="003F2E09">
        <w:rPr>
          <w:rFonts w:asciiTheme="minorHAnsi" w:hAnsiTheme="minorHAnsi"/>
          <w:snapToGrid w:val="0"/>
          <w:lang w:val="en-GB"/>
        </w:rPr>
        <w:t>romosozumab</w:t>
      </w:r>
      <w:r w:rsidR="00090D8A">
        <w:rPr>
          <w:rFonts w:asciiTheme="minorHAnsi" w:hAnsiTheme="minorHAnsi"/>
          <w:snapToGrid w:val="0"/>
          <w:lang w:val="en-GB"/>
        </w:rPr>
        <w:t xml:space="preserve"> or teriparatide. The PBAC considered that in determining the least costly alternative</w:t>
      </w:r>
      <w:r w:rsidR="00C8399C">
        <w:rPr>
          <w:rFonts w:asciiTheme="minorHAnsi" w:hAnsiTheme="minorHAnsi"/>
          <w:snapToGrid w:val="0"/>
          <w:lang w:val="en-GB"/>
        </w:rPr>
        <w:t>,</w:t>
      </w:r>
      <w:r w:rsidR="00CF4D4B">
        <w:rPr>
          <w:rFonts w:asciiTheme="minorHAnsi" w:hAnsiTheme="minorHAnsi"/>
          <w:snapToGrid w:val="0"/>
          <w:lang w:val="en-GB"/>
        </w:rPr>
        <w:t xml:space="preserve"> that</w:t>
      </w:r>
      <w:r w:rsidR="00E42186">
        <w:rPr>
          <w:rFonts w:asciiTheme="minorHAnsi" w:hAnsiTheme="minorHAnsi"/>
          <w:snapToGrid w:val="0"/>
          <w:lang w:val="en-GB"/>
        </w:rPr>
        <w:t xml:space="preserve"> for </w:t>
      </w:r>
      <w:r w:rsidR="002822CB">
        <w:rPr>
          <w:rFonts w:asciiTheme="minorHAnsi" w:hAnsiTheme="minorHAnsi"/>
          <w:snapToGrid w:val="0"/>
          <w:lang w:val="en-GB"/>
        </w:rPr>
        <w:t>(1)</w:t>
      </w:r>
      <w:r w:rsidR="002D1060">
        <w:rPr>
          <w:rFonts w:asciiTheme="minorHAnsi" w:hAnsiTheme="minorHAnsi"/>
          <w:snapToGrid w:val="0"/>
          <w:lang w:val="en-GB"/>
        </w:rPr>
        <w:t xml:space="preserve"> </w:t>
      </w:r>
      <w:r w:rsidR="00E42186">
        <w:rPr>
          <w:rFonts w:asciiTheme="minorHAnsi" w:hAnsiTheme="minorHAnsi"/>
          <w:snapToGrid w:val="0"/>
          <w:lang w:val="en-GB"/>
        </w:rPr>
        <w:t xml:space="preserve">romosozumab, this should be </w:t>
      </w:r>
      <w:r w:rsidR="00332381" w:rsidRPr="00332381">
        <w:rPr>
          <w:rFonts w:asciiTheme="minorHAnsi" w:hAnsiTheme="minorHAnsi"/>
          <w:snapToGrid w:val="0"/>
          <w:lang w:val="en-GB"/>
        </w:rPr>
        <w:t>determined using the</w:t>
      </w:r>
      <w:r w:rsidR="001A5CEE">
        <w:rPr>
          <w:rFonts w:asciiTheme="minorHAnsi" w:hAnsiTheme="minorHAnsi"/>
          <w:snapToGrid w:val="0"/>
          <w:lang w:val="en-GB"/>
        </w:rPr>
        <w:t xml:space="preserve"> effective AEMP for romosozumab in the 2L setting and t</w:t>
      </w:r>
      <w:r w:rsidR="00D54B97">
        <w:rPr>
          <w:rFonts w:asciiTheme="minorHAnsi" w:hAnsiTheme="minorHAnsi"/>
          <w:snapToGrid w:val="0"/>
          <w:lang w:val="en-GB"/>
        </w:rPr>
        <w:t>he</w:t>
      </w:r>
      <w:r w:rsidR="00332381" w:rsidRPr="00332381">
        <w:rPr>
          <w:rFonts w:asciiTheme="minorHAnsi" w:hAnsiTheme="minorHAnsi"/>
          <w:snapToGrid w:val="0"/>
          <w:lang w:val="en-GB"/>
        </w:rPr>
        <w:t xml:space="preserve"> same parameters as </w:t>
      </w:r>
      <w:r w:rsidR="00D54B97">
        <w:rPr>
          <w:rFonts w:asciiTheme="minorHAnsi" w:hAnsiTheme="minorHAnsi"/>
          <w:snapToGrid w:val="0"/>
          <w:lang w:val="en-GB"/>
        </w:rPr>
        <w:t xml:space="preserve">the Committee recommended </w:t>
      </w:r>
      <w:r w:rsidR="00332381" w:rsidRPr="00332381">
        <w:rPr>
          <w:rFonts w:asciiTheme="minorHAnsi" w:hAnsiTheme="minorHAnsi"/>
          <w:snapToGrid w:val="0"/>
          <w:lang w:val="en-GB"/>
        </w:rPr>
        <w:t>for the CMA in the 1L setting</w:t>
      </w:r>
      <w:r w:rsidR="00D54B97">
        <w:rPr>
          <w:rFonts w:asciiTheme="minorHAnsi" w:hAnsiTheme="minorHAnsi"/>
          <w:snapToGrid w:val="0"/>
          <w:lang w:val="en-GB"/>
        </w:rPr>
        <w:t xml:space="preserve"> </w:t>
      </w:r>
      <w:r w:rsidR="00276B12">
        <w:rPr>
          <w:rFonts w:asciiTheme="minorHAnsi" w:hAnsiTheme="minorHAnsi"/>
          <w:snapToGrid w:val="0"/>
          <w:lang w:val="en-GB"/>
        </w:rPr>
        <w:t>(paragraph 7.11)</w:t>
      </w:r>
      <w:r w:rsidR="005551A9">
        <w:rPr>
          <w:rFonts w:asciiTheme="minorHAnsi" w:hAnsiTheme="minorHAnsi"/>
          <w:snapToGrid w:val="0"/>
          <w:lang w:val="en-GB"/>
        </w:rPr>
        <w:t>;</w:t>
      </w:r>
      <w:r w:rsidR="00CF4D4B">
        <w:rPr>
          <w:rFonts w:asciiTheme="minorHAnsi" w:hAnsiTheme="minorHAnsi"/>
          <w:snapToGrid w:val="0"/>
          <w:lang w:val="en-GB"/>
        </w:rPr>
        <w:t xml:space="preserve"> and that for</w:t>
      </w:r>
      <w:r w:rsidR="003F2E09">
        <w:rPr>
          <w:rFonts w:asciiTheme="minorHAnsi" w:hAnsiTheme="minorHAnsi"/>
          <w:snapToGrid w:val="0"/>
          <w:lang w:val="en-GB"/>
        </w:rPr>
        <w:t xml:space="preserve"> </w:t>
      </w:r>
      <w:r w:rsidR="00F51B1F">
        <w:rPr>
          <w:rFonts w:asciiTheme="minorHAnsi" w:hAnsiTheme="minorHAnsi"/>
          <w:snapToGrid w:val="0"/>
          <w:lang w:val="en-GB"/>
        </w:rPr>
        <w:t>(</w:t>
      </w:r>
      <w:r w:rsidR="002822CB">
        <w:rPr>
          <w:rFonts w:asciiTheme="minorHAnsi" w:hAnsiTheme="minorHAnsi"/>
          <w:snapToGrid w:val="0"/>
          <w:lang w:val="en-GB"/>
        </w:rPr>
        <w:t>2</w:t>
      </w:r>
      <w:r w:rsidR="00F51B1F">
        <w:rPr>
          <w:rFonts w:asciiTheme="minorHAnsi" w:hAnsiTheme="minorHAnsi"/>
          <w:snapToGrid w:val="0"/>
          <w:lang w:val="en-GB"/>
        </w:rPr>
        <w:t xml:space="preserve">) </w:t>
      </w:r>
      <w:r w:rsidR="00DB4CE5">
        <w:rPr>
          <w:rFonts w:asciiTheme="minorHAnsi" w:hAnsiTheme="minorHAnsi"/>
          <w:snapToGrid w:val="0"/>
          <w:lang w:val="en-GB"/>
        </w:rPr>
        <w:t>teriparatide</w:t>
      </w:r>
      <w:r w:rsidR="00F51B1F">
        <w:rPr>
          <w:rFonts w:asciiTheme="minorHAnsi" w:hAnsiTheme="minorHAnsi"/>
          <w:snapToGrid w:val="0"/>
          <w:lang w:val="en-GB"/>
        </w:rPr>
        <w:t>,</w:t>
      </w:r>
      <w:r w:rsidR="00DB4CE5">
        <w:rPr>
          <w:rFonts w:asciiTheme="minorHAnsi" w:hAnsiTheme="minorHAnsi"/>
          <w:snapToGrid w:val="0"/>
          <w:lang w:val="en-GB"/>
        </w:rPr>
        <w:t xml:space="preserve"> </w:t>
      </w:r>
      <w:r w:rsidR="00511227">
        <w:rPr>
          <w:rFonts w:asciiTheme="minorHAnsi" w:hAnsiTheme="minorHAnsi"/>
          <w:snapToGrid w:val="0"/>
          <w:lang w:val="en-GB"/>
        </w:rPr>
        <w:t>the</w:t>
      </w:r>
      <w:r w:rsidR="003949AE" w:rsidDel="00511227">
        <w:rPr>
          <w:rFonts w:asciiTheme="minorHAnsi" w:hAnsiTheme="minorHAnsi"/>
          <w:snapToGrid w:val="0"/>
          <w:lang w:val="en-GB"/>
        </w:rPr>
        <w:t xml:space="preserve"> treatment</w:t>
      </w:r>
      <w:r w:rsidR="003949AE">
        <w:rPr>
          <w:rFonts w:asciiTheme="minorHAnsi" w:hAnsiTheme="minorHAnsi"/>
          <w:snapToGrid w:val="0"/>
          <w:lang w:val="en-GB"/>
        </w:rPr>
        <w:t xml:space="preserve"> duration for both abaloparatide and teriparatide </w:t>
      </w:r>
      <w:r w:rsidR="00511227">
        <w:rPr>
          <w:rFonts w:asciiTheme="minorHAnsi" w:hAnsiTheme="minorHAnsi"/>
          <w:snapToGrid w:val="0"/>
          <w:lang w:val="en-GB"/>
        </w:rPr>
        <w:t>should be</w:t>
      </w:r>
      <w:r w:rsidR="003949AE">
        <w:rPr>
          <w:rFonts w:asciiTheme="minorHAnsi" w:hAnsiTheme="minorHAnsi"/>
          <w:snapToGrid w:val="0"/>
          <w:lang w:val="en-GB"/>
        </w:rPr>
        <w:t xml:space="preserve"> 18 months</w:t>
      </w:r>
      <w:r w:rsidR="00DB4CE5">
        <w:rPr>
          <w:rFonts w:asciiTheme="minorHAnsi" w:hAnsiTheme="minorHAnsi"/>
          <w:snapToGrid w:val="0"/>
          <w:lang w:val="en-GB"/>
        </w:rPr>
        <w:t>. The PBAC noted</w:t>
      </w:r>
      <w:r w:rsidR="00C33657">
        <w:rPr>
          <w:rFonts w:asciiTheme="minorHAnsi" w:hAnsiTheme="minorHAnsi"/>
          <w:snapToGrid w:val="0"/>
          <w:lang w:val="en-GB"/>
        </w:rPr>
        <w:t xml:space="preserve"> that the </w:t>
      </w:r>
      <w:r w:rsidR="00727767">
        <w:rPr>
          <w:rFonts w:asciiTheme="minorHAnsi" w:hAnsiTheme="minorHAnsi"/>
          <w:snapToGrid w:val="0"/>
          <w:lang w:val="en-GB"/>
        </w:rPr>
        <w:t xml:space="preserve">lifetime maximum </w:t>
      </w:r>
      <w:r w:rsidR="00C33657">
        <w:rPr>
          <w:rFonts w:asciiTheme="minorHAnsi" w:hAnsiTheme="minorHAnsi"/>
          <w:snapToGrid w:val="0"/>
          <w:lang w:val="en-GB"/>
        </w:rPr>
        <w:t>treatment duration for</w:t>
      </w:r>
      <w:r w:rsidR="0013609D">
        <w:rPr>
          <w:rFonts w:asciiTheme="minorHAnsi" w:hAnsiTheme="minorHAnsi"/>
          <w:snapToGrid w:val="0"/>
          <w:lang w:val="en-GB"/>
        </w:rPr>
        <w:t xml:space="preserve"> teriparatide </w:t>
      </w:r>
      <w:r w:rsidR="00727767">
        <w:rPr>
          <w:rFonts w:asciiTheme="minorHAnsi" w:hAnsiTheme="minorHAnsi"/>
          <w:snapToGrid w:val="0"/>
          <w:lang w:val="en-GB"/>
        </w:rPr>
        <w:t xml:space="preserve">on the PBS is 18 months </w:t>
      </w:r>
      <w:r w:rsidR="0013609D">
        <w:rPr>
          <w:rFonts w:asciiTheme="minorHAnsi" w:hAnsiTheme="minorHAnsi"/>
          <w:snapToGrid w:val="0"/>
          <w:lang w:val="en-GB"/>
        </w:rPr>
        <w:t xml:space="preserve">and </w:t>
      </w:r>
      <w:r w:rsidR="000B1019">
        <w:rPr>
          <w:rFonts w:asciiTheme="minorHAnsi" w:hAnsiTheme="minorHAnsi"/>
          <w:snapToGrid w:val="0"/>
          <w:lang w:val="en-GB"/>
        </w:rPr>
        <w:t xml:space="preserve">that the maximum treatment duration </w:t>
      </w:r>
      <w:r w:rsidR="0013609D">
        <w:rPr>
          <w:rFonts w:asciiTheme="minorHAnsi" w:hAnsiTheme="minorHAnsi"/>
          <w:snapToGrid w:val="0"/>
          <w:lang w:val="en-GB"/>
        </w:rPr>
        <w:t>for abaloparatide</w:t>
      </w:r>
      <w:r w:rsidR="00F97155">
        <w:rPr>
          <w:rFonts w:asciiTheme="minorHAnsi" w:hAnsiTheme="minorHAnsi"/>
          <w:snapToGrid w:val="0"/>
          <w:lang w:val="en-GB"/>
        </w:rPr>
        <w:t>,</w:t>
      </w:r>
      <w:r w:rsidR="0013609D">
        <w:rPr>
          <w:rFonts w:asciiTheme="minorHAnsi" w:hAnsiTheme="minorHAnsi"/>
          <w:snapToGrid w:val="0"/>
          <w:lang w:val="en-GB"/>
        </w:rPr>
        <w:t xml:space="preserve"> </w:t>
      </w:r>
      <w:r w:rsidR="00F97155">
        <w:rPr>
          <w:rFonts w:asciiTheme="minorHAnsi" w:hAnsiTheme="minorHAnsi"/>
          <w:snapToGrid w:val="0"/>
          <w:lang w:val="en-GB"/>
        </w:rPr>
        <w:t>based on the</w:t>
      </w:r>
      <w:r w:rsidR="0075162B">
        <w:rPr>
          <w:rFonts w:asciiTheme="minorHAnsi" w:hAnsiTheme="minorHAnsi"/>
          <w:snapToGrid w:val="0"/>
          <w:lang w:val="en-GB"/>
        </w:rPr>
        <w:t xml:space="preserve"> </w:t>
      </w:r>
      <w:r w:rsidR="00F97155">
        <w:rPr>
          <w:rFonts w:asciiTheme="minorHAnsi" w:hAnsiTheme="minorHAnsi"/>
          <w:snapToGrid w:val="0"/>
          <w:lang w:val="en-GB"/>
        </w:rPr>
        <w:t xml:space="preserve">Product Information </w:t>
      </w:r>
      <w:r w:rsidR="0013609D">
        <w:rPr>
          <w:rFonts w:asciiTheme="minorHAnsi" w:hAnsiTheme="minorHAnsi"/>
          <w:snapToGrid w:val="0"/>
          <w:lang w:val="en-GB"/>
        </w:rPr>
        <w:t xml:space="preserve">is </w:t>
      </w:r>
      <w:r w:rsidR="000B1019">
        <w:rPr>
          <w:rFonts w:asciiTheme="minorHAnsi" w:hAnsiTheme="minorHAnsi"/>
          <w:snapToGrid w:val="0"/>
          <w:lang w:val="en-GB"/>
        </w:rPr>
        <w:t xml:space="preserve">also </w:t>
      </w:r>
      <w:r w:rsidR="0013609D">
        <w:rPr>
          <w:rFonts w:asciiTheme="minorHAnsi" w:hAnsiTheme="minorHAnsi"/>
          <w:snapToGrid w:val="0"/>
          <w:lang w:val="en-GB"/>
        </w:rPr>
        <w:t>18 months</w:t>
      </w:r>
      <w:r w:rsidR="00FA2DF7">
        <w:rPr>
          <w:rFonts w:asciiTheme="minorHAnsi" w:hAnsiTheme="minorHAnsi"/>
          <w:snapToGrid w:val="0"/>
          <w:lang w:val="en-GB"/>
        </w:rPr>
        <w:t xml:space="preserve">. </w:t>
      </w:r>
    </w:p>
    <w:p w14:paraId="6C675A94" w14:textId="7F71B802" w:rsidR="00212A12" w:rsidRDefault="00D975C7" w:rsidP="006219C3">
      <w:pPr>
        <w:widowControl w:val="0"/>
        <w:numPr>
          <w:ilvl w:val="1"/>
          <w:numId w:val="1"/>
        </w:numPr>
        <w:spacing w:after="120"/>
      </w:pPr>
      <w:bookmarkStart w:id="76" w:name="_Ref203319843"/>
      <w:r w:rsidRPr="006219C3">
        <w:rPr>
          <w:rFonts w:asciiTheme="minorHAnsi" w:hAnsiTheme="minorHAnsi"/>
          <w:snapToGrid w:val="0"/>
          <w:lang w:val="en-GB"/>
        </w:rPr>
        <w:t>The PBAC noted that</w:t>
      </w:r>
      <w:r w:rsidR="00FA7E43" w:rsidRPr="006219C3">
        <w:rPr>
          <w:rFonts w:asciiTheme="minorHAnsi" w:hAnsiTheme="minorHAnsi"/>
          <w:snapToGrid w:val="0"/>
          <w:lang w:val="en-GB"/>
        </w:rPr>
        <w:t xml:space="preserve"> a</w:t>
      </w:r>
      <w:r w:rsidR="00FA723D">
        <w:rPr>
          <w:rFonts w:asciiTheme="minorHAnsi" w:hAnsiTheme="minorHAnsi"/>
          <w:snapToGrid w:val="0"/>
          <w:lang w:val="en-GB"/>
        </w:rPr>
        <w:t xml:space="preserve">s romosozumab </w:t>
      </w:r>
      <w:r w:rsidR="00DB2D84">
        <w:rPr>
          <w:rFonts w:asciiTheme="minorHAnsi" w:hAnsiTheme="minorHAnsi"/>
          <w:snapToGrid w:val="0"/>
          <w:lang w:val="en-GB"/>
        </w:rPr>
        <w:t xml:space="preserve">for the </w:t>
      </w:r>
      <w:r w:rsidR="008E7536">
        <w:rPr>
          <w:rFonts w:asciiTheme="minorHAnsi" w:hAnsiTheme="minorHAnsi"/>
          <w:snapToGrid w:val="0"/>
          <w:lang w:val="en-GB"/>
        </w:rPr>
        <w:t>1L</w:t>
      </w:r>
      <w:r w:rsidR="00DB2D84">
        <w:rPr>
          <w:rFonts w:asciiTheme="minorHAnsi" w:hAnsiTheme="minorHAnsi"/>
          <w:snapToGrid w:val="0"/>
          <w:lang w:val="en-GB"/>
        </w:rPr>
        <w:t xml:space="preserve"> treatment of severe osteoporosis </w:t>
      </w:r>
      <w:r w:rsidR="00FA723D">
        <w:rPr>
          <w:rFonts w:asciiTheme="minorHAnsi" w:hAnsiTheme="minorHAnsi"/>
          <w:snapToGrid w:val="0"/>
          <w:lang w:val="en-GB"/>
        </w:rPr>
        <w:t>had only been listed on the PBS since November 2024, a</w:t>
      </w:r>
      <w:r w:rsidR="00FA7E43" w:rsidRPr="006219C3">
        <w:rPr>
          <w:rFonts w:asciiTheme="minorHAnsi" w:hAnsiTheme="minorHAnsi"/>
          <w:snapToGrid w:val="0"/>
          <w:lang w:val="en-GB"/>
        </w:rPr>
        <w:t xml:space="preserve"> market share approach </w:t>
      </w:r>
      <w:r w:rsidR="00921A08">
        <w:rPr>
          <w:rFonts w:asciiTheme="minorHAnsi" w:hAnsiTheme="minorHAnsi"/>
          <w:snapToGrid w:val="0"/>
          <w:lang w:val="en-GB"/>
        </w:rPr>
        <w:t xml:space="preserve">could not </w:t>
      </w:r>
      <w:r w:rsidR="00FA7E43" w:rsidRPr="006219C3">
        <w:rPr>
          <w:rFonts w:asciiTheme="minorHAnsi" w:hAnsiTheme="minorHAnsi"/>
          <w:snapToGrid w:val="0"/>
          <w:lang w:val="en-GB"/>
        </w:rPr>
        <w:t>be used to estimate the utilisation of abaloparatide</w:t>
      </w:r>
      <w:r w:rsidRPr="006219C3">
        <w:rPr>
          <w:rFonts w:asciiTheme="minorHAnsi" w:hAnsiTheme="minorHAnsi"/>
          <w:snapToGrid w:val="0"/>
          <w:lang w:val="en-GB"/>
        </w:rPr>
        <w:t xml:space="preserve">. The PBAC considered that there were several uncertainties associated with the inputs employed in the epidemiological approach, </w:t>
      </w:r>
      <w:r w:rsidR="00C0120D" w:rsidRPr="006219C3">
        <w:rPr>
          <w:rFonts w:asciiTheme="minorHAnsi" w:hAnsiTheme="minorHAnsi"/>
          <w:snapToGrid w:val="0"/>
          <w:lang w:val="en-GB"/>
        </w:rPr>
        <w:t>including</w:t>
      </w:r>
      <w:r w:rsidR="00DE37E5" w:rsidRPr="006219C3">
        <w:rPr>
          <w:rFonts w:asciiTheme="minorHAnsi" w:hAnsiTheme="minorHAnsi"/>
          <w:snapToGrid w:val="0"/>
          <w:lang w:val="en-GB"/>
        </w:rPr>
        <w:t xml:space="preserve"> </w:t>
      </w:r>
      <w:r w:rsidR="00C0120D" w:rsidRPr="006219C3">
        <w:rPr>
          <w:rFonts w:asciiTheme="minorHAnsi" w:hAnsiTheme="minorHAnsi"/>
          <w:snapToGrid w:val="0"/>
          <w:lang w:val="en-GB"/>
        </w:rPr>
        <w:t xml:space="preserve">(1) </w:t>
      </w:r>
      <w:r w:rsidR="00DE37E5" w:rsidRPr="006219C3">
        <w:rPr>
          <w:rFonts w:asciiTheme="minorHAnsi" w:hAnsiTheme="minorHAnsi"/>
          <w:snapToGrid w:val="0"/>
          <w:lang w:val="en-GB"/>
        </w:rPr>
        <w:t xml:space="preserve">not </w:t>
      </w:r>
      <w:r w:rsidR="006C6008" w:rsidRPr="006219C3">
        <w:t xml:space="preserve">considering that there may be patients eligible for abaloparatide who are not eligible for romosozumab </w:t>
      </w:r>
      <w:r w:rsidR="00CB42BF" w:rsidRPr="006219C3">
        <w:t>(</w:t>
      </w:r>
      <w:r w:rsidR="006C6008" w:rsidRPr="006219C3">
        <w:t>patients with a history of myocardial infarction or stroke who are contraindicated for romosozumab, or those who develop an intolerance to romosozumab</w:t>
      </w:r>
      <w:r w:rsidR="00CB42BF" w:rsidRPr="006219C3">
        <w:t>)</w:t>
      </w:r>
      <w:r w:rsidR="00BE0C92" w:rsidRPr="006219C3">
        <w:t>;</w:t>
      </w:r>
      <w:r w:rsidR="00CB42BF" w:rsidRPr="006219C3">
        <w:t xml:space="preserve"> </w:t>
      </w:r>
      <w:r w:rsidR="001B5C53" w:rsidRPr="006219C3">
        <w:t xml:space="preserve">and </w:t>
      </w:r>
      <w:r w:rsidR="00C0120D" w:rsidRPr="006219C3">
        <w:t xml:space="preserve">(2) </w:t>
      </w:r>
      <w:r w:rsidR="00001425" w:rsidRPr="006219C3">
        <w:t>assuming</w:t>
      </w:r>
      <w:r w:rsidR="00EF1C42" w:rsidRPr="006219C3">
        <w:t xml:space="preserve"> a reduction in the use of ART when</w:t>
      </w:r>
      <w:r w:rsidR="00BE0C92" w:rsidRPr="006219C3">
        <w:t xml:space="preserve"> it </w:t>
      </w:r>
      <w:r w:rsidR="00CC09C9">
        <w:t>may only involve the</w:t>
      </w:r>
      <w:r w:rsidR="00BE0C92" w:rsidRPr="006219C3">
        <w:t xml:space="preserve"> later initiation of treatment</w:t>
      </w:r>
      <w:r w:rsidR="00CC09C9">
        <w:t>, not a change in treatment duration</w:t>
      </w:r>
      <w:r w:rsidR="009B23C8">
        <w:t xml:space="preserve"> (consistent with the CMA)</w:t>
      </w:r>
      <w:r w:rsidR="006C6008" w:rsidRPr="006219C3">
        <w:t>.</w:t>
      </w:r>
      <w:r w:rsidR="00DE37E5" w:rsidRPr="006219C3">
        <w:rPr>
          <w:rFonts w:asciiTheme="minorHAnsi" w:hAnsiTheme="minorHAnsi"/>
          <w:snapToGrid w:val="0"/>
          <w:lang w:val="en-GB"/>
        </w:rPr>
        <w:t xml:space="preserve"> </w:t>
      </w:r>
      <w:r w:rsidR="00A80D07" w:rsidRPr="006219C3">
        <w:rPr>
          <w:rFonts w:asciiTheme="minorHAnsi" w:hAnsiTheme="minorHAnsi"/>
          <w:snapToGrid w:val="0"/>
          <w:lang w:val="en-GB"/>
        </w:rPr>
        <w:t>Further, the submission</w:t>
      </w:r>
      <w:r w:rsidR="00A80D07" w:rsidRPr="006219C3">
        <w:t xml:space="preserve"> did not consider differences in script frequency between the different ARTs, although this was corrected during the evaluation.</w:t>
      </w:r>
      <w:bookmarkEnd w:id="76"/>
      <w:r w:rsidR="00FF0646">
        <w:t xml:space="preserve"> </w:t>
      </w:r>
    </w:p>
    <w:p w14:paraId="62230369" w14:textId="3B898B0F" w:rsidR="00403A52" w:rsidRPr="00403A52" w:rsidRDefault="00FF0646" w:rsidP="006219C3">
      <w:pPr>
        <w:widowControl w:val="0"/>
        <w:numPr>
          <w:ilvl w:val="1"/>
          <w:numId w:val="1"/>
        </w:numPr>
        <w:spacing w:after="120"/>
      </w:pPr>
      <w:r>
        <w:t>The PBAC considered that</w:t>
      </w:r>
      <w:r w:rsidR="00D512F8">
        <w:t xml:space="preserve"> </w:t>
      </w:r>
      <w:r w:rsidR="00D512F8">
        <w:rPr>
          <w:rFonts w:asciiTheme="minorHAnsi" w:hAnsiTheme="minorHAnsi"/>
          <w:snapToGrid w:val="0"/>
          <w:lang w:val="en-GB"/>
        </w:rPr>
        <w:t xml:space="preserve">the financial cost to Government </w:t>
      </w:r>
      <w:r w:rsidR="008314EF">
        <w:rPr>
          <w:rFonts w:asciiTheme="minorHAnsi" w:hAnsiTheme="minorHAnsi"/>
          <w:snapToGrid w:val="0"/>
          <w:lang w:val="en-GB"/>
        </w:rPr>
        <w:t xml:space="preserve">for abaloparatide in the </w:t>
      </w:r>
      <w:r w:rsidR="00446449">
        <w:rPr>
          <w:rFonts w:asciiTheme="minorHAnsi" w:hAnsiTheme="minorHAnsi"/>
          <w:snapToGrid w:val="0"/>
          <w:lang w:val="en-GB"/>
        </w:rPr>
        <w:t>1L</w:t>
      </w:r>
      <w:r w:rsidR="00D870F5">
        <w:rPr>
          <w:rFonts w:asciiTheme="minorHAnsi" w:hAnsiTheme="minorHAnsi"/>
          <w:snapToGrid w:val="0"/>
          <w:lang w:val="en-GB"/>
        </w:rPr>
        <w:t xml:space="preserve"> setting </w:t>
      </w:r>
      <w:r w:rsidR="00D512F8">
        <w:rPr>
          <w:rFonts w:asciiTheme="minorHAnsi" w:hAnsiTheme="minorHAnsi"/>
          <w:snapToGrid w:val="0"/>
          <w:lang w:val="en-GB"/>
        </w:rPr>
        <w:t>would be acceptable</w:t>
      </w:r>
      <w:r w:rsidR="000E65B3">
        <w:rPr>
          <w:rFonts w:asciiTheme="minorHAnsi" w:hAnsiTheme="minorHAnsi"/>
          <w:snapToGrid w:val="0"/>
          <w:lang w:val="en-GB"/>
        </w:rPr>
        <w:t xml:space="preserve"> </w:t>
      </w:r>
      <w:r w:rsidR="00D512F8">
        <w:rPr>
          <w:rFonts w:asciiTheme="minorHAnsi" w:hAnsiTheme="minorHAnsi"/>
          <w:snapToGrid w:val="0"/>
          <w:lang w:val="en-GB"/>
        </w:rPr>
        <w:t xml:space="preserve">if the PBAC-recommended parameters were applied to the </w:t>
      </w:r>
      <w:r w:rsidR="00BA696D">
        <w:rPr>
          <w:rFonts w:asciiTheme="minorHAnsi" w:hAnsiTheme="minorHAnsi"/>
          <w:snapToGrid w:val="0"/>
          <w:lang w:val="en-GB"/>
        </w:rPr>
        <w:t>CMA</w:t>
      </w:r>
      <w:r w:rsidR="00C42783">
        <w:rPr>
          <w:rFonts w:asciiTheme="minorHAnsi" w:hAnsiTheme="minorHAnsi"/>
          <w:snapToGrid w:val="0"/>
          <w:lang w:val="en-GB"/>
        </w:rPr>
        <w:t xml:space="preserve"> </w:t>
      </w:r>
      <w:r w:rsidR="00C962DC">
        <w:rPr>
          <w:rFonts w:asciiTheme="minorHAnsi" w:hAnsiTheme="minorHAnsi"/>
          <w:snapToGrid w:val="0"/>
          <w:lang w:val="en-GB"/>
        </w:rPr>
        <w:t>(</w:t>
      </w:r>
      <w:r w:rsidR="005F006C">
        <w:rPr>
          <w:rFonts w:asciiTheme="minorHAnsi" w:hAnsiTheme="minorHAnsi"/>
          <w:snapToGrid w:val="0"/>
          <w:lang w:val="en-GB"/>
        </w:rPr>
        <w:t>see paragraph 7.</w:t>
      </w:r>
      <w:r w:rsidR="0000304B">
        <w:rPr>
          <w:rFonts w:asciiTheme="minorHAnsi" w:hAnsiTheme="minorHAnsi"/>
          <w:snapToGrid w:val="0"/>
          <w:lang w:val="en-GB"/>
        </w:rPr>
        <w:t>11</w:t>
      </w:r>
      <w:r w:rsidR="00FC6542">
        <w:rPr>
          <w:rFonts w:cs="Calibri"/>
        </w:rPr>
        <w:t>)</w:t>
      </w:r>
      <w:r w:rsidR="009D5446">
        <w:rPr>
          <w:rFonts w:cs="Calibri"/>
        </w:rPr>
        <w:t>.</w:t>
      </w:r>
      <w:r w:rsidR="00306E37">
        <w:rPr>
          <w:rFonts w:cs="Calibri"/>
        </w:rPr>
        <w:t xml:space="preserve"> </w:t>
      </w:r>
      <w:r w:rsidR="00475BDD" w:rsidRPr="00475BDD">
        <w:rPr>
          <w:rFonts w:cs="Calibri"/>
        </w:rPr>
        <w:t xml:space="preserve">The PBAC noted that the submission did not estimate utilisation for </w:t>
      </w:r>
      <w:r w:rsidR="007F5BDE">
        <w:rPr>
          <w:rFonts w:cs="Calibri"/>
        </w:rPr>
        <w:t>2L</w:t>
      </w:r>
      <w:r w:rsidR="00475BDD" w:rsidRPr="00475BDD">
        <w:rPr>
          <w:rFonts w:cs="Calibri"/>
        </w:rPr>
        <w:t xml:space="preserve"> use, however the listing for abaloparatide would not increase cost to Government in either line of use if it was listed </w:t>
      </w:r>
      <w:proofErr w:type="gramStart"/>
      <w:r w:rsidR="00475BDD" w:rsidRPr="00475BDD">
        <w:rPr>
          <w:rFonts w:cs="Calibri"/>
        </w:rPr>
        <w:t>on the basis of</w:t>
      </w:r>
      <w:proofErr w:type="gramEnd"/>
      <w:r w:rsidR="00475BDD" w:rsidRPr="00475BDD">
        <w:rPr>
          <w:rFonts w:cs="Calibri"/>
        </w:rPr>
        <w:t xml:space="preserve"> a </w:t>
      </w:r>
      <w:r w:rsidR="00A95D1C">
        <w:rPr>
          <w:rFonts w:cs="Calibri"/>
        </w:rPr>
        <w:t>CMA</w:t>
      </w:r>
      <w:r w:rsidR="00475BDD" w:rsidRPr="00475BDD">
        <w:rPr>
          <w:rFonts w:cs="Calibri"/>
        </w:rPr>
        <w:t xml:space="preserve"> to the least costly alternative in 1L and 2L.</w:t>
      </w:r>
    </w:p>
    <w:p w14:paraId="629CBCA9" w14:textId="598821AD" w:rsidR="00DD1F6B" w:rsidRPr="006219C3" w:rsidRDefault="001A2364" w:rsidP="006219C3">
      <w:pPr>
        <w:widowControl w:val="0"/>
        <w:numPr>
          <w:ilvl w:val="1"/>
          <w:numId w:val="1"/>
        </w:numPr>
        <w:spacing w:after="120"/>
      </w:pPr>
      <w:r>
        <w:rPr>
          <w:rFonts w:cs="Calibri"/>
        </w:rPr>
        <w:t xml:space="preserve">To account for the uncertainties associated with the financial estimates </w:t>
      </w:r>
      <w:r w:rsidR="00AE1742">
        <w:rPr>
          <w:rFonts w:cs="Calibri"/>
        </w:rPr>
        <w:t xml:space="preserve">as detailed </w:t>
      </w:r>
      <w:r>
        <w:rPr>
          <w:rFonts w:cs="Calibri"/>
        </w:rPr>
        <w:t xml:space="preserve">in </w:t>
      </w:r>
      <w:r w:rsidRPr="00AE1742">
        <w:rPr>
          <w:rFonts w:cs="Calibri"/>
        </w:rPr>
        <w:t xml:space="preserve">paragraph </w:t>
      </w:r>
      <w:r w:rsidRPr="00AE1742">
        <w:rPr>
          <w:rFonts w:cs="Calibri"/>
        </w:rPr>
        <w:fldChar w:fldCharType="begin"/>
      </w:r>
      <w:r w:rsidRPr="00AE1742">
        <w:rPr>
          <w:rFonts w:cs="Calibri"/>
        </w:rPr>
        <w:instrText xml:space="preserve"> REF _Ref203319843 \r \h  \* MERGEFORMAT </w:instrText>
      </w:r>
      <w:r w:rsidRPr="00AE1742">
        <w:rPr>
          <w:rFonts w:cs="Calibri"/>
        </w:rPr>
      </w:r>
      <w:r w:rsidRPr="00AE1742">
        <w:rPr>
          <w:rFonts w:cs="Calibri"/>
        </w:rPr>
        <w:fldChar w:fldCharType="separate"/>
      </w:r>
      <w:r w:rsidR="005B625A">
        <w:rPr>
          <w:rFonts w:cs="Calibri"/>
        </w:rPr>
        <w:t>7.13</w:t>
      </w:r>
      <w:r w:rsidRPr="00AE1742">
        <w:rPr>
          <w:rFonts w:cs="Calibri"/>
        </w:rPr>
        <w:fldChar w:fldCharType="end"/>
      </w:r>
      <w:r w:rsidR="009C6CB4">
        <w:rPr>
          <w:rFonts w:cs="Calibri"/>
        </w:rPr>
        <w:t>1</w:t>
      </w:r>
      <w:r w:rsidR="002425A8">
        <w:rPr>
          <w:rFonts w:cs="Calibri"/>
        </w:rPr>
        <w:t>3</w:t>
      </w:r>
      <w:r w:rsidRPr="00AE1742">
        <w:rPr>
          <w:rFonts w:cs="Calibri"/>
        </w:rPr>
        <w:t>,</w:t>
      </w:r>
      <w:r>
        <w:rPr>
          <w:rFonts w:cs="Calibri"/>
        </w:rPr>
        <w:t xml:space="preserve"> </w:t>
      </w:r>
      <w:r w:rsidR="00F05D7D">
        <w:rPr>
          <w:rFonts w:cs="Calibri"/>
        </w:rPr>
        <w:t>and as abaloparatide is expected to replace use of romosozumab</w:t>
      </w:r>
      <w:r w:rsidR="000325E6">
        <w:rPr>
          <w:rFonts w:cs="Calibri"/>
        </w:rPr>
        <w:t xml:space="preserve"> in some patients, </w:t>
      </w:r>
      <w:r>
        <w:rPr>
          <w:rFonts w:asciiTheme="minorHAnsi" w:hAnsiTheme="minorHAnsi"/>
          <w:snapToGrid w:val="0"/>
          <w:lang w:val="en-GB"/>
        </w:rPr>
        <w:t>t</w:t>
      </w:r>
      <w:r w:rsidR="00997278" w:rsidRPr="006219C3">
        <w:rPr>
          <w:rFonts w:asciiTheme="minorHAnsi" w:hAnsiTheme="minorHAnsi"/>
          <w:snapToGrid w:val="0"/>
          <w:lang w:val="en-GB"/>
        </w:rPr>
        <w:t>he PBAC advised that abaloparatide would be required to join the</w:t>
      </w:r>
      <w:r w:rsidR="00423AB8" w:rsidRPr="006219C3">
        <w:rPr>
          <w:rFonts w:asciiTheme="minorHAnsi" w:hAnsiTheme="minorHAnsi"/>
          <w:snapToGrid w:val="0"/>
          <w:lang w:val="en-GB"/>
        </w:rPr>
        <w:t xml:space="preserve"> RSA that covers the use of</w:t>
      </w:r>
      <w:r w:rsidR="00B111BB" w:rsidRPr="006219C3">
        <w:rPr>
          <w:rFonts w:asciiTheme="minorHAnsi" w:hAnsiTheme="minorHAnsi"/>
          <w:snapToGrid w:val="0"/>
          <w:lang w:val="en-GB"/>
        </w:rPr>
        <w:t xml:space="preserve"> first- and second-line</w:t>
      </w:r>
      <w:r w:rsidR="00997278" w:rsidRPr="006219C3">
        <w:rPr>
          <w:rFonts w:asciiTheme="minorHAnsi" w:hAnsiTheme="minorHAnsi"/>
          <w:snapToGrid w:val="0"/>
          <w:lang w:val="en-GB"/>
        </w:rPr>
        <w:t xml:space="preserve"> </w:t>
      </w:r>
      <w:r w:rsidR="00423AB8" w:rsidRPr="006219C3">
        <w:rPr>
          <w:rFonts w:asciiTheme="minorHAnsi" w:hAnsiTheme="minorHAnsi"/>
          <w:snapToGrid w:val="0"/>
          <w:lang w:val="en-GB"/>
        </w:rPr>
        <w:t>romoso</w:t>
      </w:r>
      <w:r w:rsidR="00E333FD">
        <w:rPr>
          <w:rFonts w:asciiTheme="minorHAnsi" w:hAnsiTheme="minorHAnsi"/>
          <w:snapToGrid w:val="0"/>
          <w:lang w:val="en-GB"/>
        </w:rPr>
        <w:t>zu</w:t>
      </w:r>
      <w:r w:rsidR="00423AB8" w:rsidRPr="006219C3">
        <w:rPr>
          <w:rFonts w:asciiTheme="minorHAnsi" w:hAnsiTheme="minorHAnsi"/>
          <w:snapToGrid w:val="0"/>
          <w:lang w:val="en-GB"/>
        </w:rPr>
        <w:t xml:space="preserve">mab </w:t>
      </w:r>
      <w:r w:rsidR="0032160A" w:rsidRPr="006219C3">
        <w:rPr>
          <w:rFonts w:asciiTheme="minorHAnsi" w:hAnsiTheme="minorHAnsi"/>
          <w:snapToGrid w:val="0"/>
          <w:lang w:val="en-GB"/>
        </w:rPr>
        <w:t>with no increase in the expenditure caps.</w:t>
      </w:r>
      <w:r w:rsidR="00423AB8" w:rsidRPr="006219C3">
        <w:rPr>
          <w:rFonts w:asciiTheme="minorHAnsi" w:hAnsiTheme="minorHAnsi"/>
          <w:snapToGrid w:val="0"/>
          <w:lang w:val="en-GB"/>
        </w:rPr>
        <w:t xml:space="preserve"> </w:t>
      </w:r>
    </w:p>
    <w:p w14:paraId="48A4B876" w14:textId="2D30D6F1" w:rsidR="000D79D3" w:rsidRPr="00DC3824" w:rsidRDefault="000D79D3" w:rsidP="000D79D3">
      <w:pPr>
        <w:widowControl w:val="0"/>
        <w:numPr>
          <w:ilvl w:val="1"/>
          <w:numId w:val="1"/>
        </w:numPr>
        <w:spacing w:after="120"/>
      </w:pPr>
      <w:r w:rsidRPr="00525B39">
        <w:rPr>
          <w:lang w:val="en-GB"/>
        </w:rPr>
        <w:t xml:space="preserve">The PBAC recommended that </w:t>
      </w:r>
      <w:r>
        <w:rPr>
          <w:lang w:val="en-GB"/>
        </w:rPr>
        <w:t>abaloparatide</w:t>
      </w:r>
      <w:r w:rsidRPr="00525B39">
        <w:rPr>
          <w:lang w:val="en-GB"/>
        </w:rPr>
        <w:t xml:space="preserve"> should</w:t>
      </w:r>
      <w:r>
        <w:rPr>
          <w:lang w:val="en-GB"/>
        </w:rPr>
        <w:t xml:space="preserve"> not</w:t>
      </w:r>
      <w:r w:rsidRPr="00525B39">
        <w:rPr>
          <w:lang w:val="en-GB"/>
        </w:rPr>
        <w:t xml:space="preserve"> be treated as interchangeable with any other drugs</w:t>
      </w:r>
      <w:r>
        <w:rPr>
          <w:lang w:val="en-GB"/>
        </w:rPr>
        <w:t xml:space="preserve"> </w:t>
      </w:r>
      <w:r w:rsidRPr="001C25C2">
        <w:rPr>
          <w:rFonts w:eastAsiaTheme="minorHAnsi" w:cstheme="minorBidi"/>
          <w:color w:val="000000" w:themeColor="text1"/>
        </w:rPr>
        <w:t xml:space="preserve">under Section 101 (3BA) of the </w:t>
      </w:r>
      <w:r w:rsidRPr="001C25C2">
        <w:rPr>
          <w:rFonts w:eastAsiaTheme="minorHAnsi" w:cstheme="minorBidi"/>
          <w:i/>
          <w:color w:val="000000" w:themeColor="text1"/>
        </w:rPr>
        <w:t>National Health Act 1953</w:t>
      </w:r>
      <w:r w:rsidRPr="006E0938">
        <w:rPr>
          <w:bCs/>
          <w:lang w:val="en-GB"/>
        </w:rPr>
        <w:t>.</w:t>
      </w:r>
    </w:p>
    <w:p w14:paraId="52D9DB53" w14:textId="61167FD1" w:rsidR="00DC3824" w:rsidRPr="006E4E73" w:rsidRDefault="00DC3824" w:rsidP="000D79D3">
      <w:pPr>
        <w:widowControl w:val="0"/>
        <w:numPr>
          <w:ilvl w:val="1"/>
          <w:numId w:val="1"/>
        </w:numPr>
        <w:spacing w:after="120"/>
      </w:pPr>
      <w:r w:rsidRPr="007A51E7">
        <w:rPr>
          <w:rFonts w:asciiTheme="minorHAnsi" w:hAnsiTheme="minorHAnsi"/>
          <w:bCs/>
          <w:snapToGrid w:val="0"/>
          <w:lang w:val="en-GB"/>
        </w:rPr>
        <w:t xml:space="preserve">The PBAC advised that </w:t>
      </w:r>
      <w:r>
        <w:rPr>
          <w:lang w:val="en-GB"/>
        </w:rPr>
        <w:t>abaloparatide</w:t>
      </w:r>
      <w:r w:rsidRPr="00525B39">
        <w:rPr>
          <w:lang w:val="en-GB"/>
        </w:rPr>
        <w:t xml:space="preserve"> </w:t>
      </w:r>
      <w:r w:rsidRPr="007A51E7">
        <w:rPr>
          <w:rFonts w:asciiTheme="minorHAnsi" w:hAnsiTheme="minorHAnsi"/>
          <w:bCs/>
          <w:snapToGrid w:val="0"/>
          <w:lang w:val="en-GB"/>
        </w:rPr>
        <w:t>is not suitable for prescribing by nurse practitioners</w:t>
      </w:r>
      <w:r>
        <w:rPr>
          <w:rFonts w:asciiTheme="minorHAnsi" w:hAnsiTheme="minorHAnsi"/>
          <w:bCs/>
          <w:snapToGrid w:val="0"/>
          <w:lang w:val="en-GB"/>
        </w:rPr>
        <w:t xml:space="preserve">. </w:t>
      </w:r>
      <w:r w:rsidRPr="00D8553E">
        <w:rPr>
          <w:rFonts w:asciiTheme="minorHAnsi" w:hAnsiTheme="minorHAnsi"/>
          <w:bCs/>
          <w:snapToGrid w:val="0"/>
          <w:lang w:val="en-GB"/>
        </w:rPr>
        <w:t xml:space="preserve">The PBAC advised that </w:t>
      </w:r>
      <w:r w:rsidR="00931BD7">
        <w:rPr>
          <w:lang w:val="en-GB"/>
        </w:rPr>
        <w:t>abaloparatide</w:t>
      </w:r>
      <w:r w:rsidR="00931BD7" w:rsidRPr="00525B39">
        <w:rPr>
          <w:lang w:val="en-GB"/>
        </w:rPr>
        <w:t xml:space="preserve"> </w:t>
      </w:r>
      <w:r w:rsidRPr="00D8553E">
        <w:rPr>
          <w:rFonts w:asciiTheme="minorHAnsi" w:hAnsiTheme="minorHAnsi"/>
          <w:bCs/>
          <w:snapToGrid w:val="0"/>
          <w:lang w:val="en-GB"/>
        </w:rPr>
        <w:t>is suitable</w:t>
      </w:r>
      <w:r>
        <w:rPr>
          <w:rFonts w:asciiTheme="minorHAnsi" w:hAnsiTheme="minorHAnsi"/>
          <w:bCs/>
          <w:snapToGrid w:val="0"/>
          <w:lang w:val="en-GB"/>
        </w:rPr>
        <w:t xml:space="preserve"> for prescribing by medical practitioners only.</w:t>
      </w:r>
    </w:p>
    <w:p w14:paraId="3AB55DEF" w14:textId="11128F82" w:rsidR="006E4E73" w:rsidRPr="000D79D3" w:rsidRDefault="003E54CA" w:rsidP="000D79D3">
      <w:pPr>
        <w:widowControl w:val="0"/>
        <w:numPr>
          <w:ilvl w:val="1"/>
          <w:numId w:val="1"/>
        </w:numPr>
        <w:spacing w:after="120"/>
      </w:pPr>
      <w:r w:rsidRPr="006E0938">
        <w:rPr>
          <w:rFonts w:asciiTheme="minorHAnsi" w:hAnsiTheme="minorHAnsi"/>
          <w:bCs/>
          <w:snapToGrid w:val="0"/>
          <w:lang w:val="en-GB"/>
        </w:rPr>
        <w:t>The PBAC recommended that the Early Supply Rule should</w:t>
      </w:r>
      <w:r>
        <w:rPr>
          <w:rFonts w:asciiTheme="minorHAnsi" w:hAnsiTheme="minorHAnsi"/>
          <w:bCs/>
          <w:snapToGrid w:val="0"/>
          <w:lang w:val="en-GB"/>
        </w:rPr>
        <w:t xml:space="preserve"> </w:t>
      </w:r>
      <w:r w:rsidRPr="006E0938">
        <w:rPr>
          <w:rFonts w:asciiTheme="minorHAnsi" w:hAnsiTheme="minorHAnsi"/>
          <w:bCs/>
          <w:snapToGrid w:val="0"/>
          <w:lang w:val="en-GB"/>
        </w:rPr>
        <w:t xml:space="preserve">apply to </w:t>
      </w:r>
      <w:r>
        <w:rPr>
          <w:rFonts w:asciiTheme="minorHAnsi" w:hAnsiTheme="minorHAnsi"/>
          <w:bCs/>
          <w:snapToGrid w:val="0"/>
          <w:lang w:val="en-GB"/>
        </w:rPr>
        <w:t>abaloparatide</w:t>
      </w:r>
      <w:r w:rsidRPr="006E0938">
        <w:rPr>
          <w:rFonts w:asciiTheme="minorHAnsi" w:hAnsiTheme="minorHAnsi"/>
          <w:bCs/>
          <w:snapToGrid w:val="0"/>
          <w:lang w:val="en-GB"/>
        </w:rPr>
        <w:t>. The PBAC noted that the Early Supply Rule</w:t>
      </w:r>
      <w:r>
        <w:rPr>
          <w:rFonts w:asciiTheme="minorHAnsi" w:hAnsiTheme="minorHAnsi"/>
          <w:bCs/>
          <w:snapToGrid w:val="0"/>
          <w:lang w:val="en-GB"/>
        </w:rPr>
        <w:t xml:space="preserve"> appl</w:t>
      </w:r>
      <w:r w:rsidR="00722448">
        <w:rPr>
          <w:rFonts w:asciiTheme="minorHAnsi" w:hAnsiTheme="minorHAnsi"/>
          <w:bCs/>
          <w:snapToGrid w:val="0"/>
          <w:lang w:val="en-GB"/>
        </w:rPr>
        <w:t>ies</w:t>
      </w:r>
      <w:r w:rsidRPr="006E0938">
        <w:rPr>
          <w:rFonts w:asciiTheme="minorHAnsi" w:hAnsiTheme="minorHAnsi"/>
          <w:bCs/>
          <w:snapToGrid w:val="0"/>
          <w:lang w:val="en-GB"/>
        </w:rPr>
        <w:t xml:space="preserve"> to</w:t>
      </w:r>
      <w:r w:rsidR="00A822EF">
        <w:rPr>
          <w:rFonts w:asciiTheme="minorHAnsi" w:hAnsiTheme="minorHAnsi"/>
          <w:bCs/>
          <w:snapToGrid w:val="0"/>
          <w:lang w:val="en-GB"/>
        </w:rPr>
        <w:t xml:space="preserve"> both</w:t>
      </w:r>
      <w:r w:rsidRPr="006E0938">
        <w:rPr>
          <w:rFonts w:asciiTheme="minorHAnsi" w:hAnsiTheme="minorHAnsi"/>
          <w:bCs/>
          <w:snapToGrid w:val="0"/>
          <w:lang w:val="en-GB"/>
        </w:rPr>
        <w:t xml:space="preserve"> </w:t>
      </w:r>
      <w:r w:rsidR="003A0116">
        <w:rPr>
          <w:rFonts w:asciiTheme="minorHAnsi" w:hAnsiTheme="minorHAnsi"/>
          <w:bCs/>
          <w:snapToGrid w:val="0"/>
          <w:lang w:val="en-GB"/>
        </w:rPr>
        <w:t>romosozumab</w:t>
      </w:r>
      <w:r w:rsidR="0021680A">
        <w:rPr>
          <w:rFonts w:asciiTheme="minorHAnsi" w:hAnsiTheme="minorHAnsi"/>
          <w:bCs/>
          <w:snapToGrid w:val="0"/>
          <w:lang w:val="en-GB"/>
        </w:rPr>
        <w:t xml:space="preserve"> and teriparatide</w:t>
      </w:r>
      <w:r w:rsidRPr="006E0938">
        <w:rPr>
          <w:rFonts w:asciiTheme="minorHAnsi" w:hAnsiTheme="minorHAnsi"/>
          <w:bCs/>
          <w:snapToGrid w:val="0"/>
          <w:lang w:val="en-GB"/>
        </w:rPr>
        <w:t>.</w:t>
      </w:r>
    </w:p>
    <w:p w14:paraId="77D2C058" w14:textId="0CAB82B3" w:rsidR="003C1671" w:rsidRPr="00D03D7F" w:rsidRDefault="003C1671" w:rsidP="00D03D7F">
      <w:pPr>
        <w:pStyle w:val="3-BodyText"/>
        <w:rPr>
          <w:lang w:val="en-GB"/>
        </w:rPr>
      </w:pPr>
      <w:r w:rsidRPr="00D03D7F">
        <w:rPr>
          <w:rFonts w:cstheme="minorHAnsi"/>
          <w:lang w:val="en-GB"/>
        </w:rPr>
        <w:t xml:space="preserve">The PBAC noted that its recommendation was on a cost-minimisation basis and advised that, because </w:t>
      </w:r>
      <w:r>
        <w:rPr>
          <w:rFonts w:cstheme="minorHAnsi"/>
          <w:lang w:val="en-GB"/>
        </w:rPr>
        <w:t>abaloparatide</w:t>
      </w:r>
      <w:r w:rsidRPr="00D03D7F">
        <w:rPr>
          <w:rFonts w:cstheme="minorHAnsi"/>
          <w:lang w:val="en-GB"/>
        </w:rPr>
        <w:t xml:space="preserve"> is not expected to provide a substantial</w:t>
      </w:r>
      <w:r w:rsidRPr="00D03D7F">
        <w:rPr>
          <w:bCs/>
          <w:lang w:val="en-GB"/>
        </w:rPr>
        <w:t xml:space="preserve"> and clinically relevant improvement in efficacy, or reduction of toxicity, over </w:t>
      </w:r>
      <w:r w:rsidR="00463924">
        <w:rPr>
          <w:bCs/>
          <w:lang w:val="en-GB"/>
        </w:rPr>
        <w:t>romosozumab</w:t>
      </w:r>
      <w:r w:rsidR="008D1CD8">
        <w:rPr>
          <w:bCs/>
          <w:lang w:val="en-GB"/>
        </w:rPr>
        <w:t xml:space="preserve"> or </w:t>
      </w:r>
      <w:r w:rsidR="00025527">
        <w:rPr>
          <w:bCs/>
          <w:lang w:val="en-GB"/>
        </w:rPr>
        <w:t>teriparatide</w:t>
      </w:r>
      <w:r w:rsidRPr="00D03D7F">
        <w:rPr>
          <w:bCs/>
          <w:lang w:val="en-GB"/>
        </w:rPr>
        <w:t xml:space="preserve">, or not expected to address a high and urgent unmet clinical need given the presence of an alternative therapy, the criteria prescribed by the </w:t>
      </w:r>
      <w:r w:rsidRPr="00D03D7F">
        <w:rPr>
          <w:bCs/>
          <w:i/>
          <w:lang w:val="en-GB"/>
        </w:rPr>
        <w:t>National Health (Pharmaceuticals and Vaccines – Cost Recovery) Regulations 2022</w:t>
      </w:r>
      <w:r w:rsidRPr="00D03D7F">
        <w:rPr>
          <w:bCs/>
          <w:lang w:val="en-GB"/>
        </w:rPr>
        <w:t xml:space="preserve"> for Pricing Pathway A were not met.</w:t>
      </w:r>
    </w:p>
    <w:p w14:paraId="5A00F49D" w14:textId="3E9B4D25" w:rsidR="00DD1F6B" w:rsidRPr="00EC181D" w:rsidRDefault="00EC181D" w:rsidP="00DD1F6B">
      <w:pPr>
        <w:widowControl w:val="0"/>
        <w:numPr>
          <w:ilvl w:val="1"/>
          <w:numId w:val="1"/>
        </w:numPr>
        <w:spacing w:after="120"/>
        <w:rPr>
          <w:bCs/>
          <w:lang w:val="en-GB"/>
        </w:rPr>
      </w:pPr>
      <w:r w:rsidRPr="00525B39">
        <w:rPr>
          <w:rFonts w:asciiTheme="minorHAnsi" w:hAnsiTheme="minorHAnsi"/>
          <w:bCs/>
          <w:snapToGrid w:val="0"/>
          <w:lang w:val="en-GB"/>
        </w:rPr>
        <w:t>The PBAC noted that this submission is not eligible for an Independent Review</w:t>
      </w:r>
      <w:r>
        <w:rPr>
          <w:rFonts w:asciiTheme="minorHAnsi" w:hAnsiTheme="minorHAnsi"/>
          <w:bCs/>
          <w:snapToGrid w:val="0"/>
          <w:lang w:val="en-GB"/>
        </w:rPr>
        <w:t xml:space="preserve"> because it received a positive recommendation.</w:t>
      </w:r>
    </w:p>
    <w:p w14:paraId="71B5095E" w14:textId="77777777" w:rsidR="00DD1F6B" w:rsidRPr="00525B39" w:rsidRDefault="00DD1F6B" w:rsidP="00DD1F6B">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49354F49" w14:textId="6FDFFFB1" w:rsidR="00DD1F6B" w:rsidRPr="00525B39" w:rsidRDefault="001E131A" w:rsidP="00DD1F6B">
      <w:pPr>
        <w:rPr>
          <w:rFonts w:asciiTheme="minorHAnsi" w:hAnsiTheme="minorHAnsi"/>
          <w:bCs/>
          <w:snapToGrid w:val="0"/>
          <w:lang w:val="en-GB"/>
        </w:rPr>
      </w:pPr>
      <w:r w:rsidRPr="00525B39">
        <w:rPr>
          <w:rFonts w:asciiTheme="minorHAnsi" w:hAnsiTheme="minorHAnsi"/>
          <w:bCs/>
          <w:snapToGrid w:val="0"/>
          <w:lang w:val="en-GB"/>
        </w:rPr>
        <w:t>Recommended</w:t>
      </w:r>
    </w:p>
    <w:bookmarkEnd w:id="74"/>
    <w:p w14:paraId="0E6292E6" w14:textId="7D488F23" w:rsidR="00DD1F6B" w:rsidRPr="00907671" w:rsidRDefault="00DD1F6B" w:rsidP="00DD1F6B">
      <w:pPr>
        <w:pStyle w:val="2-SectionHeading"/>
        <w:numPr>
          <w:ilvl w:val="0"/>
          <w:numId w:val="1"/>
        </w:numPr>
      </w:pPr>
      <w:r w:rsidRPr="00907671">
        <w:t>Recommended listing</w:t>
      </w:r>
    </w:p>
    <w:p w14:paraId="7C9010C1" w14:textId="4D9EB719" w:rsidR="00DD1F6B" w:rsidRPr="00925567" w:rsidRDefault="00DD1F6B" w:rsidP="00A822EF">
      <w:pPr>
        <w:widowControl w:val="0"/>
        <w:numPr>
          <w:ilvl w:val="1"/>
          <w:numId w:val="1"/>
        </w:numPr>
        <w:spacing w:after="120"/>
        <w:contextualSpacing/>
        <w:rPr>
          <w:rFonts w:asciiTheme="minorHAnsi" w:hAnsiTheme="minorHAnsi"/>
          <w:b/>
          <w:bCs/>
          <w:snapToGrid w:val="0"/>
        </w:rPr>
      </w:pPr>
      <w:r w:rsidRPr="00A822EF">
        <w:rPr>
          <w:rFonts w:asciiTheme="minorHAnsi" w:hAnsiTheme="minorHAnsi"/>
          <w:bCs/>
          <w:snapToGrid w:val="0"/>
        </w:rPr>
        <w:t>Add new item</w:t>
      </w:r>
      <w:r w:rsidR="0020261D">
        <w:rPr>
          <w:rFonts w:asciiTheme="minorHAnsi" w:hAnsiTheme="minorHAnsi"/>
          <w:bCs/>
          <w:snapToGrid w:val="0"/>
        </w:rPr>
        <w:t>s</w:t>
      </w:r>
      <w:r w:rsidRPr="00A822EF">
        <w:rPr>
          <w:rFonts w:asciiTheme="minorHAnsi" w:hAnsiTheme="minorHAnsi"/>
          <w:bCs/>
          <w:snapToGrid w:val="0"/>
        </w:rPr>
        <w:t>:</w:t>
      </w:r>
    </w:p>
    <w:p w14:paraId="7743C6B3" w14:textId="008E5BD1" w:rsidR="00D56480" w:rsidRDefault="00D56480" w:rsidP="00925567">
      <w:pPr>
        <w:widowControl w:val="0"/>
        <w:spacing w:after="120"/>
        <w:contextualSpacing/>
        <w:rPr>
          <w:rFonts w:asciiTheme="minorHAnsi" w:hAnsiTheme="minorHAnsi"/>
          <w:b/>
          <w:bCs/>
          <w:snapToGrid w:val="0"/>
        </w:rPr>
      </w:pPr>
      <w:r>
        <w:rPr>
          <w:rFonts w:asciiTheme="minorHAnsi" w:hAnsiTheme="minorHAnsi"/>
          <w:b/>
          <w:bCs/>
          <w:snapToGrid w:val="0"/>
        </w:rPr>
        <w:t>First-line initial and continuing listings</w:t>
      </w:r>
    </w:p>
    <w:tbl>
      <w:tblPr>
        <w:tblW w:w="5011"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 first-line initial and continuing listings"/>
      </w:tblPr>
      <w:tblGrid>
        <w:gridCol w:w="19"/>
        <w:gridCol w:w="976"/>
        <w:gridCol w:w="2847"/>
        <w:gridCol w:w="1108"/>
        <w:gridCol w:w="846"/>
        <w:gridCol w:w="705"/>
        <w:gridCol w:w="705"/>
        <w:gridCol w:w="1831"/>
      </w:tblGrid>
      <w:tr w:rsidR="00925567" w:rsidRPr="00514177" w14:paraId="05C1EA2F" w14:textId="77777777" w:rsidTr="00F244C6">
        <w:trPr>
          <w:gridBefore w:val="1"/>
          <w:wBefore w:w="11" w:type="pct"/>
          <w:cantSplit/>
          <w:trHeight w:val="471"/>
        </w:trPr>
        <w:tc>
          <w:tcPr>
            <w:tcW w:w="2115" w:type="pct"/>
            <w:gridSpan w:val="2"/>
          </w:tcPr>
          <w:p w14:paraId="507146D1" w14:textId="77777777" w:rsidR="00925567" w:rsidRPr="00514177" w:rsidRDefault="00925567" w:rsidP="00F244C6">
            <w:pPr>
              <w:keepNext/>
              <w:ind w:left="-57"/>
              <w:rPr>
                <w:rFonts w:ascii="Arial Narrow" w:hAnsi="Arial Narrow"/>
                <w:b/>
                <w:bCs/>
                <w:sz w:val="20"/>
                <w:szCs w:val="20"/>
              </w:rPr>
            </w:pPr>
            <w:r w:rsidRPr="00514177">
              <w:rPr>
                <w:rFonts w:ascii="Arial Narrow" w:hAnsi="Arial Narrow"/>
                <w:b/>
                <w:bCs/>
                <w:sz w:val="20"/>
                <w:szCs w:val="20"/>
              </w:rPr>
              <w:t>MEDICINAL PRODUCT</w:t>
            </w:r>
          </w:p>
          <w:p w14:paraId="24B6A7B4" w14:textId="77777777" w:rsidR="00925567" w:rsidRPr="00514177" w:rsidRDefault="00925567" w:rsidP="00F244C6">
            <w:pPr>
              <w:keepNext/>
              <w:ind w:left="-57"/>
              <w:rPr>
                <w:rFonts w:ascii="Arial Narrow" w:hAnsi="Arial Narrow"/>
                <w:b/>
                <w:sz w:val="20"/>
                <w:szCs w:val="20"/>
              </w:rPr>
            </w:pPr>
            <w:r w:rsidRPr="00514177">
              <w:rPr>
                <w:rFonts w:ascii="Arial Narrow" w:hAnsi="Arial Narrow"/>
                <w:b/>
                <w:bCs/>
                <w:sz w:val="20"/>
                <w:szCs w:val="20"/>
              </w:rPr>
              <w:t>medicinal product pack</w:t>
            </w:r>
          </w:p>
        </w:tc>
        <w:tc>
          <w:tcPr>
            <w:tcW w:w="613" w:type="pct"/>
          </w:tcPr>
          <w:p w14:paraId="0E4C6DD3" w14:textId="77777777" w:rsidR="00925567" w:rsidRPr="00514177" w:rsidRDefault="00925567" w:rsidP="00F244C6">
            <w:pPr>
              <w:keepNext/>
              <w:ind w:left="-108"/>
              <w:jc w:val="center"/>
              <w:rPr>
                <w:rFonts w:ascii="Arial Narrow" w:hAnsi="Arial Narrow"/>
                <w:b/>
                <w:sz w:val="20"/>
                <w:szCs w:val="20"/>
              </w:rPr>
            </w:pPr>
            <w:r w:rsidRPr="00514177">
              <w:rPr>
                <w:rFonts w:ascii="Arial Narrow" w:hAnsi="Arial Narrow"/>
                <w:b/>
                <w:sz w:val="20"/>
                <w:szCs w:val="20"/>
              </w:rPr>
              <w:t>PBS item code</w:t>
            </w:r>
          </w:p>
        </w:tc>
        <w:tc>
          <w:tcPr>
            <w:tcW w:w="468" w:type="pct"/>
          </w:tcPr>
          <w:p w14:paraId="251DEB6E" w14:textId="77777777" w:rsidR="00925567" w:rsidRPr="00514177" w:rsidRDefault="00925567" w:rsidP="00F244C6">
            <w:pPr>
              <w:keepNext/>
              <w:ind w:left="-108"/>
              <w:jc w:val="center"/>
              <w:rPr>
                <w:rFonts w:ascii="Arial Narrow" w:hAnsi="Arial Narrow"/>
                <w:b/>
                <w:sz w:val="20"/>
                <w:szCs w:val="20"/>
              </w:rPr>
            </w:pPr>
            <w:r w:rsidRPr="00514177">
              <w:rPr>
                <w:rFonts w:ascii="Arial Narrow" w:hAnsi="Arial Narrow"/>
                <w:b/>
                <w:sz w:val="20"/>
                <w:szCs w:val="20"/>
              </w:rPr>
              <w:t>Max. qty packs</w:t>
            </w:r>
          </w:p>
        </w:tc>
        <w:tc>
          <w:tcPr>
            <w:tcW w:w="390" w:type="pct"/>
          </w:tcPr>
          <w:p w14:paraId="07DDA226" w14:textId="77777777" w:rsidR="00925567" w:rsidRPr="00514177" w:rsidRDefault="00925567" w:rsidP="00F244C6">
            <w:pPr>
              <w:keepNext/>
              <w:ind w:left="-108"/>
              <w:jc w:val="center"/>
              <w:rPr>
                <w:rFonts w:ascii="Arial Narrow" w:hAnsi="Arial Narrow"/>
                <w:b/>
                <w:sz w:val="20"/>
                <w:szCs w:val="20"/>
              </w:rPr>
            </w:pPr>
            <w:r w:rsidRPr="00514177">
              <w:rPr>
                <w:rFonts w:ascii="Arial Narrow" w:hAnsi="Arial Narrow"/>
                <w:b/>
                <w:sz w:val="20"/>
                <w:szCs w:val="20"/>
              </w:rPr>
              <w:t>Max. qty units</w:t>
            </w:r>
          </w:p>
        </w:tc>
        <w:tc>
          <w:tcPr>
            <w:tcW w:w="390" w:type="pct"/>
          </w:tcPr>
          <w:p w14:paraId="5CA22E58" w14:textId="77777777" w:rsidR="00925567" w:rsidRPr="00514177" w:rsidRDefault="00925567" w:rsidP="00F244C6">
            <w:pPr>
              <w:keepNext/>
              <w:ind w:left="-108"/>
              <w:jc w:val="center"/>
              <w:rPr>
                <w:rFonts w:ascii="Arial Narrow" w:hAnsi="Arial Narrow"/>
                <w:b/>
                <w:sz w:val="20"/>
                <w:szCs w:val="20"/>
              </w:rPr>
            </w:pPr>
            <w:r w:rsidRPr="00514177">
              <w:rPr>
                <w:rFonts w:ascii="Arial Narrow" w:hAnsi="Arial Narrow"/>
                <w:b/>
                <w:sz w:val="20"/>
                <w:szCs w:val="20"/>
              </w:rPr>
              <w:t>№.of</w:t>
            </w:r>
          </w:p>
          <w:p w14:paraId="54D8DC0E" w14:textId="77777777" w:rsidR="00925567" w:rsidRPr="00514177" w:rsidRDefault="00925567" w:rsidP="00F244C6">
            <w:pPr>
              <w:keepNext/>
              <w:ind w:left="-108"/>
              <w:jc w:val="center"/>
              <w:rPr>
                <w:rFonts w:ascii="Arial Narrow" w:hAnsi="Arial Narrow"/>
                <w:b/>
                <w:sz w:val="20"/>
                <w:szCs w:val="20"/>
              </w:rPr>
            </w:pPr>
            <w:r w:rsidRPr="00514177">
              <w:rPr>
                <w:rFonts w:ascii="Arial Narrow" w:hAnsi="Arial Narrow"/>
                <w:b/>
                <w:sz w:val="20"/>
                <w:szCs w:val="20"/>
              </w:rPr>
              <w:t>Rpts</w:t>
            </w:r>
          </w:p>
        </w:tc>
        <w:tc>
          <w:tcPr>
            <w:tcW w:w="1013" w:type="pct"/>
          </w:tcPr>
          <w:p w14:paraId="1E7EE91E" w14:textId="77777777" w:rsidR="00925567" w:rsidRPr="00514177" w:rsidRDefault="00925567" w:rsidP="00F244C6">
            <w:pPr>
              <w:keepNext/>
              <w:rPr>
                <w:rFonts w:ascii="Arial Narrow" w:hAnsi="Arial Narrow"/>
                <w:b/>
                <w:sz w:val="20"/>
                <w:szCs w:val="20"/>
                <w:lang w:val="fr-FR"/>
              </w:rPr>
            </w:pPr>
            <w:r w:rsidRPr="00514177">
              <w:rPr>
                <w:rFonts w:ascii="Arial Narrow" w:hAnsi="Arial Narrow"/>
                <w:b/>
                <w:sz w:val="20"/>
                <w:szCs w:val="20"/>
              </w:rPr>
              <w:t>Available brands</w:t>
            </w:r>
          </w:p>
        </w:tc>
      </w:tr>
      <w:tr w:rsidR="00925567" w:rsidRPr="00514177" w14:paraId="26B259CF" w14:textId="77777777" w:rsidTr="00F244C6">
        <w:trPr>
          <w:gridBefore w:val="1"/>
          <w:wBefore w:w="11" w:type="pct"/>
          <w:cantSplit/>
          <w:trHeight w:val="224"/>
        </w:trPr>
        <w:tc>
          <w:tcPr>
            <w:tcW w:w="4989" w:type="pct"/>
            <w:gridSpan w:val="7"/>
          </w:tcPr>
          <w:p w14:paraId="7B41CF15" w14:textId="77777777" w:rsidR="00925567" w:rsidRPr="00514177" w:rsidRDefault="00925567" w:rsidP="00F244C6">
            <w:pPr>
              <w:keepNext/>
              <w:ind w:left="-57"/>
              <w:rPr>
                <w:rFonts w:ascii="Arial Narrow" w:hAnsi="Arial Narrow"/>
                <w:sz w:val="20"/>
                <w:szCs w:val="20"/>
              </w:rPr>
            </w:pPr>
            <w:r w:rsidRPr="00514177">
              <w:rPr>
                <w:rFonts w:ascii="Arial Narrow" w:hAnsi="Arial Narrow"/>
                <w:sz w:val="20"/>
                <w:szCs w:val="20"/>
              </w:rPr>
              <w:t>ABALOPARATIDE</w:t>
            </w:r>
          </w:p>
        </w:tc>
      </w:tr>
      <w:tr w:rsidR="00925567" w:rsidRPr="00514177" w14:paraId="6A934A14" w14:textId="77777777" w:rsidTr="00F244C6">
        <w:trPr>
          <w:gridBefore w:val="1"/>
          <w:wBefore w:w="11" w:type="pct"/>
          <w:cantSplit/>
          <w:trHeight w:val="347"/>
        </w:trPr>
        <w:tc>
          <w:tcPr>
            <w:tcW w:w="2115" w:type="pct"/>
            <w:gridSpan w:val="2"/>
          </w:tcPr>
          <w:p w14:paraId="232C135F" w14:textId="77777777" w:rsidR="00925567" w:rsidRPr="00514177" w:rsidRDefault="00925567" w:rsidP="00F244C6">
            <w:pPr>
              <w:keepNext/>
              <w:rPr>
                <w:rFonts w:ascii="Arial Narrow" w:hAnsi="Arial Narrow"/>
                <w:sz w:val="20"/>
                <w:szCs w:val="20"/>
              </w:rPr>
            </w:pPr>
            <w:r w:rsidRPr="00514177">
              <w:rPr>
                <w:rFonts w:ascii="Arial Narrow" w:hAnsi="Arial Narrow"/>
                <w:sz w:val="20"/>
                <w:szCs w:val="20"/>
              </w:rPr>
              <w:t>abaloparatide, 2 mg/mL injection, 1.5 mL pen device</w:t>
            </w:r>
          </w:p>
        </w:tc>
        <w:tc>
          <w:tcPr>
            <w:tcW w:w="613" w:type="pct"/>
          </w:tcPr>
          <w:p w14:paraId="6CEFEDB0" w14:textId="77777777" w:rsidR="00925567" w:rsidRPr="00514177" w:rsidRDefault="00925567" w:rsidP="00F244C6">
            <w:pPr>
              <w:keepNext/>
              <w:jc w:val="center"/>
              <w:rPr>
                <w:rFonts w:ascii="Arial Narrow" w:hAnsi="Arial Narrow"/>
                <w:sz w:val="20"/>
                <w:szCs w:val="20"/>
              </w:rPr>
            </w:pPr>
            <w:r w:rsidRPr="00514177">
              <w:rPr>
                <w:rFonts w:ascii="Arial Narrow" w:hAnsi="Arial Narrow"/>
                <w:sz w:val="20"/>
                <w:szCs w:val="20"/>
              </w:rPr>
              <w:t>NEW (GE)</w:t>
            </w:r>
          </w:p>
        </w:tc>
        <w:tc>
          <w:tcPr>
            <w:tcW w:w="468" w:type="pct"/>
          </w:tcPr>
          <w:p w14:paraId="4B7E7265" w14:textId="77777777" w:rsidR="00925567" w:rsidRPr="00514177" w:rsidRDefault="00925567" w:rsidP="00F244C6">
            <w:pPr>
              <w:keepNext/>
              <w:jc w:val="center"/>
              <w:rPr>
                <w:rFonts w:ascii="Arial Narrow" w:hAnsi="Arial Narrow"/>
                <w:sz w:val="20"/>
                <w:szCs w:val="20"/>
              </w:rPr>
            </w:pPr>
            <w:r w:rsidRPr="00514177">
              <w:rPr>
                <w:rFonts w:ascii="Arial Narrow" w:hAnsi="Arial Narrow"/>
                <w:sz w:val="20"/>
                <w:szCs w:val="20"/>
              </w:rPr>
              <w:t>1</w:t>
            </w:r>
          </w:p>
        </w:tc>
        <w:tc>
          <w:tcPr>
            <w:tcW w:w="390" w:type="pct"/>
          </w:tcPr>
          <w:p w14:paraId="4CF77777" w14:textId="77777777" w:rsidR="00925567" w:rsidRPr="00514177" w:rsidRDefault="00925567" w:rsidP="00F244C6">
            <w:pPr>
              <w:keepNext/>
              <w:jc w:val="center"/>
              <w:rPr>
                <w:rFonts w:ascii="Arial Narrow" w:hAnsi="Arial Narrow"/>
                <w:sz w:val="20"/>
                <w:szCs w:val="20"/>
              </w:rPr>
            </w:pPr>
            <w:r w:rsidRPr="00514177">
              <w:rPr>
                <w:rFonts w:ascii="Arial Narrow" w:hAnsi="Arial Narrow"/>
                <w:sz w:val="20"/>
                <w:szCs w:val="20"/>
              </w:rPr>
              <w:t>1</w:t>
            </w:r>
          </w:p>
        </w:tc>
        <w:tc>
          <w:tcPr>
            <w:tcW w:w="390" w:type="pct"/>
          </w:tcPr>
          <w:p w14:paraId="4CAEE3DA" w14:textId="77777777" w:rsidR="00925567" w:rsidRPr="00514177" w:rsidRDefault="00925567" w:rsidP="00F244C6">
            <w:pPr>
              <w:keepNext/>
              <w:jc w:val="center"/>
              <w:rPr>
                <w:rFonts w:ascii="Arial Narrow" w:hAnsi="Arial Narrow"/>
                <w:sz w:val="20"/>
                <w:szCs w:val="20"/>
              </w:rPr>
            </w:pPr>
            <w:r w:rsidRPr="00514177">
              <w:rPr>
                <w:rFonts w:ascii="Arial Narrow" w:hAnsi="Arial Narrow"/>
                <w:sz w:val="20"/>
                <w:szCs w:val="20"/>
              </w:rPr>
              <w:t>5</w:t>
            </w:r>
          </w:p>
        </w:tc>
        <w:tc>
          <w:tcPr>
            <w:tcW w:w="1013" w:type="pct"/>
            <w:vAlign w:val="center"/>
          </w:tcPr>
          <w:p w14:paraId="6C67F0F1" w14:textId="77777777" w:rsidR="00925567" w:rsidRPr="00514177" w:rsidRDefault="00925567" w:rsidP="00F244C6">
            <w:pPr>
              <w:keepNext/>
              <w:rPr>
                <w:rFonts w:ascii="Arial Narrow" w:hAnsi="Arial Narrow"/>
                <w:sz w:val="20"/>
                <w:szCs w:val="20"/>
              </w:rPr>
            </w:pPr>
            <w:r w:rsidRPr="00514177">
              <w:rPr>
                <w:rFonts w:ascii="Arial Narrow" w:hAnsi="Arial Narrow"/>
                <w:sz w:val="20"/>
                <w:szCs w:val="20"/>
              </w:rPr>
              <w:t>Eladynos</w:t>
            </w:r>
          </w:p>
        </w:tc>
      </w:tr>
      <w:tr w:rsidR="00925567" w:rsidRPr="00514177" w14:paraId="706E9181" w14:textId="77777777" w:rsidTr="00F244C6">
        <w:trPr>
          <w:gridBefore w:val="1"/>
          <w:wBefore w:w="11" w:type="pct"/>
          <w:cantSplit/>
          <w:trHeight w:val="263"/>
        </w:trPr>
        <w:tc>
          <w:tcPr>
            <w:tcW w:w="4989" w:type="pct"/>
            <w:gridSpan w:val="7"/>
          </w:tcPr>
          <w:p w14:paraId="2F8DDD46" w14:textId="77777777" w:rsidR="00925567" w:rsidRPr="00514177" w:rsidRDefault="00925567" w:rsidP="00F244C6">
            <w:pPr>
              <w:keepNext/>
              <w:rPr>
                <w:rFonts w:ascii="Arial Narrow" w:hAnsi="Arial Narrow"/>
                <w:sz w:val="20"/>
                <w:szCs w:val="20"/>
              </w:rPr>
            </w:pPr>
          </w:p>
        </w:tc>
      </w:tr>
      <w:tr w:rsidR="00925567" w:rsidRPr="00514177" w14:paraId="594ED7AA" w14:textId="77777777" w:rsidTr="00F244C6">
        <w:trPr>
          <w:gridBefore w:val="1"/>
          <w:wBefore w:w="11" w:type="pct"/>
          <w:cantSplit/>
          <w:trHeight w:val="347"/>
        </w:trPr>
        <w:tc>
          <w:tcPr>
            <w:tcW w:w="4989" w:type="pct"/>
            <w:gridSpan w:val="7"/>
            <w:tcBorders>
              <w:top w:val="single" w:sz="4" w:space="0" w:color="auto"/>
              <w:left w:val="single" w:sz="4" w:space="0" w:color="auto"/>
              <w:bottom w:val="single" w:sz="4" w:space="0" w:color="auto"/>
              <w:right w:val="single" w:sz="4" w:space="0" w:color="auto"/>
            </w:tcBorders>
          </w:tcPr>
          <w:p w14:paraId="5CD10237" w14:textId="77777777" w:rsidR="00925567" w:rsidRPr="00514177" w:rsidRDefault="00925567" w:rsidP="00F244C6">
            <w:pPr>
              <w:keepNext/>
              <w:rPr>
                <w:rFonts w:ascii="Arial Narrow" w:hAnsi="Arial Narrow"/>
                <w:sz w:val="20"/>
                <w:szCs w:val="20"/>
              </w:rPr>
            </w:pPr>
            <w:r w:rsidRPr="00514177">
              <w:rPr>
                <w:rFonts w:ascii="Arial Narrow" w:hAnsi="Arial Narrow"/>
                <w:sz w:val="20"/>
                <w:szCs w:val="20"/>
              </w:rPr>
              <w:t>Restriction Summary [New 1] / Treatment of Concept: [New 1A]</w:t>
            </w:r>
          </w:p>
        </w:tc>
      </w:tr>
      <w:tr w:rsidR="00925567" w:rsidRPr="00514177" w14:paraId="6B4ECF32" w14:textId="77777777" w:rsidTr="00F244C6">
        <w:tblPrEx>
          <w:tblCellMar>
            <w:top w:w="15" w:type="dxa"/>
            <w:left w:w="15" w:type="dxa"/>
            <w:bottom w:w="15" w:type="dxa"/>
            <w:right w:w="15" w:type="dxa"/>
          </w:tblCellMar>
          <w:tblLook w:val="04A0" w:firstRow="1" w:lastRow="0" w:firstColumn="1" w:lastColumn="0" w:noHBand="0" w:noVBand="1"/>
        </w:tblPrEx>
        <w:trPr>
          <w:trHeight w:val="684"/>
        </w:trPr>
        <w:tc>
          <w:tcPr>
            <w:tcW w:w="551" w:type="pct"/>
            <w:gridSpan w:val="2"/>
            <w:vMerge w:val="restart"/>
            <w:tcBorders>
              <w:top w:val="single" w:sz="4" w:space="0" w:color="auto"/>
              <w:left w:val="single" w:sz="4" w:space="0" w:color="auto"/>
              <w:right w:val="single" w:sz="4" w:space="0" w:color="auto"/>
            </w:tcBorders>
          </w:tcPr>
          <w:p w14:paraId="40B46CE0" w14:textId="77777777" w:rsidR="00925567" w:rsidRPr="00514177" w:rsidRDefault="00925567" w:rsidP="00F244C6">
            <w:pPr>
              <w:jc w:val="center"/>
              <w:rPr>
                <w:rFonts w:ascii="Arial Narrow" w:hAnsi="Arial Narrow"/>
                <w:b/>
                <w:sz w:val="20"/>
                <w:szCs w:val="20"/>
              </w:rPr>
            </w:pPr>
            <w:r w:rsidRPr="00514177">
              <w:rPr>
                <w:rFonts w:ascii="Arial Narrow" w:hAnsi="Arial Narrow"/>
                <w:b/>
                <w:sz w:val="20"/>
                <w:szCs w:val="20"/>
              </w:rPr>
              <w:t>Concept ID</w:t>
            </w:r>
          </w:p>
          <w:p w14:paraId="64C1983A" w14:textId="77777777" w:rsidR="00925567" w:rsidRPr="00514177" w:rsidRDefault="00925567" w:rsidP="00F244C6">
            <w:pPr>
              <w:rPr>
                <w:rFonts w:ascii="Arial Narrow" w:hAnsi="Arial Narrow"/>
                <w:sz w:val="20"/>
                <w:szCs w:val="20"/>
              </w:rPr>
            </w:pPr>
          </w:p>
          <w:p w14:paraId="71F9D484" w14:textId="77777777" w:rsidR="00925567" w:rsidRPr="00514177" w:rsidRDefault="00925567" w:rsidP="00F244C6">
            <w:pPr>
              <w:jc w:val="center"/>
              <w:rPr>
                <w:rFonts w:ascii="Arial Narrow" w:hAnsi="Arial Narrow"/>
                <w:sz w:val="20"/>
                <w:szCs w:val="20"/>
              </w:rPr>
            </w:pPr>
            <w:r w:rsidRPr="00514177">
              <w:rPr>
                <w:rFonts w:ascii="Arial Narrow" w:hAnsi="Arial Narrow"/>
                <w:sz w:val="20"/>
                <w:szCs w:val="20"/>
              </w:rPr>
              <w:t>(for internal Dept. use)</w:t>
            </w:r>
          </w:p>
        </w:tc>
        <w:tc>
          <w:tcPr>
            <w:tcW w:w="4449" w:type="pct"/>
            <w:gridSpan w:val="6"/>
            <w:tcBorders>
              <w:top w:val="single" w:sz="4" w:space="0" w:color="auto"/>
              <w:left w:val="single" w:sz="4" w:space="0" w:color="auto"/>
              <w:bottom w:val="single" w:sz="4" w:space="0" w:color="auto"/>
              <w:right w:val="single" w:sz="4" w:space="0" w:color="auto"/>
            </w:tcBorders>
          </w:tcPr>
          <w:p w14:paraId="185AB7ED" w14:textId="77777777" w:rsidR="00925567" w:rsidRPr="00514177" w:rsidRDefault="00925567" w:rsidP="00F244C6">
            <w:pPr>
              <w:rPr>
                <w:rFonts w:ascii="Arial Narrow" w:hAnsi="Arial Narrow"/>
                <w:sz w:val="20"/>
                <w:szCs w:val="20"/>
              </w:rPr>
            </w:pPr>
            <w:r w:rsidRPr="00514177">
              <w:rPr>
                <w:rFonts w:ascii="Arial Narrow" w:hAnsi="Arial Narrow"/>
                <w:b/>
                <w:sz w:val="20"/>
                <w:szCs w:val="20"/>
              </w:rPr>
              <w:t xml:space="preserve">Category / Program: </w:t>
            </w:r>
            <w:r w:rsidRPr="00514177">
              <w:rPr>
                <w:rFonts w:ascii="Arial Narrow" w:hAnsi="Arial Narrow"/>
                <w:bCs/>
                <w:sz w:val="20"/>
                <w:szCs w:val="20"/>
              </w:rPr>
              <w:t>GENERAL - General Schedule (Code GE)</w:t>
            </w:r>
          </w:p>
        </w:tc>
      </w:tr>
      <w:tr w:rsidR="00925567" w:rsidRPr="00514177" w14:paraId="69423DED" w14:textId="77777777" w:rsidTr="00F244C6">
        <w:tblPrEx>
          <w:tblCellMar>
            <w:top w:w="15" w:type="dxa"/>
            <w:left w:w="15" w:type="dxa"/>
            <w:bottom w:w="15" w:type="dxa"/>
            <w:right w:w="15" w:type="dxa"/>
          </w:tblCellMar>
          <w:tblLook w:val="04A0" w:firstRow="1" w:lastRow="0" w:firstColumn="1" w:lastColumn="0" w:noHBand="0" w:noVBand="1"/>
        </w:tblPrEx>
        <w:trPr>
          <w:trHeight w:val="240"/>
        </w:trPr>
        <w:tc>
          <w:tcPr>
            <w:tcW w:w="551" w:type="pct"/>
            <w:gridSpan w:val="2"/>
            <w:vMerge/>
            <w:tcBorders>
              <w:left w:val="single" w:sz="4" w:space="0" w:color="auto"/>
              <w:right w:val="single" w:sz="4" w:space="0" w:color="auto"/>
            </w:tcBorders>
          </w:tcPr>
          <w:p w14:paraId="496F91AC" w14:textId="77777777" w:rsidR="00925567" w:rsidRPr="00514177" w:rsidRDefault="00925567" w:rsidP="00F244C6">
            <w:pPr>
              <w:rPr>
                <w:rFonts w:ascii="Arial Narrow" w:hAnsi="Arial Narrow"/>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58344B86" w14:textId="77777777" w:rsidR="00925567" w:rsidRPr="00514177" w:rsidRDefault="00925567" w:rsidP="00F244C6">
            <w:pPr>
              <w:rPr>
                <w:rFonts w:ascii="Arial Narrow" w:hAnsi="Arial Narrow"/>
                <w:b/>
                <w:sz w:val="20"/>
                <w:szCs w:val="20"/>
              </w:rPr>
            </w:pPr>
            <w:r w:rsidRPr="00514177">
              <w:rPr>
                <w:rFonts w:ascii="Arial Narrow" w:hAnsi="Arial Narrow"/>
                <w:b/>
                <w:sz w:val="20"/>
                <w:szCs w:val="20"/>
              </w:rPr>
              <w:t>Prescriber type:</w:t>
            </w:r>
            <w:r w:rsidRPr="00514177">
              <w:rPr>
                <w:rFonts w:ascii="Arial Narrow" w:hAnsi="Arial Narrow"/>
                <w:sz w:val="20"/>
                <w:szCs w:val="20"/>
              </w:rPr>
              <w:t xml:space="preserve"> </w:t>
            </w:r>
            <w:r w:rsidRPr="00514177">
              <w:rPr>
                <w:rFonts w:ascii="Arial Narrow" w:hAnsi="Arial Narrow"/>
                <w:sz w:val="20"/>
                <w:szCs w:val="20"/>
              </w:rPr>
              <w:fldChar w:fldCharType="begin">
                <w:ffData>
                  <w:name w:val=""/>
                  <w:enabled/>
                  <w:calcOnExit w:val="0"/>
                  <w:checkBox>
                    <w:sizeAuto/>
                    <w:default w:val="1"/>
                  </w:checkBox>
                </w:ffData>
              </w:fldChar>
            </w:r>
            <w:r w:rsidRPr="00514177">
              <w:rPr>
                <w:rFonts w:ascii="Arial Narrow" w:hAnsi="Arial Narrow"/>
                <w:sz w:val="20"/>
                <w:szCs w:val="20"/>
              </w:rPr>
              <w:instrText xml:space="preserve"> FORMCHECKBOX </w:instrText>
            </w:r>
            <w:r w:rsidRPr="00514177">
              <w:rPr>
                <w:rFonts w:ascii="Arial Narrow" w:hAnsi="Arial Narrow"/>
                <w:sz w:val="20"/>
                <w:szCs w:val="20"/>
              </w:rPr>
            </w:r>
            <w:r w:rsidRPr="00514177">
              <w:rPr>
                <w:rFonts w:ascii="Arial Narrow" w:hAnsi="Arial Narrow"/>
                <w:sz w:val="20"/>
                <w:szCs w:val="20"/>
              </w:rPr>
              <w:fldChar w:fldCharType="separate"/>
            </w:r>
            <w:r w:rsidRPr="00514177">
              <w:rPr>
                <w:rFonts w:ascii="Arial Narrow" w:hAnsi="Arial Narrow"/>
                <w:sz w:val="20"/>
                <w:szCs w:val="20"/>
              </w:rPr>
              <w:fldChar w:fldCharType="end"/>
            </w:r>
            <w:r w:rsidRPr="00514177">
              <w:rPr>
                <w:rFonts w:ascii="Arial Narrow" w:hAnsi="Arial Narrow"/>
                <w:sz w:val="20"/>
                <w:szCs w:val="20"/>
              </w:rPr>
              <w:t>Medical Practitioners</w:t>
            </w:r>
          </w:p>
        </w:tc>
      </w:tr>
      <w:tr w:rsidR="00925567" w:rsidRPr="00514177" w14:paraId="2AEFA39B"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vMerge/>
            <w:tcBorders>
              <w:left w:val="single" w:sz="4" w:space="0" w:color="auto"/>
              <w:right w:val="single" w:sz="4" w:space="0" w:color="auto"/>
            </w:tcBorders>
          </w:tcPr>
          <w:p w14:paraId="2D4E9CAB" w14:textId="77777777" w:rsidR="00925567" w:rsidRPr="00514177" w:rsidRDefault="00925567" w:rsidP="00F244C6">
            <w:pPr>
              <w:rPr>
                <w:rFonts w:ascii="Arial Narrow" w:hAnsi="Arial Narrow"/>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3BDD115B" w14:textId="77777777" w:rsidR="00925567" w:rsidRPr="00514177" w:rsidRDefault="00925567" w:rsidP="00F244C6">
            <w:pPr>
              <w:rPr>
                <w:rFonts w:ascii="Arial Narrow" w:eastAsia="Calibri" w:hAnsi="Arial Narrow"/>
                <w:color w:val="FF00FF"/>
                <w:sz w:val="20"/>
                <w:szCs w:val="20"/>
              </w:rPr>
            </w:pPr>
            <w:r w:rsidRPr="00514177">
              <w:rPr>
                <w:rFonts w:ascii="Arial Narrow" w:hAnsi="Arial Narrow"/>
                <w:b/>
                <w:sz w:val="20"/>
                <w:szCs w:val="20"/>
              </w:rPr>
              <w:t xml:space="preserve">Restriction type: </w:t>
            </w:r>
            <w:r w:rsidRPr="00514177">
              <w:rPr>
                <w:rFonts w:ascii="Arial Narrow" w:eastAsia="Calibri" w:hAnsi="Arial Narrow"/>
                <w:sz w:val="20"/>
                <w:szCs w:val="20"/>
              </w:rPr>
              <w:fldChar w:fldCharType="begin">
                <w:ffData>
                  <w:name w:val=""/>
                  <w:enabled/>
                  <w:calcOnExit w:val="0"/>
                  <w:checkBox>
                    <w:sizeAuto/>
                    <w:default w:val="1"/>
                  </w:checkBox>
                </w:ffData>
              </w:fldChar>
            </w:r>
            <w:r w:rsidRPr="00514177">
              <w:rPr>
                <w:rFonts w:ascii="Arial Narrow" w:eastAsia="Calibri" w:hAnsi="Arial Narrow"/>
                <w:sz w:val="20"/>
                <w:szCs w:val="20"/>
              </w:rPr>
              <w:instrText xml:space="preserve"> FORMCHECKBOX </w:instrText>
            </w:r>
            <w:r w:rsidRPr="00514177">
              <w:rPr>
                <w:rFonts w:ascii="Arial Narrow" w:eastAsia="Calibri" w:hAnsi="Arial Narrow"/>
                <w:sz w:val="20"/>
                <w:szCs w:val="20"/>
              </w:rPr>
            </w:r>
            <w:r w:rsidRPr="00514177">
              <w:rPr>
                <w:rFonts w:ascii="Arial Narrow" w:eastAsia="Calibri" w:hAnsi="Arial Narrow"/>
                <w:sz w:val="20"/>
                <w:szCs w:val="20"/>
              </w:rPr>
              <w:fldChar w:fldCharType="separate"/>
            </w:r>
            <w:r w:rsidRPr="00514177">
              <w:rPr>
                <w:rFonts w:ascii="Arial Narrow" w:eastAsia="Calibri" w:hAnsi="Arial Narrow"/>
                <w:sz w:val="20"/>
                <w:szCs w:val="20"/>
              </w:rPr>
              <w:fldChar w:fldCharType="end"/>
            </w:r>
            <w:r w:rsidRPr="00514177">
              <w:rPr>
                <w:rFonts w:ascii="Arial Narrow" w:eastAsia="Calibri" w:hAnsi="Arial Narrow"/>
                <w:sz w:val="20"/>
                <w:szCs w:val="20"/>
              </w:rPr>
              <w:t xml:space="preserve"> Authority Required: Telephone/Electronic</w:t>
            </w:r>
          </w:p>
        </w:tc>
      </w:tr>
      <w:tr w:rsidR="00925567" w:rsidRPr="00514177" w14:paraId="2E52E27A"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46643917" w14:textId="619B043B" w:rsidR="00925567" w:rsidRPr="00514177" w:rsidRDefault="00925567" w:rsidP="00F244C6">
            <w:pPr>
              <w:jc w:val="center"/>
              <w:rPr>
                <w:rFonts w:ascii="Arial Narrow" w:hAnsi="Arial Narrow"/>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0DEF01A6" w14:textId="77777777"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Style w:val="Strong"/>
                <w:rFonts w:ascii="Arial Narrow" w:eastAsiaTheme="majorEastAsia" w:hAnsi="Arial Narrow" w:cs="Open Sans"/>
                <w:color w:val="333333"/>
                <w:sz w:val="20"/>
                <w:szCs w:val="20"/>
                <w:bdr w:val="none" w:sz="0" w:space="0" w:color="auto" w:frame="1"/>
              </w:rPr>
              <w:t>Administrative Advice:</w:t>
            </w:r>
          </w:p>
          <w:p w14:paraId="251EEC10" w14:textId="77777777" w:rsidR="00925567" w:rsidRPr="00514177" w:rsidRDefault="00925567" w:rsidP="00F244C6">
            <w:pPr>
              <w:rPr>
                <w:rFonts w:ascii="Arial Narrow" w:hAnsi="Arial Narrow"/>
                <w:b/>
                <w:sz w:val="20"/>
                <w:szCs w:val="20"/>
              </w:rPr>
            </w:pPr>
            <w:r w:rsidRPr="00514177">
              <w:rPr>
                <w:rFonts w:ascii="Arial Narrow" w:hAnsi="Arial Narrow" w:cs="Open San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925567" w:rsidRPr="00514177" w14:paraId="1299470F"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3CC732CB" w14:textId="12FE2BF2" w:rsidR="00925567" w:rsidRPr="00514177" w:rsidRDefault="00925567" w:rsidP="00F244C6">
            <w:pPr>
              <w:jc w:val="center"/>
              <w:rPr>
                <w:rFonts w:ascii="Arial Narrow" w:hAnsi="Arial Narrow"/>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40F472BB" w14:textId="77777777" w:rsidR="00925567" w:rsidRPr="00514177" w:rsidRDefault="00925567" w:rsidP="00F244C6">
            <w:pPr>
              <w:pStyle w:val="NormalWeb"/>
              <w:spacing w:before="0" w:after="0"/>
              <w:textAlignment w:val="baseline"/>
              <w:rPr>
                <w:rFonts w:ascii="Arial Narrow" w:hAnsi="Arial Narrow" w:cs="Open Sans"/>
                <w:sz w:val="20"/>
                <w:szCs w:val="20"/>
              </w:rPr>
            </w:pPr>
            <w:r w:rsidRPr="00514177">
              <w:rPr>
                <w:rStyle w:val="Strong"/>
                <w:rFonts w:ascii="Arial Narrow" w:eastAsiaTheme="majorEastAsia" w:hAnsi="Arial Narrow" w:cs="Open Sans"/>
                <w:sz w:val="20"/>
                <w:szCs w:val="20"/>
                <w:bdr w:val="none" w:sz="0" w:space="0" w:color="auto" w:frame="1"/>
              </w:rPr>
              <w:t>Administrative Advice:</w:t>
            </w:r>
          </w:p>
          <w:p w14:paraId="7CE259BB" w14:textId="77777777" w:rsidR="00925567" w:rsidRPr="00514177" w:rsidRDefault="00925567" w:rsidP="00F244C6">
            <w:pPr>
              <w:rPr>
                <w:rFonts w:ascii="Arial Narrow" w:hAnsi="Arial Narrow"/>
                <w:b/>
                <w:sz w:val="20"/>
                <w:szCs w:val="20"/>
              </w:rPr>
            </w:pPr>
            <w:r w:rsidRPr="00514177">
              <w:rPr>
                <w:rFonts w:ascii="Arial Narrow" w:hAnsi="Arial Narrow" w:cs="Open Sans"/>
                <w:sz w:val="20"/>
                <w:szCs w:val="20"/>
              </w:rPr>
              <w:t>No increase in the maximum quantity or number of units may be authorised.</w:t>
            </w:r>
          </w:p>
        </w:tc>
      </w:tr>
      <w:tr w:rsidR="00925567" w:rsidRPr="00514177" w14:paraId="53FDA495"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1D47C220" w14:textId="3BE89498" w:rsidR="00925567" w:rsidRPr="00514177" w:rsidRDefault="00925567" w:rsidP="00F244C6">
            <w:pPr>
              <w:jc w:val="center"/>
              <w:rPr>
                <w:rFonts w:ascii="Arial Narrow" w:hAnsi="Arial Narrow"/>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64EEF786" w14:textId="77777777" w:rsidR="00925567" w:rsidRPr="00514177" w:rsidRDefault="00925567" w:rsidP="00F244C6">
            <w:pPr>
              <w:pStyle w:val="NormalWeb"/>
              <w:spacing w:before="0" w:after="0"/>
              <w:textAlignment w:val="baseline"/>
              <w:rPr>
                <w:rFonts w:ascii="Arial Narrow" w:hAnsi="Arial Narrow" w:cs="Open Sans"/>
                <w:sz w:val="20"/>
                <w:szCs w:val="20"/>
              </w:rPr>
            </w:pPr>
            <w:r w:rsidRPr="00514177">
              <w:rPr>
                <w:rStyle w:val="Strong"/>
                <w:rFonts w:ascii="Arial Narrow" w:eastAsiaTheme="majorEastAsia" w:hAnsi="Arial Narrow" w:cs="Open Sans"/>
                <w:sz w:val="20"/>
                <w:szCs w:val="20"/>
                <w:bdr w:val="none" w:sz="0" w:space="0" w:color="auto" w:frame="1"/>
              </w:rPr>
              <w:t>Administrative Advice:</w:t>
            </w:r>
          </w:p>
          <w:p w14:paraId="3E9ACED5" w14:textId="77777777" w:rsidR="00925567" w:rsidRPr="00514177" w:rsidRDefault="00925567" w:rsidP="00F244C6">
            <w:pPr>
              <w:rPr>
                <w:rFonts w:ascii="Arial Narrow" w:hAnsi="Arial Narrow"/>
                <w:b/>
                <w:sz w:val="20"/>
                <w:szCs w:val="20"/>
              </w:rPr>
            </w:pPr>
            <w:r w:rsidRPr="00514177">
              <w:rPr>
                <w:rFonts w:ascii="Arial Narrow" w:hAnsi="Arial Narrow" w:cs="Open Sans"/>
                <w:sz w:val="20"/>
                <w:szCs w:val="20"/>
              </w:rPr>
              <w:t>No increase in the maximum number of repeats may be authorised.</w:t>
            </w:r>
          </w:p>
        </w:tc>
      </w:tr>
      <w:tr w:rsidR="00925567" w:rsidRPr="00514177" w14:paraId="3B5CB88B"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449FD4DA" w14:textId="64994F1A"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42B5782D" w14:textId="77777777"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Style w:val="Strong"/>
                <w:rFonts w:ascii="Arial Narrow" w:eastAsiaTheme="majorEastAsia" w:hAnsi="Arial Narrow" w:cs="Open Sans"/>
                <w:color w:val="333333"/>
                <w:sz w:val="20"/>
                <w:szCs w:val="20"/>
                <w:bdr w:val="none" w:sz="0" w:space="0" w:color="auto" w:frame="1"/>
              </w:rPr>
              <w:t>Indication:</w:t>
            </w:r>
          </w:p>
          <w:p w14:paraId="46D02D0A" w14:textId="77777777" w:rsidR="00925567" w:rsidRPr="00514177" w:rsidRDefault="00925567" w:rsidP="00F244C6">
            <w:pPr>
              <w:pStyle w:val="NormalWeb"/>
              <w:spacing w:before="0" w:after="0"/>
              <w:textAlignment w:val="baseline"/>
              <w:rPr>
                <w:rStyle w:val="Strong"/>
                <w:rFonts w:ascii="Arial Narrow" w:eastAsiaTheme="majorEastAsia" w:hAnsi="Arial Narrow" w:cs="Open Sans"/>
                <w:color w:val="333333"/>
                <w:sz w:val="20"/>
                <w:szCs w:val="20"/>
                <w:bdr w:val="none" w:sz="0" w:space="0" w:color="auto" w:frame="1"/>
              </w:rPr>
            </w:pPr>
            <w:r w:rsidRPr="00514177">
              <w:rPr>
                <w:rFonts w:ascii="Arial Narrow" w:hAnsi="Arial Narrow" w:cs="Open Sans"/>
                <w:color w:val="333333"/>
                <w:sz w:val="20"/>
                <w:szCs w:val="20"/>
              </w:rPr>
              <w:t>Severe established osteoporosis</w:t>
            </w:r>
          </w:p>
        </w:tc>
      </w:tr>
      <w:tr w:rsidR="00925567" w:rsidRPr="00514177" w14:paraId="5F5A971D"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6F207327" w14:textId="77777777"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4AEE8405" w14:textId="77777777" w:rsidR="00925567" w:rsidRPr="00514177" w:rsidRDefault="00925567" w:rsidP="00F244C6">
            <w:pPr>
              <w:pStyle w:val="NormalWeb"/>
              <w:spacing w:before="0" w:after="0"/>
              <w:textAlignment w:val="baseline"/>
              <w:rPr>
                <w:rFonts w:ascii="Arial Narrow" w:eastAsiaTheme="majorEastAsia" w:hAnsi="Arial Narrow" w:cs="Open Sans"/>
                <w:color w:val="333333"/>
                <w:sz w:val="20"/>
                <w:szCs w:val="20"/>
                <w:bdr w:val="none" w:sz="0" w:space="0" w:color="auto" w:frame="1"/>
              </w:rPr>
            </w:pPr>
            <w:r w:rsidRPr="00514177">
              <w:rPr>
                <w:rFonts w:ascii="Arial Narrow" w:eastAsiaTheme="majorEastAsia" w:hAnsi="Arial Narrow" w:cs="Open Sans"/>
                <w:b/>
                <w:bCs/>
                <w:color w:val="333333"/>
                <w:sz w:val="20"/>
                <w:szCs w:val="20"/>
                <w:bdr w:val="none" w:sz="0" w:space="0" w:color="auto" w:frame="1"/>
              </w:rPr>
              <w:t>Treatment Phase:</w:t>
            </w:r>
            <w:r w:rsidRPr="00514177">
              <w:rPr>
                <w:rFonts w:ascii="Arial Narrow" w:eastAsiaTheme="majorEastAsia" w:hAnsi="Arial Narrow" w:cs="Open Sans"/>
                <w:color w:val="333333"/>
                <w:sz w:val="20"/>
                <w:szCs w:val="20"/>
                <w:bdr w:val="none" w:sz="0" w:space="0" w:color="auto" w:frame="1"/>
              </w:rPr>
              <w:t xml:space="preserve"> </w:t>
            </w:r>
          </w:p>
          <w:p w14:paraId="3B4BA08A" w14:textId="77777777" w:rsidR="00925567" w:rsidRPr="00514177" w:rsidRDefault="00925567" w:rsidP="00F244C6">
            <w:pPr>
              <w:pStyle w:val="NormalWeb"/>
              <w:spacing w:before="0" w:after="0"/>
              <w:textAlignment w:val="baseline"/>
              <w:rPr>
                <w:rStyle w:val="Strong"/>
                <w:rFonts w:ascii="Arial Narrow" w:eastAsiaTheme="majorEastAsia" w:hAnsi="Arial Narrow" w:cs="Open Sans"/>
                <w:b w:val="0"/>
                <w:bCs w:val="0"/>
                <w:color w:val="333333"/>
                <w:sz w:val="20"/>
                <w:szCs w:val="20"/>
                <w:bdr w:val="none" w:sz="0" w:space="0" w:color="auto" w:frame="1"/>
              </w:rPr>
            </w:pPr>
            <w:r w:rsidRPr="00514177">
              <w:rPr>
                <w:rFonts w:ascii="Arial Narrow" w:eastAsiaTheme="majorEastAsia" w:hAnsi="Arial Narrow" w:cs="Open Sans"/>
                <w:color w:val="333333"/>
                <w:sz w:val="20"/>
                <w:szCs w:val="20"/>
                <w:bdr w:val="none" w:sz="0" w:space="0" w:color="auto" w:frame="1"/>
              </w:rPr>
              <w:t>Initial treatment - First-line therapy</w:t>
            </w:r>
          </w:p>
        </w:tc>
      </w:tr>
      <w:tr w:rsidR="00925567" w:rsidRPr="00514177" w14:paraId="3E558DD7"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31640A3A" w14:textId="687C8803"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65E932FA" w14:textId="77777777" w:rsidR="00925567" w:rsidRPr="00514177" w:rsidRDefault="00925567" w:rsidP="00F244C6">
            <w:pPr>
              <w:pStyle w:val="NormalWeb"/>
              <w:spacing w:before="0" w:after="0"/>
              <w:textAlignment w:val="baseline"/>
              <w:rPr>
                <w:rStyle w:val="Strong"/>
                <w:rFonts w:ascii="Arial Narrow" w:eastAsiaTheme="majorEastAsia" w:hAnsi="Arial Narrow" w:cs="Open Sans"/>
                <w:color w:val="333333"/>
                <w:sz w:val="20"/>
                <w:szCs w:val="20"/>
                <w:bdr w:val="none" w:sz="0" w:space="0" w:color="auto" w:frame="1"/>
              </w:rPr>
            </w:pPr>
            <w:r w:rsidRPr="00514177">
              <w:rPr>
                <w:rStyle w:val="Strong"/>
                <w:rFonts w:ascii="Arial Narrow" w:eastAsiaTheme="majorEastAsia" w:hAnsi="Arial Narrow" w:cs="Open Sans"/>
                <w:color w:val="333333"/>
                <w:sz w:val="20"/>
                <w:szCs w:val="20"/>
                <w:bdr w:val="none" w:sz="0" w:space="0" w:color="auto" w:frame="1"/>
              </w:rPr>
              <w:t>Treatment criteria:</w:t>
            </w:r>
          </w:p>
        </w:tc>
      </w:tr>
      <w:tr w:rsidR="00925567" w:rsidRPr="00514177" w14:paraId="2747DCE3"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732F55F5" w14:textId="0C7AC6B1"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7A018492" w14:textId="77777777" w:rsidR="00925567" w:rsidRPr="00514177" w:rsidRDefault="00925567" w:rsidP="00F244C6">
            <w:pPr>
              <w:pStyle w:val="NormalWeb"/>
              <w:spacing w:before="0" w:after="0"/>
              <w:textAlignment w:val="baseline"/>
              <w:rPr>
                <w:rStyle w:val="Strong"/>
                <w:rFonts w:ascii="Arial Narrow" w:eastAsiaTheme="majorEastAsia" w:hAnsi="Arial Narrow" w:cs="Open Sans"/>
                <w:color w:val="333333"/>
                <w:sz w:val="20"/>
                <w:szCs w:val="20"/>
                <w:bdr w:val="none" w:sz="0" w:space="0" w:color="auto" w:frame="1"/>
              </w:rPr>
            </w:pPr>
            <w:r w:rsidRPr="00514177">
              <w:rPr>
                <w:rFonts w:ascii="Arial Narrow" w:hAnsi="Arial Narrow" w:cs="Open Sans"/>
                <w:color w:val="333333"/>
                <w:sz w:val="20"/>
                <w:szCs w:val="20"/>
              </w:rPr>
              <w:t>Must be treated by a consultant physician</w:t>
            </w:r>
          </w:p>
        </w:tc>
      </w:tr>
      <w:tr w:rsidR="00925567" w:rsidRPr="00514177" w14:paraId="21F53463"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0AF1B015" w14:textId="77777777" w:rsidR="00925567" w:rsidRPr="00514177" w:rsidRDefault="00925567" w:rsidP="00F244C6">
            <w:pP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74FCD145" w14:textId="77777777" w:rsidR="00925567" w:rsidRPr="00514177" w:rsidRDefault="00925567" w:rsidP="00F244C6">
            <w:pPr>
              <w:pStyle w:val="NormalWeb"/>
              <w:spacing w:before="0" w:after="0"/>
              <w:textAlignment w:val="baseline"/>
              <w:rPr>
                <w:rFonts w:ascii="Arial Narrow" w:hAnsi="Arial Narrow" w:cs="Open Sans"/>
                <w:color w:val="333333"/>
                <w:sz w:val="20"/>
                <w:szCs w:val="20"/>
              </w:rPr>
            </w:pPr>
          </w:p>
        </w:tc>
      </w:tr>
      <w:tr w:rsidR="00925567" w:rsidRPr="00514177" w14:paraId="514077DA"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56E7783B" w14:textId="5D25217B"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08FC471A" w14:textId="77777777"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Style w:val="Strong"/>
                <w:rFonts w:ascii="Arial Narrow" w:eastAsiaTheme="majorEastAsia" w:hAnsi="Arial Narrow" w:cs="Open Sans"/>
                <w:color w:val="333333"/>
                <w:sz w:val="20"/>
                <w:szCs w:val="20"/>
                <w:bdr w:val="none" w:sz="0" w:space="0" w:color="auto" w:frame="1"/>
              </w:rPr>
              <w:t>Clinical criteria:</w:t>
            </w:r>
          </w:p>
        </w:tc>
      </w:tr>
      <w:tr w:rsidR="00925567" w:rsidRPr="00514177" w14:paraId="134EE526"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3142C402" w14:textId="748259D3"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69664416" w14:textId="77BB6B3B"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Fonts w:ascii="Arial Narrow" w:hAnsi="Arial Narrow" w:cs="Open Sans"/>
                <w:color w:val="333333"/>
                <w:sz w:val="20"/>
                <w:szCs w:val="20"/>
              </w:rPr>
              <w:t>Patient must not have received PBS-subsidised treatment with any of,</w:t>
            </w:r>
            <w:r w:rsidRPr="00514177">
              <w:rPr>
                <w:rFonts w:ascii="Calibri" w:hAnsi="Calibri" w:cs="Arial"/>
                <w:snapToGrid/>
                <w:lang w:val="en-AU"/>
              </w:rPr>
              <w:t xml:space="preserve"> </w:t>
            </w:r>
            <w:r w:rsidRPr="00571A98">
              <w:rPr>
                <w:rFonts w:ascii="Arial Narrow" w:hAnsi="Arial Narrow" w:cs="Open Sans"/>
                <w:color w:val="333333"/>
                <w:sz w:val="20"/>
                <w:szCs w:val="20"/>
                <w:lang w:val="en-AU"/>
              </w:rPr>
              <w:t>(i) anti-resorptive therapy,</w:t>
            </w:r>
            <w:r w:rsidRPr="00514177">
              <w:rPr>
                <w:rFonts w:ascii="Arial Narrow" w:hAnsi="Arial Narrow" w:cs="Open Sans"/>
                <w:color w:val="333333"/>
                <w:sz w:val="20"/>
                <w:szCs w:val="20"/>
                <w:lang w:val="en-AU"/>
              </w:rPr>
              <w:t xml:space="preserve"> (ii) teriparatide, (iii) romosozumab, or (iv) abaloparatide, </w:t>
            </w:r>
          </w:p>
        </w:tc>
      </w:tr>
      <w:tr w:rsidR="00EC1EBE" w:rsidRPr="00514177" w14:paraId="5B2F6C9C"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0AA0EF19" w14:textId="77777777" w:rsidR="00EC1EBE" w:rsidRPr="00514177" w:rsidRDefault="00EC1EBE"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5B0147E1" w14:textId="2F378F76" w:rsidR="00EC1EBE" w:rsidRPr="00EC1EBE" w:rsidRDefault="00EC1EBE" w:rsidP="00F244C6">
            <w:pPr>
              <w:pStyle w:val="NormalWeb"/>
              <w:spacing w:before="0" w:after="0"/>
              <w:textAlignment w:val="baseline"/>
              <w:rPr>
                <w:rFonts w:ascii="Arial Narrow" w:hAnsi="Arial Narrow" w:cs="Open Sans"/>
                <w:b/>
                <w:bCs/>
                <w:color w:val="333333"/>
                <w:sz w:val="20"/>
                <w:szCs w:val="20"/>
              </w:rPr>
            </w:pPr>
            <w:r w:rsidRPr="00EC1EBE">
              <w:rPr>
                <w:rFonts w:ascii="Arial Narrow" w:hAnsi="Arial Narrow" w:cs="Open Sans"/>
                <w:b/>
                <w:bCs/>
                <w:color w:val="333333"/>
                <w:sz w:val="20"/>
                <w:szCs w:val="20"/>
              </w:rPr>
              <w:t>OR</w:t>
            </w:r>
          </w:p>
        </w:tc>
      </w:tr>
      <w:tr w:rsidR="00925567" w:rsidRPr="00514177" w14:paraId="49783361"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54B99E86" w14:textId="47BCF44E"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70034B9A" w14:textId="5A3DD2C7"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Fonts w:ascii="Arial Narrow" w:hAnsi="Arial Narrow" w:cs="Open Sans"/>
                <w:color w:val="333333"/>
                <w:sz w:val="20"/>
                <w:szCs w:val="20"/>
              </w:rPr>
              <w:t>Patient must have developed intolerance to romosozumab of a severity necessitating permanent treatment withdrawal within the first 6 months of therapy.</w:t>
            </w:r>
          </w:p>
        </w:tc>
      </w:tr>
      <w:tr w:rsidR="00925567" w:rsidRPr="00514177" w14:paraId="0EB01F43"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2357E163" w14:textId="77777777"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7D6E61F0" w14:textId="77777777"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Style w:val="Strong"/>
                <w:rFonts w:ascii="Arial Narrow" w:eastAsiaTheme="majorEastAsia" w:hAnsi="Arial Narrow" w:cs="Open Sans"/>
                <w:color w:val="333333"/>
                <w:sz w:val="20"/>
                <w:szCs w:val="20"/>
                <w:bdr w:val="none" w:sz="0" w:space="0" w:color="auto" w:frame="1"/>
              </w:rPr>
              <w:t>AND</w:t>
            </w:r>
          </w:p>
        </w:tc>
      </w:tr>
      <w:tr w:rsidR="00925567" w:rsidRPr="00514177" w14:paraId="732E7243"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15AC168C" w14:textId="36F52988"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05E9BE19" w14:textId="77777777"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Style w:val="Strong"/>
                <w:rFonts w:ascii="Arial Narrow" w:eastAsiaTheme="majorEastAsia" w:hAnsi="Arial Narrow" w:cs="Open Sans"/>
                <w:color w:val="333333"/>
                <w:sz w:val="20"/>
                <w:szCs w:val="20"/>
                <w:bdr w:val="none" w:sz="0" w:space="0" w:color="auto" w:frame="1"/>
              </w:rPr>
              <w:t>Clinical criteria:</w:t>
            </w:r>
          </w:p>
        </w:tc>
      </w:tr>
      <w:tr w:rsidR="00925567" w:rsidRPr="00514177" w14:paraId="611DBD1A"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57E2627C" w14:textId="76470E09"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22E9097D" w14:textId="77777777"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Fonts w:ascii="Arial Narrow" w:hAnsi="Arial Narrow" w:cs="Open Sans"/>
                <w:color w:val="333333"/>
                <w:sz w:val="20"/>
                <w:szCs w:val="20"/>
              </w:rPr>
              <w:t>Patient must be at very high risk of fracture</w:t>
            </w:r>
          </w:p>
        </w:tc>
      </w:tr>
      <w:tr w:rsidR="00925567" w:rsidRPr="00514177" w14:paraId="6E0E9FF9"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4CEC6D3B" w14:textId="77777777"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252741A8" w14:textId="77777777"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Style w:val="Strong"/>
                <w:rFonts w:ascii="Arial Narrow" w:eastAsiaTheme="majorEastAsia" w:hAnsi="Arial Narrow" w:cs="Open Sans"/>
                <w:color w:val="333333"/>
                <w:sz w:val="20"/>
                <w:szCs w:val="20"/>
                <w:bdr w:val="none" w:sz="0" w:space="0" w:color="auto" w:frame="1"/>
              </w:rPr>
              <w:t>AND</w:t>
            </w:r>
          </w:p>
        </w:tc>
      </w:tr>
      <w:tr w:rsidR="00925567" w:rsidRPr="00514177" w14:paraId="45CF1C27"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421BFA69" w14:textId="1EF261FD"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466257CD" w14:textId="77777777"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Style w:val="Strong"/>
                <w:rFonts w:ascii="Arial Narrow" w:eastAsiaTheme="majorEastAsia" w:hAnsi="Arial Narrow" w:cs="Open Sans"/>
                <w:color w:val="333333"/>
                <w:sz w:val="20"/>
                <w:szCs w:val="20"/>
                <w:bdr w:val="none" w:sz="0" w:space="0" w:color="auto" w:frame="1"/>
              </w:rPr>
              <w:t>Clinical criteria:</w:t>
            </w:r>
          </w:p>
        </w:tc>
      </w:tr>
      <w:tr w:rsidR="00925567" w:rsidRPr="00514177" w14:paraId="344BDFBB"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3577E55A" w14:textId="53A5DDFB"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53A677B9" w14:textId="77777777"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Fonts w:ascii="Arial Narrow" w:hAnsi="Arial Narrow" w:cs="Open Sans"/>
                <w:color w:val="333333"/>
                <w:sz w:val="20"/>
                <w:szCs w:val="20"/>
              </w:rPr>
              <w:t>Patient must have a Bone Mineral Density (BMD) T-score of -2.5 or less</w:t>
            </w:r>
          </w:p>
        </w:tc>
      </w:tr>
      <w:tr w:rsidR="00925567" w:rsidRPr="00514177" w14:paraId="02DF91B1"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5DD2D582" w14:textId="77777777"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7C55CE7D" w14:textId="77777777"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Style w:val="Strong"/>
                <w:rFonts w:ascii="Arial Narrow" w:eastAsiaTheme="majorEastAsia" w:hAnsi="Arial Narrow" w:cs="Open Sans"/>
                <w:color w:val="333333"/>
                <w:sz w:val="20"/>
                <w:szCs w:val="20"/>
                <w:bdr w:val="none" w:sz="0" w:space="0" w:color="auto" w:frame="1"/>
              </w:rPr>
              <w:t>AND</w:t>
            </w:r>
          </w:p>
        </w:tc>
      </w:tr>
      <w:tr w:rsidR="00925567" w:rsidRPr="00514177" w14:paraId="720122DF"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55E4E594" w14:textId="1D41D36E"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49483409" w14:textId="77777777"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Style w:val="Strong"/>
                <w:rFonts w:ascii="Arial Narrow" w:eastAsiaTheme="majorEastAsia" w:hAnsi="Arial Narrow" w:cs="Open Sans"/>
                <w:color w:val="333333"/>
                <w:sz w:val="20"/>
                <w:szCs w:val="20"/>
                <w:bdr w:val="none" w:sz="0" w:space="0" w:color="auto" w:frame="1"/>
              </w:rPr>
              <w:t>Clinical criteria:</w:t>
            </w:r>
          </w:p>
        </w:tc>
      </w:tr>
      <w:tr w:rsidR="00925567" w:rsidRPr="00514177" w14:paraId="4C249EDA"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30A3AA8A" w14:textId="0158F65C"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11D24EC5" w14:textId="77777777"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Fonts w:ascii="Arial Narrow" w:hAnsi="Arial Narrow" w:cs="Open Sans"/>
                <w:color w:val="333333"/>
                <w:sz w:val="20"/>
                <w:szCs w:val="20"/>
              </w:rPr>
              <w:t>Patient must have had a symptomatic fracture due to minimal trauma</w:t>
            </w:r>
          </w:p>
        </w:tc>
      </w:tr>
      <w:tr w:rsidR="00925567" w:rsidRPr="00514177" w14:paraId="049BB99A"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33EEEF62" w14:textId="77777777"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70624270" w14:textId="77777777"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Style w:val="Strong"/>
                <w:rFonts w:ascii="Arial Narrow" w:eastAsiaTheme="majorEastAsia" w:hAnsi="Arial Narrow" w:cs="Open Sans"/>
                <w:color w:val="333333"/>
                <w:sz w:val="20"/>
                <w:szCs w:val="20"/>
                <w:bdr w:val="none" w:sz="0" w:space="0" w:color="auto" w:frame="1"/>
              </w:rPr>
              <w:t>AND</w:t>
            </w:r>
          </w:p>
        </w:tc>
      </w:tr>
      <w:tr w:rsidR="00925567" w:rsidRPr="00514177" w14:paraId="44B5BACD"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652C069C" w14:textId="4CEFE144"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65067B51" w14:textId="77777777"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Style w:val="Strong"/>
                <w:rFonts w:ascii="Arial Narrow" w:eastAsiaTheme="majorEastAsia" w:hAnsi="Arial Narrow" w:cs="Open Sans"/>
                <w:color w:val="333333"/>
                <w:sz w:val="20"/>
                <w:szCs w:val="20"/>
                <w:bdr w:val="none" w:sz="0" w:space="0" w:color="auto" w:frame="1"/>
              </w:rPr>
              <w:t>Clinical criteria:</w:t>
            </w:r>
          </w:p>
        </w:tc>
      </w:tr>
      <w:tr w:rsidR="00925567" w:rsidRPr="00514177" w14:paraId="482F8044"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0ACC254A" w14:textId="29A1D03D"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54BF410D" w14:textId="77777777"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Fonts w:ascii="Arial Narrow" w:hAnsi="Arial Narrow" w:cs="Open Sans"/>
                <w:color w:val="333333"/>
                <w:sz w:val="20"/>
                <w:szCs w:val="20"/>
              </w:rPr>
              <w:t>Patient must have had at least 1 hip or symptomatic vertebral fracture in the previous 24 months; or</w:t>
            </w:r>
          </w:p>
        </w:tc>
      </w:tr>
      <w:tr w:rsidR="00925567" w:rsidRPr="00514177" w14:paraId="7295B8D9"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615883CC" w14:textId="3FBE6DA1"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1BC513CF" w14:textId="77777777"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Fonts w:ascii="Arial Narrow" w:hAnsi="Arial Narrow" w:cs="Open Sans"/>
                <w:color w:val="333333"/>
                <w:sz w:val="20"/>
                <w:szCs w:val="20"/>
              </w:rPr>
              <w:t>Patient must have had at least 2 fractures including 1 symptomatic new fracture in the previous 24 months</w:t>
            </w:r>
          </w:p>
        </w:tc>
      </w:tr>
      <w:tr w:rsidR="00925567" w:rsidRPr="00514177" w14:paraId="039E85EE"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74E15610" w14:textId="77777777"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03AFA01F" w14:textId="77777777"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Style w:val="Strong"/>
                <w:rFonts w:ascii="Arial Narrow" w:eastAsiaTheme="majorEastAsia" w:hAnsi="Arial Narrow" w:cs="Open Sans"/>
                <w:color w:val="333333"/>
                <w:sz w:val="20"/>
                <w:szCs w:val="20"/>
                <w:bdr w:val="none" w:sz="0" w:space="0" w:color="auto" w:frame="1"/>
              </w:rPr>
              <w:t>AND</w:t>
            </w:r>
          </w:p>
        </w:tc>
      </w:tr>
      <w:tr w:rsidR="00925567" w:rsidRPr="00514177" w14:paraId="5AD7630D"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7384A591" w14:textId="07809F8B"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42D0AF06" w14:textId="77777777"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Style w:val="Strong"/>
                <w:rFonts w:ascii="Arial Narrow" w:eastAsiaTheme="majorEastAsia" w:hAnsi="Arial Narrow" w:cs="Open Sans"/>
                <w:color w:val="333333"/>
                <w:sz w:val="20"/>
                <w:szCs w:val="20"/>
                <w:bdr w:val="none" w:sz="0" w:space="0" w:color="auto" w:frame="1"/>
              </w:rPr>
              <w:t>Clinical criteria:</w:t>
            </w:r>
          </w:p>
        </w:tc>
      </w:tr>
      <w:tr w:rsidR="00925567" w:rsidRPr="00514177" w14:paraId="4027CE17"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13FFDCD1" w14:textId="6C755A1B"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59C6F166" w14:textId="77777777"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Fonts w:ascii="Arial Narrow" w:hAnsi="Arial Narrow" w:cs="Open Sans"/>
                <w:color w:val="333333"/>
                <w:sz w:val="20"/>
                <w:szCs w:val="20"/>
              </w:rPr>
              <w:t>The treatment must be the sole PBS-subsidised therapy for this condition</w:t>
            </w:r>
          </w:p>
        </w:tc>
      </w:tr>
      <w:tr w:rsidR="00925567" w:rsidRPr="00514177" w14:paraId="7F3FD4C9"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521A21BF" w14:textId="77777777"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4F8D6A9C" w14:textId="77777777"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Style w:val="Strong"/>
                <w:rFonts w:ascii="Arial Narrow" w:eastAsiaTheme="majorEastAsia" w:hAnsi="Arial Narrow" w:cs="Open Sans"/>
                <w:color w:val="333333"/>
                <w:sz w:val="20"/>
                <w:szCs w:val="20"/>
                <w:bdr w:val="none" w:sz="0" w:space="0" w:color="auto" w:frame="1"/>
              </w:rPr>
              <w:t>AND</w:t>
            </w:r>
          </w:p>
        </w:tc>
      </w:tr>
      <w:tr w:rsidR="00925567" w:rsidRPr="00514177" w14:paraId="4E468399"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4ED3155C" w14:textId="6D0EAA01"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12E74B75" w14:textId="77777777"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Style w:val="Strong"/>
                <w:rFonts w:ascii="Arial Narrow" w:eastAsiaTheme="majorEastAsia" w:hAnsi="Arial Narrow" w:cs="Open Sans"/>
                <w:color w:val="333333"/>
                <w:sz w:val="20"/>
                <w:szCs w:val="20"/>
                <w:bdr w:val="none" w:sz="0" w:space="0" w:color="auto" w:frame="1"/>
              </w:rPr>
              <w:t>Clinical criteria:</w:t>
            </w:r>
          </w:p>
        </w:tc>
      </w:tr>
      <w:tr w:rsidR="00925567" w:rsidRPr="00514177" w14:paraId="09CAC1D4"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023351FD" w14:textId="669CCD4A" w:rsidR="00925567" w:rsidRPr="00514177" w:rsidRDefault="00925567" w:rsidP="00660DD8">
            <w:pP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05DCFC61" w14:textId="64EFD0E5"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Fonts w:ascii="Arial Narrow" w:hAnsi="Arial Narrow" w:cs="Open Sans"/>
                <w:color w:val="333333"/>
                <w:sz w:val="20"/>
                <w:szCs w:val="20"/>
              </w:rPr>
              <w:t>The treatment must not exceed a lifetime maximum of 18 months of PBS and non-PBS-subsidised therapy</w:t>
            </w:r>
            <w:r w:rsidR="000A608C">
              <w:rPr>
                <w:rFonts w:ascii="Arial Narrow" w:hAnsi="Arial Narrow" w:cs="Open Sans"/>
                <w:color w:val="333333"/>
                <w:sz w:val="20"/>
                <w:szCs w:val="20"/>
              </w:rPr>
              <w:t xml:space="preserve"> with this drug for this condition</w:t>
            </w:r>
          </w:p>
        </w:tc>
      </w:tr>
      <w:tr w:rsidR="00925567" w:rsidRPr="00514177" w14:paraId="5D9A6EB4"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0C93F51D" w14:textId="07DE9BD8"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232F0333" w14:textId="5441CD1F" w:rsidR="00925567" w:rsidRPr="00514177" w:rsidRDefault="00925567" w:rsidP="00F244C6">
            <w:pPr>
              <w:pStyle w:val="NormalWeb"/>
              <w:spacing w:before="0" w:after="0"/>
              <w:textAlignment w:val="baseline"/>
              <w:rPr>
                <w:rFonts w:ascii="Arial Narrow" w:hAnsi="Arial Narrow" w:cs="Open Sans"/>
                <w:color w:val="333333"/>
                <w:sz w:val="20"/>
                <w:szCs w:val="20"/>
              </w:rPr>
            </w:pPr>
          </w:p>
        </w:tc>
      </w:tr>
      <w:tr w:rsidR="00925567" w:rsidRPr="00514177" w14:paraId="4338AA92"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2D1DE3CC" w14:textId="287C8380"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6EB8E053" w14:textId="77777777"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Style w:val="Strong"/>
                <w:rFonts w:ascii="Arial Narrow" w:eastAsiaTheme="majorEastAsia" w:hAnsi="Arial Narrow" w:cs="Open Sans"/>
                <w:color w:val="333333"/>
                <w:sz w:val="20"/>
                <w:szCs w:val="20"/>
                <w:bdr w:val="none" w:sz="0" w:space="0" w:color="auto" w:frame="1"/>
              </w:rPr>
              <w:t>Prescribing Instructions:</w:t>
            </w:r>
          </w:p>
          <w:p w14:paraId="4582BA7A" w14:textId="77777777"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Fonts w:ascii="Arial Narrow" w:hAnsi="Arial Narrow" w:cs="Open Sans"/>
                <w:color w:val="333333"/>
                <w:sz w:val="20"/>
                <w:szCs w:val="20"/>
              </w:rPr>
              <w:t>Details of fracture history including the date(s), site(s), the symptoms associated with the fracture(s) and the score of the qualifying BMD measurement must be provided at the time of application.</w:t>
            </w:r>
          </w:p>
        </w:tc>
      </w:tr>
      <w:tr w:rsidR="00925567" w:rsidRPr="00514177" w14:paraId="735313CF"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6FF46B1E" w14:textId="4BCD8364"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0EBE5410" w14:textId="77777777"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Style w:val="Strong"/>
                <w:rFonts w:ascii="Arial Narrow" w:eastAsiaTheme="majorEastAsia" w:hAnsi="Arial Narrow" w:cs="Open Sans"/>
                <w:color w:val="333333"/>
                <w:sz w:val="20"/>
                <w:szCs w:val="20"/>
                <w:bdr w:val="none" w:sz="0" w:space="0" w:color="auto" w:frame="1"/>
              </w:rPr>
              <w:t>Prescribing Instructions:</w:t>
            </w:r>
          </w:p>
          <w:p w14:paraId="36ABAE86" w14:textId="77777777"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Fonts w:ascii="Arial Narrow" w:hAnsi="Arial Narrow" w:cs="Open Sans"/>
                <w:color w:val="333333"/>
                <w:sz w:val="20"/>
                <w:szCs w:val="20"/>
              </w:rP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r>
      <w:tr w:rsidR="00925567" w:rsidRPr="00514177" w14:paraId="2E3170E3"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552BD0D4" w14:textId="26366E85"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0CF72CC3" w14:textId="77777777"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Style w:val="Strong"/>
                <w:rFonts w:ascii="Arial Narrow" w:eastAsiaTheme="majorEastAsia" w:hAnsi="Arial Narrow" w:cs="Open Sans"/>
                <w:color w:val="333333"/>
                <w:sz w:val="20"/>
                <w:szCs w:val="20"/>
                <w:bdr w:val="none" w:sz="0" w:space="0" w:color="auto" w:frame="1"/>
              </w:rPr>
              <w:t>Prescribing Instructions:</w:t>
            </w:r>
          </w:p>
          <w:p w14:paraId="017CDCDB" w14:textId="77777777"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Fonts w:ascii="Arial Narrow" w:hAnsi="Arial Narrow" w:cs="Open Sans"/>
                <w:color w:val="333333"/>
                <w:sz w:val="20"/>
                <w:szCs w:val="20"/>
              </w:rPr>
              <w:t>Anti-resorptive therapies for osteoporosis include alendronate sodium, risedronate sodium, raloxifene hydrochloride, denosumab and zoledronic acid.</w:t>
            </w:r>
          </w:p>
        </w:tc>
      </w:tr>
      <w:tr w:rsidR="00925567" w:rsidRPr="00514177" w14:paraId="414429A9" w14:textId="77777777" w:rsidTr="00F244C6">
        <w:tblPrEx>
          <w:tblCellMar>
            <w:top w:w="15" w:type="dxa"/>
            <w:left w:w="15" w:type="dxa"/>
            <w:bottom w:w="15" w:type="dxa"/>
            <w:right w:w="15" w:type="dxa"/>
          </w:tblCellMar>
          <w:tblLook w:val="04A0" w:firstRow="1" w:lastRow="0" w:firstColumn="1" w:lastColumn="0" w:noHBand="0" w:noVBand="1"/>
        </w:tblPrEx>
        <w:tc>
          <w:tcPr>
            <w:tcW w:w="5000" w:type="pct"/>
            <w:gridSpan w:val="8"/>
            <w:tcBorders>
              <w:left w:val="single" w:sz="4" w:space="0" w:color="auto"/>
              <w:bottom w:val="single" w:sz="4" w:space="0" w:color="auto"/>
              <w:right w:val="single" w:sz="4" w:space="0" w:color="auto"/>
            </w:tcBorders>
          </w:tcPr>
          <w:p w14:paraId="39C47834" w14:textId="77777777" w:rsidR="00925567" w:rsidRPr="00514177" w:rsidRDefault="00925567" w:rsidP="00F244C6">
            <w:pPr>
              <w:pStyle w:val="NormalWeb"/>
              <w:spacing w:before="0" w:after="0"/>
              <w:textAlignment w:val="baseline"/>
              <w:rPr>
                <w:rStyle w:val="Strong"/>
                <w:rFonts w:ascii="Arial Narrow" w:eastAsiaTheme="majorEastAsia" w:hAnsi="Arial Narrow" w:cs="Open Sans"/>
                <w:color w:val="333333"/>
                <w:sz w:val="20"/>
                <w:szCs w:val="20"/>
                <w:bdr w:val="none" w:sz="0" w:space="0" w:color="auto" w:frame="1"/>
              </w:rPr>
            </w:pPr>
          </w:p>
        </w:tc>
      </w:tr>
      <w:tr w:rsidR="00925567" w:rsidRPr="00514177" w14:paraId="4AC47576" w14:textId="77777777" w:rsidTr="00F244C6">
        <w:tblPrEx>
          <w:tblCellMar>
            <w:top w:w="15" w:type="dxa"/>
            <w:left w:w="15" w:type="dxa"/>
            <w:bottom w:w="15" w:type="dxa"/>
            <w:right w:w="15" w:type="dxa"/>
          </w:tblCellMar>
          <w:tblLook w:val="04A0" w:firstRow="1" w:lastRow="0" w:firstColumn="1" w:lastColumn="0" w:noHBand="0" w:noVBand="1"/>
        </w:tblPrEx>
        <w:tc>
          <w:tcPr>
            <w:tcW w:w="5000" w:type="pct"/>
            <w:gridSpan w:val="8"/>
            <w:tcBorders>
              <w:left w:val="single" w:sz="4" w:space="0" w:color="auto"/>
              <w:bottom w:val="single" w:sz="4" w:space="0" w:color="auto"/>
              <w:right w:val="single" w:sz="4" w:space="0" w:color="auto"/>
            </w:tcBorders>
          </w:tcPr>
          <w:p w14:paraId="6EFF148E" w14:textId="77777777" w:rsidR="00925567" w:rsidRPr="00514177" w:rsidRDefault="00925567" w:rsidP="00F244C6">
            <w:pPr>
              <w:pStyle w:val="NormalWeb"/>
              <w:spacing w:before="0" w:after="0"/>
              <w:textAlignment w:val="baseline"/>
              <w:rPr>
                <w:rStyle w:val="Strong"/>
                <w:rFonts w:ascii="Arial Narrow" w:eastAsiaTheme="majorEastAsia" w:hAnsi="Arial Narrow" w:cs="Open Sans"/>
                <w:color w:val="333333"/>
                <w:sz w:val="20"/>
                <w:szCs w:val="20"/>
                <w:bdr w:val="none" w:sz="0" w:space="0" w:color="auto" w:frame="1"/>
              </w:rPr>
            </w:pPr>
          </w:p>
        </w:tc>
      </w:tr>
      <w:tr w:rsidR="00925567" w:rsidRPr="00514177" w14:paraId="051C0CEF" w14:textId="77777777" w:rsidTr="00F244C6">
        <w:trPr>
          <w:cantSplit/>
          <w:trHeight w:val="347"/>
        </w:trPr>
        <w:tc>
          <w:tcPr>
            <w:tcW w:w="5000" w:type="pct"/>
            <w:gridSpan w:val="8"/>
            <w:tcBorders>
              <w:top w:val="single" w:sz="4" w:space="0" w:color="auto"/>
              <w:left w:val="single" w:sz="4" w:space="0" w:color="auto"/>
              <w:bottom w:val="single" w:sz="4" w:space="0" w:color="auto"/>
              <w:right w:val="single" w:sz="4" w:space="0" w:color="auto"/>
            </w:tcBorders>
          </w:tcPr>
          <w:p w14:paraId="6DDAFCAB" w14:textId="77777777" w:rsidR="00925567" w:rsidRPr="00514177" w:rsidRDefault="00925567" w:rsidP="00F244C6">
            <w:pPr>
              <w:keepNext/>
              <w:rPr>
                <w:rFonts w:ascii="Arial Narrow" w:hAnsi="Arial Narrow"/>
                <w:sz w:val="20"/>
                <w:szCs w:val="20"/>
              </w:rPr>
            </w:pPr>
            <w:r w:rsidRPr="00514177">
              <w:rPr>
                <w:rFonts w:ascii="Arial Narrow" w:hAnsi="Arial Narrow"/>
                <w:sz w:val="20"/>
                <w:szCs w:val="20"/>
              </w:rPr>
              <w:t>Restriction Summary [New 2] / Treatment of Concept: [2A]</w:t>
            </w:r>
          </w:p>
        </w:tc>
      </w:tr>
      <w:tr w:rsidR="00925567" w:rsidRPr="00514177" w14:paraId="7D08700B" w14:textId="77777777" w:rsidTr="0059187B">
        <w:tblPrEx>
          <w:tblCellMar>
            <w:top w:w="15" w:type="dxa"/>
            <w:left w:w="15" w:type="dxa"/>
            <w:bottom w:w="15" w:type="dxa"/>
            <w:right w:w="15" w:type="dxa"/>
          </w:tblCellMar>
          <w:tblLook w:val="04A0" w:firstRow="1" w:lastRow="0" w:firstColumn="1" w:lastColumn="0" w:noHBand="0" w:noVBand="1"/>
        </w:tblPrEx>
        <w:trPr>
          <w:trHeight w:val="176"/>
        </w:trPr>
        <w:tc>
          <w:tcPr>
            <w:tcW w:w="551" w:type="pct"/>
            <w:gridSpan w:val="2"/>
            <w:vMerge w:val="restart"/>
            <w:tcBorders>
              <w:top w:val="single" w:sz="4" w:space="0" w:color="auto"/>
              <w:left w:val="single" w:sz="4" w:space="0" w:color="auto"/>
              <w:right w:val="single" w:sz="4" w:space="0" w:color="auto"/>
            </w:tcBorders>
          </w:tcPr>
          <w:p w14:paraId="2028D404" w14:textId="77777777" w:rsidR="00925567" w:rsidRPr="00514177" w:rsidRDefault="00925567" w:rsidP="00F244C6">
            <w:pPr>
              <w:jc w:val="center"/>
              <w:rPr>
                <w:rFonts w:ascii="Arial Narrow" w:hAnsi="Arial Narrow"/>
                <w:b/>
                <w:sz w:val="20"/>
                <w:szCs w:val="20"/>
              </w:rPr>
            </w:pPr>
            <w:r w:rsidRPr="00514177">
              <w:rPr>
                <w:rFonts w:ascii="Arial Narrow" w:hAnsi="Arial Narrow"/>
                <w:b/>
                <w:sz w:val="20"/>
                <w:szCs w:val="20"/>
              </w:rPr>
              <w:t>Concept ID</w:t>
            </w:r>
          </w:p>
          <w:p w14:paraId="595A50DA" w14:textId="77777777" w:rsidR="00925567" w:rsidRPr="00514177" w:rsidRDefault="00925567" w:rsidP="00F244C6">
            <w:pPr>
              <w:rPr>
                <w:rFonts w:ascii="Arial Narrow" w:hAnsi="Arial Narrow"/>
                <w:sz w:val="20"/>
                <w:szCs w:val="20"/>
              </w:rPr>
            </w:pPr>
          </w:p>
          <w:p w14:paraId="78DCAC42" w14:textId="77777777" w:rsidR="00925567" w:rsidRPr="00514177" w:rsidRDefault="00925567" w:rsidP="00F244C6">
            <w:pPr>
              <w:jc w:val="center"/>
              <w:rPr>
                <w:rFonts w:ascii="Arial Narrow" w:hAnsi="Arial Narrow"/>
                <w:sz w:val="20"/>
                <w:szCs w:val="20"/>
              </w:rPr>
            </w:pPr>
            <w:r w:rsidRPr="00514177">
              <w:rPr>
                <w:rFonts w:ascii="Arial Narrow" w:hAnsi="Arial Narrow"/>
                <w:sz w:val="20"/>
                <w:szCs w:val="20"/>
              </w:rPr>
              <w:t>(for internal Dept. use)</w:t>
            </w:r>
          </w:p>
        </w:tc>
        <w:tc>
          <w:tcPr>
            <w:tcW w:w="4449" w:type="pct"/>
            <w:gridSpan w:val="6"/>
            <w:tcBorders>
              <w:top w:val="single" w:sz="4" w:space="0" w:color="auto"/>
              <w:left w:val="single" w:sz="4" w:space="0" w:color="auto"/>
              <w:bottom w:val="single" w:sz="4" w:space="0" w:color="auto"/>
              <w:right w:val="single" w:sz="4" w:space="0" w:color="auto"/>
            </w:tcBorders>
          </w:tcPr>
          <w:p w14:paraId="44C963DA" w14:textId="77777777" w:rsidR="00925567" w:rsidRPr="00514177" w:rsidRDefault="00925567" w:rsidP="00F244C6">
            <w:pPr>
              <w:rPr>
                <w:rFonts w:ascii="Arial Narrow" w:hAnsi="Arial Narrow"/>
                <w:sz w:val="20"/>
                <w:szCs w:val="20"/>
              </w:rPr>
            </w:pPr>
            <w:r w:rsidRPr="00514177">
              <w:rPr>
                <w:rFonts w:ascii="Arial Narrow" w:hAnsi="Arial Narrow"/>
                <w:b/>
                <w:sz w:val="20"/>
                <w:szCs w:val="20"/>
              </w:rPr>
              <w:t xml:space="preserve">Category / Program: </w:t>
            </w:r>
            <w:r w:rsidRPr="00514177">
              <w:rPr>
                <w:rFonts w:ascii="Arial Narrow" w:hAnsi="Arial Narrow"/>
                <w:bCs/>
                <w:sz w:val="20"/>
                <w:szCs w:val="20"/>
              </w:rPr>
              <w:t>GENERAL - General Schedule (Code GE)</w:t>
            </w:r>
          </w:p>
        </w:tc>
      </w:tr>
      <w:tr w:rsidR="00925567" w:rsidRPr="00514177" w14:paraId="7FFD4F12" w14:textId="77777777" w:rsidTr="00F244C6">
        <w:tblPrEx>
          <w:tblCellMar>
            <w:top w:w="15" w:type="dxa"/>
            <w:left w:w="15" w:type="dxa"/>
            <w:bottom w:w="15" w:type="dxa"/>
            <w:right w:w="15" w:type="dxa"/>
          </w:tblCellMar>
          <w:tblLook w:val="04A0" w:firstRow="1" w:lastRow="0" w:firstColumn="1" w:lastColumn="0" w:noHBand="0" w:noVBand="1"/>
        </w:tblPrEx>
        <w:trPr>
          <w:trHeight w:val="240"/>
        </w:trPr>
        <w:tc>
          <w:tcPr>
            <w:tcW w:w="551" w:type="pct"/>
            <w:gridSpan w:val="2"/>
            <w:vMerge/>
            <w:tcBorders>
              <w:left w:val="single" w:sz="4" w:space="0" w:color="auto"/>
              <w:right w:val="single" w:sz="4" w:space="0" w:color="auto"/>
            </w:tcBorders>
          </w:tcPr>
          <w:p w14:paraId="47BF4BA2" w14:textId="77777777" w:rsidR="00925567" w:rsidRPr="00514177" w:rsidRDefault="00925567" w:rsidP="00F244C6">
            <w:pPr>
              <w:rPr>
                <w:rFonts w:ascii="Arial Narrow" w:hAnsi="Arial Narrow"/>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10C56696" w14:textId="77777777" w:rsidR="00925567" w:rsidRPr="00514177" w:rsidRDefault="00925567" w:rsidP="00F244C6">
            <w:pPr>
              <w:rPr>
                <w:rFonts w:ascii="Arial Narrow" w:hAnsi="Arial Narrow"/>
                <w:b/>
                <w:sz w:val="20"/>
                <w:szCs w:val="20"/>
              </w:rPr>
            </w:pPr>
            <w:r w:rsidRPr="00514177">
              <w:rPr>
                <w:rFonts w:ascii="Arial Narrow" w:hAnsi="Arial Narrow"/>
                <w:b/>
                <w:sz w:val="20"/>
                <w:szCs w:val="20"/>
              </w:rPr>
              <w:t>Prescriber type:</w:t>
            </w:r>
            <w:r w:rsidRPr="00514177">
              <w:rPr>
                <w:rFonts w:ascii="Arial Narrow" w:hAnsi="Arial Narrow"/>
                <w:sz w:val="20"/>
                <w:szCs w:val="20"/>
              </w:rPr>
              <w:t xml:space="preserve"> </w:t>
            </w:r>
            <w:r w:rsidRPr="00514177">
              <w:rPr>
                <w:rFonts w:ascii="Arial Narrow" w:hAnsi="Arial Narrow"/>
                <w:sz w:val="20"/>
                <w:szCs w:val="20"/>
              </w:rPr>
              <w:fldChar w:fldCharType="begin">
                <w:ffData>
                  <w:name w:val=""/>
                  <w:enabled/>
                  <w:calcOnExit w:val="0"/>
                  <w:checkBox>
                    <w:sizeAuto/>
                    <w:default w:val="1"/>
                  </w:checkBox>
                </w:ffData>
              </w:fldChar>
            </w:r>
            <w:r w:rsidRPr="00514177">
              <w:rPr>
                <w:rFonts w:ascii="Arial Narrow" w:hAnsi="Arial Narrow"/>
                <w:sz w:val="20"/>
                <w:szCs w:val="20"/>
              </w:rPr>
              <w:instrText xml:space="preserve"> FORMCHECKBOX </w:instrText>
            </w:r>
            <w:r w:rsidRPr="00514177">
              <w:rPr>
                <w:rFonts w:ascii="Arial Narrow" w:hAnsi="Arial Narrow"/>
                <w:sz w:val="20"/>
                <w:szCs w:val="20"/>
              </w:rPr>
            </w:r>
            <w:r w:rsidRPr="00514177">
              <w:rPr>
                <w:rFonts w:ascii="Arial Narrow" w:hAnsi="Arial Narrow"/>
                <w:sz w:val="20"/>
                <w:szCs w:val="20"/>
              </w:rPr>
              <w:fldChar w:fldCharType="separate"/>
            </w:r>
            <w:r w:rsidRPr="00514177">
              <w:rPr>
                <w:rFonts w:ascii="Arial Narrow" w:hAnsi="Arial Narrow"/>
                <w:sz w:val="20"/>
                <w:szCs w:val="20"/>
              </w:rPr>
              <w:fldChar w:fldCharType="end"/>
            </w:r>
            <w:r w:rsidRPr="00514177">
              <w:rPr>
                <w:rFonts w:ascii="Arial Narrow" w:hAnsi="Arial Narrow"/>
                <w:sz w:val="20"/>
                <w:szCs w:val="20"/>
              </w:rPr>
              <w:t>Medical Practitioners</w:t>
            </w:r>
          </w:p>
        </w:tc>
      </w:tr>
      <w:tr w:rsidR="00925567" w:rsidRPr="00514177" w14:paraId="0367EB06" w14:textId="77777777" w:rsidTr="003576B1">
        <w:tblPrEx>
          <w:tblCellMar>
            <w:top w:w="15" w:type="dxa"/>
            <w:left w:w="15" w:type="dxa"/>
            <w:bottom w:w="15" w:type="dxa"/>
            <w:right w:w="15" w:type="dxa"/>
          </w:tblCellMar>
          <w:tblLook w:val="04A0" w:firstRow="1" w:lastRow="0" w:firstColumn="1" w:lastColumn="0" w:noHBand="0" w:noVBand="1"/>
        </w:tblPrEx>
        <w:trPr>
          <w:trHeight w:val="184"/>
        </w:trPr>
        <w:tc>
          <w:tcPr>
            <w:tcW w:w="551" w:type="pct"/>
            <w:gridSpan w:val="2"/>
            <w:vMerge/>
            <w:tcBorders>
              <w:left w:val="single" w:sz="4" w:space="0" w:color="auto"/>
              <w:right w:val="single" w:sz="4" w:space="0" w:color="auto"/>
            </w:tcBorders>
          </w:tcPr>
          <w:p w14:paraId="33CF69CA" w14:textId="77777777" w:rsidR="00925567" w:rsidRPr="00514177" w:rsidRDefault="00925567" w:rsidP="00F244C6">
            <w:pPr>
              <w:rPr>
                <w:rFonts w:ascii="Arial Narrow" w:hAnsi="Arial Narrow"/>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371A34CA" w14:textId="77777777" w:rsidR="00925567" w:rsidRPr="00514177" w:rsidRDefault="00925567" w:rsidP="00F244C6">
            <w:pPr>
              <w:rPr>
                <w:rFonts w:ascii="Arial Narrow" w:eastAsia="Calibri" w:hAnsi="Arial Narrow"/>
                <w:color w:val="FF00FF"/>
                <w:sz w:val="20"/>
                <w:szCs w:val="20"/>
              </w:rPr>
            </w:pPr>
            <w:r w:rsidRPr="00514177">
              <w:rPr>
                <w:rFonts w:ascii="Arial Narrow" w:hAnsi="Arial Narrow"/>
                <w:b/>
                <w:sz w:val="20"/>
                <w:szCs w:val="20"/>
              </w:rPr>
              <w:t xml:space="preserve">Restriction type: </w:t>
            </w:r>
            <w:r w:rsidRPr="00514177">
              <w:rPr>
                <w:rFonts w:ascii="Arial Narrow" w:eastAsia="Calibri" w:hAnsi="Arial Narrow"/>
                <w:sz w:val="20"/>
                <w:szCs w:val="20"/>
              </w:rPr>
              <w:fldChar w:fldCharType="begin">
                <w:ffData>
                  <w:name w:val=""/>
                  <w:enabled/>
                  <w:calcOnExit w:val="0"/>
                  <w:checkBox>
                    <w:sizeAuto/>
                    <w:default w:val="1"/>
                  </w:checkBox>
                </w:ffData>
              </w:fldChar>
            </w:r>
            <w:r w:rsidRPr="00514177">
              <w:rPr>
                <w:rFonts w:ascii="Arial Narrow" w:eastAsia="Calibri" w:hAnsi="Arial Narrow"/>
                <w:sz w:val="20"/>
                <w:szCs w:val="20"/>
              </w:rPr>
              <w:instrText xml:space="preserve"> FORMCHECKBOX </w:instrText>
            </w:r>
            <w:r w:rsidRPr="00514177">
              <w:rPr>
                <w:rFonts w:ascii="Arial Narrow" w:eastAsia="Calibri" w:hAnsi="Arial Narrow"/>
                <w:sz w:val="20"/>
                <w:szCs w:val="20"/>
              </w:rPr>
            </w:r>
            <w:r w:rsidRPr="00514177">
              <w:rPr>
                <w:rFonts w:ascii="Arial Narrow" w:eastAsia="Calibri" w:hAnsi="Arial Narrow"/>
                <w:sz w:val="20"/>
                <w:szCs w:val="20"/>
              </w:rPr>
              <w:fldChar w:fldCharType="separate"/>
            </w:r>
            <w:r w:rsidRPr="00514177">
              <w:rPr>
                <w:rFonts w:ascii="Arial Narrow" w:eastAsia="Calibri" w:hAnsi="Arial Narrow"/>
                <w:sz w:val="20"/>
                <w:szCs w:val="20"/>
              </w:rPr>
              <w:fldChar w:fldCharType="end"/>
            </w:r>
            <w:r w:rsidRPr="00514177">
              <w:rPr>
                <w:rFonts w:ascii="Arial Narrow" w:eastAsia="Calibri" w:hAnsi="Arial Narrow"/>
                <w:sz w:val="20"/>
                <w:szCs w:val="20"/>
              </w:rPr>
              <w:t xml:space="preserve"> Authority Required: Telephone/Electronic</w:t>
            </w:r>
          </w:p>
        </w:tc>
      </w:tr>
      <w:tr w:rsidR="00925567" w:rsidRPr="00514177" w14:paraId="403B230C"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44AFFD27" w14:textId="113A99F8" w:rsidR="00925567" w:rsidRPr="00514177" w:rsidRDefault="00925567" w:rsidP="00F244C6">
            <w:pPr>
              <w:jc w:val="center"/>
              <w:rPr>
                <w:rFonts w:ascii="Arial Narrow" w:hAnsi="Arial Narrow"/>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2E8F8EF2" w14:textId="77777777"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Style w:val="Strong"/>
                <w:rFonts w:ascii="Arial Narrow" w:eastAsiaTheme="majorEastAsia" w:hAnsi="Arial Narrow" w:cs="Open Sans"/>
                <w:color w:val="333333"/>
                <w:sz w:val="20"/>
                <w:szCs w:val="20"/>
                <w:bdr w:val="none" w:sz="0" w:space="0" w:color="auto" w:frame="1"/>
              </w:rPr>
              <w:t>Administrative Advice:</w:t>
            </w:r>
          </w:p>
          <w:p w14:paraId="546BA238" w14:textId="77777777" w:rsidR="00925567" w:rsidRPr="00514177" w:rsidRDefault="00925567" w:rsidP="00F244C6">
            <w:pPr>
              <w:rPr>
                <w:rFonts w:ascii="Arial Narrow" w:hAnsi="Arial Narrow"/>
                <w:b/>
                <w:sz w:val="20"/>
                <w:szCs w:val="20"/>
              </w:rPr>
            </w:pPr>
            <w:r w:rsidRPr="00514177">
              <w:rPr>
                <w:rFonts w:ascii="Arial Narrow" w:hAnsi="Arial Narrow" w:cs="Open San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925567" w:rsidRPr="00514177" w14:paraId="1DC7F293"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37BC61FF" w14:textId="103174AC" w:rsidR="00925567" w:rsidRPr="00514177" w:rsidRDefault="00925567" w:rsidP="00F244C6">
            <w:pPr>
              <w:jc w:val="center"/>
              <w:rPr>
                <w:rFonts w:ascii="Arial Narrow" w:hAnsi="Arial Narrow"/>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510836EC" w14:textId="77777777"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Style w:val="Strong"/>
                <w:rFonts w:ascii="Arial Narrow" w:eastAsiaTheme="majorEastAsia" w:hAnsi="Arial Narrow" w:cs="Open Sans"/>
                <w:color w:val="333333"/>
                <w:sz w:val="20"/>
                <w:szCs w:val="20"/>
                <w:bdr w:val="none" w:sz="0" w:space="0" w:color="auto" w:frame="1"/>
              </w:rPr>
              <w:t>Administrative Advice:</w:t>
            </w:r>
          </w:p>
          <w:p w14:paraId="432FD9EB" w14:textId="77777777" w:rsidR="00925567" w:rsidRPr="00514177" w:rsidRDefault="00925567" w:rsidP="00F244C6">
            <w:pPr>
              <w:rPr>
                <w:rFonts w:ascii="Arial Narrow" w:hAnsi="Arial Narrow"/>
                <w:b/>
                <w:sz w:val="20"/>
                <w:szCs w:val="20"/>
              </w:rPr>
            </w:pPr>
            <w:r w:rsidRPr="00514177">
              <w:rPr>
                <w:rFonts w:ascii="Arial Narrow" w:hAnsi="Arial Narrow" w:cs="Open Sans"/>
                <w:color w:val="333333"/>
                <w:sz w:val="20"/>
                <w:szCs w:val="20"/>
              </w:rPr>
              <w:t>No increase in the maximum quantity or number of units may be authorised.</w:t>
            </w:r>
          </w:p>
        </w:tc>
      </w:tr>
      <w:tr w:rsidR="00925567" w:rsidRPr="00514177" w14:paraId="1591CAAC"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1AB1C1F4" w14:textId="54559917" w:rsidR="00925567" w:rsidRPr="00514177" w:rsidRDefault="00925567" w:rsidP="00F244C6">
            <w:pPr>
              <w:jc w:val="center"/>
              <w:rPr>
                <w:rFonts w:ascii="Arial Narrow" w:hAnsi="Arial Narrow"/>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306A6B3C" w14:textId="77777777"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Style w:val="Strong"/>
                <w:rFonts w:ascii="Arial Narrow" w:eastAsiaTheme="majorEastAsia" w:hAnsi="Arial Narrow" w:cs="Open Sans"/>
                <w:color w:val="333333"/>
                <w:sz w:val="20"/>
                <w:szCs w:val="20"/>
                <w:bdr w:val="none" w:sz="0" w:space="0" w:color="auto" w:frame="1"/>
              </w:rPr>
              <w:t>Administrative Advice:</w:t>
            </w:r>
          </w:p>
          <w:p w14:paraId="7DA09C1C" w14:textId="77777777" w:rsidR="00925567" w:rsidRPr="00514177" w:rsidRDefault="00925567" w:rsidP="00F244C6">
            <w:pPr>
              <w:rPr>
                <w:rFonts w:ascii="Arial Narrow" w:hAnsi="Arial Narrow"/>
                <w:b/>
                <w:sz w:val="20"/>
                <w:szCs w:val="20"/>
              </w:rPr>
            </w:pPr>
            <w:r w:rsidRPr="00514177">
              <w:rPr>
                <w:rFonts w:ascii="Arial Narrow" w:hAnsi="Arial Narrow" w:cs="Open Sans"/>
                <w:color w:val="333333"/>
                <w:sz w:val="20"/>
                <w:szCs w:val="20"/>
              </w:rPr>
              <w:t>No increase in the maximum number of repeats may be authorised.</w:t>
            </w:r>
          </w:p>
        </w:tc>
      </w:tr>
      <w:tr w:rsidR="00925567" w:rsidRPr="00514177" w14:paraId="19A6391B"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1518DC90" w14:textId="72DEE071"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75D23D00" w14:textId="77777777" w:rsidR="00925567" w:rsidRPr="00514177" w:rsidRDefault="00925567" w:rsidP="00F244C6">
            <w:pPr>
              <w:pStyle w:val="NormalWeb"/>
              <w:spacing w:before="0" w:after="0"/>
              <w:textAlignment w:val="baseline"/>
              <w:rPr>
                <w:rFonts w:ascii="Arial Narrow" w:hAnsi="Arial Narrow" w:cs="Open Sans"/>
                <w:color w:val="333333"/>
                <w:sz w:val="20"/>
                <w:szCs w:val="20"/>
              </w:rPr>
            </w:pPr>
            <w:r w:rsidRPr="00514177">
              <w:rPr>
                <w:rStyle w:val="Strong"/>
                <w:rFonts w:ascii="Arial Narrow" w:eastAsiaTheme="majorEastAsia" w:hAnsi="Arial Narrow" w:cs="Open Sans"/>
                <w:color w:val="333333"/>
                <w:sz w:val="20"/>
                <w:szCs w:val="20"/>
                <w:bdr w:val="none" w:sz="0" w:space="0" w:color="auto" w:frame="1"/>
              </w:rPr>
              <w:t>Indication:</w:t>
            </w:r>
          </w:p>
          <w:p w14:paraId="1D7B2E26" w14:textId="77777777" w:rsidR="00925567" w:rsidRPr="00514177" w:rsidRDefault="00925567" w:rsidP="00F244C6">
            <w:pPr>
              <w:pStyle w:val="NormalWeb"/>
              <w:spacing w:before="0" w:after="0"/>
              <w:textAlignment w:val="baseline"/>
              <w:rPr>
                <w:rStyle w:val="Strong"/>
                <w:rFonts w:ascii="Arial Narrow" w:eastAsiaTheme="majorEastAsia" w:hAnsi="Arial Narrow" w:cs="Open Sans"/>
                <w:color w:val="333333"/>
                <w:sz w:val="20"/>
                <w:szCs w:val="20"/>
                <w:bdr w:val="none" w:sz="0" w:space="0" w:color="auto" w:frame="1"/>
              </w:rPr>
            </w:pPr>
            <w:r w:rsidRPr="00514177">
              <w:rPr>
                <w:rFonts w:ascii="Arial Narrow" w:hAnsi="Arial Narrow" w:cs="Open Sans"/>
                <w:color w:val="333333"/>
                <w:sz w:val="20"/>
                <w:szCs w:val="20"/>
              </w:rPr>
              <w:t>Severe established osteoporosis</w:t>
            </w:r>
          </w:p>
        </w:tc>
      </w:tr>
      <w:tr w:rsidR="00925567" w:rsidRPr="00514177" w14:paraId="00F96158"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18E9775C" w14:textId="77777777"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4F94C0E3" w14:textId="77777777" w:rsidR="00925567" w:rsidRPr="00514177" w:rsidRDefault="00925567" w:rsidP="00F244C6">
            <w:pPr>
              <w:pStyle w:val="NormalWeb"/>
              <w:spacing w:before="0" w:after="0"/>
              <w:textAlignment w:val="baseline"/>
              <w:rPr>
                <w:rFonts w:ascii="Arial Narrow" w:eastAsiaTheme="majorEastAsia" w:hAnsi="Arial Narrow" w:cs="Open Sans"/>
                <w:color w:val="333333"/>
                <w:sz w:val="20"/>
                <w:szCs w:val="20"/>
                <w:bdr w:val="none" w:sz="0" w:space="0" w:color="auto" w:frame="1"/>
              </w:rPr>
            </w:pPr>
            <w:r w:rsidRPr="00514177">
              <w:rPr>
                <w:rFonts w:ascii="Arial Narrow" w:eastAsiaTheme="majorEastAsia" w:hAnsi="Arial Narrow" w:cs="Open Sans"/>
                <w:b/>
                <w:bCs/>
                <w:color w:val="333333"/>
                <w:sz w:val="20"/>
                <w:szCs w:val="20"/>
                <w:bdr w:val="none" w:sz="0" w:space="0" w:color="auto" w:frame="1"/>
              </w:rPr>
              <w:t>Treatment Phase:</w:t>
            </w:r>
            <w:r w:rsidRPr="00514177">
              <w:rPr>
                <w:rFonts w:ascii="Arial Narrow" w:eastAsiaTheme="majorEastAsia" w:hAnsi="Arial Narrow" w:cs="Open Sans"/>
                <w:color w:val="333333"/>
                <w:sz w:val="20"/>
                <w:szCs w:val="20"/>
                <w:bdr w:val="none" w:sz="0" w:space="0" w:color="auto" w:frame="1"/>
              </w:rPr>
              <w:t xml:space="preserve"> </w:t>
            </w:r>
          </w:p>
          <w:p w14:paraId="18B8B4B6" w14:textId="77777777" w:rsidR="00925567" w:rsidRPr="00514177" w:rsidRDefault="00925567" w:rsidP="00F244C6">
            <w:pPr>
              <w:pStyle w:val="NormalWeb"/>
              <w:spacing w:before="0" w:after="0"/>
              <w:textAlignment w:val="baseline"/>
              <w:rPr>
                <w:rStyle w:val="Strong"/>
                <w:rFonts w:ascii="Arial Narrow" w:eastAsiaTheme="majorEastAsia" w:hAnsi="Arial Narrow" w:cs="Open Sans"/>
                <w:b w:val="0"/>
                <w:bCs w:val="0"/>
                <w:color w:val="333333"/>
                <w:sz w:val="20"/>
                <w:szCs w:val="20"/>
                <w:bdr w:val="none" w:sz="0" w:space="0" w:color="auto" w:frame="1"/>
              </w:rPr>
            </w:pPr>
            <w:r w:rsidRPr="00514177">
              <w:rPr>
                <w:rFonts w:ascii="Arial Narrow" w:eastAsiaTheme="majorEastAsia" w:hAnsi="Arial Narrow" w:cs="Open Sans"/>
                <w:color w:val="333333"/>
                <w:sz w:val="20"/>
                <w:szCs w:val="20"/>
                <w:bdr w:val="none" w:sz="0" w:space="0" w:color="auto" w:frame="1"/>
              </w:rPr>
              <w:t>Continuing treatment - First-line therapy</w:t>
            </w:r>
          </w:p>
        </w:tc>
      </w:tr>
      <w:tr w:rsidR="00925567" w:rsidRPr="00514177" w14:paraId="155A8553"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7A181B6C" w14:textId="6B554E20"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09E0EFC1" w14:textId="77777777" w:rsidR="00925567" w:rsidRPr="00514177" w:rsidRDefault="00925567" w:rsidP="00F244C6">
            <w:pPr>
              <w:pStyle w:val="NormalWeb"/>
              <w:spacing w:before="0" w:after="0"/>
              <w:textAlignment w:val="baseline"/>
              <w:rPr>
                <w:rFonts w:ascii="Arial Narrow" w:eastAsiaTheme="majorEastAsia" w:hAnsi="Arial Narrow" w:cs="Open Sans"/>
                <w:b/>
                <w:bCs/>
                <w:color w:val="333333"/>
                <w:sz w:val="20"/>
                <w:szCs w:val="20"/>
                <w:bdr w:val="none" w:sz="0" w:space="0" w:color="auto" w:frame="1"/>
              </w:rPr>
            </w:pPr>
            <w:r w:rsidRPr="00514177">
              <w:rPr>
                <w:rStyle w:val="Strong"/>
                <w:rFonts w:ascii="Arial Narrow" w:eastAsiaTheme="majorEastAsia" w:hAnsi="Arial Narrow" w:cs="Open Sans"/>
                <w:color w:val="333333"/>
                <w:sz w:val="20"/>
                <w:szCs w:val="20"/>
                <w:bdr w:val="none" w:sz="0" w:space="0" w:color="auto" w:frame="1"/>
              </w:rPr>
              <w:t>Treatment criteria:</w:t>
            </w:r>
          </w:p>
        </w:tc>
      </w:tr>
      <w:tr w:rsidR="00925567" w:rsidRPr="00514177" w14:paraId="2972C33E"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4CB97C32" w14:textId="42A3243A"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02DE691A" w14:textId="77777777" w:rsidR="00925567" w:rsidRPr="00514177" w:rsidRDefault="00925567" w:rsidP="00F244C6">
            <w:pPr>
              <w:pStyle w:val="NormalWeb"/>
              <w:spacing w:before="0" w:after="0"/>
              <w:textAlignment w:val="baseline"/>
              <w:rPr>
                <w:rFonts w:ascii="Arial Narrow" w:eastAsiaTheme="majorEastAsia" w:hAnsi="Arial Narrow" w:cs="Open Sans"/>
                <w:b/>
                <w:bCs/>
                <w:color w:val="333333"/>
                <w:sz w:val="20"/>
                <w:szCs w:val="20"/>
                <w:bdr w:val="none" w:sz="0" w:space="0" w:color="auto" w:frame="1"/>
              </w:rPr>
            </w:pPr>
            <w:r w:rsidRPr="00514177">
              <w:rPr>
                <w:rFonts w:ascii="Arial Narrow" w:hAnsi="Arial Narrow" w:cs="Open Sans"/>
                <w:color w:val="333333"/>
                <w:sz w:val="20"/>
                <w:szCs w:val="20"/>
              </w:rPr>
              <w:t>Must be treated by a medical practitioner identifying as either: (i) a consultant physician, (ii) a general practitioner</w:t>
            </w:r>
          </w:p>
        </w:tc>
      </w:tr>
      <w:tr w:rsidR="00925567" w:rsidRPr="00514177" w14:paraId="50EC07E7"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32B8EF3A" w14:textId="07B18FA1"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7BBE5C68" w14:textId="77777777" w:rsidR="00925567" w:rsidRPr="00514177" w:rsidRDefault="00925567" w:rsidP="00F244C6">
            <w:pPr>
              <w:pStyle w:val="NormalWeb"/>
              <w:spacing w:before="0" w:after="0"/>
              <w:textAlignment w:val="baseline"/>
              <w:rPr>
                <w:rFonts w:ascii="Arial Narrow" w:eastAsiaTheme="majorEastAsia" w:hAnsi="Arial Narrow" w:cs="Open Sans"/>
                <w:b/>
                <w:bCs/>
                <w:color w:val="333333"/>
                <w:sz w:val="20"/>
                <w:szCs w:val="20"/>
                <w:bdr w:val="none" w:sz="0" w:space="0" w:color="auto" w:frame="1"/>
              </w:rPr>
            </w:pPr>
            <w:r w:rsidRPr="00514177">
              <w:rPr>
                <w:rStyle w:val="Strong"/>
                <w:rFonts w:ascii="Arial Narrow" w:eastAsiaTheme="majorEastAsia" w:hAnsi="Arial Narrow" w:cs="Open Sans"/>
                <w:color w:val="333333"/>
                <w:sz w:val="20"/>
                <w:szCs w:val="20"/>
                <w:bdr w:val="none" w:sz="0" w:space="0" w:color="auto" w:frame="1"/>
              </w:rPr>
              <w:t>Clinical criteria:</w:t>
            </w:r>
          </w:p>
        </w:tc>
      </w:tr>
      <w:tr w:rsidR="00925567" w:rsidRPr="00514177" w14:paraId="2023B953"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09F80828" w14:textId="41DFBCB3"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0B5D94D7" w14:textId="77777777" w:rsidR="00925567" w:rsidRPr="00514177" w:rsidRDefault="00925567" w:rsidP="00F244C6">
            <w:pPr>
              <w:pStyle w:val="NormalWeb"/>
              <w:spacing w:before="0" w:after="0"/>
              <w:textAlignment w:val="baseline"/>
              <w:rPr>
                <w:rFonts w:ascii="Arial Narrow" w:eastAsiaTheme="majorEastAsia" w:hAnsi="Arial Narrow" w:cs="Open Sans"/>
                <w:b/>
                <w:bCs/>
                <w:color w:val="333333"/>
                <w:sz w:val="20"/>
                <w:szCs w:val="20"/>
                <w:bdr w:val="none" w:sz="0" w:space="0" w:color="auto" w:frame="1"/>
              </w:rPr>
            </w:pPr>
            <w:r w:rsidRPr="00514177">
              <w:rPr>
                <w:rFonts w:ascii="Arial Narrow" w:hAnsi="Arial Narrow" w:cs="Open Sans"/>
                <w:color w:val="333333"/>
                <w:sz w:val="20"/>
                <w:szCs w:val="20"/>
              </w:rPr>
              <w:t>Patient must have previously received PBS-subsidised treatment with this drug for this condition as first-line therapy</w:t>
            </w:r>
          </w:p>
        </w:tc>
      </w:tr>
      <w:tr w:rsidR="00925567" w:rsidRPr="00514177" w14:paraId="389BCBDF"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158967FE" w14:textId="77777777"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53672FA6" w14:textId="77777777" w:rsidR="00925567" w:rsidRPr="00514177" w:rsidRDefault="00925567" w:rsidP="00F244C6">
            <w:pPr>
              <w:pStyle w:val="NormalWeb"/>
              <w:spacing w:before="0" w:after="0"/>
              <w:textAlignment w:val="baseline"/>
              <w:rPr>
                <w:rFonts w:ascii="Arial Narrow" w:eastAsiaTheme="majorEastAsia" w:hAnsi="Arial Narrow" w:cs="Open Sans"/>
                <w:b/>
                <w:bCs/>
                <w:color w:val="333333"/>
                <w:sz w:val="20"/>
                <w:szCs w:val="20"/>
                <w:bdr w:val="none" w:sz="0" w:space="0" w:color="auto" w:frame="1"/>
              </w:rPr>
            </w:pPr>
            <w:r w:rsidRPr="00514177">
              <w:rPr>
                <w:rStyle w:val="Strong"/>
                <w:rFonts w:ascii="Arial Narrow" w:eastAsiaTheme="majorEastAsia" w:hAnsi="Arial Narrow" w:cs="Open Sans"/>
                <w:color w:val="333333"/>
                <w:sz w:val="20"/>
                <w:szCs w:val="20"/>
                <w:bdr w:val="none" w:sz="0" w:space="0" w:color="auto" w:frame="1"/>
              </w:rPr>
              <w:t>AND</w:t>
            </w:r>
          </w:p>
        </w:tc>
      </w:tr>
      <w:tr w:rsidR="00925567" w:rsidRPr="00514177" w14:paraId="42EAD1E0"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4BE8F850" w14:textId="3F56F51F"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438AE7C9" w14:textId="77777777" w:rsidR="00925567" w:rsidRPr="00514177" w:rsidRDefault="00925567" w:rsidP="00F244C6">
            <w:pPr>
              <w:pStyle w:val="NormalWeb"/>
              <w:spacing w:before="0" w:after="0"/>
              <w:textAlignment w:val="baseline"/>
              <w:rPr>
                <w:rFonts w:ascii="Arial Narrow" w:eastAsiaTheme="majorEastAsia" w:hAnsi="Arial Narrow" w:cs="Open Sans"/>
                <w:b/>
                <w:bCs/>
                <w:color w:val="333333"/>
                <w:sz w:val="20"/>
                <w:szCs w:val="20"/>
                <w:bdr w:val="none" w:sz="0" w:space="0" w:color="auto" w:frame="1"/>
              </w:rPr>
            </w:pPr>
            <w:r w:rsidRPr="00514177">
              <w:rPr>
                <w:rStyle w:val="Strong"/>
                <w:rFonts w:ascii="Arial Narrow" w:eastAsiaTheme="majorEastAsia" w:hAnsi="Arial Narrow" w:cs="Open Sans"/>
                <w:color w:val="333333"/>
                <w:sz w:val="20"/>
                <w:szCs w:val="20"/>
                <w:bdr w:val="none" w:sz="0" w:space="0" w:color="auto" w:frame="1"/>
              </w:rPr>
              <w:t>Clinical criteria:</w:t>
            </w:r>
          </w:p>
        </w:tc>
      </w:tr>
      <w:tr w:rsidR="00925567" w:rsidRPr="00514177" w14:paraId="2D905E3C"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45825FA2" w14:textId="060674CA"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359B9ADA" w14:textId="77777777" w:rsidR="00925567" w:rsidRPr="00514177" w:rsidRDefault="00925567" w:rsidP="00F244C6">
            <w:pPr>
              <w:pStyle w:val="NormalWeb"/>
              <w:spacing w:before="0" w:after="0"/>
              <w:textAlignment w:val="baseline"/>
              <w:rPr>
                <w:rFonts w:ascii="Arial Narrow" w:eastAsiaTheme="majorEastAsia" w:hAnsi="Arial Narrow" w:cs="Open Sans"/>
                <w:b/>
                <w:bCs/>
                <w:color w:val="333333"/>
                <w:sz w:val="20"/>
                <w:szCs w:val="20"/>
                <w:bdr w:val="none" w:sz="0" w:space="0" w:color="auto" w:frame="1"/>
              </w:rPr>
            </w:pPr>
            <w:r w:rsidRPr="00514177">
              <w:rPr>
                <w:rFonts w:ascii="Arial Narrow" w:hAnsi="Arial Narrow" w:cs="Open Sans"/>
                <w:color w:val="333333"/>
                <w:sz w:val="20"/>
                <w:szCs w:val="20"/>
              </w:rPr>
              <w:t>The treatment must be the sole PBS-subsidised therapy for this condition</w:t>
            </w:r>
          </w:p>
        </w:tc>
      </w:tr>
      <w:tr w:rsidR="00925567" w:rsidRPr="00514177" w14:paraId="5BBDE3A9"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167BF0C0" w14:textId="77777777"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2BCFBE22" w14:textId="77777777" w:rsidR="00925567" w:rsidRPr="00514177" w:rsidRDefault="00925567" w:rsidP="00F244C6">
            <w:pPr>
              <w:pStyle w:val="NormalWeb"/>
              <w:spacing w:before="0" w:after="0"/>
              <w:textAlignment w:val="baseline"/>
              <w:rPr>
                <w:rFonts w:ascii="Arial Narrow" w:eastAsiaTheme="majorEastAsia" w:hAnsi="Arial Narrow" w:cs="Open Sans"/>
                <w:b/>
                <w:bCs/>
                <w:color w:val="333333"/>
                <w:sz w:val="20"/>
                <w:szCs w:val="20"/>
                <w:bdr w:val="none" w:sz="0" w:space="0" w:color="auto" w:frame="1"/>
              </w:rPr>
            </w:pPr>
            <w:r w:rsidRPr="00514177">
              <w:rPr>
                <w:rStyle w:val="Strong"/>
                <w:rFonts w:ascii="Arial Narrow" w:eastAsiaTheme="majorEastAsia" w:hAnsi="Arial Narrow" w:cs="Open Sans"/>
                <w:color w:val="333333"/>
                <w:sz w:val="20"/>
                <w:szCs w:val="20"/>
                <w:bdr w:val="none" w:sz="0" w:space="0" w:color="auto" w:frame="1"/>
              </w:rPr>
              <w:t>AND</w:t>
            </w:r>
          </w:p>
        </w:tc>
      </w:tr>
      <w:tr w:rsidR="00925567" w:rsidRPr="00514177" w14:paraId="5F7E84FF"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1ED3A4E9" w14:textId="40BB2AA5"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386A424E" w14:textId="77777777" w:rsidR="00925567" w:rsidRPr="00514177" w:rsidRDefault="00925567" w:rsidP="00F244C6">
            <w:pPr>
              <w:pStyle w:val="NormalWeb"/>
              <w:spacing w:before="0" w:after="0"/>
              <w:textAlignment w:val="baseline"/>
              <w:rPr>
                <w:rFonts w:ascii="Arial Narrow" w:eastAsiaTheme="majorEastAsia" w:hAnsi="Arial Narrow" w:cs="Open Sans"/>
                <w:b/>
                <w:bCs/>
                <w:color w:val="333333"/>
                <w:sz w:val="20"/>
                <w:szCs w:val="20"/>
                <w:bdr w:val="none" w:sz="0" w:space="0" w:color="auto" w:frame="1"/>
              </w:rPr>
            </w:pPr>
            <w:r w:rsidRPr="00514177">
              <w:rPr>
                <w:rStyle w:val="Strong"/>
                <w:rFonts w:ascii="Arial Narrow" w:eastAsiaTheme="majorEastAsia" w:hAnsi="Arial Narrow" w:cs="Open Sans"/>
                <w:color w:val="333333"/>
                <w:sz w:val="20"/>
                <w:szCs w:val="20"/>
                <w:bdr w:val="none" w:sz="0" w:space="0" w:color="auto" w:frame="1"/>
              </w:rPr>
              <w:t>Clinical criteria:</w:t>
            </w:r>
          </w:p>
        </w:tc>
      </w:tr>
      <w:tr w:rsidR="00925567" w:rsidRPr="00514177" w14:paraId="3C476AB6"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13C1229A" w14:textId="675FDDCC" w:rsidR="00925567" w:rsidRPr="00514177" w:rsidRDefault="00925567"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73591A00" w14:textId="5FC3673E" w:rsidR="00925567" w:rsidRPr="00514177" w:rsidRDefault="00925567" w:rsidP="00F244C6">
            <w:pPr>
              <w:pStyle w:val="NormalWeb"/>
              <w:spacing w:before="0" w:after="0"/>
              <w:textAlignment w:val="baseline"/>
              <w:rPr>
                <w:rFonts w:ascii="Arial Narrow" w:eastAsiaTheme="majorEastAsia" w:hAnsi="Arial Narrow" w:cs="Open Sans"/>
                <w:b/>
                <w:bCs/>
                <w:color w:val="333333"/>
                <w:sz w:val="20"/>
                <w:szCs w:val="20"/>
                <w:bdr w:val="none" w:sz="0" w:space="0" w:color="auto" w:frame="1"/>
              </w:rPr>
            </w:pPr>
            <w:r w:rsidRPr="00514177">
              <w:rPr>
                <w:rFonts w:ascii="Arial Narrow" w:hAnsi="Arial Narrow" w:cs="Open Sans"/>
                <w:color w:val="333333"/>
                <w:sz w:val="20"/>
                <w:szCs w:val="20"/>
              </w:rPr>
              <w:t>The treatment must not exceed a lifetime maximum of 18 months of PBS and non-PBS-subsidised therapy</w:t>
            </w:r>
            <w:r w:rsidR="000A608C">
              <w:rPr>
                <w:rFonts w:ascii="Arial Narrow" w:hAnsi="Arial Narrow" w:cs="Open Sans"/>
                <w:color w:val="333333"/>
                <w:sz w:val="20"/>
                <w:szCs w:val="20"/>
              </w:rPr>
              <w:t xml:space="preserve"> with this drug for this condition</w:t>
            </w:r>
          </w:p>
        </w:tc>
      </w:tr>
    </w:tbl>
    <w:p w14:paraId="49F75BA7" w14:textId="77777777" w:rsidR="000A608C" w:rsidRDefault="000A608C" w:rsidP="000B3CB9">
      <w:pPr>
        <w:jc w:val="left"/>
        <w:rPr>
          <w:b/>
          <w:bCs/>
          <w:snapToGrid w:val="0"/>
        </w:rPr>
      </w:pPr>
    </w:p>
    <w:p w14:paraId="626EC705" w14:textId="1E3A9F20" w:rsidR="00D56480" w:rsidRPr="00D56480" w:rsidRDefault="00D56480" w:rsidP="000B3CB9">
      <w:pPr>
        <w:jc w:val="left"/>
        <w:rPr>
          <w:b/>
          <w:bCs/>
          <w:snapToGrid w:val="0"/>
        </w:rPr>
      </w:pPr>
      <w:r w:rsidRPr="00D56480">
        <w:rPr>
          <w:b/>
          <w:bCs/>
          <w:snapToGrid w:val="0"/>
        </w:rPr>
        <w:t>Second-line initial and continuing listings</w:t>
      </w:r>
    </w:p>
    <w:tbl>
      <w:tblPr>
        <w:tblW w:w="5011"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commended listing: second-line initial and continuing listings"/>
      </w:tblPr>
      <w:tblGrid>
        <w:gridCol w:w="19"/>
        <w:gridCol w:w="976"/>
        <w:gridCol w:w="2847"/>
        <w:gridCol w:w="1108"/>
        <w:gridCol w:w="846"/>
        <w:gridCol w:w="705"/>
        <w:gridCol w:w="705"/>
        <w:gridCol w:w="1831"/>
      </w:tblGrid>
      <w:tr w:rsidR="00D56480" w:rsidRPr="00D56480" w14:paraId="322F8429" w14:textId="77777777" w:rsidTr="00F244C6">
        <w:trPr>
          <w:gridBefore w:val="1"/>
          <w:wBefore w:w="11" w:type="pct"/>
          <w:cantSplit/>
          <w:trHeight w:val="471"/>
        </w:trPr>
        <w:tc>
          <w:tcPr>
            <w:tcW w:w="2115" w:type="pct"/>
            <w:gridSpan w:val="2"/>
          </w:tcPr>
          <w:p w14:paraId="4214322E" w14:textId="77777777" w:rsidR="00D56480" w:rsidRPr="00D56480" w:rsidRDefault="00D56480" w:rsidP="00F244C6">
            <w:pPr>
              <w:keepNext/>
              <w:ind w:left="-57"/>
              <w:rPr>
                <w:rFonts w:ascii="Arial Narrow" w:hAnsi="Arial Narrow"/>
                <w:b/>
                <w:bCs/>
                <w:sz w:val="20"/>
                <w:szCs w:val="20"/>
              </w:rPr>
            </w:pPr>
            <w:r w:rsidRPr="00D56480">
              <w:rPr>
                <w:rFonts w:ascii="Arial Narrow" w:hAnsi="Arial Narrow"/>
                <w:b/>
                <w:bCs/>
                <w:sz w:val="20"/>
                <w:szCs w:val="20"/>
              </w:rPr>
              <w:t>MEDICINAL PRODUCT</w:t>
            </w:r>
          </w:p>
          <w:p w14:paraId="1BD5E7F4" w14:textId="77777777" w:rsidR="00D56480" w:rsidRPr="00D56480" w:rsidRDefault="00D56480" w:rsidP="00F244C6">
            <w:pPr>
              <w:keepNext/>
              <w:ind w:left="-57"/>
              <w:rPr>
                <w:rFonts w:ascii="Arial Narrow" w:hAnsi="Arial Narrow"/>
                <w:b/>
                <w:sz w:val="20"/>
                <w:szCs w:val="20"/>
              </w:rPr>
            </w:pPr>
            <w:r w:rsidRPr="00D56480">
              <w:rPr>
                <w:rFonts w:ascii="Arial Narrow" w:hAnsi="Arial Narrow"/>
                <w:b/>
                <w:bCs/>
                <w:sz w:val="20"/>
                <w:szCs w:val="20"/>
              </w:rPr>
              <w:t>medicinal product pack</w:t>
            </w:r>
          </w:p>
        </w:tc>
        <w:tc>
          <w:tcPr>
            <w:tcW w:w="613" w:type="pct"/>
          </w:tcPr>
          <w:p w14:paraId="78303BED" w14:textId="77777777" w:rsidR="00D56480" w:rsidRPr="00D56480" w:rsidRDefault="00D56480" w:rsidP="00F244C6">
            <w:pPr>
              <w:keepNext/>
              <w:ind w:left="-108"/>
              <w:jc w:val="center"/>
              <w:rPr>
                <w:rFonts w:ascii="Arial Narrow" w:hAnsi="Arial Narrow"/>
                <w:b/>
                <w:sz w:val="20"/>
                <w:szCs w:val="20"/>
              </w:rPr>
            </w:pPr>
            <w:r w:rsidRPr="00D56480">
              <w:rPr>
                <w:rFonts w:ascii="Arial Narrow" w:hAnsi="Arial Narrow"/>
                <w:b/>
                <w:sz w:val="20"/>
                <w:szCs w:val="20"/>
              </w:rPr>
              <w:t>PBS item code</w:t>
            </w:r>
          </w:p>
        </w:tc>
        <w:tc>
          <w:tcPr>
            <w:tcW w:w="468" w:type="pct"/>
          </w:tcPr>
          <w:p w14:paraId="6D77ED74" w14:textId="77777777" w:rsidR="00D56480" w:rsidRPr="00D56480" w:rsidRDefault="00D56480" w:rsidP="00F244C6">
            <w:pPr>
              <w:keepNext/>
              <w:ind w:left="-108"/>
              <w:jc w:val="center"/>
              <w:rPr>
                <w:rFonts w:ascii="Arial Narrow" w:hAnsi="Arial Narrow"/>
                <w:b/>
                <w:sz w:val="20"/>
                <w:szCs w:val="20"/>
              </w:rPr>
            </w:pPr>
            <w:r w:rsidRPr="00D56480">
              <w:rPr>
                <w:rFonts w:ascii="Arial Narrow" w:hAnsi="Arial Narrow"/>
                <w:b/>
                <w:sz w:val="20"/>
                <w:szCs w:val="20"/>
              </w:rPr>
              <w:t>Max. qty packs</w:t>
            </w:r>
          </w:p>
        </w:tc>
        <w:tc>
          <w:tcPr>
            <w:tcW w:w="390" w:type="pct"/>
          </w:tcPr>
          <w:p w14:paraId="2CDD6CCF" w14:textId="77777777" w:rsidR="00D56480" w:rsidRPr="00D56480" w:rsidRDefault="00D56480" w:rsidP="00F244C6">
            <w:pPr>
              <w:keepNext/>
              <w:ind w:left="-108"/>
              <w:jc w:val="center"/>
              <w:rPr>
                <w:rFonts w:ascii="Arial Narrow" w:hAnsi="Arial Narrow"/>
                <w:b/>
                <w:sz w:val="20"/>
                <w:szCs w:val="20"/>
              </w:rPr>
            </w:pPr>
            <w:r w:rsidRPr="00D56480">
              <w:rPr>
                <w:rFonts w:ascii="Arial Narrow" w:hAnsi="Arial Narrow"/>
                <w:b/>
                <w:sz w:val="20"/>
                <w:szCs w:val="20"/>
              </w:rPr>
              <w:t>Max. qty units</w:t>
            </w:r>
          </w:p>
        </w:tc>
        <w:tc>
          <w:tcPr>
            <w:tcW w:w="390" w:type="pct"/>
          </w:tcPr>
          <w:p w14:paraId="45A409CE" w14:textId="77777777" w:rsidR="00D56480" w:rsidRPr="00D56480" w:rsidRDefault="00D56480" w:rsidP="00F244C6">
            <w:pPr>
              <w:keepNext/>
              <w:ind w:left="-108"/>
              <w:jc w:val="center"/>
              <w:rPr>
                <w:rFonts w:ascii="Arial Narrow" w:hAnsi="Arial Narrow"/>
                <w:b/>
                <w:sz w:val="20"/>
                <w:szCs w:val="20"/>
              </w:rPr>
            </w:pPr>
            <w:r w:rsidRPr="00D56480">
              <w:rPr>
                <w:rFonts w:ascii="Arial Narrow" w:hAnsi="Arial Narrow"/>
                <w:b/>
                <w:sz w:val="20"/>
                <w:szCs w:val="20"/>
              </w:rPr>
              <w:t>№.of</w:t>
            </w:r>
          </w:p>
          <w:p w14:paraId="4118FE0D" w14:textId="77777777" w:rsidR="00D56480" w:rsidRPr="00D56480" w:rsidRDefault="00D56480" w:rsidP="00F244C6">
            <w:pPr>
              <w:keepNext/>
              <w:ind w:left="-108"/>
              <w:jc w:val="center"/>
              <w:rPr>
                <w:rFonts w:ascii="Arial Narrow" w:hAnsi="Arial Narrow"/>
                <w:b/>
                <w:sz w:val="20"/>
                <w:szCs w:val="20"/>
              </w:rPr>
            </w:pPr>
            <w:r w:rsidRPr="00D56480">
              <w:rPr>
                <w:rFonts w:ascii="Arial Narrow" w:hAnsi="Arial Narrow"/>
                <w:b/>
                <w:sz w:val="20"/>
                <w:szCs w:val="20"/>
              </w:rPr>
              <w:t>Rpts</w:t>
            </w:r>
          </w:p>
        </w:tc>
        <w:tc>
          <w:tcPr>
            <w:tcW w:w="1013" w:type="pct"/>
          </w:tcPr>
          <w:p w14:paraId="76D706DF" w14:textId="77777777" w:rsidR="00D56480" w:rsidRPr="00D56480" w:rsidRDefault="00D56480" w:rsidP="00F244C6">
            <w:pPr>
              <w:keepNext/>
              <w:rPr>
                <w:rFonts w:ascii="Arial Narrow" w:hAnsi="Arial Narrow"/>
                <w:b/>
                <w:sz w:val="20"/>
                <w:szCs w:val="20"/>
                <w:lang w:val="fr-FR"/>
              </w:rPr>
            </w:pPr>
            <w:r w:rsidRPr="00D56480">
              <w:rPr>
                <w:rFonts w:ascii="Arial Narrow" w:hAnsi="Arial Narrow"/>
                <w:b/>
                <w:sz w:val="20"/>
                <w:szCs w:val="20"/>
              </w:rPr>
              <w:t>Available brands</w:t>
            </w:r>
          </w:p>
        </w:tc>
      </w:tr>
      <w:tr w:rsidR="00D56480" w:rsidRPr="00D56480" w14:paraId="3915F886" w14:textId="77777777" w:rsidTr="00F244C6">
        <w:trPr>
          <w:gridBefore w:val="1"/>
          <w:wBefore w:w="11" w:type="pct"/>
          <w:cantSplit/>
          <w:trHeight w:val="224"/>
        </w:trPr>
        <w:tc>
          <w:tcPr>
            <w:tcW w:w="4989" w:type="pct"/>
            <w:gridSpan w:val="7"/>
          </w:tcPr>
          <w:p w14:paraId="63EDE924" w14:textId="77777777" w:rsidR="00D56480" w:rsidRPr="00D56480" w:rsidRDefault="00D56480" w:rsidP="00F244C6">
            <w:pPr>
              <w:keepNext/>
              <w:ind w:left="-57"/>
              <w:rPr>
                <w:rFonts w:ascii="Arial Narrow" w:hAnsi="Arial Narrow"/>
                <w:sz w:val="20"/>
                <w:szCs w:val="20"/>
              </w:rPr>
            </w:pPr>
            <w:r w:rsidRPr="00D56480">
              <w:rPr>
                <w:rFonts w:ascii="Arial Narrow" w:hAnsi="Arial Narrow"/>
                <w:sz w:val="20"/>
                <w:szCs w:val="20"/>
              </w:rPr>
              <w:t>ABALOPARATIDE</w:t>
            </w:r>
          </w:p>
        </w:tc>
      </w:tr>
      <w:tr w:rsidR="00D56480" w:rsidRPr="00D56480" w14:paraId="60F4FA51" w14:textId="77777777" w:rsidTr="00F244C6">
        <w:trPr>
          <w:gridBefore w:val="1"/>
          <w:wBefore w:w="11" w:type="pct"/>
          <w:cantSplit/>
          <w:trHeight w:val="347"/>
        </w:trPr>
        <w:tc>
          <w:tcPr>
            <w:tcW w:w="2115" w:type="pct"/>
            <w:gridSpan w:val="2"/>
          </w:tcPr>
          <w:p w14:paraId="1AEBFC7B" w14:textId="77777777" w:rsidR="00D56480" w:rsidRPr="00D56480" w:rsidRDefault="00D56480" w:rsidP="00F244C6">
            <w:pPr>
              <w:keepNext/>
              <w:rPr>
                <w:rFonts w:ascii="Arial Narrow" w:hAnsi="Arial Narrow"/>
                <w:sz w:val="20"/>
                <w:szCs w:val="20"/>
              </w:rPr>
            </w:pPr>
            <w:r w:rsidRPr="00D56480">
              <w:rPr>
                <w:rFonts w:ascii="Arial Narrow" w:hAnsi="Arial Narrow"/>
                <w:sz w:val="20"/>
                <w:szCs w:val="20"/>
              </w:rPr>
              <w:t>abaloparatide, 2 mg/mL injection, 1.5 mL pen device</w:t>
            </w:r>
          </w:p>
        </w:tc>
        <w:tc>
          <w:tcPr>
            <w:tcW w:w="613" w:type="pct"/>
          </w:tcPr>
          <w:p w14:paraId="6A41BF51" w14:textId="77777777" w:rsidR="00D56480" w:rsidRPr="00D56480" w:rsidRDefault="00D56480" w:rsidP="00F244C6">
            <w:pPr>
              <w:keepNext/>
              <w:jc w:val="center"/>
              <w:rPr>
                <w:rFonts w:ascii="Arial Narrow" w:hAnsi="Arial Narrow"/>
                <w:sz w:val="20"/>
                <w:szCs w:val="20"/>
              </w:rPr>
            </w:pPr>
            <w:r w:rsidRPr="00D56480">
              <w:rPr>
                <w:rFonts w:ascii="Arial Narrow" w:hAnsi="Arial Narrow"/>
                <w:sz w:val="20"/>
                <w:szCs w:val="20"/>
              </w:rPr>
              <w:t>NEW (GE)</w:t>
            </w:r>
          </w:p>
        </w:tc>
        <w:tc>
          <w:tcPr>
            <w:tcW w:w="468" w:type="pct"/>
          </w:tcPr>
          <w:p w14:paraId="77556EF3" w14:textId="77777777" w:rsidR="00D56480" w:rsidRPr="00D56480" w:rsidRDefault="00D56480" w:rsidP="00F244C6">
            <w:pPr>
              <w:keepNext/>
              <w:jc w:val="center"/>
              <w:rPr>
                <w:rFonts w:ascii="Arial Narrow" w:hAnsi="Arial Narrow"/>
                <w:sz w:val="20"/>
                <w:szCs w:val="20"/>
              </w:rPr>
            </w:pPr>
            <w:r w:rsidRPr="00D56480">
              <w:rPr>
                <w:rFonts w:ascii="Arial Narrow" w:hAnsi="Arial Narrow"/>
                <w:sz w:val="20"/>
                <w:szCs w:val="20"/>
              </w:rPr>
              <w:t>1</w:t>
            </w:r>
          </w:p>
        </w:tc>
        <w:tc>
          <w:tcPr>
            <w:tcW w:w="390" w:type="pct"/>
          </w:tcPr>
          <w:p w14:paraId="238E4907" w14:textId="77777777" w:rsidR="00D56480" w:rsidRPr="00D56480" w:rsidRDefault="00D56480" w:rsidP="00F244C6">
            <w:pPr>
              <w:keepNext/>
              <w:jc w:val="center"/>
              <w:rPr>
                <w:rFonts w:ascii="Arial Narrow" w:hAnsi="Arial Narrow"/>
                <w:sz w:val="20"/>
                <w:szCs w:val="20"/>
              </w:rPr>
            </w:pPr>
            <w:r w:rsidRPr="00D56480">
              <w:rPr>
                <w:rFonts w:ascii="Arial Narrow" w:hAnsi="Arial Narrow"/>
                <w:sz w:val="20"/>
                <w:szCs w:val="20"/>
              </w:rPr>
              <w:t>1</w:t>
            </w:r>
          </w:p>
        </w:tc>
        <w:tc>
          <w:tcPr>
            <w:tcW w:w="390" w:type="pct"/>
          </w:tcPr>
          <w:p w14:paraId="249468FC" w14:textId="77777777" w:rsidR="00D56480" w:rsidRPr="00D56480" w:rsidRDefault="00D56480" w:rsidP="00F244C6">
            <w:pPr>
              <w:keepNext/>
              <w:jc w:val="center"/>
              <w:rPr>
                <w:rFonts w:ascii="Arial Narrow" w:hAnsi="Arial Narrow"/>
                <w:sz w:val="20"/>
                <w:szCs w:val="20"/>
              </w:rPr>
            </w:pPr>
            <w:r w:rsidRPr="00D56480">
              <w:rPr>
                <w:rFonts w:ascii="Arial Narrow" w:hAnsi="Arial Narrow"/>
                <w:sz w:val="20"/>
                <w:szCs w:val="20"/>
              </w:rPr>
              <w:t>5</w:t>
            </w:r>
          </w:p>
        </w:tc>
        <w:tc>
          <w:tcPr>
            <w:tcW w:w="1013" w:type="pct"/>
            <w:vAlign w:val="center"/>
          </w:tcPr>
          <w:p w14:paraId="6C8C6469" w14:textId="77777777" w:rsidR="00D56480" w:rsidRPr="00D56480" w:rsidRDefault="00D56480" w:rsidP="00F244C6">
            <w:pPr>
              <w:keepNext/>
              <w:rPr>
                <w:rFonts w:ascii="Arial Narrow" w:hAnsi="Arial Narrow"/>
                <w:sz w:val="20"/>
                <w:szCs w:val="20"/>
              </w:rPr>
            </w:pPr>
            <w:r w:rsidRPr="00D56480">
              <w:rPr>
                <w:rFonts w:ascii="Arial Narrow" w:hAnsi="Arial Narrow"/>
                <w:sz w:val="20"/>
                <w:szCs w:val="20"/>
              </w:rPr>
              <w:t>Eladynos</w:t>
            </w:r>
          </w:p>
        </w:tc>
      </w:tr>
      <w:tr w:rsidR="00D56480" w:rsidRPr="00D56480" w14:paraId="2DDC5BC5" w14:textId="77777777" w:rsidTr="00F244C6">
        <w:trPr>
          <w:gridBefore w:val="1"/>
          <w:wBefore w:w="11" w:type="pct"/>
          <w:cantSplit/>
          <w:trHeight w:val="263"/>
        </w:trPr>
        <w:tc>
          <w:tcPr>
            <w:tcW w:w="4989" w:type="pct"/>
            <w:gridSpan w:val="7"/>
          </w:tcPr>
          <w:p w14:paraId="3133DE1A" w14:textId="77777777" w:rsidR="00D56480" w:rsidRPr="00D56480" w:rsidRDefault="00D56480" w:rsidP="00F244C6">
            <w:pPr>
              <w:keepNext/>
              <w:rPr>
                <w:rFonts w:ascii="Arial Narrow" w:hAnsi="Arial Narrow"/>
                <w:sz w:val="20"/>
                <w:szCs w:val="20"/>
              </w:rPr>
            </w:pPr>
          </w:p>
        </w:tc>
      </w:tr>
      <w:tr w:rsidR="00D56480" w:rsidRPr="00D56480" w14:paraId="582F7013" w14:textId="77777777" w:rsidTr="00F244C6">
        <w:trPr>
          <w:gridBefore w:val="1"/>
          <w:wBefore w:w="11" w:type="pct"/>
          <w:cantSplit/>
          <w:trHeight w:val="347"/>
        </w:trPr>
        <w:tc>
          <w:tcPr>
            <w:tcW w:w="4989" w:type="pct"/>
            <w:gridSpan w:val="7"/>
            <w:tcBorders>
              <w:top w:val="single" w:sz="4" w:space="0" w:color="auto"/>
              <w:left w:val="single" w:sz="4" w:space="0" w:color="auto"/>
              <w:bottom w:val="single" w:sz="4" w:space="0" w:color="auto"/>
              <w:right w:val="single" w:sz="4" w:space="0" w:color="auto"/>
            </w:tcBorders>
          </w:tcPr>
          <w:p w14:paraId="79B9639D" w14:textId="77777777" w:rsidR="00D56480" w:rsidRPr="00D56480" w:rsidRDefault="00D56480" w:rsidP="00F244C6">
            <w:pPr>
              <w:keepNext/>
              <w:rPr>
                <w:rFonts w:ascii="Arial Narrow" w:hAnsi="Arial Narrow"/>
                <w:sz w:val="20"/>
                <w:szCs w:val="20"/>
              </w:rPr>
            </w:pPr>
            <w:r w:rsidRPr="00D56480">
              <w:rPr>
                <w:rFonts w:ascii="Arial Narrow" w:hAnsi="Arial Narrow"/>
                <w:sz w:val="20"/>
                <w:szCs w:val="20"/>
              </w:rPr>
              <w:t>Restriction Summary [New 3] / Treatment of Concept: [New 3A]</w:t>
            </w:r>
          </w:p>
        </w:tc>
      </w:tr>
      <w:tr w:rsidR="00D56480" w:rsidRPr="00D56480" w14:paraId="4640E8E6" w14:textId="77777777" w:rsidTr="00F244C6">
        <w:tblPrEx>
          <w:tblCellMar>
            <w:top w:w="15" w:type="dxa"/>
            <w:left w:w="15" w:type="dxa"/>
            <w:bottom w:w="15" w:type="dxa"/>
            <w:right w:w="15" w:type="dxa"/>
          </w:tblCellMar>
          <w:tblLook w:val="04A0" w:firstRow="1" w:lastRow="0" w:firstColumn="1" w:lastColumn="0" w:noHBand="0" w:noVBand="1"/>
        </w:tblPrEx>
        <w:trPr>
          <w:trHeight w:val="228"/>
        </w:trPr>
        <w:tc>
          <w:tcPr>
            <w:tcW w:w="551" w:type="pct"/>
            <w:gridSpan w:val="2"/>
            <w:vMerge w:val="restart"/>
            <w:tcBorders>
              <w:top w:val="single" w:sz="4" w:space="0" w:color="auto"/>
              <w:left w:val="single" w:sz="4" w:space="0" w:color="auto"/>
              <w:right w:val="single" w:sz="4" w:space="0" w:color="auto"/>
            </w:tcBorders>
          </w:tcPr>
          <w:p w14:paraId="2EEB746D" w14:textId="77777777" w:rsidR="00D56480" w:rsidRPr="00D56480" w:rsidRDefault="00D56480" w:rsidP="00F244C6">
            <w:pPr>
              <w:jc w:val="center"/>
              <w:rPr>
                <w:rFonts w:ascii="Arial Narrow" w:hAnsi="Arial Narrow"/>
                <w:b/>
                <w:sz w:val="20"/>
                <w:szCs w:val="20"/>
              </w:rPr>
            </w:pPr>
            <w:r w:rsidRPr="00D56480">
              <w:rPr>
                <w:rFonts w:ascii="Arial Narrow" w:hAnsi="Arial Narrow"/>
                <w:b/>
                <w:sz w:val="20"/>
                <w:szCs w:val="20"/>
              </w:rPr>
              <w:t>Concept ID</w:t>
            </w:r>
          </w:p>
          <w:p w14:paraId="19DE462D" w14:textId="77777777" w:rsidR="00D56480" w:rsidRPr="00D56480" w:rsidRDefault="00D56480" w:rsidP="00F244C6">
            <w:pPr>
              <w:rPr>
                <w:rFonts w:ascii="Arial Narrow" w:hAnsi="Arial Narrow"/>
                <w:sz w:val="20"/>
                <w:szCs w:val="20"/>
              </w:rPr>
            </w:pPr>
          </w:p>
          <w:p w14:paraId="7F36F83F" w14:textId="77777777" w:rsidR="00D56480" w:rsidRPr="00D56480" w:rsidRDefault="00D56480" w:rsidP="00F244C6">
            <w:pPr>
              <w:jc w:val="center"/>
              <w:rPr>
                <w:rFonts w:ascii="Arial Narrow" w:hAnsi="Arial Narrow"/>
                <w:sz w:val="20"/>
                <w:szCs w:val="20"/>
              </w:rPr>
            </w:pPr>
            <w:r w:rsidRPr="00D56480">
              <w:rPr>
                <w:rFonts w:ascii="Arial Narrow" w:hAnsi="Arial Narrow"/>
                <w:sz w:val="20"/>
                <w:szCs w:val="20"/>
              </w:rPr>
              <w:t>(for internal Dept. use)</w:t>
            </w:r>
          </w:p>
        </w:tc>
        <w:tc>
          <w:tcPr>
            <w:tcW w:w="4449" w:type="pct"/>
            <w:gridSpan w:val="6"/>
            <w:tcBorders>
              <w:top w:val="single" w:sz="4" w:space="0" w:color="auto"/>
              <w:left w:val="single" w:sz="4" w:space="0" w:color="auto"/>
              <w:bottom w:val="single" w:sz="4" w:space="0" w:color="auto"/>
              <w:right w:val="single" w:sz="4" w:space="0" w:color="auto"/>
            </w:tcBorders>
          </w:tcPr>
          <w:p w14:paraId="7ADE8929" w14:textId="77777777" w:rsidR="00D56480" w:rsidRPr="00D56480" w:rsidRDefault="00D56480" w:rsidP="00F244C6">
            <w:pPr>
              <w:rPr>
                <w:rFonts w:ascii="Arial Narrow" w:hAnsi="Arial Narrow"/>
                <w:sz w:val="20"/>
                <w:szCs w:val="20"/>
              </w:rPr>
            </w:pPr>
            <w:r w:rsidRPr="00D56480">
              <w:rPr>
                <w:rFonts w:ascii="Arial Narrow" w:hAnsi="Arial Narrow"/>
                <w:b/>
                <w:sz w:val="20"/>
                <w:szCs w:val="20"/>
              </w:rPr>
              <w:t xml:space="preserve">Category / Program: </w:t>
            </w:r>
            <w:r w:rsidRPr="00D56480">
              <w:rPr>
                <w:rFonts w:ascii="Arial Narrow" w:hAnsi="Arial Narrow"/>
                <w:bCs/>
                <w:sz w:val="20"/>
                <w:szCs w:val="20"/>
              </w:rPr>
              <w:t>GENERAL - General Schedule (Code GE)</w:t>
            </w:r>
          </w:p>
        </w:tc>
      </w:tr>
      <w:tr w:rsidR="00D56480" w:rsidRPr="00D56480" w14:paraId="4471BCBC" w14:textId="77777777" w:rsidTr="00F244C6">
        <w:tblPrEx>
          <w:tblCellMar>
            <w:top w:w="15" w:type="dxa"/>
            <w:left w:w="15" w:type="dxa"/>
            <w:bottom w:w="15" w:type="dxa"/>
            <w:right w:w="15" w:type="dxa"/>
          </w:tblCellMar>
          <w:tblLook w:val="04A0" w:firstRow="1" w:lastRow="0" w:firstColumn="1" w:lastColumn="0" w:noHBand="0" w:noVBand="1"/>
        </w:tblPrEx>
        <w:trPr>
          <w:trHeight w:val="240"/>
        </w:trPr>
        <w:tc>
          <w:tcPr>
            <w:tcW w:w="551" w:type="pct"/>
            <w:gridSpan w:val="2"/>
            <w:vMerge/>
            <w:tcBorders>
              <w:left w:val="single" w:sz="4" w:space="0" w:color="auto"/>
              <w:right w:val="single" w:sz="4" w:space="0" w:color="auto"/>
            </w:tcBorders>
          </w:tcPr>
          <w:p w14:paraId="433394E6" w14:textId="77777777" w:rsidR="00D56480" w:rsidRPr="00D56480" w:rsidRDefault="00D56480" w:rsidP="00F244C6">
            <w:pPr>
              <w:rPr>
                <w:rFonts w:ascii="Arial Narrow" w:hAnsi="Arial Narrow"/>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2CE41120" w14:textId="77777777" w:rsidR="00D56480" w:rsidRPr="00D56480" w:rsidRDefault="00D56480" w:rsidP="00F244C6">
            <w:pPr>
              <w:rPr>
                <w:rFonts w:ascii="Arial Narrow" w:hAnsi="Arial Narrow"/>
                <w:b/>
                <w:sz w:val="20"/>
                <w:szCs w:val="20"/>
              </w:rPr>
            </w:pPr>
            <w:r w:rsidRPr="00D56480">
              <w:rPr>
                <w:rFonts w:ascii="Arial Narrow" w:hAnsi="Arial Narrow"/>
                <w:b/>
                <w:sz w:val="20"/>
                <w:szCs w:val="20"/>
              </w:rPr>
              <w:t>Prescriber type:</w:t>
            </w:r>
            <w:r w:rsidRPr="00D56480">
              <w:rPr>
                <w:rFonts w:ascii="Arial Narrow" w:hAnsi="Arial Narrow"/>
                <w:sz w:val="20"/>
                <w:szCs w:val="20"/>
              </w:rPr>
              <w:t xml:space="preserve"> </w:t>
            </w:r>
            <w:r w:rsidRPr="00D56480">
              <w:rPr>
                <w:rFonts w:ascii="Arial Narrow" w:hAnsi="Arial Narrow"/>
                <w:sz w:val="20"/>
                <w:szCs w:val="20"/>
              </w:rPr>
              <w:fldChar w:fldCharType="begin">
                <w:ffData>
                  <w:name w:val=""/>
                  <w:enabled/>
                  <w:calcOnExit w:val="0"/>
                  <w:checkBox>
                    <w:sizeAuto/>
                    <w:default w:val="1"/>
                  </w:checkBox>
                </w:ffData>
              </w:fldChar>
            </w:r>
            <w:r w:rsidRPr="00D56480">
              <w:rPr>
                <w:rFonts w:ascii="Arial Narrow" w:hAnsi="Arial Narrow"/>
                <w:sz w:val="20"/>
                <w:szCs w:val="20"/>
              </w:rPr>
              <w:instrText xml:space="preserve"> FORMCHECKBOX </w:instrText>
            </w:r>
            <w:r w:rsidRPr="00D56480">
              <w:rPr>
                <w:rFonts w:ascii="Arial Narrow" w:hAnsi="Arial Narrow"/>
                <w:sz w:val="20"/>
                <w:szCs w:val="20"/>
              </w:rPr>
            </w:r>
            <w:r w:rsidRPr="00D56480">
              <w:rPr>
                <w:rFonts w:ascii="Arial Narrow" w:hAnsi="Arial Narrow"/>
                <w:sz w:val="20"/>
                <w:szCs w:val="20"/>
              </w:rPr>
              <w:fldChar w:fldCharType="separate"/>
            </w:r>
            <w:r w:rsidRPr="00D56480">
              <w:rPr>
                <w:rFonts w:ascii="Arial Narrow" w:hAnsi="Arial Narrow"/>
                <w:sz w:val="20"/>
                <w:szCs w:val="20"/>
              </w:rPr>
              <w:fldChar w:fldCharType="end"/>
            </w:r>
            <w:r w:rsidRPr="00D56480">
              <w:rPr>
                <w:rFonts w:ascii="Arial Narrow" w:hAnsi="Arial Narrow"/>
                <w:sz w:val="20"/>
                <w:szCs w:val="20"/>
              </w:rPr>
              <w:t>Medical Practitioners</w:t>
            </w:r>
          </w:p>
        </w:tc>
      </w:tr>
      <w:tr w:rsidR="00D56480" w:rsidRPr="00D56480" w14:paraId="6875751F"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vMerge/>
            <w:tcBorders>
              <w:left w:val="single" w:sz="4" w:space="0" w:color="auto"/>
              <w:right w:val="single" w:sz="4" w:space="0" w:color="auto"/>
            </w:tcBorders>
          </w:tcPr>
          <w:p w14:paraId="5A625668" w14:textId="77777777" w:rsidR="00D56480" w:rsidRPr="00D56480" w:rsidRDefault="00D56480" w:rsidP="00F244C6">
            <w:pPr>
              <w:rPr>
                <w:rFonts w:ascii="Arial Narrow" w:hAnsi="Arial Narrow"/>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0999B305" w14:textId="77777777" w:rsidR="00D56480" w:rsidRPr="00D56480" w:rsidRDefault="00D56480" w:rsidP="00F244C6">
            <w:pPr>
              <w:rPr>
                <w:rFonts w:ascii="Arial Narrow" w:eastAsia="Calibri" w:hAnsi="Arial Narrow"/>
                <w:color w:val="FF00FF"/>
                <w:sz w:val="20"/>
                <w:szCs w:val="20"/>
              </w:rPr>
            </w:pPr>
            <w:r w:rsidRPr="00D56480">
              <w:rPr>
                <w:rFonts w:ascii="Arial Narrow" w:hAnsi="Arial Narrow"/>
                <w:b/>
                <w:sz w:val="20"/>
                <w:szCs w:val="20"/>
              </w:rPr>
              <w:t xml:space="preserve">Restriction type: </w:t>
            </w:r>
            <w:r w:rsidRPr="00D56480">
              <w:rPr>
                <w:rFonts w:ascii="Arial Narrow" w:eastAsia="Calibri" w:hAnsi="Arial Narrow"/>
                <w:sz w:val="20"/>
                <w:szCs w:val="20"/>
              </w:rPr>
              <w:fldChar w:fldCharType="begin">
                <w:ffData>
                  <w:name w:val=""/>
                  <w:enabled/>
                  <w:calcOnExit w:val="0"/>
                  <w:checkBox>
                    <w:sizeAuto/>
                    <w:default w:val="1"/>
                  </w:checkBox>
                </w:ffData>
              </w:fldChar>
            </w:r>
            <w:r w:rsidRPr="00D56480">
              <w:rPr>
                <w:rFonts w:ascii="Arial Narrow" w:eastAsia="Calibri" w:hAnsi="Arial Narrow"/>
                <w:sz w:val="20"/>
                <w:szCs w:val="20"/>
              </w:rPr>
              <w:instrText xml:space="preserve"> FORMCHECKBOX </w:instrText>
            </w:r>
            <w:r w:rsidRPr="00D56480">
              <w:rPr>
                <w:rFonts w:ascii="Arial Narrow" w:eastAsia="Calibri" w:hAnsi="Arial Narrow"/>
                <w:sz w:val="20"/>
                <w:szCs w:val="20"/>
              </w:rPr>
            </w:r>
            <w:r w:rsidRPr="00D56480">
              <w:rPr>
                <w:rFonts w:ascii="Arial Narrow" w:eastAsia="Calibri" w:hAnsi="Arial Narrow"/>
                <w:sz w:val="20"/>
                <w:szCs w:val="20"/>
              </w:rPr>
              <w:fldChar w:fldCharType="separate"/>
            </w:r>
            <w:r w:rsidRPr="00D56480">
              <w:rPr>
                <w:rFonts w:ascii="Arial Narrow" w:eastAsia="Calibri" w:hAnsi="Arial Narrow"/>
                <w:sz w:val="20"/>
                <w:szCs w:val="20"/>
              </w:rPr>
              <w:fldChar w:fldCharType="end"/>
            </w:r>
            <w:r w:rsidRPr="00D56480">
              <w:rPr>
                <w:rFonts w:ascii="Arial Narrow" w:eastAsia="Calibri" w:hAnsi="Arial Narrow"/>
                <w:sz w:val="20"/>
                <w:szCs w:val="20"/>
              </w:rPr>
              <w:t xml:space="preserve"> Authority Required: Telephone/Electronic</w:t>
            </w:r>
          </w:p>
        </w:tc>
      </w:tr>
      <w:tr w:rsidR="00D56480" w:rsidRPr="00D56480" w14:paraId="59F74677"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7D1B09D7" w14:textId="63CCBD7D" w:rsidR="00D56480" w:rsidRPr="00D56480" w:rsidRDefault="00D56480" w:rsidP="00F244C6">
            <w:pPr>
              <w:jc w:val="center"/>
              <w:rPr>
                <w:rFonts w:ascii="Arial Narrow" w:hAnsi="Arial Narrow"/>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1155664F" w14:textId="77777777" w:rsidR="00D56480" w:rsidRPr="00D56480" w:rsidRDefault="00D56480" w:rsidP="00F244C6">
            <w:pPr>
              <w:textAlignment w:val="baseline"/>
              <w:rPr>
                <w:rFonts w:ascii="Arial Narrow" w:hAnsi="Arial Narrow" w:cs="Open Sans"/>
                <w:snapToGrid w:val="0"/>
                <w:color w:val="333333"/>
                <w:sz w:val="20"/>
                <w:szCs w:val="20"/>
                <w:lang w:val="en-GB"/>
              </w:rPr>
            </w:pPr>
            <w:r w:rsidRPr="00D56480">
              <w:rPr>
                <w:rFonts w:ascii="Arial Narrow" w:eastAsia="MS Gothic" w:hAnsi="Arial Narrow" w:cs="Open Sans"/>
                <w:b/>
                <w:bCs/>
                <w:snapToGrid w:val="0"/>
                <w:color w:val="333333"/>
                <w:sz w:val="20"/>
                <w:szCs w:val="20"/>
                <w:bdr w:val="none" w:sz="0" w:space="0" w:color="auto" w:frame="1"/>
                <w:lang w:val="en-GB"/>
              </w:rPr>
              <w:t>Administrative Advice:</w:t>
            </w:r>
          </w:p>
          <w:p w14:paraId="14429914" w14:textId="77777777" w:rsidR="00D56480" w:rsidRPr="00D56480" w:rsidRDefault="00D56480" w:rsidP="00F244C6">
            <w:pPr>
              <w:rPr>
                <w:rFonts w:ascii="Arial Narrow" w:hAnsi="Arial Narrow"/>
                <w:b/>
                <w:sz w:val="20"/>
                <w:szCs w:val="20"/>
              </w:rPr>
            </w:pPr>
            <w:r w:rsidRPr="00D56480">
              <w:rPr>
                <w:rFonts w:ascii="Arial Narrow" w:hAnsi="Arial Narrow" w:cs="Open San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D56480" w:rsidRPr="00D56480" w14:paraId="4725059E"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7E5737E4" w14:textId="408E5135" w:rsidR="00D56480" w:rsidRPr="00D56480" w:rsidRDefault="00D56480" w:rsidP="00F244C6">
            <w:pPr>
              <w:jc w:val="center"/>
              <w:rPr>
                <w:rFonts w:ascii="Arial Narrow" w:hAnsi="Arial Narrow"/>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73081EE9" w14:textId="77777777" w:rsidR="00D56480" w:rsidRPr="00D56480" w:rsidRDefault="00D56480" w:rsidP="00F244C6">
            <w:pPr>
              <w:textAlignment w:val="baseline"/>
              <w:rPr>
                <w:rFonts w:ascii="Arial Narrow" w:hAnsi="Arial Narrow" w:cs="Open Sans"/>
                <w:snapToGrid w:val="0"/>
                <w:sz w:val="20"/>
                <w:szCs w:val="20"/>
                <w:lang w:val="en-GB"/>
              </w:rPr>
            </w:pPr>
            <w:r w:rsidRPr="00D56480">
              <w:rPr>
                <w:rFonts w:ascii="Arial Narrow" w:eastAsia="MS Gothic" w:hAnsi="Arial Narrow" w:cs="Open Sans"/>
                <w:b/>
                <w:bCs/>
                <w:snapToGrid w:val="0"/>
                <w:sz w:val="20"/>
                <w:szCs w:val="20"/>
                <w:bdr w:val="none" w:sz="0" w:space="0" w:color="auto" w:frame="1"/>
                <w:lang w:val="en-GB"/>
              </w:rPr>
              <w:t>Administrative Advice:</w:t>
            </w:r>
          </w:p>
          <w:p w14:paraId="1996BEDE" w14:textId="77777777" w:rsidR="00D56480" w:rsidRPr="00D56480" w:rsidRDefault="00D56480" w:rsidP="00F244C6">
            <w:pPr>
              <w:rPr>
                <w:rFonts w:ascii="Arial Narrow" w:hAnsi="Arial Narrow"/>
                <w:b/>
                <w:sz w:val="20"/>
                <w:szCs w:val="20"/>
              </w:rPr>
            </w:pPr>
            <w:r w:rsidRPr="00D56480">
              <w:rPr>
                <w:rFonts w:ascii="Arial Narrow" w:hAnsi="Arial Narrow" w:cs="Open Sans"/>
                <w:sz w:val="20"/>
                <w:szCs w:val="20"/>
              </w:rPr>
              <w:t>No increase in the maximum quantity or number of units may be authorised.</w:t>
            </w:r>
          </w:p>
        </w:tc>
      </w:tr>
      <w:tr w:rsidR="00D56480" w:rsidRPr="00D56480" w14:paraId="029DA799"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7255565D" w14:textId="2ECE2E34" w:rsidR="00D56480" w:rsidRPr="00D56480" w:rsidRDefault="00D56480" w:rsidP="00F244C6">
            <w:pPr>
              <w:jc w:val="center"/>
              <w:rPr>
                <w:rFonts w:ascii="Arial Narrow" w:hAnsi="Arial Narrow"/>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4EDF1111" w14:textId="77777777" w:rsidR="00D56480" w:rsidRPr="00D56480" w:rsidRDefault="00D56480" w:rsidP="00F244C6">
            <w:pPr>
              <w:textAlignment w:val="baseline"/>
              <w:rPr>
                <w:rFonts w:ascii="Arial Narrow" w:hAnsi="Arial Narrow" w:cs="Open Sans"/>
                <w:snapToGrid w:val="0"/>
                <w:sz w:val="20"/>
                <w:szCs w:val="20"/>
                <w:lang w:val="en-GB"/>
              </w:rPr>
            </w:pPr>
            <w:r w:rsidRPr="00D56480">
              <w:rPr>
                <w:rFonts w:ascii="Arial Narrow" w:eastAsia="MS Gothic" w:hAnsi="Arial Narrow" w:cs="Open Sans"/>
                <w:b/>
                <w:bCs/>
                <w:snapToGrid w:val="0"/>
                <w:sz w:val="20"/>
                <w:szCs w:val="20"/>
                <w:bdr w:val="none" w:sz="0" w:space="0" w:color="auto" w:frame="1"/>
                <w:lang w:val="en-GB"/>
              </w:rPr>
              <w:t>Administrative Advice:</w:t>
            </w:r>
          </w:p>
          <w:p w14:paraId="5E9E8693" w14:textId="77777777" w:rsidR="00D56480" w:rsidRPr="00D56480" w:rsidRDefault="00D56480" w:rsidP="00F244C6">
            <w:pPr>
              <w:rPr>
                <w:rFonts w:ascii="Arial Narrow" w:hAnsi="Arial Narrow"/>
                <w:b/>
                <w:sz w:val="20"/>
                <w:szCs w:val="20"/>
              </w:rPr>
            </w:pPr>
            <w:r w:rsidRPr="00D56480">
              <w:rPr>
                <w:rFonts w:ascii="Arial Narrow" w:hAnsi="Arial Narrow" w:cs="Open Sans"/>
                <w:sz w:val="20"/>
                <w:szCs w:val="20"/>
              </w:rPr>
              <w:t>No increase in the maximum number of repeats may be authorised.</w:t>
            </w:r>
          </w:p>
        </w:tc>
      </w:tr>
      <w:tr w:rsidR="00D56480" w:rsidRPr="00D56480" w14:paraId="6BFEF567"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75334529" w14:textId="36CF5376"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4AF13905" w14:textId="77777777" w:rsidR="00D56480" w:rsidRPr="00D56480" w:rsidRDefault="00D56480" w:rsidP="00F244C6">
            <w:pPr>
              <w:textAlignment w:val="baseline"/>
              <w:rPr>
                <w:rFonts w:ascii="Arial Narrow" w:hAnsi="Arial Narrow" w:cs="Open Sans"/>
                <w:snapToGrid w:val="0"/>
                <w:color w:val="333333"/>
                <w:sz w:val="20"/>
                <w:szCs w:val="20"/>
                <w:lang w:val="en-GB"/>
              </w:rPr>
            </w:pPr>
            <w:r w:rsidRPr="00D56480">
              <w:rPr>
                <w:rFonts w:ascii="Arial Narrow" w:eastAsia="MS Gothic" w:hAnsi="Arial Narrow" w:cs="Open Sans"/>
                <w:b/>
                <w:bCs/>
                <w:snapToGrid w:val="0"/>
                <w:color w:val="333333"/>
                <w:sz w:val="20"/>
                <w:szCs w:val="20"/>
                <w:bdr w:val="none" w:sz="0" w:space="0" w:color="auto" w:frame="1"/>
                <w:lang w:val="en-GB"/>
              </w:rPr>
              <w:t>Indication:</w:t>
            </w:r>
          </w:p>
          <w:p w14:paraId="232560CA" w14:textId="77777777" w:rsidR="00D56480" w:rsidRPr="00D56480" w:rsidRDefault="00D56480" w:rsidP="00F244C6">
            <w:pPr>
              <w:textAlignment w:val="baseline"/>
              <w:rPr>
                <w:rFonts w:ascii="Arial Narrow" w:eastAsia="MS Gothic" w:hAnsi="Arial Narrow" w:cs="Open Sans"/>
                <w:b/>
                <w:bCs/>
                <w:snapToGrid w:val="0"/>
                <w:color w:val="333333"/>
                <w:sz w:val="20"/>
                <w:szCs w:val="20"/>
                <w:bdr w:val="none" w:sz="0" w:space="0" w:color="auto" w:frame="1"/>
                <w:lang w:val="en-GB"/>
              </w:rPr>
            </w:pPr>
            <w:r w:rsidRPr="00D56480">
              <w:rPr>
                <w:rFonts w:ascii="Arial Narrow" w:hAnsi="Arial Narrow" w:cs="Open Sans"/>
                <w:snapToGrid w:val="0"/>
                <w:color w:val="333333"/>
                <w:sz w:val="20"/>
                <w:szCs w:val="20"/>
                <w:lang w:val="en-GB"/>
              </w:rPr>
              <w:t>Severe established osteoporosis</w:t>
            </w:r>
          </w:p>
        </w:tc>
      </w:tr>
      <w:tr w:rsidR="00D56480" w:rsidRPr="00D56480" w14:paraId="49CACFEF"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2F197052" w14:textId="77777777"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7DF6D606" w14:textId="77777777" w:rsidR="00D56480" w:rsidRPr="00D56480" w:rsidRDefault="00D56480" w:rsidP="00F244C6">
            <w:pPr>
              <w:textAlignment w:val="baseline"/>
              <w:rPr>
                <w:rFonts w:ascii="Arial Narrow" w:eastAsia="MS Gothic" w:hAnsi="Arial Narrow" w:cs="Open Sans"/>
                <w:snapToGrid w:val="0"/>
                <w:color w:val="333333"/>
                <w:sz w:val="20"/>
                <w:szCs w:val="20"/>
                <w:bdr w:val="none" w:sz="0" w:space="0" w:color="auto" w:frame="1"/>
                <w:lang w:val="en-GB"/>
              </w:rPr>
            </w:pPr>
            <w:r w:rsidRPr="00D56480">
              <w:rPr>
                <w:rFonts w:ascii="Arial Narrow" w:eastAsia="MS Gothic" w:hAnsi="Arial Narrow" w:cs="Open Sans"/>
                <w:b/>
                <w:bCs/>
                <w:snapToGrid w:val="0"/>
                <w:color w:val="333333"/>
                <w:sz w:val="20"/>
                <w:szCs w:val="20"/>
                <w:bdr w:val="none" w:sz="0" w:space="0" w:color="auto" w:frame="1"/>
                <w:lang w:val="en-GB"/>
              </w:rPr>
              <w:t>Treatment Phase:</w:t>
            </w:r>
            <w:r w:rsidRPr="00D56480">
              <w:rPr>
                <w:rFonts w:ascii="Arial Narrow" w:eastAsia="MS Gothic" w:hAnsi="Arial Narrow" w:cs="Open Sans"/>
                <w:snapToGrid w:val="0"/>
                <w:color w:val="333333"/>
                <w:sz w:val="20"/>
                <w:szCs w:val="20"/>
                <w:bdr w:val="none" w:sz="0" w:space="0" w:color="auto" w:frame="1"/>
                <w:lang w:val="en-GB"/>
              </w:rPr>
              <w:t xml:space="preserve"> </w:t>
            </w:r>
          </w:p>
          <w:p w14:paraId="017D9507" w14:textId="77777777" w:rsidR="00D56480" w:rsidRPr="00D56480" w:rsidRDefault="00D56480" w:rsidP="00F244C6">
            <w:pPr>
              <w:textAlignment w:val="baseline"/>
              <w:rPr>
                <w:rFonts w:ascii="Arial Narrow" w:eastAsia="MS Gothic" w:hAnsi="Arial Narrow" w:cs="Open Sans"/>
                <w:snapToGrid w:val="0"/>
                <w:color w:val="333333"/>
                <w:sz w:val="20"/>
                <w:szCs w:val="20"/>
                <w:bdr w:val="none" w:sz="0" w:space="0" w:color="auto" w:frame="1"/>
                <w:lang w:val="en-GB"/>
              </w:rPr>
            </w:pPr>
            <w:r w:rsidRPr="00D56480">
              <w:rPr>
                <w:rFonts w:ascii="Arial Narrow" w:eastAsia="MS Gothic" w:hAnsi="Arial Narrow" w:cs="Open Sans"/>
                <w:snapToGrid w:val="0"/>
                <w:color w:val="333333"/>
                <w:sz w:val="20"/>
                <w:szCs w:val="20"/>
                <w:bdr w:val="none" w:sz="0" w:space="0" w:color="auto" w:frame="1"/>
                <w:lang w:val="en-GB"/>
              </w:rPr>
              <w:t>Initial treatment - Second-line therapy</w:t>
            </w:r>
          </w:p>
        </w:tc>
      </w:tr>
      <w:tr w:rsidR="00D56480" w:rsidRPr="00D56480" w14:paraId="0BCEE6AF"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0497EBFB" w14:textId="4AC1B626"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5344A731" w14:textId="77777777" w:rsidR="00D56480" w:rsidRPr="00D56480" w:rsidRDefault="00D56480" w:rsidP="00F244C6">
            <w:pPr>
              <w:textAlignment w:val="baseline"/>
              <w:rPr>
                <w:rFonts w:ascii="Arial Narrow" w:eastAsia="MS Gothic" w:hAnsi="Arial Narrow" w:cs="Open Sans"/>
                <w:b/>
                <w:bCs/>
                <w:snapToGrid w:val="0"/>
                <w:color w:val="333333"/>
                <w:sz w:val="20"/>
                <w:szCs w:val="20"/>
                <w:bdr w:val="none" w:sz="0" w:space="0" w:color="auto" w:frame="1"/>
                <w:lang w:val="en-GB"/>
              </w:rPr>
            </w:pPr>
            <w:r w:rsidRPr="00D56480">
              <w:rPr>
                <w:rFonts w:ascii="Arial Narrow" w:eastAsia="MS Gothic" w:hAnsi="Arial Narrow" w:cs="Open Sans"/>
                <w:b/>
                <w:bCs/>
                <w:snapToGrid w:val="0"/>
                <w:color w:val="333333"/>
                <w:sz w:val="20"/>
                <w:szCs w:val="20"/>
                <w:bdr w:val="none" w:sz="0" w:space="0" w:color="auto" w:frame="1"/>
                <w:lang w:val="en-GB"/>
              </w:rPr>
              <w:t>Treatment criteria:</w:t>
            </w:r>
          </w:p>
        </w:tc>
      </w:tr>
      <w:tr w:rsidR="00D56480" w:rsidRPr="00D56480" w14:paraId="72B5A5F9"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1B747FEC" w14:textId="0475B94F"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5F5C4AFD" w14:textId="77777777" w:rsidR="00D56480" w:rsidRPr="00D56480" w:rsidRDefault="00D56480" w:rsidP="00F244C6">
            <w:pPr>
              <w:textAlignment w:val="baseline"/>
              <w:rPr>
                <w:rFonts w:ascii="Arial Narrow" w:eastAsia="MS Gothic" w:hAnsi="Arial Narrow" w:cs="Open Sans"/>
                <w:b/>
                <w:bCs/>
                <w:snapToGrid w:val="0"/>
                <w:color w:val="333333"/>
                <w:sz w:val="20"/>
                <w:szCs w:val="20"/>
                <w:bdr w:val="none" w:sz="0" w:space="0" w:color="auto" w:frame="1"/>
                <w:lang w:val="en-GB"/>
              </w:rPr>
            </w:pPr>
            <w:r w:rsidRPr="00D56480">
              <w:rPr>
                <w:rFonts w:ascii="Arial Narrow" w:hAnsi="Arial Narrow" w:cs="Open Sans"/>
                <w:snapToGrid w:val="0"/>
                <w:color w:val="333333"/>
                <w:sz w:val="20"/>
                <w:szCs w:val="20"/>
                <w:lang w:val="en-GB"/>
              </w:rPr>
              <w:t>Must be treated by a consultant physician</w:t>
            </w:r>
          </w:p>
        </w:tc>
      </w:tr>
      <w:tr w:rsidR="00D56480" w:rsidRPr="00D56480" w14:paraId="245F48D5"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3DAD2809" w14:textId="3352B596"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36E5AE5F" w14:textId="77777777" w:rsidR="00D56480" w:rsidRPr="00D56480" w:rsidRDefault="00D56480" w:rsidP="00F244C6">
            <w:pPr>
              <w:textAlignment w:val="baseline"/>
              <w:rPr>
                <w:rFonts w:ascii="Arial Narrow" w:hAnsi="Arial Narrow" w:cs="Open Sans"/>
                <w:snapToGrid w:val="0"/>
                <w:color w:val="333333"/>
                <w:sz w:val="20"/>
                <w:szCs w:val="20"/>
                <w:lang w:val="en-GB"/>
              </w:rPr>
            </w:pPr>
            <w:r w:rsidRPr="00D56480">
              <w:rPr>
                <w:rFonts w:ascii="Arial Narrow" w:eastAsia="MS Gothic" w:hAnsi="Arial Narrow" w:cs="Open Sans"/>
                <w:b/>
                <w:bCs/>
                <w:snapToGrid w:val="0"/>
                <w:color w:val="333333"/>
                <w:sz w:val="20"/>
                <w:szCs w:val="20"/>
                <w:bdr w:val="none" w:sz="0" w:space="0" w:color="auto" w:frame="1"/>
                <w:lang w:val="en-GB"/>
              </w:rPr>
              <w:t>Clinical criteria:</w:t>
            </w:r>
          </w:p>
        </w:tc>
      </w:tr>
      <w:tr w:rsidR="00D56480" w:rsidRPr="00D56480" w14:paraId="0ADB4FFB"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7679D071" w14:textId="070D0394"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3A3E80AD" w14:textId="1717D4D1" w:rsidR="00D56480" w:rsidRPr="00D56480" w:rsidRDefault="00D56480" w:rsidP="00F244C6">
            <w:pPr>
              <w:textAlignment w:val="baseline"/>
              <w:rPr>
                <w:rFonts w:ascii="Arial Narrow" w:hAnsi="Arial Narrow" w:cs="Open Sans"/>
                <w:snapToGrid w:val="0"/>
                <w:color w:val="333333"/>
                <w:sz w:val="20"/>
                <w:szCs w:val="20"/>
                <w:lang w:val="en-GB"/>
              </w:rPr>
            </w:pPr>
            <w:r w:rsidRPr="00D56480">
              <w:rPr>
                <w:rFonts w:ascii="Arial Narrow" w:hAnsi="Arial Narrow" w:cs="Open Sans"/>
                <w:snapToGrid w:val="0"/>
                <w:color w:val="333333"/>
                <w:sz w:val="20"/>
                <w:szCs w:val="20"/>
                <w:lang w:val="en-GB"/>
              </w:rPr>
              <w:t>Patient must not have received PBS-subsidised treatment with any of,</w:t>
            </w:r>
            <w:r w:rsidRPr="00D56480">
              <w:t xml:space="preserve"> </w:t>
            </w:r>
            <w:r w:rsidRPr="00D56480">
              <w:rPr>
                <w:rFonts w:ascii="Arial Narrow" w:hAnsi="Arial Narrow" w:cs="Open Sans"/>
                <w:snapToGrid w:val="0"/>
                <w:color w:val="333333"/>
                <w:sz w:val="20"/>
                <w:szCs w:val="20"/>
              </w:rPr>
              <w:t>(i) teriparatide, (ii) romosozumab</w:t>
            </w:r>
            <w:r w:rsidR="00F378FA">
              <w:rPr>
                <w:rFonts w:ascii="Arial Narrow" w:hAnsi="Arial Narrow" w:cs="Open Sans"/>
                <w:snapToGrid w:val="0"/>
                <w:color w:val="333333"/>
                <w:sz w:val="20"/>
                <w:szCs w:val="20"/>
              </w:rPr>
              <w:t xml:space="preserve"> or (iii) abaloparatide</w:t>
            </w:r>
            <w:r w:rsidRPr="00D56480">
              <w:rPr>
                <w:rFonts w:ascii="Arial Narrow" w:hAnsi="Arial Narrow" w:cs="Open Sans"/>
                <w:snapToGrid w:val="0"/>
                <w:color w:val="333333"/>
                <w:sz w:val="20"/>
                <w:szCs w:val="20"/>
              </w:rPr>
              <w:t xml:space="preserve">, </w:t>
            </w:r>
          </w:p>
        </w:tc>
      </w:tr>
      <w:tr w:rsidR="00D56480" w:rsidRPr="00D56480" w14:paraId="77B5F62D"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1A980F93" w14:textId="77777777" w:rsidR="00D56480" w:rsidRPr="00D56480" w:rsidRDefault="00D56480" w:rsidP="00F244C6">
            <w:pPr>
              <w:jc w:val="center"/>
              <w:rPr>
                <w:rFonts w:ascii="Arial Narrow" w:hAnsi="Arial Narrow" w:cs="Open Sans"/>
                <w:b/>
                <w:bC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569A4781" w14:textId="77777777" w:rsidR="00D56480" w:rsidRPr="00D56480" w:rsidRDefault="00D56480" w:rsidP="00F244C6">
            <w:pPr>
              <w:textAlignment w:val="baseline"/>
              <w:rPr>
                <w:rFonts w:ascii="Arial Narrow" w:hAnsi="Arial Narrow" w:cs="Open Sans"/>
                <w:b/>
                <w:bCs/>
                <w:snapToGrid w:val="0"/>
                <w:color w:val="333333"/>
                <w:sz w:val="20"/>
                <w:szCs w:val="20"/>
                <w:lang w:val="en-GB"/>
              </w:rPr>
            </w:pPr>
            <w:r w:rsidRPr="00D56480">
              <w:rPr>
                <w:rFonts w:ascii="Arial Narrow" w:hAnsi="Arial Narrow" w:cs="Open Sans"/>
                <w:b/>
                <w:bCs/>
                <w:snapToGrid w:val="0"/>
                <w:color w:val="333333"/>
                <w:sz w:val="20"/>
                <w:szCs w:val="20"/>
                <w:lang w:val="en-GB"/>
              </w:rPr>
              <w:t>OR</w:t>
            </w:r>
          </w:p>
        </w:tc>
      </w:tr>
      <w:tr w:rsidR="00D56480" w:rsidRPr="00D56480" w14:paraId="7C2BE274"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1AB22625" w14:textId="194EEE34"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3F6E0E6B" w14:textId="6C245571" w:rsidR="00D56480" w:rsidRPr="00D56480" w:rsidRDefault="00D56480" w:rsidP="00F244C6">
            <w:pPr>
              <w:textAlignment w:val="baseline"/>
              <w:rPr>
                <w:rFonts w:ascii="Arial Narrow" w:hAnsi="Arial Narrow" w:cs="Open Sans"/>
                <w:snapToGrid w:val="0"/>
                <w:color w:val="333333"/>
                <w:sz w:val="20"/>
                <w:szCs w:val="20"/>
                <w:lang w:val="en-GB"/>
              </w:rPr>
            </w:pPr>
            <w:r w:rsidRPr="00D56480">
              <w:rPr>
                <w:rFonts w:ascii="Arial Narrow" w:hAnsi="Arial Narrow" w:cs="Open Sans"/>
                <w:snapToGrid w:val="0"/>
                <w:color w:val="333333"/>
                <w:sz w:val="20"/>
                <w:szCs w:val="20"/>
                <w:lang w:val="en-GB"/>
              </w:rPr>
              <w:t xml:space="preserve">Patient must have developed intolerance to </w:t>
            </w:r>
            <w:r w:rsidRPr="00D56480">
              <w:rPr>
                <w:rFonts w:ascii="Arial Narrow" w:hAnsi="Arial Narrow" w:cs="Open Sans"/>
                <w:snapToGrid w:val="0"/>
                <w:color w:val="333333"/>
                <w:sz w:val="20"/>
                <w:szCs w:val="20"/>
              </w:rPr>
              <w:t>(i) teriparatide, or (ii) romosozumab</w:t>
            </w:r>
            <w:r w:rsidRPr="00D56480">
              <w:rPr>
                <w:rFonts w:ascii="Arial Narrow" w:hAnsi="Arial Narrow" w:cs="Open Sans"/>
                <w:snapToGrid w:val="0"/>
                <w:color w:val="333333"/>
                <w:sz w:val="20"/>
                <w:szCs w:val="20"/>
                <w:lang w:val="en-GB"/>
              </w:rPr>
              <w:t xml:space="preserve"> of a severity necessitating permanent treatment withdrawal within the first 6 months of therapy.</w:t>
            </w:r>
          </w:p>
        </w:tc>
      </w:tr>
      <w:tr w:rsidR="00D56480" w:rsidRPr="00D56480" w14:paraId="4FD31ACE"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3A9B7633" w14:textId="77777777"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79125851" w14:textId="77777777" w:rsidR="00D56480" w:rsidRPr="00D56480" w:rsidRDefault="00D56480" w:rsidP="00F244C6">
            <w:pPr>
              <w:textAlignment w:val="baseline"/>
              <w:rPr>
                <w:rFonts w:ascii="Arial Narrow" w:hAnsi="Arial Narrow" w:cs="Open Sans"/>
                <w:snapToGrid w:val="0"/>
                <w:color w:val="333333"/>
                <w:sz w:val="20"/>
                <w:szCs w:val="20"/>
                <w:lang w:val="en-GB"/>
              </w:rPr>
            </w:pPr>
            <w:r w:rsidRPr="00D56480">
              <w:rPr>
                <w:rFonts w:ascii="Arial Narrow" w:eastAsia="MS Gothic" w:hAnsi="Arial Narrow" w:cs="Open Sans"/>
                <w:b/>
                <w:bCs/>
                <w:snapToGrid w:val="0"/>
                <w:color w:val="333333"/>
                <w:sz w:val="20"/>
                <w:szCs w:val="20"/>
                <w:bdr w:val="none" w:sz="0" w:space="0" w:color="auto" w:frame="1"/>
                <w:lang w:val="en-GB"/>
              </w:rPr>
              <w:t>AND</w:t>
            </w:r>
          </w:p>
        </w:tc>
      </w:tr>
      <w:tr w:rsidR="00D56480" w:rsidRPr="00D56480" w14:paraId="004E1BAB"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70B82294" w14:textId="04150587"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63138E7C" w14:textId="77777777" w:rsidR="00D56480" w:rsidRPr="00D56480" w:rsidRDefault="00D56480" w:rsidP="00F244C6">
            <w:pPr>
              <w:textAlignment w:val="baseline"/>
              <w:rPr>
                <w:rFonts w:ascii="Arial Narrow" w:hAnsi="Arial Narrow" w:cs="Open Sans"/>
                <w:snapToGrid w:val="0"/>
                <w:color w:val="333333"/>
                <w:sz w:val="20"/>
                <w:szCs w:val="20"/>
                <w:lang w:val="en-GB"/>
              </w:rPr>
            </w:pPr>
            <w:r w:rsidRPr="00D56480">
              <w:rPr>
                <w:rFonts w:ascii="Arial Narrow" w:eastAsia="MS Gothic" w:hAnsi="Arial Narrow" w:cs="Open Sans"/>
                <w:b/>
                <w:bCs/>
                <w:snapToGrid w:val="0"/>
                <w:color w:val="333333"/>
                <w:sz w:val="20"/>
                <w:szCs w:val="20"/>
                <w:bdr w:val="none" w:sz="0" w:space="0" w:color="auto" w:frame="1"/>
                <w:lang w:val="en-GB"/>
              </w:rPr>
              <w:t>Clinical criteria:</w:t>
            </w:r>
          </w:p>
        </w:tc>
      </w:tr>
      <w:tr w:rsidR="00D56480" w:rsidRPr="00D56480" w14:paraId="613CF80F"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4F8822D2" w14:textId="3581CE35"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34ACB8DE" w14:textId="77777777" w:rsidR="00D56480" w:rsidRPr="00D56480" w:rsidRDefault="00D56480" w:rsidP="00F244C6">
            <w:pPr>
              <w:textAlignment w:val="baseline"/>
              <w:rPr>
                <w:rFonts w:ascii="Arial Narrow" w:hAnsi="Arial Narrow" w:cs="Open Sans"/>
                <w:snapToGrid w:val="0"/>
                <w:color w:val="333333"/>
                <w:sz w:val="20"/>
                <w:szCs w:val="20"/>
                <w:lang w:val="en-GB"/>
              </w:rPr>
            </w:pPr>
            <w:r w:rsidRPr="00D56480">
              <w:rPr>
                <w:rFonts w:ascii="Arial Narrow" w:hAnsi="Arial Narrow" w:cs="Open Sans"/>
                <w:snapToGrid w:val="0"/>
                <w:color w:val="333333"/>
                <w:sz w:val="20"/>
                <w:szCs w:val="20"/>
                <w:lang w:val="en-GB"/>
              </w:rPr>
              <w:t>Patient must be at very high risk of fracture</w:t>
            </w:r>
          </w:p>
        </w:tc>
      </w:tr>
      <w:tr w:rsidR="00D56480" w:rsidRPr="00D56480" w14:paraId="27394874"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7B05485D" w14:textId="77777777"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14B60DBA" w14:textId="77777777" w:rsidR="00D56480" w:rsidRPr="00D56480" w:rsidRDefault="00D56480" w:rsidP="00F244C6">
            <w:pPr>
              <w:textAlignment w:val="baseline"/>
              <w:rPr>
                <w:rFonts w:ascii="Arial Narrow" w:hAnsi="Arial Narrow" w:cs="Open Sans"/>
                <w:snapToGrid w:val="0"/>
                <w:color w:val="333333"/>
                <w:sz w:val="20"/>
                <w:szCs w:val="20"/>
                <w:lang w:val="en-GB"/>
              </w:rPr>
            </w:pPr>
            <w:r w:rsidRPr="00D56480">
              <w:rPr>
                <w:rFonts w:ascii="Arial Narrow" w:eastAsia="MS Gothic" w:hAnsi="Arial Narrow" w:cs="Open Sans"/>
                <w:b/>
                <w:bCs/>
                <w:snapToGrid w:val="0"/>
                <w:color w:val="333333"/>
                <w:sz w:val="20"/>
                <w:szCs w:val="20"/>
                <w:bdr w:val="none" w:sz="0" w:space="0" w:color="auto" w:frame="1"/>
                <w:lang w:val="en-GB"/>
              </w:rPr>
              <w:t>AND</w:t>
            </w:r>
          </w:p>
        </w:tc>
      </w:tr>
      <w:tr w:rsidR="00D56480" w:rsidRPr="00D56480" w14:paraId="7D4A0E19"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5B9D403D" w14:textId="4FD089A4"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3AB6438B" w14:textId="77777777" w:rsidR="00D56480" w:rsidRPr="00D56480" w:rsidRDefault="00D56480" w:rsidP="00F244C6">
            <w:pPr>
              <w:textAlignment w:val="baseline"/>
              <w:rPr>
                <w:rFonts w:ascii="Arial Narrow" w:hAnsi="Arial Narrow" w:cs="Open Sans"/>
                <w:snapToGrid w:val="0"/>
                <w:color w:val="333333"/>
                <w:sz w:val="20"/>
                <w:szCs w:val="20"/>
                <w:lang w:val="en-GB"/>
              </w:rPr>
            </w:pPr>
            <w:r w:rsidRPr="00D56480">
              <w:rPr>
                <w:rFonts w:ascii="Arial Narrow" w:eastAsia="MS Gothic" w:hAnsi="Arial Narrow" w:cs="Open Sans"/>
                <w:b/>
                <w:bCs/>
                <w:snapToGrid w:val="0"/>
                <w:color w:val="333333"/>
                <w:sz w:val="20"/>
                <w:szCs w:val="20"/>
                <w:bdr w:val="none" w:sz="0" w:space="0" w:color="auto" w:frame="1"/>
                <w:lang w:val="en-GB"/>
              </w:rPr>
              <w:t>Clinical criteria:</w:t>
            </w:r>
          </w:p>
        </w:tc>
      </w:tr>
      <w:tr w:rsidR="00D56480" w:rsidRPr="00D56480" w14:paraId="0C900DE1"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1D0BD6C9" w14:textId="0E3D2FDF"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6A3BA0AD" w14:textId="77777777" w:rsidR="00D56480" w:rsidRPr="00D56480" w:rsidRDefault="00D56480" w:rsidP="00F244C6">
            <w:pPr>
              <w:textAlignment w:val="baseline"/>
              <w:rPr>
                <w:rFonts w:ascii="Arial Narrow" w:hAnsi="Arial Narrow" w:cs="Open Sans"/>
                <w:snapToGrid w:val="0"/>
                <w:color w:val="333333"/>
                <w:sz w:val="20"/>
                <w:szCs w:val="20"/>
                <w:lang w:val="en-GB"/>
              </w:rPr>
            </w:pPr>
            <w:r w:rsidRPr="00D56480">
              <w:rPr>
                <w:rFonts w:ascii="Arial Narrow" w:hAnsi="Arial Narrow" w:cs="Open Sans"/>
                <w:snapToGrid w:val="0"/>
                <w:color w:val="333333"/>
                <w:sz w:val="20"/>
                <w:szCs w:val="20"/>
                <w:lang w:val="en-GB"/>
              </w:rPr>
              <w:t>Patient must have a Bone Mineral Density (BMD) T-score of -3.0 or less</w:t>
            </w:r>
          </w:p>
        </w:tc>
      </w:tr>
      <w:tr w:rsidR="00D56480" w:rsidRPr="00D56480" w14:paraId="212E1716"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0D711BFA" w14:textId="77777777"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474AF1E1" w14:textId="77777777" w:rsidR="00D56480" w:rsidRPr="00D56480" w:rsidRDefault="00D56480" w:rsidP="00F244C6">
            <w:pPr>
              <w:textAlignment w:val="baseline"/>
              <w:rPr>
                <w:rFonts w:ascii="Arial Narrow" w:hAnsi="Arial Narrow" w:cs="Open Sans"/>
                <w:snapToGrid w:val="0"/>
                <w:color w:val="333333"/>
                <w:sz w:val="20"/>
                <w:szCs w:val="20"/>
                <w:lang w:val="en-GB"/>
              </w:rPr>
            </w:pPr>
            <w:r w:rsidRPr="00D56480">
              <w:rPr>
                <w:rFonts w:ascii="Arial Narrow" w:eastAsia="MS Gothic" w:hAnsi="Arial Narrow" w:cs="Open Sans"/>
                <w:b/>
                <w:bCs/>
                <w:snapToGrid w:val="0"/>
                <w:color w:val="333333"/>
                <w:sz w:val="20"/>
                <w:szCs w:val="20"/>
                <w:bdr w:val="none" w:sz="0" w:space="0" w:color="auto" w:frame="1"/>
                <w:lang w:val="en-GB"/>
              </w:rPr>
              <w:t>AND</w:t>
            </w:r>
          </w:p>
        </w:tc>
      </w:tr>
      <w:tr w:rsidR="00D56480" w:rsidRPr="00D56480" w14:paraId="5E242037"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00387260" w14:textId="5C6248F0"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10887604" w14:textId="77777777" w:rsidR="00D56480" w:rsidRPr="00D56480" w:rsidRDefault="00D56480" w:rsidP="00F244C6">
            <w:pPr>
              <w:textAlignment w:val="baseline"/>
              <w:rPr>
                <w:rFonts w:ascii="Arial Narrow" w:hAnsi="Arial Narrow" w:cs="Open Sans"/>
                <w:snapToGrid w:val="0"/>
                <w:color w:val="333333"/>
                <w:sz w:val="20"/>
                <w:szCs w:val="20"/>
                <w:lang w:val="en-GB"/>
              </w:rPr>
            </w:pPr>
            <w:r w:rsidRPr="00D56480">
              <w:rPr>
                <w:rFonts w:ascii="Arial Narrow" w:eastAsia="MS Gothic" w:hAnsi="Arial Narrow" w:cs="Open Sans"/>
                <w:b/>
                <w:bCs/>
                <w:snapToGrid w:val="0"/>
                <w:color w:val="333333"/>
                <w:sz w:val="20"/>
                <w:szCs w:val="20"/>
                <w:bdr w:val="none" w:sz="0" w:space="0" w:color="auto" w:frame="1"/>
                <w:lang w:val="en-GB"/>
              </w:rPr>
              <w:t>Clinical criteria:</w:t>
            </w:r>
          </w:p>
        </w:tc>
      </w:tr>
      <w:tr w:rsidR="00D56480" w:rsidRPr="00D56480" w14:paraId="3A33BDC2"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2AF4BEFF" w14:textId="4195119A"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0A50009A" w14:textId="77777777" w:rsidR="00D56480" w:rsidRPr="00D56480" w:rsidRDefault="00D56480" w:rsidP="00F244C6">
            <w:pPr>
              <w:textAlignment w:val="baseline"/>
              <w:rPr>
                <w:rFonts w:ascii="Arial Narrow" w:hAnsi="Arial Narrow" w:cs="Open Sans"/>
                <w:snapToGrid w:val="0"/>
                <w:color w:val="333333"/>
                <w:sz w:val="20"/>
                <w:szCs w:val="20"/>
                <w:lang w:val="en-GB"/>
              </w:rPr>
            </w:pPr>
            <w:r w:rsidRPr="00D56480">
              <w:rPr>
                <w:rFonts w:ascii="Arial Narrow" w:hAnsi="Arial Narrow" w:cs="Open Sans"/>
                <w:snapToGrid w:val="0"/>
                <w:color w:val="333333"/>
                <w:sz w:val="20"/>
                <w:szCs w:val="20"/>
                <w:lang w:val="en-GB"/>
              </w:rPr>
              <w:t>Patient must have 2 or more fractures due to minimal trauma</w:t>
            </w:r>
          </w:p>
        </w:tc>
      </w:tr>
      <w:tr w:rsidR="00D56480" w:rsidRPr="00D56480" w14:paraId="318C168E"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6E037C96" w14:textId="77777777"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16CF80C7" w14:textId="77777777" w:rsidR="00D56480" w:rsidRPr="00D56480" w:rsidRDefault="00D56480" w:rsidP="00F244C6">
            <w:pPr>
              <w:textAlignment w:val="baseline"/>
              <w:rPr>
                <w:rFonts w:ascii="Arial Narrow" w:hAnsi="Arial Narrow" w:cs="Open Sans"/>
                <w:snapToGrid w:val="0"/>
                <w:color w:val="333333"/>
                <w:sz w:val="20"/>
                <w:szCs w:val="20"/>
                <w:lang w:val="en-GB"/>
              </w:rPr>
            </w:pPr>
            <w:r w:rsidRPr="00D56480">
              <w:rPr>
                <w:rFonts w:ascii="Arial Narrow" w:eastAsia="MS Gothic" w:hAnsi="Arial Narrow" w:cs="Open Sans"/>
                <w:b/>
                <w:bCs/>
                <w:snapToGrid w:val="0"/>
                <w:color w:val="333333"/>
                <w:sz w:val="20"/>
                <w:szCs w:val="20"/>
                <w:bdr w:val="none" w:sz="0" w:space="0" w:color="auto" w:frame="1"/>
                <w:lang w:val="en-GB"/>
              </w:rPr>
              <w:t>AND</w:t>
            </w:r>
          </w:p>
        </w:tc>
      </w:tr>
      <w:tr w:rsidR="00D56480" w:rsidRPr="00D56480" w14:paraId="12906DDF"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664A0B44" w14:textId="0ED128CD"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419F2D0F" w14:textId="77777777" w:rsidR="00D56480" w:rsidRPr="00D56480" w:rsidRDefault="00D56480" w:rsidP="00F244C6">
            <w:pPr>
              <w:textAlignment w:val="baseline"/>
              <w:rPr>
                <w:rFonts w:ascii="Arial Narrow" w:hAnsi="Arial Narrow" w:cs="Open Sans"/>
                <w:snapToGrid w:val="0"/>
                <w:color w:val="333333"/>
                <w:sz w:val="20"/>
                <w:szCs w:val="20"/>
                <w:lang w:val="en-GB"/>
              </w:rPr>
            </w:pPr>
            <w:r w:rsidRPr="00D56480">
              <w:rPr>
                <w:rFonts w:ascii="Arial Narrow" w:eastAsia="MS Gothic" w:hAnsi="Arial Narrow" w:cs="Open Sans"/>
                <w:b/>
                <w:bCs/>
                <w:snapToGrid w:val="0"/>
                <w:color w:val="333333"/>
                <w:sz w:val="20"/>
                <w:szCs w:val="20"/>
                <w:bdr w:val="none" w:sz="0" w:space="0" w:color="auto" w:frame="1"/>
                <w:lang w:val="en-GB"/>
              </w:rPr>
              <w:t>Clinical criteria:</w:t>
            </w:r>
          </w:p>
        </w:tc>
      </w:tr>
      <w:tr w:rsidR="00D56480" w:rsidRPr="00D56480" w14:paraId="74B0CB14"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49D3BA2F" w14:textId="0916EA83"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5A9A836D" w14:textId="77777777" w:rsidR="00D56480" w:rsidRPr="00D56480" w:rsidRDefault="00D56480" w:rsidP="00F244C6">
            <w:pPr>
              <w:textAlignment w:val="baseline"/>
              <w:rPr>
                <w:rFonts w:ascii="Arial Narrow" w:hAnsi="Arial Narrow" w:cs="Open Sans"/>
                <w:snapToGrid w:val="0"/>
                <w:color w:val="333333"/>
                <w:sz w:val="20"/>
                <w:szCs w:val="20"/>
                <w:lang w:val="en-GB"/>
              </w:rPr>
            </w:pPr>
            <w:r w:rsidRPr="00D56480">
              <w:rPr>
                <w:rFonts w:ascii="Arial Narrow" w:hAnsi="Arial Narrow" w:cs="Open Sans"/>
                <w:snapToGrid w:val="0"/>
                <w:color w:val="333333"/>
                <w:sz w:val="20"/>
                <w:szCs w:val="20"/>
              </w:rPr>
              <w:t>Patient must have experienced at least 1 symptomatic new fracture after at least 12 months continuous therapy with an anti-resorptive agent at adequate doses</w:t>
            </w:r>
          </w:p>
        </w:tc>
      </w:tr>
      <w:tr w:rsidR="00D56480" w:rsidRPr="00D56480" w14:paraId="5374085C"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3D6BC057" w14:textId="77777777"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69BEB008" w14:textId="77777777" w:rsidR="00D56480" w:rsidRPr="00D56480" w:rsidRDefault="00D56480" w:rsidP="00F244C6">
            <w:pPr>
              <w:textAlignment w:val="baseline"/>
              <w:rPr>
                <w:rFonts w:ascii="Arial Narrow" w:hAnsi="Arial Narrow" w:cs="Open Sans"/>
                <w:snapToGrid w:val="0"/>
                <w:color w:val="333333"/>
                <w:sz w:val="20"/>
                <w:szCs w:val="20"/>
                <w:lang w:val="en-GB"/>
              </w:rPr>
            </w:pPr>
            <w:r w:rsidRPr="00D56480">
              <w:rPr>
                <w:rFonts w:ascii="Arial Narrow" w:eastAsia="MS Gothic" w:hAnsi="Arial Narrow" w:cs="Open Sans"/>
                <w:b/>
                <w:bCs/>
                <w:snapToGrid w:val="0"/>
                <w:color w:val="333333"/>
                <w:sz w:val="20"/>
                <w:szCs w:val="20"/>
                <w:bdr w:val="none" w:sz="0" w:space="0" w:color="auto" w:frame="1"/>
                <w:lang w:val="en-GB"/>
              </w:rPr>
              <w:t>AND</w:t>
            </w:r>
          </w:p>
        </w:tc>
      </w:tr>
      <w:tr w:rsidR="00D56480" w:rsidRPr="00D56480" w14:paraId="5987F2C2"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25718904" w14:textId="4F2F533E"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0FA21EE5" w14:textId="77777777" w:rsidR="00D56480" w:rsidRPr="00D56480" w:rsidRDefault="00D56480" w:rsidP="00F244C6">
            <w:pPr>
              <w:textAlignment w:val="baseline"/>
              <w:rPr>
                <w:rFonts w:ascii="Arial Narrow" w:hAnsi="Arial Narrow" w:cs="Open Sans"/>
                <w:snapToGrid w:val="0"/>
                <w:color w:val="333333"/>
                <w:sz w:val="20"/>
                <w:szCs w:val="20"/>
                <w:lang w:val="en-GB"/>
              </w:rPr>
            </w:pPr>
            <w:r w:rsidRPr="00D56480">
              <w:rPr>
                <w:rFonts w:ascii="Arial Narrow" w:eastAsia="MS Gothic" w:hAnsi="Arial Narrow" w:cs="Open Sans"/>
                <w:b/>
                <w:bCs/>
                <w:snapToGrid w:val="0"/>
                <w:color w:val="333333"/>
                <w:sz w:val="20"/>
                <w:szCs w:val="20"/>
                <w:bdr w:val="none" w:sz="0" w:space="0" w:color="auto" w:frame="1"/>
                <w:lang w:val="en-GB"/>
              </w:rPr>
              <w:t>Clinical criteria:</w:t>
            </w:r>
          </w:p>
        </w:tc>
      </w:tr>
      <w:tr w:rsidR="00D56480" w:rsidRPr="00D56480" w14:paraId="184D3ED7"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4F78E5D3" w14:textId="65995F71"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6C15B853" w14:textId="77777777" w:rsidR="00D56480" w:rsidRPr="00D56480" w:rsidRDefault="00D56480" w:rsidP="00F244C6">
            <w:pPr>
              <w:textAlignment w:val="baseline"/>
              <w:rPr>
                <w:rFonts w:ascii="Arial Narrow" w:hAnsi="Arial Narrow" w:cs="Open Sans"/>
                <w:snapToGrid w:val="0"/>
                <w:color w:val="333333"/>
                <w:sz w:val="20"/>
                <w:szCs w:val="20"/>
                <w:lang w:val="en-GB"/>
              </w:rPr>
            </w:pPr>
            <w:r w:rsidRPr="00D56480">
              <w:rPr>
                <w:rFonts w:ascii="Arial Narrow" w:hAnsi="Arial Narrow" w:cs="Open Sans"/>
                <w:snapToGrid w:val="0"/>
                <w:color w:val="333333"/>
                <w:sz w:val="20"/>
                <w:szCs w:val="20"/>
                <w:lang w:val="en-GB"/>
              </w:rPr>
              <w:t>The treatment must be the sole PBS-subsidised therapy for this condition</w:t>
            </w:r>
          </w:p>
        </w:tc>
      </w:tr>
      <w:tr w:rsidR="00D56480" w:rsidRPr="00D56480" w14:paraId="745BF3A0"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66708D27" w14:textId="77777777"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06E40336" w14:textId="77777777" w:rsidR="00D56480" w:rsidRPr="00D56480" w:rsidRDefault="00D56480" w:rsidP="00F244C6">
            <w:pPr>
              <w:textAlignment w:val="baseline"/>
              <w:rPr>
                <w:rFonts w:ascii="Arial Narrow" w:hAnsi="Arial Narrow" w:cs="Open Sans"/>
                <w:snapToGrid w:val="0"/>
                <w:color w:val="333333"/>
                <w:sz w:val="20"/>
                <w:szCs w:val="20"/>
                <w:lang w:val="en-GB"/>
              </w:rPr>
            </w:pPr>
            <w:r w:rsidRPr="00D56480">
              <w:rPr>
                <w:rFonts w:ascii="Arial Narrow" w:eastAsia="MS Gothic" w:hAnsi="Arial Narrow" w:cs="Open Sans"/>
                <w:b/>
                <w:bCs/>
                <w:snapToGrid w:val="0"/>
                <w:color w:val="333333"/>
                <w:sz w:val="20"/>
                <w:szCs w:val="20"/>
                <w:bdr w:val="none" w:sz="0" w:space="0" w:color="auto" w:frame="1"/>
                <w:lang w:val="en-GB"/>
              </w:rPr>
              <w:t>AND</w:t>
            </w:r>
          </w:p>
        </w:tc>
      </w:tr>
      <w:tr w:rsidR="00D56480" w:rsidRPr="00D56480" w14:paraId="6224B584"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069E2622" w14:textId="47EF5DCC"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7C299421" w14:textId="77777777" w:rsidR="00D56480" w:rsidRPr="00D56480" w:rsidRDefault="00D56480" w:rsidP="00F244C6">
            <w:pPr>
              <w:textAlignment w:val="baseline"/>
              <w:rPr>
                <w:rFonts w:ascii="Arial Narrow" w:hAnsi="Arial Narrow" w:cs="Open Sans"/>
                <w:snapToGrid w:val="0"/>
                <w:color w:val="333333"/>
                <w:sz w:val="20"/>
                <w:szCs w:val="20"/>
                <w:lang w:val="en-GB"/>
              </w:rPr>
            </w:pPr>
            <w:r w:rsidRPr="00D56480">
              <w:rPr>
                <w:rFonts w:ascii="Arial Narrow" w:eastAsia="MS Gothic" w:hAnsi="Arial Narrow" w:cs="Open Sans"/>
                <w:b/>
                <w:bCs/>
                <w:snapToGrid w:val="0"/>
                <w:color w:val="333333"/>
                <w:sz w:val="20"/>
                <w:szCs w:val="20"/>
                <w:bdr w:val="none" w:sz="0" w:space="0" w:color="auto" w:frame="1"/>
                <w:lang w:val="en-GB"/>
              </w:rPr>
              <w:t>Clinical criteria:</w:t>
            </w:r>
          </w:p>
        </w:tc>
      </w:tr>
      <w:tr w:rsidR="00D56480" w:rsidRPr="00D56480" w14:paraId="247C1484"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355468CA" w14:textId="44EE3C97"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0244CD13" w14:textId="42ED44D3" w:rsidR="00D56480" w:rsidRPr="00D56480" w:rsidRDefault="00D56480" w:rsidP="00F244C6">
            <w:pPr>
              <w:textAlignment w:val="baseline"/>
              <w:rPr>
                <w:rFonts w:ascii="Arial Narrow" w:hAnsi="Arial Narrow" w:cs="Open Sans"/>
                <w:snapToGrid w:val="0"/>
                <w:color w:val="333333"/>
                <w:sz w:val="20"/>
                <w:szCs w:val="20"/>
                <w:lang w:val="en-GB"/>
              </w:rPr>
            </w:pPr>
            <w:r w:rsidRPr="00D56480">
              <w:rPr>
                <w:rFonts w:ascii="Arial Narrow" w:hAnsi="Arial Narrow" w:cs="Open Sans"/>
                <w:snapToGrid w:val="0"/>
                <w:color w:val="333333"/>
                <w:sz w:val="20"/>
                <w:szCs w:val="20"/>
                <w:lang w:val="en-GB"/>
              </w:rPr>
              <w:t>The treatment must not exceed a lifetime maximum of 18 months of PBS and non-PBS-subsidised therapy</w:t>
            </w:r>
            <w:r w:rsidR="003F3E9E">
              <w:rPr>
                <w:rFonts w:ascii="Arial Narrow" w:hAnsi="Arial Narrow" w:cs="Open Sans"/>
                <w:snapToGrid w:val="0"/>
                <w:color w:val="333333"/>
                <w:sz w:val="20"/>
                <w:szCs w:val="20"/>
                <w:lang w:val="en-GB"/>
              </w:rPr>
              <w:t xml:space="preserve"> with this drug for this condition</w:t>
            </w:r>
          </w:p>
        </w:tc>
      </w:tr>
      <w:tr w:rsidR="00D56480" w:rsidRPr="00D56480" w14:paraId="3DB9A6EF"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472BD1CA" w14:textId="029752C3"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771C07F3" w14:textId="77777777" w:rsidR="00D56480" w:rsidRPr="00D56480" w:rsidRDefault="00D56480" w:rsidP="00F244C6">
            <w:pPr>
              <w:textAlignment w:val="baseline"/>
              <w:rPr>
                <w:rFonts w:ascii="Arial Narrow" w:hAnsi="Arial Narrow" w:cs="Open Sans"/>
                <w:snapToGrid w:val="0"/>
                <w:color w:val="333333"/>
                <w:sz w:val="20"/>
                <w:szCs w:val="20"/>
                <w:lang w:val="en-GB"/>
              </w:rPr>
            </w:pPr>
            <w:r w:rsidRPr="00D56480">
              <w:rPr>
                <w:rFonts w:ascii="Arial Narrow" w:eastAsia="MS Gothic" w:hAnsi="Arial Narrow" w:cs="Open Sans"/>
                <w:b/>
                <w:bCs/>
                <w:snapToGrid w:val="0"/>
                <w:color w:val="333333"/>
                <w:sz w:val="20"/>
                <w:szCs w:val="20"/>
                <w:bdr w:val="none" w:sz="0" w:space="0" w:color="auto" w:frame="1"/>
                <w:lang w:val="en-GB"/>
              </w:rPr>
              <w:t>Prescribing Instructions:</w:t>
            </w:r>
          </w:p>
          <w:p w14:paraId="0969DFC1" w14:textId="77777777" w:rsidR="00D56480" w:rsidRPr="00D56480" w:rsidRDefault="00D56480" w:rsidP="00F244C6">
            <w:pPr>
              <w:textAlignment w:val="baseline"/>
              <w:rPr>
                <w:rFonts w:ascii="Arial Narrow" w:hAnsi="Arial Narrow" w:cs="Open Sans"/>
                <w:snapToGrid w:val="0"/>
                <w:color w:val="333333"/>
                <w:sz w:val="20"/>
                <w:szCs w:val="20"/>
                <w:lang w:val="en-GB"/>
              </w:rPr>
            </w:pPr>
            <w:r w:rsidRPr="00D56480">
              <w:rPr>
                <w:rFonts w:ascii="Arial Narrow" w:hAnsi="Arial Narrow" w:cs="Open Sans"/>
                <w:snapToGrid w:val="0"/>
                <w:color w:val="333333"/>
                <w:sz w:val="20"/>
                <w:szCs w:val="20"/>
                <w:lang w:val="en-GB"/>
              </w:rPr>
              <w:t>A vertebral fracture is defined as a 20% or greater reduction in height of the anterior or mid portion of a vertebral body relative to the posterior height of that body, or, a 20% or greater reduction in any of these heights compared to the vertebral body above or below the affected vertebral body.</w:t>
            </w:r>
          </w:p>
        </w:tc>
      </w:tr>
      <w:tr w:rsidR="00D56480" w:rsidRPr="00D56480" w14:paraId="7C1D9860"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16460507" w14:textId="024EB785"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173BAE18" w14:textId="77777777" w:rsidR="00D56480" w:rsidRPr="00D56480" w:rsidRDefault="00D56480" w:rsidP="00F244C6">
            <w:pPr>
              <w:textAlignment w:val="baseline"/>
              <w:rPr>
                <w:rFonts w:ascii="Arial Narrow" w:hAnsi="Arial Narrow" w:cs="Open Sans"/>
                <w:snapToGrid w:val="0"/>
                <w:color w:val="333333"/>
                <w:sz w:val="20"/>
                <w:szCs w:val="20"/>
                <w:lang w:val="en-GB"/>
              </w:rPr>
            </w:pPr>
            <w:r w:rsidRPr="00D56480">
              <w:rPr>
                <w:rFonts w:ascii="Arial Narrow" w:eastAsia="MS Gothic" w:hAnsi="Arial Narrow" w:cs="Open Sans"/>
                <w:b/>
                <w:bCs/>
                <w:snapToGrid w:val="0"/>
                <w:color w:val="333333"/>
                <w:sz w:val="20"/>
                <w:szCs w:val="20"/>
                <w:bdr w:val="none" w:sz="0" w:space="0" w:color="auto" w:frame="1"/>
                <w:lang w:val="en-GB"/>
              </w:rPr>
              <w:t>Prescribing Instructions:</w:t>
            </w:r>
          </w:p>
          <w:p w14:paraId="67928C4F" w14:textId="77777777" w:rsidR="00D56480" w:rsidRPr="00D56480" w:rsidRDefault="00D56480" w:rsidP="00F244C6">
            <w:pPr>
              <w:textAlignment w:val="baseline"/>
              <w:rPr>
                <w:rFonts w:ascii="Arial Narrow" w:hAnsi="Arial Narrow" w:cs="Open Sans"/>
                <w:snapToGrid w:val="0"/>
                <w:color w:val="333333"/>
                <w:sz w:val="20"/>
                <w:szCs w:val="20"/>
                <w:lang w:val="en-GB"/>
              </w:rPr>
            </w:pPr>
            <w:r w:rsidRPr="00D56480">
              <w:rPr>
                <w:rFonts w:ascii="Arial Narrow" w:hAnsi="Arial Narrow" w:cs="Open Sans"/>
                <w:snapToGrid w:val="0"/>
                <w:color w:val="333333"/>
                <w:sz w:val="20"/>
                <w:szCs w:val="20"/>
              </w:rPr>
              <w:t>If treatment with anti-resorptive therapy is contraindicated according to the relevant TGA-approved Product Information, details of the contraindication must be documented in the patient's medical record at the time treatment with this drug is initiated.</w:t>
            </w:r>
          </w:p>
        </w:tc>
      </w:tr>
      <w:tr w:rsidR="00D56480" w:rsidRPr="00D56480" w14:paraId="35847DAA"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166B8760" w14:textId="20E31108"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363521F3" w14:textId="77777777" w:rsidR="00D56480" w:rsidRPr="00D56480" w:rsidRDefault="00D56480" w:rsidP="00F244C6">
            <w:pPr>
              <w:textAlignment w:val="baseline"/>
              <w:rPr>
                <w:rFonts w:ascii="Arial Narrow" w:eastAsia="MS Gothic" w:hAnsi="Arial Narrow" w:cs="Open Sans"/>
                <w:b/>
                <w:bCs/>
                <w:snapToGrid w:val="0"/>
                <w:color w:val="333333"/>
                <w:sz w:val="20"/>
                <w:szCs w:val="20"/>
                <w:bdr w:val="none" w:sz="0" w:space="0" w:color="auto" w:frame="1"/>
              </w:rPr>
            </w:pPr>
            <w:r w:rsidRPr="00D56480">
              <w:rPr>
                <w:rFonts w:ascii="Arial Narrow" w:eastAsia="MS Gothic" w:hAnsi="Arial Narrow" w:cs="Open Sans"/>
                <w:b/>
                <w:bCs/>
                <w:snapToGrid w:val="0"/>
                <w:color w:val="333333"/>
                <w:sz w:val="20"/>
                <w:szCs w:val="20"/>
                <w:bdr w:val="none" w:sz="0" w:space="0" w:color="auto" w:frame="1"/>
              </w:rPr>
              <w:t>Prescribing Instructions:</w:t>
            </w:r>
          </w:p>
          <w:p w14:paraId="2F644A55" w14:textId="77777777" w:rsidR="00D56480" w:rsidRPr="00D56480" w:rsidRDefault="00D56480" w:rsidP="00F244C6">
            <w:pPr>
              <w:textAlignment w:val="baseline"/>
              <w:rPr>
                <w:rFonts w:ascii="Arial Narrow" w:eastAsia="MS Gothic" w:hAnsi="Arial Narrow" w:cs="Open Sans"/>
                <w:snapToGrid w:val="0"/>
                <w:color w:val="333333"/>
                <w:sz w:val="20"/>
                <w:szCs w:val="20"/>
                <w:bdr w:val="none" w:sz="0" w:space="0" w:color="auto" w:frame="1"/>
              </w:rPr>
            </w:pPr>
            <w:r w:rsidRPr="00D56480">
              <w:rPr>
                <w:rFonts w:ascii="Arial Narrow" w:eastAsia="MS Gothic" w:hAnsi="Arial Narrow" w:cs="Open Sans"/>
                <w:snapToGrid w:val="0"/>
                <w:color w:val="333333"/>
                <w:sz w:val="20"/>
                <w:szCs w:val="20"/>
                <w:bdr w:val="none" w:sz="0" w:space="0" w:color="auto" w:frame="1"/>
              </w:rPr>
              <w:t>If an intolerance of a severity necessitating permanent treatment withdrawal develops during the relevant period of use of one anti-resorptive agent, alternate anti-resorptive agents must be trialled so that the patient achieves the minimum requirement of 12 months continuous therapy. Details must be documented in the patient's medical record at the time treatment with this drug is initiated.</w:t>
            </w:r>
          </w:p>
        </w:tc>
      </w:tr>
      <w:tr w:rsidR="00D56480" w:rsidRPr="00D56480" w14:paraId="06846B46"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36D5B3FB" w14:textId="421134B8"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3F667A20" w14:textId="77777777" w:rsidR="00D56480" w:rsidRPr="00D56480" w:rsidRDefault="00D56480" w:rsidP="00F244C6">
            <w:pPr>
              <w:textAlignment w:val="baseline"/>
              <w:rPr>
                <w:rFonts w:ascii="Arial Narrow" w:eastAsia="MS Gothic" w:hAnsi="Arial Narrow" w:cs="Open Sans"/>
                <w:b/>
                <w:bCs/>
                <w:snapToGrid w:val="0"/>
                <w:color w:val="333333"/>
                <w:sz w:val="20"/>
                <w:szCs w:val="20"/>
                <w:bdr w:val="none" w:sz="0" w:space="0" w:color="auto" w:frame="1"/>
              </w:rPr>
            </w:pPr>
            <w:r w:rsidRPr="00D56480">
              <w:rPr>
                <w:rFonts w:ascii="Arial Narrow" w:eastAsia="MS Gothic" w:hAnsi="Arial Narrow" w:cs="Open Sans"/>
                <w:b/>
                <w:bCs/>
                <w:snapToGrid w:val="0"/>
                <w:color w:val="333333"/>
                <w:sz w:val="20"/>
                <w:szCs w:val="20"/>
                <w:bdr w:val="none" w:sz="0" w:space="0" w:color="auto" w:frame="1"/>
              </w:rPr>
              <w:t>Prescribing Instructions:</w:t>
            </w:r>
          </w:p>
          <w:p w14:paraId="59680493" w14:textId="77777777" w:rsidR="00D56480" w:rsidRPr="00D56480" w:rsidRDefault="00D56480" w:rsidP="00F244C6">
            <w:pPr>
              <w:textAlignment w:val="baseline"/>
              <w:rPr>
                <w:rFonts w:ascii="Arial Narrow" w:eastAsia="MS Gothic" w:hAnsi="Arial Narrow" w:cs="Open Sans"/>
                <w:snapToGrid w:val="0"/>
                <w:color w:val="333333"/>
                <w:sz w:val="20"/>
                <w:szCs w:val="20"/>
                <w:bdr w:val="none" w:sz="0" w:space="0" w:color="auto" w:frame="1"/>
                <w:lang w:val="en-GB"/>
              </w:rPr>
            </w:pPr>
            <w:r w:rsidRPr="00D56480">
              <w:rPr>
                <w:rFonts w:ascii="Arial Narrow" w:eastAsia="MS Gothic" w:hAnsi="Arial Narrow" w:cs="Open Sans"/>
                <w:snapToGrid w:val="0"/>
                <w:color w:val="333333"/>
                <w:sz w:val="20"/>
                <w:szCs w:val="20"/>
                <w:bdr w:val="none" w:sz="0" w:space="0" w:color="auto" w:frame="1"/>
              </w:rPr>
              <w:t>Anti-resorptive therapies for osteoporosis and their adequate doses which will be accepted for the purposes of administering this restriction are alendronate sodium 10 mg per day or 70 mg once weekly, risedronate sodium 5 mg per day or 35 mg once weekly or 150 mg once monthly, raloxifene hydrochloride 60 mg per day (women only), denosumab 60 mg once every 6 months and zoledronic acid 5 mg per annum.</w:t>
            </w:r>
          </w:p>
        </w:tc>
      </w:tr>
      <w:tr w:rsidR="00D56480" w:rsidRPr="00D56480" w14:paraId="64212ECC"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2114172D" w14:textId="292060B8"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1AC9DC69" w14:textId="77777777" w:rsidR="00D56480" w:rsidRPr="00D56480" w:rsidRDefault="00D56480" w:rsidP="00F244C6">
            <w:pPr>
              <w:textAlignment w:val="baseline"/>
              <w:rPr>
                <w:rFonts w:ascii="Arial Narrow" w:hAnsi="Arial Narrow" w:cs="Open Sans"/>
                <w:snapToGrid w:val="0"/>
                <w:color w:val="333333"/>
                <w:sz w:val="20"/>
                <w:szCs w:val="20"/>
                <w:lang w:val="en-GB"/>
              </w:rPr>
            </w:pPr>
            <w:r w:rsidRPr="00D56480">
              <w:rPr>
                <w:rFonts w:ascii="Arial Narrow" w:eastAsia="MS Gothic" w:hAnsi="Arial Narrow" w:cs="Open Sans"/>
                <w:b/>
                <w:bCs/>
                <w:snapToGrid w:val="0"/>
                <w:color w:val="333333"/>
                <w:sz w:val="20"/>
                <w:szCs w:val="20"/>
                <w:bdr w:val="none" w:sz="0" w:space="0" w:color="auto" w:frame="1"/>
                <w:lang w:val="en-GB"/>
              </w:rPr>
              <w:t>Prescribing Instructions:</w:t>
            </w:r>
          </w:p>
          <w:p w14:paraId="4D19716D" w14:textId="77777777" w:rsidR="00D56480" w:rsidRPr="00D56480" w:rsidRDefault="00D56480" w:rsidP="00F244C6">
            <w:pPr>
              <w:textAlignment w:val="baseline"/>
              <w:rPr>
                <w:rFonts w:ascii="Arial Narrow" w:eastAsia="MS Gothic" w:hAnsi="Arial Narrow" w:cs="Open Sans"/>
                <w:b/>
                <w:bCs/>
                <w:snapToGrid w:val="0"/>
                <w:color w:val="333333"/>
                <w:sz w:val="20"/>
                <w:szCs w:val="20"/>
                <w:bdr w:val="none" w:sz="0" w:space="0" w:color="auto" w:frame="1"/>
                <w:lang w:val="en-GB"/>
              </w:rPr>
            </w:pPr>
            <w:r w:rsidRPr="00D56480">
              <w:rPr>
                <w:rFonts w:ascii="Arial Narrow" w:eastAsia="MS Gothic" w:hAnsi="Arial Narrow" w:cs="Open Sans"/>
                <w:snapToGrid w:val="0"/>
                <w:color w:val="333333"/>
                <w:sz w:val="20"/>
                <w:szCs w:val="20"/>
                <w:bdr w:val="none" w:sz="0" w:space="0" w:color="auto" w:frame="1"/>
                <w:lang w:val="en-GB"/>
              </w:rPr>
              <w:t>Details of prior anti-resorptive therapy, fracture history including the date(s), site(s), the symptoms associated with the fracture(s) which developed after at least 12 months continuous anti-resorptive therapy and the score of the qualifying BMD measurement must be provided at the time of application</w:t>
            </w:r>
            <w:r w:rsidRPr="00D56480">
              <w:rPr>
                <w:rFonts w:ascii="Arial Narrow" w:eastAsia="MS Gothic" w:hAnsi="Arial Narrow" w:cs="Open Sans"/>
                <w:b/>
                <w:bCs/>
                <w:snapToGrid w:val="0"/>
                <w:color w:val="333333"/>
                <w:sz w:val="20"/>
                <w:szCs w:val="20"/>
                <w:bdr w:val="none" w:sz="0" w:space="0" w:color="auto" w:frame="1"/>
                <w:lang w:val="en-GB"/>
              </w:rPr>
              <w:t>.</w:t>
            </w:r>
          </w:p>
        </w:tc>
      </w:tr>
      <w:tr w:rsidR="00D56480" w:rsidRPr="00D56480" w14:paraId="5F0C68B6" w14:textId="77777777" w:rsidTr="00F244C6">
        <w:tblPrEx>
          <w:tblCellMar>
            <w:top w:w="15" w:type="dxa"/>
            <w:left w:w="15" w:type="dxa"/>
            <w:bottom w:w="15" w:type="dxa"/>
            <w:right w:w="15" w:type="dxa"/>
          </w:tblCellMar>
          <w:tblLook w:val="04A0" w:firstRow="1" w:lastRow="0" w:firstColumn="1" w:lastColumn="0" w:noHBand="0" w:noVBand="1"/>
        </w:tblPrEx>
        <w:tc>
          <w:tcPr>
            <w:tcW w:w="5000" w:type="pct"/>
            <w:gridSpan w:val="8"/>
            <w:tcBorders>
              <w:left w:val="single" w:sz="4" w:space="0" w:color="auto"/>
              <w:bottom w:val="single" w:sz="4" w:space="0" w:color="auto"/>
              <w:right w:val="single" w:sz="4" w:space="0" w:color="auto"/>
            </w:tcBorders>
          </w:tcPr>
          <w:p w14:paraId="680D3DE5" w14:textId="77777777" w:rsidR="00D56480" w:rsidRPr="00D56480" w:rsidRDefault="00D56480" w:rsidP="00F244C6">
            <w:pPr>
              <w:textAlignment w:val="baseline"/>
              <w:rPr>
                <w:rFonts w:ascii="Arial Narrow" w:eastAsia="MS Gothic" w:hAnsi="Arial Narrow" w:cs="Open Sans"/>
                <w:b/>
                <w:bCs/>
                <w:snapToGrid w:val="0"/>
                <w:color w:val="333333"/>
                <w:sz w:val="20"/>
                <w:szCs w:val="20"/>
                <w:bdr w:val="none" w:sz="0" w:space="0" w:color="auto" w:frame="1"/>
                <w:lang w:val="en-GB"/>
              </w:rPr>
            </w:pPr>
          </w:p>
        </w:tc>
      </w:tr>
      <w:tr w:rsidR="00D56480" w:rsidRPr="00D56480" w14:paraId="4E6E98FA" w14:textId="77777777" w:rsidTr="00F244C6">
        <w:tblPrEx>
          <w:tblCellMar>
            <w:top w:w="15" w:type="dxa"/>
            <w:left w:w="15" w:type="dxa"/>
            <w:bottom w:w="15" w:type="dxa"/>
            <w:right w:w="15" w:type="dxa"/>
          </w:tblCellMar>
          <w:tblLook w:val="04A0" w:firstRow="1" w:lastRow="0" w:firstColumn="1" w:lastColumn="0" w:noHBand="0" w:noVBand="1"/>
        </w:tblPrEx>
        <w:tc>
          <w:tcPr>
            <w:tcW w:w="5000" w:type="pct"/>
            <w:gridSpan w:val="8"/>
            <w:tcBorders>
              <w:left w:val="single" w:sz="4" w:space="0" w:color="auto"/>
              <w:bottom w:val="single" w:sz="4" w:space="0" w:color="auto"/>
              <w:right w:val="single" w:sz="4" w:space="0" w:color="auto"/>
            </w:tcBorders>
          </w:tcPr>
          <w:p w14:paraId="7A19E4E2" w14:textId="77777777" w:rsidR="00D56480" w:rsidRPr="00D56480" w:rsidRDefault="00D56480" w:rsidP="00F244C6">
            <w:pPr>
              <w:textAlignment w:val="baseline"/>
              <w:rPr>
                <w:rFonts w:ascii="Arial Narrow" w:eastAsia="MS Gothic" w:hAnsi="Arial Narrow" w:cs="Open Sans"/>
                <w:b/>
                <w:bCs/>
                <w:snapToGrid w:val="0"/>
                <w:color w:val="333333"/>
                <w:sz w:val="20"/>
                <w:szCs w:val="20"/>
                <w:bdr w:val="none" w:sz="0" w:space="0" w:color="auto" w:frame="1"/>
                <w:lang w:val="en-GB"/>
              </w:rPr>
            </w:pPr>
          </w:p>
        </w:tc>
      </w:tr>
      <w:tr w:rsidR="00D56480" w:rsidRPr="00D56480" w14:paraId="199F32F2" w14:textId="77777777" w:rsidTr="00F244C6">
        <w:trPr>
          <w:cantSplit/>
          <w:trHeight w:val="347"/>
        </w:trPr>
        <w:tc>
          <w:tcPr>
            <w:tcW w:w="5000" w:type="pct"/>
            <w:gridSpan w:val="8"/>
            <w:tcBorders>
              <w:top w:val="single" w:sz="4" w:space="0" w:color="auto"/>
              <w:left w:val="single" w:sz="4" w:space="0" w:color="auto"/>
              <w:bottom w:val="single" w:sz="4" w:space="0" w:color="auto"/>
              <w:right w:val="single" w:sz="4" w:space="0" w:color="auto"/>
            </w:tcBorders>
          </w:tcPr>
          <w:p w14:paraId="03EF97CD" w14:textId="77777777" w:rsidR="00D56480" w:rsidRPr="00D56480" w:rsidRDefault="00D56480" w:rsidP="00F244C6">
            <w:pPr>
              <w:keepNext/>
              <w:rPr>
                <w:rFonts w:ascii="Arial Narrow" w:hAnsi="Arial Narrow"/>
                <w:sz w:val="20"/>
                <w:szCs w:val="20"/>
              </w:rPr>
            </w:pPr>
            <w:r w:rsidRPr="00D56480">
              <w:rPr>
                <w:rFonts w:ascii="Arial Narrow" w:hAnsi="Arial Narrow"/>
                <w:sz w:val="20"/>
                <w:szCs w:val="20"/>
              </w:rPr>
              <w:t>Restriction Summary [New 4] / Treatment of Concept: [4A]</w:t>
            </w:r>
          </w:p>
        </w:tc>
      </w:tr>
      <w:tr w:rsidR="00D56480" w:rsidRPr="00D56480" w14:paraId="776D4FF2" w14:textId="77777777" w:rsidTr="00F244C6">
        <w:tblPrEx>
          <w:tblCellMar>
            <w:top w:w="15" w:type="dxa"/>
            <w:left w:w="15" w:type="dxa"/>
            <w:bottom w:w="15" w:type="dxa"/>
            <w:right w:w="15" w:type="dxa"/>
          </w:tblCellMar>
          <w:tblLook w:val="04A0" w:firstRow="1" w:lastRow="0" w:firstColumn="1" w:lastColumn="0" w:noHBand="0" w:noVBand="1"/>
        </w:tblPrEx>
        <w:trPr>
          <w:trHeight w:val="264"/>
        </w:trPr>
        <w:tc>
          <w:tcPr>
            <w:tcW w:w="551" w:type="pct"/>
            <w:gridSpan w:val="2"/>
            <w:vMerge w:val="restart"/>
            <w:tcBorders>
              <w:top w:val="single" w:sz="4" w:space="0" w:color="auto"/>
              <w:left w:val="single" w:sz="4" w:space="0" w:color="auto"/>
              <w:right w:val="single" w:sz="4" w:space="0" w:color="auto"/>
            </w:tcBorders>
          </w:tcPr>
          <w:p w14:paraId="0B722C7C" w14:textId="77777777" w:rsidR="00D56480" w:rsidRPr="00D56480" w:rsidRDefault="00D56480" w:rsidP="00F244C6">
            <w:pPr>
              <w:jc w:val="center"/>
              <w:rPr>
                <w:rFonts w:ascii="Arial Narrow" w:hAnsi="Arial Narrow"/>
                <w:b/>
                <w:sz w:val="20"/>
                <w:szCs w:val="20"/>
              </w:rPr>
            </w:pPr>
            <w:r w:rsidRPr="00D56480">
              <w:rPr>
                <w:rFonts w:ascii="Arial Narrow" w:hAnsi="Arial Narrow"/>
                <w:b/>
                <w:sz w:val="20"/>
                <w:szCs w:val="20"/>
              </w:rPr>
              <w:t>Concept ID</w:t>
            </w:r>
          </w:p>
          <w:p w14:paraId="362137DC" w14:textId="77777777" w:rsidR="00D56480" w:rsidRPr="00D56480" w:rsidRDefault="00D56480" w:rsidP="00F244C6">
            <w:pPr>
              <w:rPr>
                <w:rFonts w:ascii="Arial Narrow" w:hAnsi="Arial Narrow"/>
                <w:sz w:val="20"/>
                <w:szCs w:val="20"/>
              </w:rPr>
            </w:pPr>
          </w:p>
          <w:p w14:paraId="3368D035" w14:textId="77777777" w:rsidR="00D56480" w:rsidRPr="00D56480" w:rsidRDefault="00D56480" w:rsidP="00F244C6">
            <w:pPr>
              <w:jc w:val="center"/>
              <w:rPr>
                <w:rFonts w:ascii="Arial Narrow" w:hAnsi="Arial Narrow"/>
                <w:sz w:val="20"/>
                <w:szCs w:val="20"/>
              </w:rPr>
            </w:pPr>
            <w:r w:rsidRPr="00D56480">
              <w:rPr>
                <w:rFonts w:ascii="Arial Narrow" w:hAnsi="Arial Narrow"/>
                <w:sz w:val="20"/>
                <w:szCs w:val="20"/>
              </w:rPr>
              <w:t>(for internal Dept. use)</w:t>
            </w:r>
          </w:p>
        </w:tc>
        <w:tc>
          <w:tcPr>
            <w:tcW w:w="4449" w:type="pct"/>
            <w:gridSpan w:val="6"/>
            <w:tcBorders>
              <w:top w:val="single" w:sz="4" w:space="0" w:color="auto"/>
              <w:left w:val="single" w:sz="4" w:space="0" w:color="auto"/>
              <w:bottom w:val="single" w:sz="4" w:space="0" w:color="auto"/>
              <w:right w:val="single" w:sz="4" w:space="0" w:color="auto"/>
            </w:tcBorders>
          </w:tcPr>
          <w:p w14:paraId="57086090" w14:textId="77777777" w:rsidR="00D56480" w:rsidRPr="00D56480" w:rsidRDefault="00D56480" w:rsidP="00F244C6">
            <w:pPr>
              <w:rPr>
                <w:rFonts w:ascii="Arial Narrow" w:hAnsi="Arial Narrow"/>
                <w:sz w:val="20"/>
                <w:szCs w:val="20"/>
              </w:rPr>
            </w:pPr>
            <w:r w:rsidRPr="00D56480">
              <w:rPr>
                <w:rFonts w:ascii="Arial Narrow" w:hAnsi="Arial Narrow"/>
                <w:b/>
                <w:sz w:val="20"/>
                <w:szCs w:val="20"/>
              </w:rPr>
              <w:t xml:space="preserve">Category / Program: </w:t>
            </w:r>
            <w:r w:rsidRPr="00D56480">
              <w:rPr>
                <w:rFonts w:ascii="Arial Narrow" w:hAnsi="Arial Narrow"/>
                <w:bCs/>
                <w:sz w:val="20"/>
                <w:szCs w:val="20"/>
              </w:rPr>
              <w:t>GENERAL - General Schedule (Code GE)</w:t>
            </w:r>
          </w:p>
        </w:tc>
      </w:tr>
      <w:tr w:rsidR="00D56480" w:rsidRPr="00D56480" w14:paraId="1DB07EF9" w14:textId="77777777" w:rsidTr="00F244C6">
        <w:tblPrEx>
          <w:tblCellMar>
            <w:top w:w="15" w:type="dxa"/>
            <w:left w:w="15" w:type="dxa"/>
            <w:bottom w:w="15" w:type="dxa"/>
            <w:right w:w="15" w:type="dxa"/>
          </w:tblCellMar>
          <w:tblLook w:val="04A0" w:firstRow="1" w:lastRow="0" w:firstColumn="1" w:lastColumn="0" w:noHBand="0" w:noVBand="1"/>
        </w:tblPrEx>
        <w:trPr>
          <w:trHeight w:val="240"/>
        </w:trPr>
        <w:tc>
          <w:tcPr>
            <w:tcW w:w="551" w:type="pct"/>
            <w:gridSpan w:val="2"/>
            <w:vMerge/>
            <w:tcBorders>
              <w:left w:val="single" w:sz="4" w:space="0" w:color="auto"/>
              <w:right w:val="single" w:sz="4" w:space="0" w:color="auto"/>
            </w:tcBorders>
          </w:tcPr>
          <w:p w14:paraId="37A0FCBD" w14:textId="77777777" w:rsidR="00D56480" w:rsidRPr="00D56480" w:rsidRDefault="00D56480" w:rsidP="00F244C6">
            <w:pPr>
              <w:rPr>
                <w:rFonts w:ascii="Arial Narrow" w:hAnsi="Arial Narrow"/>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360CA206" w14:textId="77777777" w:rsidR="00D56480" w:rsidRPr="00D56480" w:rsidRDefault="00D56480" w:rsidP="00F244C6">
            <w:pPr>
              <w:rPr>
                <w:rFonts w:ascii="Arial Narrow" w:hAnsi="Arial Narrow"/>
                <w:b/>
                <w:sz w:val="20"/>
                <w:szCs w:val="20"/>
              </w:rPr>
            </w:pPr>
            <w:r w:rsidRPr="00D56480">
              <w:rPr>
                <w:rFonts w:ascii="Arial Narrow" w:hAnsi="Arial Narrow"/>
                <w:b/>
                <w:sz w:val="20"/>
                <w:szCs w:val="20"/>
              </w:rPr>
              <w:t>Prescriber type:</w:t>
            </w:r>
            <w:r w:rsidRPr="00D56480">
              <w:rPr>
                <w:rFonts w:ascii="Arial Narrow" w:hAnsi="Arial Narrow"/>
                <w:sz w:val="20"/>
                <w:szCs w:val="20"/>
              </w:rPr>
              <w:t xml:space="preserve"> </w:t>
            </w:r>
            <w:r w:rsidRPr="00D56480">
              <w:rPr>
                <w:rFonts w:ascii="Arial Narrow" w:hAnsi="Arial Narrow"/>
                <w:sz w:val="20"/>
                <w:szCs w:val="20"/>
              </w:rPr>
              <w:fldChar w:fldCharType="begin">
                <w:ffData>
                  <w:name w:val=""/>
                  <w:enabled/>
                  <w:calcOnExit w:val="0"/>
                  <w:checkBox>
                    <w:sizeAuto/>
                    <w:default w:val="1"/>
                  </w:checkBox>
                </w:ffData>
              </w:fldChar>
            </w:r>
            <w:r w:rsidRPr="00D56480">
              <w:rPr>
                <w:rFonts w:ascii="Arial Narrow" w:hAnsi="Arial Narrow"/>
                <w:sz w:val="20"/>
                <w:szCs w:val="20"/>
              </w:rPr>
              <w:instrText xml:space="preserve"> FORMCHECKBOX </w:instrText>
            </w:r>
            <w:r w:rsidRPr="00D56480">
              <w:rPr>
                <w:rFonts w:ascii="Arial Narrow" w:hAnsi="Arial Narrow"/>
                <w:sz w:val="20"/>
                <w:szCs w:val="20"/>
              </w:rPr>
            </w:r>
            <w:r w:rsidRPr="00D56480">
              <w:rPr>
                <w:rFonts w:ascii="Arial Narrow" w:hAnsi="Arial Narrow"/>
                <w:sz w:val="20"/>
                <w:szCs w:val="20"/>
              </w:rPr>
              <w:fldChar w:fldCharType="separate"/>
            </w:r>
            <w:r w:rsidRPr="00D56480">
              <w:rPr>
                <w:rFonts w:ascii="Arial Narrow" w:hAnsi="Arial Narrow"/>
                <w:sz w:val="20"/>
                <w:szCs w:val="20"/>
              </w:rPr>
              <w:fldChar w:fldCharType="end"/>
            </w:r>
            <w:r w:rsidRPr="00D56480">
              <w:rPr>
                <w:rFonts w:ascii="Arial Narrow" w:hAnsi="Arial Narrow"/>
                <w:sz w:val="20"/>
                <w:szCs w:val="20"/>
              </w:rPr>
              <w:t>Medical Practitioners</w:t>
            </w:r>
          </w:p>
        </w:tc>
      </w:tr>
      <w:tr w:rsidR="00D56480" w:rsidRPr="00D56480" w14:paraId="6A760C7F"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vMerge/>
            <w:tcBorders>
              <w:left w:val="single" w:sz="4" w:space="0" w:color="auto"/>
              <w:right w:val="single" w:sz="4" w:space="0" w:color="auto"/>
            </w:tcBorders>
          </w:tcPr>
          <w:p w14:paraId="1703D22D" w14:textId="77777777" w:rsidR="00D56480" w:rsidRPr="00D56480" w:rsidRDefault="00D56480" w:rsidP="00F244C6">
            <w:pPr>
              <w:rPr>
                <w:rFonts w:ascii="Arial Narrow" w:hAnsi="Arial Narrow"/>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08A2D946" w14:textId="77777777" w:rsidR="00D56480" w:rsidRPr="00D56480" w:rsidRDefault="00D56480" w:rsidP="00F244C6">
            <w:pPr>
              <w:rPr>
                <w:rFonts w:ascii="Arial Narrow" w:eastAsia="Calibri" w:hAnsi="Arial Narrow"/>
                <w:color w:val="FF00FF"/>
                <w:sz w:val="20"/>
                <w:szCs w:val="20"/>
              </w:rPr>
            </w:pPr>
            <w:r w:rsidRPr="00D56480">
              <w:rPr>
                <w:rFonts w:ascii="Arial Narrow" w:hAnsi="Arial Narrow"/>
                <w:b/>
                <w:sz w:val="20"/>
                <w:szCs w:val="20"/>
              </w:rPr>
              <w:t xml:space="preserve">Restriction type: </w:t>
            </w:r>
            <w:r w:rsidRPr="00D56480">
              <w:rPr>
                <w:rFonts w:ascii="Arial Narrow" w:eastAsia="Calibri" w:hAnsi="Arial Narrow"/>
                <w:sz w:val="20"/>
                <w:szCs w:val="20"/>
              </w:rPr>
              <w:fldChar w:fldCharType="begin">
                <w:ffData>
                  <w:name w:val=""/>
                  <w:enabled/>
                  <w:calcOnExit w:val="0"/>
                  <w:checkBox>
                    <w:sizeAuto/>
                    <w:default w:val="1"/>
                  </w:checkBox>
                </w:ffData>
              </w:fldChar>
            </w:r>
            <w:r w:rsidRPr="00D56480">
              <w:rPr>
                <w:rFonts w:ascii="Arial Narrow" w:eastAsia="Calibri" w:hAnsi="Arial Narrow"/>
                <w:sz w:val="20"/>
                <w:szCs w:val="20"/>
              </w:rPr>
              <w:instrText xml:space="preserve"> FORMCHECKBOX </w:instrText>
            </w:r>
            <w:r w:rsidRPr="00D56480">
              <w:rPr>
                <w:rFonts w:ascii="Arial Narrow" w:eastAsia="Calibri" w:hAnsi="Arial Narrow"/>
                <w:sz w:val="20"/>
                <w:szCs w:val="20"/>
              </w:rPr>
            </w:r>
            <w:r w:rsidRPr="00D56480">
              <w:rPr>
                <w:rFonts w:ascii="Arial Narrow" w:eastAsia="Calibri" w:hAnsi="Arial Narrow"/>
                <w:sz w:val="20"/>
                <w:szCs w:val="20"/>
              </w:rPr>
              <w:fldChar w:fldCharType="separate"/>
            </w:r>
            <w:r w:rsidRPr="00D56480">
              <w:rPr>
                <w:rFonts w:ascii="Arial Narrow" w:eastAsia="Calibri" w:hAnsi="Arial Narrow"/>
                <w:sz w:val="20"/>
                <w:szCs w:val="20"/>
              </w:rPr>
              <w:fldChar w:fldCharType="end"/>
            </w:r>
            <w:r w:rsidRPr="00D56480">
              <w:rPr>
                <w:rFonts w:ascii="Arial Narrow" w:eastAsia="Calibri" w:hAnsi="Arial Narrow"/>
                <w:sz w:val="20"/>
                <w:szCs w:val="20"/>
              </w:rPr>
              <w:t xml:space="preserve"> Authority Required: Telephone/Electronic</w:t>
            </w:r>
          </w:p>
        </w:tc>
      </w:tr>
      <w:tr w:rsidR="00D56480" w:rsidRPr="00D56480" w14:paraId="3F598193"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4DCA5B92" w14:textId="5A2B3F92" w:rsidR="00D56480" w:rsidRPr="00D56480" w:rsidRDefault="00D56480" w:rsidP="00F244C6">
            <w:pPr>
              <w:jc w:val="center"/>
              <w:rPr>
                <w:rFonts w:ascii="Arial Narrow" w:hAnsi="Arial Narrow"/>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6727DE68" w14:textId="77777777" w:rsidR="00D56480" w:rsidRPr="00D56480" w:rsidRDefault="00D56480" w:rsidP="00F244C6">
            <w:pPr>
              <w:textAlignment w:val="baseline"/>
              <w:rPr>
                <w:rFonts w:ascii="Arial Narrow" w:hAnsi="Arial Narrow" w:cs="Open Sans"/>
                <w:snapToGrid w:val="0"/>
                <w:color w:val="333333"/>
                <w:sz w:val="20"/>
                <w:szCs w:val="20"/>
                <w:lang w:val="en-GB"/>
              </w:rPr>
            </w:pPr>
            <w:r w:rsidRPr="00D56480">
              <w:rPr>
                <w:rFonts w:ascii="Arial Narrow" w:eastAsia="MS Gothic" w:hAnsi="Arial Narrow" w:cs="Open Sans"/>
                <w:b/>
                <w:bCs/>
                <w:snapToGrid w:val="0"/>
                <w:color w:val="333333"/>
                <w:sz w:val="20"/>
                <w:szCs w:val="20"/>
                <w:bdr w:val="none" w:sz="0" w:space="0" w:color="auto" w:frame="1"/>
                <w:lang w:val="en-GB"/>
              </w:rPr>
              <w:t>Administrative Advice:</w:t>
            </w:r>
          </w:p>
          <w:p w14:paraId="7F8C2AF9" w14:textId="77777777" w:rsidR="00D56480" w:rsidRPr="00D56480" w:rsidRDefault="00D56480" w:rsidP="00F244C6">
            <w:pPr>
              <w:rPr>
                <w:rFonts w:ascii="Arial Narrow" w:hAnsi="Arial Narrow"/>
                <w:b/>
                <w:sz w:val="20"/>
                <w:szCs w:val="20"/>
              </w:rPr>
            </w:pPr>
            <w:r w:rsidRPr="00D56480">
              <w:rPr>
                <w:rFonts w:ascii="Arial Narrow" w:hAnsi="Arial Narrow" w:cs="Open San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D56480" w:rsidRPr="00D56480" w14:paraId="002389BF"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bottom w:val="single" w:sz="4" w:space="0" w:color="auto"/>
              <w:right w:val="single" w:sz="4" w:space="0" w:color="auto"/>
            </w:tcBorders>
          </w:tcPr>
          <w:p w14:paraId="67CCCCA0" w14:textId="48329DE1" w:rsidR="00D56480" w:rsidRPr="00D56480" w:rsidRDefault="00D56480" w:rsidP="00F244C6">
            <w:pPr>
              <w:jc w:val="center"/>
              <w:rPr>
                <w:rFonts w:ascii="Arial Narrow" w:hAnsi="Arial Narrow"/>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36D3095E" w14:textId="77777777" w:rsidR="00D56480" w:rsidRPr="00D56480" w:rsidRDefault="00D56480" w:rsidP="00F244C6">
            <w:pPr>
              <w:textAlignment w:val="baseline"/>
              <w:rPr>
                <w:rFonts w:ascii="Arial Narrow" w:hAnsi="Arial Narrow" w:cs="Open Sans"/>
                <w:snapToGrid w:val="0"/>
                <w:color w:val="333333"/>
                <w:sz w:val="20"/>
                <w:szCs w:val="20"/>
                <w:lang w:val="en-GB"/>
              </w:rPr>
            </w:pPr>
            <w:r w:rsidRPr="00D56480">
              <w:rPr>
                <w:rFonts w:ascii="Arial Narrow" w:eastAsia="MS Gothic" w:hAnsi="Arial Narrow" w:cs="Open Sans"/>
                <w:b/>
                <w:bCs/>
                <w:snapToGrid w:val="0"/>
                <w:color w:val="333333"/>
                <w:sz w:val="20"/>
                <w:szCs w:val="20"/>
                <w:bdr w:val="none" w:sz="0" w:space="0" w:color="auto" w:frame="1"/>
                <w:lang w:val="en-GB"/>
              </w:rPr>
              <w:t>Administrative Advice:</w:t>
            </w:r>
          </w:p>
          <w:p w14:paraId="591B1C8F" w14:textId="77777777" w:rsidR="00D56480" w:rsidRPr="00D56480" w:rsidRDefault="00D56480" w:rsidP="00F244C6">
            <w:pPr>
              <w:rPr>
                <w:rFonts w:ascii="Arial Narrow" w:hAnsi="Arial Narrow"/>
                <w:b/>
                <w:sz w:val="20"/>
                <w:szCs w:val="20"/>
              </w:rPr>
            </w:pPr>
            <w:r w:rsidRPr="00D56480">
              <w:rPr>
                <w:rFonts w:ascii="Arial Narrow" w:hAnsi="Arial Narrow" w:cs="Open Sans"/>
                <w:color w:val="333333"/>
                <w:sz w:val="20"/>
                <w:szCs w:val="20"/>
              </w:rPr>
              <w:t>No increase in the maximum quantity or number of units may be authorised.</w:t>
            </w:r>
          </w:p>
        </w:tc>
      </w:tr>
      <w:tr w:rsidR="00D56480" w:rsidRPr="00D56480" w14:paraId="675A82E5"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6E681829" w14:textId="58DF9269" w:rsidR="00D56480" w:rsidRPr="00D56480" w:rsidRDefault="00D56480" w:rsidP="00F244C6">
            <w:pPr>
              <w:jc w:val="center"/>
              <w:rPr>
                <w:rFonts w:ascii="Arial Narrow" w:hAnsi="Arial Narrow"/>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2A73CA71" w14:textId="77777777" w:rsidR="00D56480" w:rsidRPr="00D56480" w:rsidRDefault="00D56480" w:rsidP="00F244C6">
            <w:pPr>
              <w:textAlignment w:val="baseline"/>
              <w:rPr>
                <w:rFonts w:ascii="Arial Narrow" w:hAnsi="Arial Narrow" w:cs="Open Sans"/>
                <w:snapToGrid w:val="0"/>
                <w:color w:val="333333"/>
                <w:sz w:val="20"/>
                <w:szCs w:val="20"/>
                <w:lang w:val="en-GB"/>
              </w:rPr>
            </w:pPr>
            <w:r w:rsidRPr="00D56480">
              <w:rPr>
                <w:rFonts w:ascii="Arial Narrow" w:eastAsia="MS Gothic" w:hAnsi="Arial Narrow" w:cs="Open Sans"/>
                <w:b/>
                <w:bCs/>
                <w:snapToGrid w:val="0"/>
                <w:color w:val="333333"/>
                <w:sz w:val="20"/>
                <w:szCs w:val="20"/>
                <w:bdr w:val="none" w:sz="0" w:space="0" w:color="auto" w:frame="1"/>
                <w:lang w:val="en-GB"/>
              </w:rPr>
              <w:t>Administrative Advice:</w:t>
            </w:r>
          </w:p>
          <w:p w14:paraId="372A2858" w14:textId="77777777" w:rsidR="00D56480" w:rsidRPr="00D56480" w:rsidRDefault="00D56480" w:rsidP="00F244C6">
            <w:pPr>
              <w:rPr>
                <w:rFonts w:ascii="Arial Narrow" w:hAnsi="Arial Narrow"/>
                <w:b/>
                <w:sz w:val="20"/>
                <w:szCs w:val="20"/>
              </w:rPr>
            </w:pPr>
            <w:r w:rsidRPr="00D56480">
              <w:rPr>
                <w:rFonts w:ascii="Arial Narrow" w:hAnsi="Arial Narrow" w:cs="Open Sans"/>
                <w:color w:val="333333"/>
                <w:sz w:val="20"/>
                <w:szCs w:val="20"/>
              </w:rPr>
              <w:t>No increase in the maximum number of repeats may be authorised.</w:t>
            </w:r>
          </w:p>
        </w:tc>
      </w:tr>
      <w:tr w:rsidR="00D56480" w:rsidRPr="00D56480" w14:paraId="54483756"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165C7D9C" w14:textId="14009F89"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754B8B28" w14:textId="77777777" w:rsidR="00D56480" w:rsidRPr="00D56480" w:rsidRDefault="00D56480" w:rsidP="00F244C6">
            <w:pPr>
              <w:textAlignment w:val="baseline"/>
              <w:rPr>
                <w:rFonts w:ascii="Arial Narrow" w:hAnsi="Arial Narrow" w:cs="Open Sans"/>
                <w:snapToGrid w:val="0"/>
                <w:color w:val="333333"/>
                <w:sz w:val="20"/>
                <w:szCs w:val="20"/>
                <w:lang w:val="en-GB"/>
              </w:rPr>
            </w:pPr>
            <w:r w:rsidRPr="00D56480">
              <w:rPr>
                <w:rFonts w:ascii="Arial Narrow" w:eastAsia="MS Gothic" w:hAnsi="Arial Narrow" w:cs="Open Sans"/>
                <w:b/>
                <w:bCs/>
                <w:snapToGrid w:val="0"/>
                <w:color w:val="333333"/>
                <w:sz w:val="20"/>
                <w:szCs w:val="20"/>
                <w:bdr w:val="none" w:sz="0" w:space="0" w:color="auto" w:frame="1"/>
                <w:lang w:val="en-GB"/>
              </w:rPr>
              <w:t>Indication:</w:t>
            </w:r>
          </w:p>
          <w:p w14:paraId="6E26744A" w14:textId="77777777" w:rsidR="00D56480" w:rsidRPr="00D56480" w:rsidRDefault="00D56480" w:rsidP="00F244C6">
            <w:pPr>
              <w:textAlignment w:val="baseline"/>
              <w:rPr>
                <w:rFonts w:ascii="Arial Narrow" w:eastAsia="MS Gothic" w:hAnsi="Arial Narrow" w:cs="Open Sans"/>
                <w:b/>
                <w:bCs/>
                <w:snapToGrid w:val="0"/>
                <w:color w:val="333333"/>
                <w:sz w:val="20"/>
                <w:szCs w:val="20"/>
                <w:bdr w:val="none" w:sz="0" w:space="0" w:color="auto" w:frame="1"/>
                <w:lang w:val="en-GB"/>
              </w:rPr>
            </w:pPr>
            <w:r w:rsidRPr="00D56480">
              <w:rPr>
                <w:rFonts w:ascii="Arial Narrow" w:hAnsi="Arial Narrow" w:cs="Open Sans"/>
                <w:snapToGrid w:val="0"/>
                <w:color w:val="333333"/>
                <w:sz w:val="20"/>
                <w:szCs w:val="20"/>
                <w:lang w:val="en-GB"/>
              </w:rPr>
              <w:t>Severe established osteoporosis</w:t>
            </w:r>
          </w:p>
        </w:tc>
      </w:tr>
      <w:tr w:rsidR="00D56480" w:rsidRPr="00D56480" w14:paraId="34B4A56A"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717FD334" w14:textId="77777777"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4FD6607C" w14:textId="77777777" w:rsidR="00D56480" w:rsidRPr="00D56480" w:rsidRDefault="00D56480" w:rsidP="00F244C6">
            <w:pPr>
              <w:textAlignment w:val="baseline"/>
              <w:rPr>
                <w:rFonts w:ascii="Arial Narrow" w:eastAsia="MS Gothic" w:hAnsi="Arial Narrow" w:cs="Open Sans"/>
                <w:snapToGrid w:val="0"/>
                <w:color w:val="333333"/>
                <w:sz w:val="20"/>
                <w:szCs w:val="20"/>
                <w:bdr w:val="none" w:sz="0" w:space="0" w:color="auto" w:frame="1"/>
                <w:lang w:val="en-GB"/>
              </w:rPr>
            </w:pPr>
            <w:r w:rsidRPr="00D56480">
              <w:rPr>
                <w:rFonts w:ascii="Arial Narrow" w:eastAsia="MS Gothic" w:hAnsi="Arial Narrow" w:cs="Open Sans"/>
                <w:b/>
                <w:bCs/>
                <w:snapToGrid w:val="0"/>
                <w:color w:val="333333"/>
                <w:sz w:val="20"/>
                <w:szCs w:val="20"/>
                <w:bdr w:val="none" w:sz="0" w:space="0" w:color="auto" w:frame="1"/>
                <w:lang w:val="en-GB"/>
              </w:rPr>
              <w:t>Treatment Phase:</w:t>
            </w:r>
            <w:r w:rsidRPr="00D56480">
              <w:rPr>
                <w:rFonts w:ascii="Arial Narrow" w:eastAsia="MS Gothic" w:hAnsi="Arial Narrow" w:cs="Open Sans"/>
                <w:snapToGrid w:val="0"/>
                <w:color w:val="333333"/>
                <w:sz w:val="20"/>
                <w:szCs w:val="20"/>
                <w:bdr w:val="none" w:sz="0" w:space="0" w:color="auto" w:frame="1"/>
                <w:lang w:val="en-GB"/>
              </w:rPr>
              <w:t xml:space="preserve"> </w:t>
            </w:r>
          </w:p>
          <w:p w14:paraId="6E4052C8" w14:textId="77777777" w:rsidR="00D56480" w:rsidRPr="00D56480" w:rsidRDefault="00D56480" w:rsidP="00F244C6">
            <w:pPr>
              <w:textAlignment w:val="baseline"/>
              <w:rPr>
                <w:rFonts w:ascii="Arial Narrow" w:eastAsia="MS Gothic" w:hAnsi="Arial Narrow" w:cs="Open Sans"/>
                <w:snapToGrid w:val="0"/>
                <w:color w:val="333333"/>
                <w:sz w:val="20"/>
                <w:szCs w:val="20"/>
                <w:bdr w:val="none" w:sz="0" w:space="0" w:color="auto" w:frame="1"/>
                <w:lang w:val="en-GB"/>
              </w:rPr>
            </w:pPr>
            <w:r w:rsidRPr="00D56480">
              <w:rPr>
                <w:rFonts w:ascii="Arial Narrow" w:eastAsia="MS Gothic" w:hAnsi="Arial Narrow" w:cs="Open Sans"/>
                <w:snapToGrid w:val="0"/>
                <w:color w:val="333333"/>
                <w:sz w:val="20"/>
                <w:szCs w:val="20"/>
                <w:bdr w:val="none" w:sz="0" w:space="0" w:color="auto" w:frame="1"/>
                <w:lang w:val="en-GB"/>
              </w:rPr>
              <w:t>Continuing treatment - Second-line therapy</w:t>
            </w:r>
          </w:p>
        </w:tc>
      </w:tr>
      <w:tr w:rsidR="00D56480" w:rsidRPr="00D56480" w14:paraId="4DAA9DFE"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113A9692" w14:textId="76F518FE"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0FAF2852" w14:textId="77777777" w:rsidR="00D56480" w:rsidRPr="00D56480" w:rsidRDefault="00D56480" w:rsidP="00F244C6">
            <w:pPr>
              <w:textAlignment w:val="baseline"/>
              <w:rPr>
                <w:rFonts w:ascii="Arial Narrow" w:eastAsia="MS Gothic" w:hAnsi="Arial Narrow" w:cs="Open Sans"/>
                <w:b/>
                <w:bCs/>
                <w:snapToGrid w:val="0"/>
                <w:color w:val="333333"/>
                <w:sz w:val="20"/>
                <w:szCs w:val="20"/>
                <w:bdr w:val="none" w:sz="0" w:space="0" w:color="auto" w:frame="1"/>
                <w:lang w:val="en-GB"/>
              </w:rPr>
            </w:pPr>
            <w:r w:rsidRPr="00D56480">
              <w:rPr>
                <w:rFonts w:ascii="Arial Narrow" w:eastAsia="MS Gothic" w:hAnsi="Arial Narrow" w:cs="Open Sans"/>
                <w:b/>
                <w:bCs/>
                <w:snapToGrid w:val="0"/>
                <w:color w:val="333333"/>
                <w:sz w:val="20"/>
                <w:szCs w:val="20"/>
                <w:bdr w:val="none" w:sz="0" w:space="0" w:color="auto" w:frame="1"/>
                <w:lang w:val="en-GB"/>
              </w:rPr>
              <w:t>Treatment criteria:</w:t>
            </w:r>
          </w:p>
        </w:tc>
      </w:tr>
      <w:tr w:rsidR="00D56480" w:rsidRPr="00D56480" w14:paraId="5A0A58D7"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257BE8B3" w14:textId="33CCBA64"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1D9AE330" w14:textId="77777777" w:rsidR="00D56480" w:rsidRPr="00D56480" w:rsidRDefault="00D56480" w:rsidP="00F244C6">
            <w:pPr>
              <w:textAlignment w:val="baseline"/>
              <w:rPr>
                <w:rFonts w:ascii="Arial Narrow" w:eastAsia="MS Gothic" w:hAnsi="Arial Narrow" w:cs="Open Sans"/>
                <w:b/>
                <w:bCs/>
                <w:snapToGrid w:val="0"/>
                <w:color w:val="333333"/>
                <w:sz w:val="20"/>
                <w:szCs w:val="20"/>
                <w:bdr w:val="none" w:sz="0" w:space="0" w:color="auto" w:frame="1"/>
                <w:lang w:val="en-GB"/>
              </w:rPr>
            </w:pPr>
            <w:r w:rsidRPr="00D56480">
              <w:rPr>
                <w:rFonts w:ascii="Arial Narrow" w:hAnsi="Arial Narrow" w:cs="Open Sans"/>
                <w:snapToGrid w:val="0"/>
                <w:color w:val="333333"/>
                <w:sz w:val="20"/>
                <w:szCs w:val="20"/>
                <w:lang w:val="en-GB"/>
              </w:rPr>
              <w:t>Must be treated by a medical practitioner identifying as either: (i) a consultant physician, (ii) a general practitioner</w:t>
            </w:r>
          </w:p>
        </w:tc>
      </w:tr>
      <w:tr w:rsidR="00D56480" w:rsidRPr="00D56480" w14:paraId="62D4FEDB"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59FF16FB" w14:textId="50175A61"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2A218416" w14:textId="77777777" w:rsidR="00D56480" w:rsidRPr="00D56480" w:rsidRDefault="00D56480" w:rsidP="00F244C6">
            <w:pPr>
              <w:textAlignment w:val="baseline"/>
              <w:rPr>
                <w:rFonts w:ascii="Arial Narrow" w:eastAsia="MS Gothic" w:hAnsi="Arial Narrow" w:cs="Open Sans"/>
                <w:b/>
                <w:bCs/>
                <w:snapToGrid w:val="0"/>
                <w:color w:val="333333"/>
                <w:sz w:val="20"/>
                <w:szCs w:val="20"/>
                <w:bdr w:val="none" w:sz="0" w:space="0" w:color="auto" w:frame="1"/>
                <w:lang w:val="en-GB"/>
              </w:rPr>
            </w:pPr>
            <w:r w:rsidRPr="00D56480">
              <w:rPr>
                <w:rFonts w:ascii="Arial Narrow" w:eastAsia="MS Gothic" w:hAnsi="Arial Narrow" w:cs="Open Sans"/>
                <w:b/>
                <w:bCs/>
                <w:snapToGrid w:val="0"/>
                <w:color w:val="333333"/>
                <w:sz w:val="20"/>
                <w:szCs w:val="20"/>
                <w:bdr w:val="none" w:sz="0" w:space="0" w:color="auto" w:frame="1"/>
                <w:lang w:val="en-GB"/>
              </w:rPr>
              <w:t>Clinical criteria:</w:t>
            </w:r>
          </w:p>
        </w:tc>
      </w:tr>
      <w:tr w:rsidR="00D56480" w:rsidRPr="00D56480" w14:paraId="63C35BC3"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2042009C" w14:textId="2AF32317"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1F1E2D7A" w14:textId="77777777" w:rsidR="00D56480" w:rsidRPr="00D56480" w:rsidRDefault="00D56480" w:rsidP="00F244C6">
            <w:pPr>
              <w:textAlignment w:val="baseline"/>
              <w:rPr>
                <w:rFonts w:ascii="Arial Narrow" w:eastAsia="MS Gothic" w:hAnsi="Arial Narrow" w:cs="Open Sans"/>
                <w:b/>
                <w:bCs/>
                <w:snapToGrid w:val="0"/>
                <w:color w:val="333333"/>
                <w:sz w:val="20"/>
                <w:szCs w:val="20"/>
                <w:bdr w:val="none" w:sz="0" w:space="0" w:color="auto" w:frame="1"/>
                <w:lang w:val="en-GB"/>
              </w:rPr>
            </w:pPr>
            <w:r w:rsidRPr="00D56480">
              <w:rPr>
                <w:rFonts w:ascii="Arial Narrow" w:hAnsi="Arial Narrow" w:cs="Open Sans"/>
                <w:snapToGrid w:val="0"/>
                <w:color w:val="333333"/>
                <w:sz w:val="20"/>
                <w:szCs w:val="20"/>
              </w:rPr>
              <w:t>Patient must have previously received PBS-subsidised treatment with this drug for this condition as second-line therapy</w:t>
            </w:r>
          </w:p>
        </w:tc>
      </w:tr>
      <w:tr w:rsidR="00D56480" w:rsidRPr="00D56480" w14:paraId="0A1A6672"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58A43BC1" w14:textId="77777777"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2F9534E1" w14:textId="77777777" w:rsidR="00D56480" w:rsidRPr="00D56480" w:rsidRDefault="00D56480" w:rsidP="00F244C6">
            <w:pPr>
              <w:textAlignment w:val="baseline"/>
              <w:rPr>
                <w:rFonts w:ascii="Arial Narrow" w:eastAsia="MS Gothic" w:hAnsi="Arial Narrow" w:cs="Open Sans"/>
                <w:b/>
                <w:bCs/>
                <w:snapToGrid w:val="0"/>
                <w:color w:val="333333"/>
                <w:sz w:val="20"/>
                <w:szCs w:val="20"/>
                <w:bdr w:val="none" w:sz="0" w:space="0" w:color="auto" w:frame="1"/>
                <w:lang w:val="en-GB"/>
              </w:rPr>
            </w:pPr>
            <w:r w:rsidRPr="00D56480">
              <w:rPr>
                <w:rFonts w:ascii="Arial Narrow" w:eastAsia="MS Gothic" w:hAnsi="Arial Narrow" w:cs="Open Sans"/>
                <w:b/>
                <w:bCs/>
                <w:snapToGrid w:val="0"/>
                <w:color w:val="333333"/>
                <w:sz w:val="20"/>
                <w:szCs w:val="20"/>
                <w:bdr w:val="none" w:sz="0" w:space="0" w:color="auto" w:frame="1"/>
                <w:lang w:val="en-GB"/>
              </w:rPr>
              <w:t>AND</w:t>
            </w:r>
          </w:p>
        </w:tc>
      </w:tr>
      <w:tr w:rsidR="00D56480" w:rsidRPr="00D56480" w14:paraId="7351DE87"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31D8DA90" w14:textId="4C95F9C1"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67459429" w14:textId="77777777" w:rsidR="00D56480" w:rsidRPr="00D56480" w:rsidRDefault="00D56480" w:rsidP="00F244C6">
            <w:pPr>
              <w:textAlignment w:val="baseline"/>
              <w:rPr>
                <w:rFonts w:ascii="Arial Narrow" w:eastAsia="MS Gothic" w:hAnsi="Arial Narrow" w:cs="Open Sans"/>
                <w:b/>
                <w:bCs/>
                <w:snapToGrid w:val="0"/>
                <w:color w:val="333333"/>
                <w:sz w:val="20"/>
                <w:szCs w:val="20"/>
                <w:bdr w:val="none" w:sz="0" w:space="0" w:color="auto" w:frame="1"/>
                <w:lang w:val="en-GB"/>
              </w:rPr>
            </w:pPr>
            <w:r w:rsidRPr="00D56480">
              <w:rPr>
                <w:rFonts w:ascii="Arial Narrow" w:eastAsia="MS Gothic" w:hAnsi="Arial Narrow" w:cs="Open Sans"/>
                <w:b/>
                <w:bCs/>
                <w:snapToGrid w:val="0"/>
                <w:color w:val="333333"/>
                <w:sz w:val="20"/>
                <w:szCs w:val="20"/>
                <w:bdr w:val="none" w:sz="0" w:space="0" w:color="auto" w:frame="1"/>
                <w:lang w:val="en-GB"/>
              </w:rPr>
              <w:t>Clinical criteria:</w:t>
            </w:r>
          </w:p>
        </w:tc>
      </w:tr>
      <w:tr w:rsidR="00D56480" w:rsidRPr="00D56480" w14:paraId="0F78045F" w14:textId="77777777" w:rsidTr="00F244C6">
        <w:tblPrEx>
          <w:tblCellMar>
            <w:top w:w="15" w:type="dxa"/>
            <w:left w:w="15" w:type="dxa"/>
            <w:bottom w:w="15" w:type="dxa"/>
            <w:right w:w="15" w:type="dxa"/>
          </w:tblCellMar>
          <w:tblLook w:val="04A0" w:firstRow="1" w:lastRow="0" w:firstColumn="1" w:lastColumn="0" w:noHBand="0" w:noVBand="1"/>
        </w:tblPrEx>
        <w:tc>
          <w:tcPr>
            <w:tcW w:w="551" w:type="pct"/>
            <w:gridSpan w:val="2"/>
            <w:tcBorders>
              <w:left w:val="single" w:sz="4" w:space="0" w:color="auto"/>
              <w:right w:val="single" w:sz="4" w:space="0" w:color="auto"/>
            </w:tcBorders>
          </w:tcPr>
          <w:p w14:paraId="26D2E7FE" w14:textId="309B3722" w:rsidR="00D56480" w:rsidRPr="00D56480" w:rsidRDefault="00D56480" w:rsidP="00F244C6">
            <w:pPr>
              <w:jc w:val="center"/>
              <w:rPr>
                <w:rFonts w:ascii="Arial Narrow" w:hAnsi="Arial Narrow" w:cs="Open Sans"/>
                <w:color w:val="333333"/>
                <w:sz w:val="20"/>
                <w:szCs w:val="20"/>
              </w:rPr>
            </w:pPr>
          </w:p>
        </w:tc>
        <w:tc>
          <w:tcPr>
            <w:tcW w:w="4449" w:type="pct"/>
            <w:gridSpan w:val="6"/>
            <w:tcBorders>
              <w:top w:val="single" w:sz="4" w:space="0" w:color="auto"/>
              <w:left w:val="single" w:sz="4" w:space="0" w:color="auto"/>
              <w:bottom w:val="single" w:sz="4" w:space="0" w:color="auto"/>
              <w:right w:val="single" w:sz="4" w:space="0" w:color="auto"/>
            </w:tcBorders>
          </w:tcPr>
          <w:p w14:paraId="041AB400" w14:textId="088F11BC" w:rsidR="00D56480" w:rsidRPr="00D56480" w:rsidRDefault="00D56480" w:rsidP="00F244C6">
            <w:pPr>
              <w:textAlignment w:val="baseline"/>
              <w:rPr>
                <w:rFonts w:ascii="Arial Narrow" w:eastAsia="MS Gothic" w:hAnsi="Arial Narrow" w:cs="Open Sans"/>
                <w:b/>
                <w:bCs/>
                <w:snapToGrid w:val="0"/>
                <w:color w:val="333333"/>
                <w:sz w:val="20"/>
                <w:szCs w:val="20"/>
                <w:bdr w:val="none" w:sz="0" w:space="0" w:color="auto" w:frame="1"/>
                <w:lang w:val="en-GB"/>
              </w:rPr>
            </w:pPr>
            <w:r w:rsidRPr="00D56480">
              <w:rPr>
                <w:rFonts w:ascii="Arial Narrow" w:hAnsi="Arial Narrow" w:cs="Open Sans"/>
                <w:snapToGrid w:val="0"/>
                <w:color w:val="333333"/>
                <w:sz w:val="20"/>
                <w:szCs w:val="20"/>
                <w:lang w:val="en-GB"/>
              </w:rPr>
              <w:t>The treatment must not exceed a lifetime maximum of 18 months of PBS and non-PBS-subsidised therapy</w:t>
            </w:r>
            <w:r w:rsidR="003F3E9E">
              <w:rPr>
                <w:rFonts w:ascii="Arial Narrow" w:hAnsi="Arial Narrow" w:cs="Open Sans"/>
                <w:snapToGrid w:val="0"/>
                <w:color w:val="333333"/>
                <w:sz w:val="20"/>
                <w:szCs w:val="20"/>
                <w:lang w:val="en-GB"/>
              </w:rPr>
              <w:t xml:space="preserve"> with this drug for this condition</w:t>
            </w:r>
          </w:p>
        </w:tc>
      </w:tr>
    </w:tbl>
    <w:p w14:paraId="56834374" w14:textId="0C121AE5" w:rsidR="003D5066" w:rsidRDefault="003D5066" w:rsidP="005E633B">
      <w:pPr>
        <w:pStyle w:val="3-BodyText"/>
        <w:numPr>
          <w:ilvl w:val="0"/>
          <w:numId w:val="0"/>
        </w:numPr>
        <w:rPr>
          <w:snapToGrid w:val="0"/>
        </w:rPr>
      </w:pPr>
    </w:p>
    <w:p w14:paraId="2D9E6DFA" w14:textId="77777777" w:rsidR="003D5066" w:rsidRDefault="003D5066">
      <w:pPr>
        <w:jc w:val="left"/>
        <w:rPr>
          <w:rFonts w:asciiTheme="minorHAnsi" w:eastAsiaTheme="minorHAnsi" w:hAnsiTheme="minorHAnsi" w:cstheme="minorBidi"/>
          <w:snapToGrid w:val="0"/>
          <w:szCs w:val="22"/>
        </w:rPr>
      </w:pPr>
      <w:r>
        <w:rPr>
          <w:snapToGrid w:val="0"/>
        </w:rPr>
        <w:br w:type="page"/>
      </w:r>
    </w:p>
    <w:p w14:paraId="7D4CF2F8" w14:textId="77777777" w:rsidR="005E633B" w:rsidRPr="00761071" w:rsidRDefault="005E633B" w:rsidP="005E633B">
      <w:pPr>
        <w:pStyle w:val="3-BodyText"/>
        <w:numPr>
          <w:ilvl w:val="0"/>
          <w:numId w:val="0"/>
        </w:numPr>
        <w:rPr>
          <w:snapToGrid w:val="0"/>
        </w:rPr>
      </w:pPr>
    </w:p>
    <w:p w14:paraId="329E6CBD" w14:textId="78BCCE77" w:rsidR="00761071" w:rsidRPr="00A14488" w:rsidRDefault="00761071" w:rsidP="00A822EF">
      <w:pPr>
        <w:widowControl w:val="0"/>
        <w:numPr>
          <w:ilvl w:val="1"/>
          <w:numId w:val="1"/>
        </w:numPr>
        <w:spacing w:after="120"/>
        <w:contextualSpacing/>
        <w:rPr>
          <w:rFonts w:asciiTheme="minorHAnsi" w:hAnsiTheme="minorHAnsi"/>
          <w:b/>
          <w:bCs/>
          <w:snapToGrid w:val="0"/>
        </w:rPr>
      </w:pPr>
      <w:r>
        <w:rPr>
          <w:rFonts w:asciiTheme="minorHAnsi" w:hAnsiTheme="minorHAnsi"/>
          <w:bCs/>
          <w:snapToGrid w:val="0"/>
        </w:rPr>
        <w:t>Flow-on</w:t>
      </w:r>
      <w:r w:rsidR="00A14488">
        <w:rPr>
          <w:rFonts w:asciiTheme="minorHAnsi" w:hAnsiTheme="minorHAnsi"/>
          <w:bCs/>
          <w:snapToGrid w:val="0"/>
        </w:rPr>
        <w:t xml:space="preserve"> changes:</w:t>
      </w:r>
    </w:p>
    <w:p w14:paraId="5EEF285E" w14:textId="77777777" w:rsidR="00A14488" w:rsidRDefault="00A14488" w:rsidP="00A14488">
      <w:pPr>
        <w:widowControl w:val="0"/>
        <w:spacing w:after="120"/>
        <w:contextualSpacing/>
        <w:rPr>
          <w:rFonts w:asciiTheme="minorHAnsi" w:hAnsiTheme="minorHAnsi"/>
          <w:b/>
          <w:bCs/>
          <w:snapToGrid w:val="0"/>
        </w:rPr>
      </w:pPr>
    </w:p>
    <w:p w14:paraId="63F2B566" w14:textId="15EFB620" w:rsidR="00A14488" w:rsidRDefault="00A14488" w:rsidP="00A14488">
      <w:pPr>
        <w:widowControl w:val="0"/>
        <w:spacing w:after="120"/>
        <w:contextualSpacing/>
        <w:rPr>
          <w:rFonts w:asciiTheme="minorHAnsi" w:hAnsiTheme="minorHAnsi"/>
          <w:snapToGrid w:val="0"/>
        </w:rPr>
      </w:pPr>
      <w:r w:rsidRPr="005E633B">
        <w:rPr>
          <w:rFonts w:asciiTheme="minorHAnsi" w:hAnsiTheme="minorHAnsi"/>
          <w:snapToGrid w:val="0"/>
        </w:rPr>
        <w:t xml:space="preserve">Flow-on changes will be required to the </w:t>
      </w:r>
      <w:r w:rsidR="00DD0D70">
        <w:rPr>
          <w:rFonts w:asciiTheme="minorHAnsi" w:hAnsiTheme="minorHAnsi"/>
          <w:snapToGrid w:val="0"/>
        </w:rPr>
        <w:t xml:space="preserve">first-line listing for romosozumab and to the second-line listings for </w:t>
      </w:r>
      <w:r w:rsidRPr="005E633B">
        <w:rPr>
          <w:rFonts w:asciiTheme="minorHAnsi" w:hAnsiTheme="minorHAnsi"/>
          <w:snapToGrid w:val="0"/>
        </w:rPr>
        <w:t xml:space="preserve">teriparatide and romosozumab </w:t>
      </w:r>
      <w:r w:rsidR="005E633B" w:rsidRPr="005E633B">
        <w:rPr>
          <w:rFonts w:asciiTheme="minorHAnsi" w:hAnsiTheme="minorHAnsi"/>
          <w:snapToGrid w:val="0"/>
        </w:rPr>
        <w:t>listings</w:t>
      </w:r>
      <w:r w:rsidR="00FD52C1">
        <w:rPr>
          <w:rFonts w:asciiTheme="minorHAnsi" w:hAnsiTheme="minorHAnsi"/>
          <w:snapToGrid w:val="0"/>
        </w:rPr>
        <w:t xml:space="preserve"> to note that a patient must not have received prior treatment with abaloparatide</w:t>
      </w:r>
      <w:r w:rsidR="005E633B" w:rsidRPr="005E633B">
        <w:rPr>
          <w:rFonts w:asciiTheme="minorHAnsi" w:hAnsiTheme="minorHAnsi"/>
          <w:snapToGrid w:val="0"/>
        </w:rPr>
        <w:t>.</w:t>
      </w:r>
    </w:p>
    <w:p w14:paraId="0D88FCD2" w14:textId="77777777" w:rsidR="003D5066" w:rsidRPr="005E633B" w:rsidRDefault="003D5066" w:rsidP="00A14488">
      <w:pPr>
        <w:widowControl w:val="0"/>
        <w:spacing w:after="120"/>
        <w:contextualSpacing/>
        <w:rPr>
          <w:rFonts w:asciiTheme="minorHAnsi" w:hAnsiTheme="minorHAnsi"/>
          <w:snapToGrid w:val="0"/>
        </w:rPr>
      </w:pPr>
    </w:p>
    <w:p w14:paraId="1A33663A" w14:textId="5B57CD6B" w:rsidR="002B2479" w:rsidRPr="00693689" w:rsidRDefault="0079385C" w:rsidP="002B2479">
      <w:pPr>
        <w:rPr>
          <w:rFonts w:eastAsia="Aptos" w:cs="Calibri"/>
          <w:b/>
          <w:bCs/>
        </w:rPr>
      </w:pPr>
      <w:r w:rsidRPr="00693689">
        <w:rPr>
          <w:rFonts w:eastAsia="Aptos" w:cs="Calibri"/>
          <w:b/>
          <w:bCs/>
        </w:rPr>
        <w:t>First-line listings</w:t>
      </w:r>
    </w:p>
    <w:p w14:paraId="72EB4389" w14:textId="77777777" w:rsidR="0079385C" w:rsidRPr="00CD0BD7" w:rsidRDefault="0079385C" w:rsidP="002B2479">
      <w:pPr>
        <w:rPr>
          <w:rFonts w:eastAsia="Aptos" w:cs="Calibri"/>
        </w:rPr>
      </w:pPr>
    </w:p>
    <w:p w14:paraId="40E56EE0" w14:textId="1F6E4911" w:rsidR="002B2479" w:rsidRPr="00BC2988" w:rsidRDefault="002B2479" w:rsidP="002B2479">
      <w:pPr>
        <w:rPr>
          <w:rFonts w:eastAsia="Aptos" w:cs="Calibri"/>
        </w:rPr>
      </w:pPr>
      <w:r w:rsidRPr="00BC2988">
        <w:rPr>
          <w:rFonts w:eastAsia="Aptos" w:cs="Calibri"/>
        </w:rPr>
        <w:t>14641N / romosozumab – replace clinical criterion 32822 with</w:t>
      </w:r>
      <w:r w:rsidR="00C86852">
        <w:rPr>
          <w:rFonts w:eastAsia="Aptos" w:cs="Calibri"/>
        </w:rPr>
        <w:t xml:space="preserve"> NEW CC1.1 and add NEW CC1.2</w:t>
      </w:r>
      <w:r w:rsidRPr="00BC2988">
        <w:rPr>
          <w:rFonts w:eastAsia="Aptos" w:cs="Calibri"/>
        </w:rPr>
        <w:t>:</w:t>
      </w:r>
    </w:p>
    <w:tbl>
      <w:tblPr>
        <w:tblW w:w="5011"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Caption w:val="New clinical criteria for 14641N/romosozumab"/>
      </w:tblPr>
      <w:tblGrid>
        <w:gridCol w:w="996"/>
        <w:gridCol w:w="8041"/>
      </w:tblGrid>
      <w:tr w:rsidR="002B2479" w:rsidRPr="00CD0BD7" w14:paraId="33EE7E66" w14:textId="77777777" w:rsidTr="00F244C6">
        <w:tc>
          <w:tcPr>
            <w:tcW w:w="551" w:type="pct"/>
            <w:tcBorders>
              <w:left w:val="single" w:sz="4" w:space="0" w:color="auto"/>
              <w:right w:val="single" w:sz="4" w:space="0" w:color="auto"/>
            </w:tcBorders>
          </w:tcPr>
          <w:p w14:paraId="3CDB5CDE" w14:textId="4D9EDAE8" w:rsidR="002B2479" w:rsidRPr="00CD0BD7" w:rsidRDefault="002B2479" w:rsidP="00F244C6">
            <w:pPr>
              <w:jc w:val="center"/>
              <w:rPr>
                <w:rFonts w:ascii="Arial Narrow" w:eastAsia="Aptos" w:hAnsi="Arial Narrow" w:cs="Open Sans"/>
                <w:color w:val="333333"/>
                <w:sz w:val="20"/>
                <w:szCs w:val="20"/>
              </w:rPr>
            </w:pPr>
          </w:p>
        </w:tc>
        <w:tc>
          <w:tcPr>
            <w:tcW w:w="4449" w:type="pct"/>
            <w:tcBorders>
              <w:top w:val="single" w:sz="4" w:space="0" w:color="auto"/>
              <w:left w:val="single" w:sz="4" w:space="0" w:color="auto"/>
              <w:bottom w:val="single" w:sz="4" w:space="0" w:color="auto"/>
              <w:right w:val="single" w:sz="4" w:space="0" w:color="auto"/>
            </w:tcBorders>
          </w:tcPr>
          <w:p w14:paraId="46869427" w14:textId="77777777" w:rsidR="002B2479" w:rsidRPr="00CD0BD7" w:rsidRDefault="002B2479" w:rsidP="00F244C6">
            <w:pPr>
              <w:textAlignment w:val="baseline"/>
              <w:rPr>
                <w:rFonts w:ascii="Arial Narrow" w:hAnsi="Arial Narrow" w:cs="Open Sans"/>
                <w:color w:val="333333"/>
                <w:sz w:val="20"/>
                <w:szCs w:val="20"/>
              </w:rPr>
            </w:pPr>
            <w:r w:rsidRPr="00CD0BD7">
              <w:rPr>
                <w:rFonts w:ascii="Arial Narrow" w:hAnsi="Arial Narrow" w:cs="Open Sans"/>
                <w:b/>
                <w:bCs/>
                <w:color w:val="333333"/>
                <w:sz w:val="20"/>
                <w:szCs w:val="20"/>
                <w:bdr w:val="none" w:sz="0" w:space="0" w:color="auto" w:frame="1"/>
              </w:rPr>
              <w:t>Clinical criteria:</w:t>
            </w:r>
          </w:p>
        </w:tc>
      </w:tr>
      <w:tr w:rsidR="002B2479" w:rsidRPr="00CD0BD7" w14:paraId="73103059" w14:textId="77777777" w:rsidTr="00470D58">
        <w:tc>
          <w:tcPr>
            <w:tcW w:w="551" w:type="pct"/>
            <w:tcBorders>
              <w:left w:val="single" w:sz="4" w:space="0" w:color="auto"/>
              <w:right w:val="single" w:sz="4" w:space="0" w:color="auto"/>
            </w:tcBorders>
          </w:tcPr>
          <w:p w14:paraId="5F73EDEA" w14:textId="6240E207" w:rsidR="002B2479" w:rsidRPr="00CD0BD7" w:rsidRDefault="002B2479" w:rsidP="00F244C6">
            <w:pPr>
              <w:jc w:val="center"/>
              <w:rPr>
                <w:rFonts w:ascii="Arial Narrow" w:eastAsia="Aptos" w:hAnsi="Arial Narrow" w:cs="Open Sans"/>
                <w:color w:val="333333"/>
                <w:sz w:val="20"/>
                <w:szCs w:val="20"/>
              </w:rPr>
            </w:pPr>
          </w:p>
        </w:tc>
        <w:tc>
          <w:tcPr>
            <w:tcW w:w="4449" w:type="pct"/>
            <w:tcBorders>
              <w:top w:val="single" w:sz="4" w:space="0" w:color="auto"/>
              <w:left w:val="single" w:sz="4" w:space="0" w:color="auto"/>
              <w:bottom w:val="single" w:sz="4" w:space="0" w:color="auto"/>
              <w:right w:val="single" w:sz="4" w:space="0" w:color="auto"/>
            </w:tcBorders>
          </w:tcPr>
          <w:p w14:paraId="7D7B0232" w14:textId="48EECDC8" w:rsidR="002B2479" w:rsidRPr="00CD0BD7" w:rsidRDefault="002B2479" w:rsidP="00F244C6">
            <w:pPr>
              <w:textAlignment w:val="baseline"/>
              <w:rPr>
                <w:rFonts w:ascii="Arial Narrow" w:hAnsi="Arial Narrow" w:cs="Open Sans"/>
                <w:color w:val="333333"/>
                <w:sz w:val="20"/>
                <w:szCs w:val="20"/>
              </w:rPr>
            </w:pPr>
            <w:r w:rsidRPr="00CD0BD7">
              <w:rPr>
                <w:rFonts w:ascii="Arial Narrow" w:hAnsi="Arial Narrow" w:cs="Open Sans"/>
                <w:color w:val="333333"/>
                <w:sz w:val="20"/>
                <w:szCs w:val="20"/>
              </w:rPr>
              <w:t>Patient must not have received PBS-subsidised treatment with any of: (i) anti-resorptive therapy, (ii) teriparatide, (iii) romosozumab,</w:t>
            </w:r>
            <w:r w:rsidRPr="00CD0BD7">
              <w:rPr>
                <w:rFonts w:ascii="Arial Narrow" w:hAnsi="Arial Narrow"/>
                <w:sz w:val="20"/>
                <w:szCs w:val="20"/>
              </w:rPr>
              <w:t xml:space="preserve"> (iv) abaloparatide; </w:t>
            </w:r>
          </w:p>
        </w:tc>
      </w:tr>
      <w:tr w:rsidR="00470D58" w:rsidRPr="00CD0BD7" w14:paraId="0B6CD1DC" w14:textId="77777777">
        <w:tc>
          <w:tcPr>
            <w:tcW w:w="551" w:type="pct"/>
            <w:tcBorders>
              <w:left w:val="single" w:sz="4" w:space="0" w:color="auto"/>
              <w:right w:val="single" w:sz="4" w:space="0" w:color="auto"/>
            </w:tcBorders>
          </w:tcPr>
          <w:p w14:paraId="0B382BD9" w14:textId="77777777" w:rsidR="00470D58" w:rsidRPr="00CD0BD7" w:rsidRDefault="00470D58">
            <w:pPr>
              <w:jc w:val="center"/>
              <w:rPr>
                <w:rFonts w:ascii="Arial Narrow" w:eastAsia="Aptos" w:hAnsi="Arial Narrow" w:cs="Open Sans"/>
                <w:color w:val="333333"/>
                <w:sz w:val="20"/>
                <w:szCs w:val="20"/>
              </w:rPr>
            </w:pPr>
          </w:p>
        </w:tc>
        <w:tc>
          <w:tcPr>
            <w:tcW w:w="4449" w:type="pct"/>
            <w:tcBorders>
              <w:top w:val="single" w:sz="4" w:space="0" w:color="auto"/>
              <w:left w:val="single" w:sz="4" w:space="0" w:color="auto"/>
              <w:bottom w:val="single" w:sz="4" w:space="0" w:color="auto"/>
              <w:right w:val="single" w:sz="4" w:space="0" w:color="auto"/>
            </w:tcBorders>
          </w:tcPr>
          <w:p w14:paraId="04F6CEEB" w14:textId="77777777" w:rsidR="00470D58" w:rsidRPr="00CD0BD7" w:rsidRDefault="00470D58">
            <w:pPr>
              <w:textAlignment w:val="baseline"/>
              <w:rPr>
                <w:rFonts w:ascii="Arial Narrow" w:hAnsi="Arial Narrow" w:cs="Open Sans"/>
                <w:color w:val="333333"/>
                <w:sz w:val="20"/>
                <w:szCs w:val="20"/>
              </w:rPr>
            </w:pPr>
            <w:r>
              <w:rPr>
                <w:rFonts w:ascii="Arial Narrow" w:hAnsi="Arial Narrow" w:cs="Open Sans"/>
                <w:color w:val="333333"/>
                <w:sz w:val="20"/>
                <w:szCs w:val="20"/>
              </w:rPr>
              <w:t>OR</w:t>
            </w:r>
          </w:p>
        </w:tc>
      </w:tr>
      <w:tr w:rsidR="00470D58" w:rsidRPr="00CD0BD7" w14:paraId="117CA5DF" w14:textId="77777777">
        <w:tc>
          <w:tcPr>
            <w:tcW w:w="551" w:type="pct"/>
            <w:tcBorders>
              <w:left w:val="single" w:sz="4" w:space="0" w:color="auto"/>
              <w:right w:val="single" w:sz="4" w:space="0" w:color="auto"/>
            </w:tcBorders>
          </w:tcPr>
          <w:p w14:paraId="68BB9925" w14:textId="6E2C0806" w:rsidR="00470D58" w:rsidRPr="00CD0BD7" w:rsidRDefault="00470D58">
            <w:pPr>
              <w:jc w:val="center"/>
              <w:rPr>
                <w:rFonts w:ascii="Arial Narrow" w:eastAsia="Aptos" w:hAnsi="Arial Narrow" w:cs="Open Sans"/>
                <w:color w:val="333333"/>
                <w:sz w:val="20"/>
                <w:szCs w:val="20"/>
              </w:rPr>
            </w:pPr>
          </w:p>
        </w:tc>
        <w:tc>
          <w:tcPr>
            <w:tcW w:w="4449" w:type="pct"/>
            <w:tcBorders>
              <w:top w:val="single" w:sz="4" w:space="0" w:color="auto"/>
              <w:left w:val="single" w:sz="4" w:space="0" w:color="auto"/>
              <w:bottom w:val="single" w:sz="4" w:space="0" w:color="auto"/>
              <w:right w:val="single" w:sz="4" w:space="0" w:color="auto"/>
            </w:tcBorders>
          </w:tcPr>
          <w:p w14:paraId="7FEF116E" w14:textId="77777777" w:rsidR="00470D58" w:rsidRDefault="00470D58">
            <w:pPr>
              <w:textAlignment w:val="baseline"/>
              <w:rPr>
                <w:rFonts w:ascii="Arial Narrow" w:hAnsi="Arial Narrow" w:cs="Open Sans"/>
                <w:color w:val="333333"/>
                <w:sz w:val="20"/>
                <w:szCs w:val="20"/>
              </w:rPr>
            </w:pPr>
            <w:r w:rsidRPr="006A5C1D">
              <w:rPr>
                <w:rFonts w:ascii="Arial Narrow" w:hAnsi="Arial Narrow" w:cs="Open Sans"/>
                <w:snapToGrid w:val="0"/>
                <w:color w:val="333333"/>
                <w:sz w:val="20"/>
                <w:szCs w:val="20"/>
              </w:rPr>
              <w:t xml:space="preserve">Patient must have developed intolerance to </w:t>
            </w:r>
            <w:r>
              <w:rPr>
                <w:rFonts w:ascii="Arial Narrow" w:hAnsi="Arial Narrow" w:cs="Open Sans"/>
                <w:snapToGrid w:val="0"/>
                <w:color w:val="333333"/>
                <w:sz w:val="20"/>
                <w:szCs w:val="20"/>
              </w:rPr>
              <w:t>abaloparatide</w:t>
            </w:r>
            <w:r w:rsidRPr="006A5C1D">
              <w:rPr>
                <w:rFonts w:ascii="Arial Narrow" w:hAnsi="Arial Narrow" w:cs="Open Sans"/>
                <w:snapToGrid w:val="0"/>
                <w:color w:val="333333"/>
                <w:sz w:val="20"/>
                <w:szCs w:val="20"/>
              </w:rPr>
              <w:t xml:space="preserve"> of a severity necessitating permanent treatment withdrawal within the first 6 months of therapy.</w:t>
            </w:r>
          </w:p>
        </w:tc>
      </w:tr>
    </w:tbl>
    <w:p w14:paraId="4F1BADA8" w14:textId="77777777" w:rsidR="002B2479" w:rsidRDefault="002B2479" w:rsidP="002B2479">
      <w:pPr>
        <w:rPr>
          <w:rFonts w:ascii="Aptos" w:eastAsia="Aptos" w:hAnsi="Aptos"/>
          <w:sz w:val="22"/>
          <w:szCs w:val="22"/>
        </w:rPr>
      </w:pPr>
    </w:p>
    <w:p w14:paraId="73E1F273" w14:textId="77AB8CF7" w:rsidR="002B2479" w:rsidRPr="00693689" w:rsidRDefault="0079385C" w:rsidP="002B2479">
      <w:pPr>
        <w:rPr>
          <w:rFonts w:asciiTheme="minorHAnsi" w:eastAsia="Aptos" w:hAnsiTheme="minorHAnsi" w:cstheme="minorHAnsi"/>
          <w:b/>
          <w:bCs/>
        </w:rPr>
      </w:pPr>
      <w:r w:rsidRPr="00693689">
        <w:rPr>
          <w:rFonts w:asciiTheme="minorHAnsi" w:eastAsia="Aptos" w:hAnsiTheme="minorHAnsi" w:cstheme="minorHAnsi"/>
          <w:b/>
          <w:bCs/>
        </w:rPr>
        <w:t>Second-line listings</w:t>
      </w:r>
    </w:p>
    <w:p w14:paraId="66D30316" w14:textId="77777777" w:rsidR="0079385C" w:rsidRPr="00CD0BD7" w:rsidRDefault="0079385C" w:rsidP="002B2479">
      <w:pPr>
        <w:rPr>
          <w:rFonts w:ascii="Aptos" w:eastAsia="Aptos" w:hAnsi="Aptos"/>
          <w:sz w:val="22"/>
          <w:szCs w:val="22"/>
        </w:rPr>
      </w:pPr>
    </w:p>
    <w:p w14:paraId="3E1F1F9C" w14:textId="77777777" w:rsidR="002B2479" w:rsidRPr="00CD0BD7" w:rsidRDefault="002B2479" w:rsidP="002B2479">
      <w:pPr>
        <w:rPr>
          <w:rFonts w:eastAsia="Aptos" w:cs="Calibri"/>
        </w:rPr>
      </w:pPr>
      <w:r w:rsidRPr="00CD0BD7">
        <w:rPr>
          <w:rFonts w:eastAsia="Aptos" w:cs="Calibri"/>
        </w:rPr>
        <w:t>140</w:t>
      </w:r>
      <w:r>
        <w:rPr>
          <w:rFonts w:eastAsia="Aptos" w:cs="Calibri"/>
        </w:rPr>
        <w:t>93</w:t>
      </w:r>
      <w:r w:rsidRPr="00CD0BD7">
        <w:rPr>
          <w:rFonts w:eastAsia="Aptos" w:cs="Calibri"/>
        </w:rPr>
        <w:t>R / teriparatide – replace clinical criterion 28168 with:</w:t>
      </w:r>
    </w:p>
    <w:tbl>
      <w:tblPr>
        <w:tblW w:w="5011"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Caption w:val="New clinical criteria for 14093R/teriparatide"/>
      </w:tblPr>
      <w:tblGrid>
        <w:gridCol w:w="996"/>
        <w:gridCol w:w="8041"/>
      </w:tblGrid>
      <w:tr w:rsidR="002B2479" w:rsidRPr="00CD0BD7" w14:paraId="388C440D" w14:textId="77777777">
        <w:tc>
          <w:tcPr>
            <w:tcW w:w="551" w:type="pct"/>
            <w:tcBorders>
              <w:left w:val="single" w:sz="4" w:space="0" w:color="auto"/>
              <w:right w:val="single" w:sz="4" w:space="0" w:color="auto"/>
            </w:tcBorders>
          </w:tcPr>
          <w:p w14:paraId="4B0C8AFF" w14:textId="75D564AA" w:rsidR="002B2479" w:rsidRPr="00CD0BD7" w:rsidRDefault="002B2479" w:rsidP="00F244C6">
            <w:pPr>
              <w:jc w:val="center"/>
              <w:rPr>
                <w:rFonts w:ascii="Arial Narrow" w:eastAsia="Aptos" w:hAnsi="Arial Narrow" w:cs="Open Sans"/>
                <w:color w:val="333333"/>
                <w:sz w:val="20"/>
                <w:szCs w:val="20"/>
              </w:rPr>
            </w:pPr>
          </w:p>
        </w:tc>
        <w:tc>
          <w:tcPr>
            <w:tcW w:w="4449" w:type="pct"/>
            <w:tcBorders>
              <w:top w:val="single" w:sz="4" w:space="0" w:color="auto"/>
              <w:left w:val="single" w:sz="4" w:space="0" w:color="auto"/>
              <w:bottom w:val="single" w:sz="4" w:space="0" w:color="auto"/>
              <w:right w:val="single" w:sz="4" w:space="0" w:color="auto"/>
            </w:tcBorders>
          </w:tcPr>
          <w:p w14:paraId="3B3D44FC" w14:textId="77777777" w:rsidR="002B2479" w:rsidRPr="00CD0BD7" w:rsidRDefault="002B2479" w:rsidP="00F244C6">
            <w:pPr>
              <w:textAlignment w:val="baseline"/>
              <w:rPr>
                <w:rFonts w:ascii="Arial Narrow" w:hAnsi="Arial Narrow" w:cs="Open Sans"/>
                <w:b/>
                <w:bCs/>
                <w:color w:val="333333"/>
                <w:sz w:val="20"/>
                <w:szCs w:val="20"/>
                <w:bdr w:val="none" w:sz="0" w:space="0" w:color="auto" w:frame="1"/>
              </w:rPr>
            </w:pPr>
            <w:r w:rsidRPr="00CD0BD7">
              <w:rPr>
                <w:rFonts w:ascii="Arial Narrow" w:hAnsi="Arial Narrow" w:cs="Open Sans"/>
                <w:b/>
                <w:bCs/>
                <w:color w:val="333333"/>
                <w:sz w:val="20"/>
                <w:szCs w:val="20"/>
                <w:bdr w:val="none" w:sz="0" w:space="0" w:color="auto" w:frame="1"/>
              </w:rPr>
              <w:t>Clinical criteria:</w:t>
            </w:r>
          </w:p>
        </w:tc>
      </w:tr>
      <w:tr w:rsidR="002B2479" w:rsidRPr="00CD0BD7" w14:paraId="7E096683" w14:textId="77777777">
        <w:tc>
          <w:tcPr>
            <w:tcW w:w="551" w:type="pct"/>
            <w:tcBorders>
              <w:left w:val="single" w:sz="4" w:space="0" w:color="auto"/>
              <w:right w:val="single" w:sz="4" w:space="0" w:color="auto"/>
            </w:tcBorders>
          </w:tcPr>
          <w:p w14:paraId="781B6BA7" w14:textId="29C0AFEE" w:rsidR="002B2479" w:rsidRPr="00CD0BD7" w:rsidRDefault="002B2479" w:rsidP="00F244C6">
            <w:pPr>
              <w:jc w:val="center"/>
              <w:rPr>
                <w:rFonts w:ascii="Arial Narrow" w:eastAsia="Aptos" w:hAnsi="Arial Narrow" w:cs="Open Sans"/>
                <w:color w:val="333333"/>
                <w:sz w:val="20"/>
                <w:szCs w:val="20"/>
              </w:rPr>
            </w:pPr>
          </w:p>
        </w:tc>
        <w:tc>
          <w:tcPr>
            <w:tcW w:w="4449" w:type="pct"/>
            <w:tcBorders>
              <w:top w:val="single" w:sz="4" w:space="0" w:color="auto"/>
              <w:left w:val="single" w:sz="4" w:space="0" w:color="auto"/>
              <w:bottom w:val="single" w:sz="4" w:space="0" w:color="auto"/>
              <w:right w:val="single" w:sz="4" w:space="0" w:color="auto"/>
            </w:tcBorders>
          </w:tcPr>
          <w:p w14:paraId="4EFDEA11" w14:textId="77777777" w:rsidR="002B2479" w:rsidRPr="00CD0BD7" w:rsidRDefault="002B2479" w:rsidP="00F244C6">
            <w:pPr>
              <w:textAlignment w:val="baseline"/>
              <w:rPr>
                <w:rFonts w:ascii="Arial Narrow" w:hAnsi="Arial Narrow" w:cs="Open Sans"/>
                <w:b/>
                <w:bCs/>
                <w:color w:val="333333"/>
                <w:sz w:val="20"/>
                <w:szCs w:val="20"/>
                <w:bdr w:val="none" w:sz="0" w:space="0" w:color="auto" w:frame="1"/>
              </w:rPr>
            </w:pPr>
            <w:r w:rsidRPr="00CD0BD7">
              <w:rPr>
                <w:rFonts w:ascii="Arial Narrow" w:hAnsi="Arial Narrow" w:cs="Open Sans"/>
                <w:color w:val="333333"/>
                <w:sz w:val="20"/>
                <w:szCs w:val="20"/>
              </w:rPr>
              <w:t xml:space="preserve">Patient must not have received PBS-subsidised treatment with any of: (i) romosozumab, (ii) abaloparatide; </w:t>
            </w:r>
          </w:p>
        </w:tc>
      </w:tr>
      <w:tr w:rsidR="002B2479" w:rsidRPr="00CD0BD7" w14:paraId="4EFADF5D" w14:textId="77777777">
        <w:tc>
          <w:tcPr>
            <w:tcW w:w="551" w:type="pct"/>
            <w:tcBorders>
              <w:left w:val="single" w:sz="4" w:space="0" w:color="auto"/>
              <w:right w:val="single" w:sz="4" w:space="0" w:color="auto"/>
            </w:tcBorders>
          </w:tcPr>
          <w:p w14:paraId="49AEB5B6" w14:textId="77777777" w:rsidR="002B2479" w:rsidRPr="00CD0BD7" w:rsidRDefault="002B2479" w:rsidP="00F244C6">
            <w:pPr>
              <w:jc w:val="center"/>
              <w:rPr>
                <w:rFonts w:ascii="Arial Narrow" w:eastAsia="Aptos" w:hAnsi="Arial Narrow" w:cs="Open Sans"/>
                <w:color w:val="333333"/>
                <w:sz w:val="20"/>
                <w:szCs w:val="20"/>
              </w:rPr>
            </w:pPr>
          </w:p>
        </w:tc>
        <w:tc>
          <w:tcPr>
            <w:tcW w:w="4449" w:type="pct"/>
            <w:tcBorders>
              <w:top w:val="single" w:sz="4" w:space="0" w:color="auto"/>
              <w:left w:val="single" w:sz="4" w:space="0" w:color="auto"/>
              <w:bottom w:val="single" w:sz="4" w:space="0" w:color="auto"/>
              <w:right w:val="single" w:sz="4" w:space="0" w:color="auto"/>
            </w:tcBorders>
          </w:tcPr>
          <w:p w14:paraId="4E7DE65A" w14:textId="77777777" w:rsidR="002B2479" w:rsidRPr="00CD0BD7" w:rsidRDefault="002B2479" w:rsidP="00F244C6">
            <w:pPr>
              <w:textAlignment w:val="baseline"/>
              <w:rPr>
                <w:rFonts w:ascii="Arial Narrow" w:hAnsi="Arial Narrow" w:cs="Open Sans"/>
                <w:color w:val="333333"/>
                <w:sz w:val="20"/>
                <w:szCs w:val="20"/>
              </w:rPr>
            </w:pPr>
            <w:r>
              <w:rPr>
                <w:rFonts w:ascii="Arial Narrow" w:hAnsi="Arial Narrow" w:cs="Open Sans"/>
                <w:color w:val="333333"/>
                <w:sz w:val="20"/>
                <w:szCs w:val="20"/>
              </w:rPr>
              <w:t>OR</w:t>
            </w:r>
          </w:p>
        </w:tc>
      </w:tr>
      <w:tr w:rsidR="002B2479" w:rsidRPr="00CD0BD7" w14:paraId="48F81C49" w14:textId="77777777">
        <w:tc>
          <w:tcPr>
            <w:tcW w:w="551" w:type="pct"/>
            <w:tcBorders>
              <w:left w:val="single" w:sz="4" w:space="0" w:color="auto"/>
              <w:bottom w:val="single" w:sz="4" w:space="0" w:color="auto"/>
              <w:right w:val="single" w:sz="4" w:space="0" w:color="auto"/>
            </w:tcBorders>
          </w:tcPr>
          <w:p w14:paraId="0957D65E" w14:textId="602A155A" w:rsidR="002B2479" w:rsidRPr="00CD0BD7" w:rsidRDefault="002B2479" w:rsidP="00F244C6">
            <w:pPr>
              <w:jc w:val="center"/>
              <w:rPr>
                <w:rFonts w:ascii="Arial Narrow" w:eastAsia="Aptos" w:hAnsi="Arial Narrow" w:cs="Open Sans"/>
                <w:color w:val="333333"/>
                <w:sz w:val="20"/>
                <w:szCs w:val="20"/>
              </w:rPr>
            </w:pPr>
          </w:p>
        </w:tc>
        <w:tc>
          <w:tcPr>
            <w:tcW w:w="4449" w:type="pct"/>
            <w:tcBorders>
              <w:top w:val="single" w:sz="4" w:space="0" w:color="auto"/>
              <w:left w:val="single" w:sz="4" w:space="0" w:color="auto"/>
              <w:bottom w:val="single" w:sz="4" w:space="0" w:color="auto"/>
              <w:right w:val="single" w:sz="4" w:space="0" w:color="auto"/>
            </w:tcBorders>
          </w:tcPr>
          <w:p w14:paraId="09C796FD" w14:textId="77777777" w:rsidR="002B2479" w:rsidRPr="00CD0BD7" w:rsidRDefault="002B2479" w:rsidP="00F244C6">
            <w:pPr>
              <w:textAlignment w:val="baseline"/>
              <w:rPr>
                <w:rFonts w:ascii="Arial Narrow" w:hAnsi="Arial Narrow" w:cs="Open Sans"/>
                <w:color w:val="333333"/>
                <w:sz w:val="20"/>
                <w:szCs w:val="20"/>
              </w:rPr>
            </w:pPr>
            <w:r w:rsidRPr="00B941D8">
              <w:rPr>
                <w:rFonts w:ascii="Arial Narrow" w:hAnsi="Arial Narrow" w:cs="Open Sans"/>
                <w:snapToGrid w:val="0"/>
                <w:color w:val="333333"/>
                <w:sz w:val="20"/>
                <w:szCs w:val="20"/>
                <w:lang w:val="en-GB"/>
              </w:rPr>
              <w:t xml:space="preserve">Patient must have developed intolerance to </w:t>
            </w:r>
            <w:r w:rsidRPr="00B941D8">
              <w:rPr>
                <w:rFonts w:ascii="Arial Narrow" w:hAnsi="Arial Narrow" w:cs="Open Sans"/>
                <w:snapToGrid w:val="0"/>
                <w:color w:val="333333"/>
                <w:sz w:val="20"/>
                <w:szCs w:val="20"/>
              </w:rPr>
              <w:t>(i)</w:t>
            </w:r>
            <w:r>
              <w:rPr>
                <w:rFonts w:ascii="Arial Narrow" w:hAnsi="Arial Narrow" w:cs="Open Sans"/>
                <w:snapToGrid w:val="0"/>
                <w:color w:val="333333"/>
                <w:sz w:val="20"/>
                <w:szCs w:val="20"/>
              </w:rPr>
              <w:t xml:space="preserve"> romosozumab</w:t>
            </w:r>
            <w:r w:rsidRPr="00B941D8">
              <w:rPr>
                <w:rFonts w:ascii="Arial Narrow" w:hAnsi="Arial Narrow" w:cs="Open Sans"/>
                <w:snapToGrid w:val="0"/>
                <w:color w:val="333333"/>
                <w:sz w:val="20"/>
                <w:szCs w:val="20"/>
              </w:rPr>
              <w:t>, or (ii) abaloparatide</w:t>
            </w:r>
            <w:r w:rsidRPr="00B941D8">
              <w:rPr>
                <w:rFonts w:ascii="Arial Narrow" w:hAnsi="Arial Narrow" w:cs="Open Sans"/>
                <w:snapToGrid w:val="0"/>
                <w:color w:val="333333"/>
                <w:sz w:val="20"/>
                <w:szCs w:val="20"/>
                <w:lang w:val="en-GB"/>
              </w:rPr>
              <w:t xml:space="preserve"> of a severity necessitating permanent treatment withdrawal within the first 6 months of therapy.</w:t>
            </w:r>
          </w:p>
        </w:tc>
      </w:tr>
    </w:tbl>
    <w:p w14:paraId="7161F515" w14:textId="77777777" w:rsidR="002B2479" w:rsidRPr="00BC2988" w:rsidRDefault="002B2479" w:rsidP="002B2479">
      <w:pPr>
        <w:rPr>
          <w:rFonts w:ascii="Aptos" w:eastAsia="Aptos" w:hAnsi="Aptos"/>
          <w:sz w:val="22"/>
          <w:szCs w:val="22"/>
        </w:rPr>
      </w:pPr>
    </w:p>
    <w:p w14:paraId="7697DF0A" w14:textId="77777777" w:rsidR="002B2479" w:rsidRDefault="002B2479" w:rsidP="002B2479">
      <w:pPr>
        <w:rPr>
          <w:rFonts w:cs="Calibri"/>
        </w:rPr>
      </w:pPr>
      <w:r w:rsidRPr="00502BF7">
        <w:rPr>
          <w:rFonts w:cs="Calibri"/>
        </w:rPr>
        <w:t>1230</w:t>
      </w:r>
      <w:r>
        <w:rPr>
          <w:rFonts w:cs="Calibri"/>
        </w:rPr>
        <w:t xml:space="preserve">1K / romosozumab – replace clinical criterion 28161 and 26970 with: </w:t>
      </w:r>
    </w:p>
    <w:tbl>
      <w:tblPr>
        <w:tblW w:w="5011"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Caption w:val="New clinical criteria for 12301K/romosozumab"/>
      </w:tblPr>
      <w:tblGrid>
        <w:gridCol w:w="996"/>
        <w:gridCol w:w="8041"/>
      </w:tblGrid>
      <w:tr w:rsidR="002B2479" w:rsidRPr="00CD0BD7" w14:paraId="490276F8" w14:textId="77777777">
        <w:tc>
          <w:tcPr>
            <w:tcW w:w="551" w:type="pct"/>
            <w:tcBorders>
              <w:left w:val="single" w:sz="4" w:space="0" w:color="auto"/>
              <w:right w:val="single" w:sz="4" w:space="0" w:color="auto"/>
            </w:tcBorders>
          </w:tcPr>
          <w:p w14:paraId="3B5477D2" w14:textId="1A60F02D" w:rsidR="002B2479" w:rsidRPr="00CD0BD7" w:rsidRDefault="002B2479" w:rsidP="00F244C6">
            <w:pPr>
              <w:jc w:val="center"/>
              <w:rPr>
                <w:rFonts w:ascii="Arial Narrow" w:eastAsia="Aptos" w:hAnsi="Arial Narrow" w:cs="Open Sans"/>
                <w:color w:val="333333"/>
                <w:sz w:val="20"/>
                <w:szCs w:val="20"/>
              </w:rPr>
            </w:pPr>
          </w:p>
        </w:tc>
        <w:tc>
          <w:tcPr>
            <w:tcW w:w="4449" w:type="pct"/>
            <w:tcBorders>
              <w:top w:val="single" w:sz="4" w:space="0" w:color="auto"/>
              <w:left w:val="single" w:sz="4" w:space="0" w:color="auto"/>
              <w:bottom w:val="single" w:sz="4" w:space="0" w:color="auto"/>
              <w:right w:val="single" w:sz="4" w:space="0" w:color="auto"/>
            </w:tcBorders>
          </w:tcPr>
          <w:p w14:paraId="3285906D" w14:textId="77777777" w:rsidR="002B2479" w:rsidRPr="00CD0BD7" w:rsidRDefault="002B2479" w:rsidP="00F244C6">
            <w:pPr>
              <w:textAlignment w:val="baseline"/>
              <w:rPr>
                <w:rFonts w:ascii="Arial Narrow" w:hAnsi="Arial Narrow" w:cs="Open Sans"/>
                <w:color w:val="333333"/>
                <w:sz w:val="20"/>
                <w:szCs w:val="20"/>
              </w:rPr>
            </w:pPr>
            <w:r w:rsidRPr="00CD0BD7">
              <w:rPr>
                <w:rFonts w:ascii="Arial Narrow" w:hAnsi="Arial Narrow" w:cs="Open Sans"/>
                <w:b/>
                <w:bCs/>
                <w:color w:val="333333"/>
                <w:sz w:val="20"/>
                <w:szCs w:val="20"/>
                <w:bdr w:val="none" w:sz="0" w:space="0" w:color="auto" w:frame="1"/>
              </w:rPr>
              <w:t>Clinical criteria:</w:t>
            </w:r>
          </w:p>
        </w:tc>
      </w:tr>
      <w:tr w:rsidR="002B2479" w:rsidRPr="00CD0BD7" w14:paraId="0B69D1E1" w14:textId="77777777">
        <w:tc>
          <w:tcPr>
            <w:tcW w:w="551" w:type="pct"/>
            <w:tcBorders>
              <w:left w:val="single" w:sz="4" w:space="0" w:color="auto"/>
              <w:right w:val="single" w:sz="4" w:space="0" w:color="auto"/>
            </w:tcBorders>
          </w:tcPr>
          <w:p w14:paraId="7E9AEBF8" w14:textId="566347B9" w:rsidR="002B2479" w:rsidRPr="00CD0BD7" w:rsidRDefault="002B2479" w:rsidP="00F244C6">
            <w:pPr>
              <w:jc w:val="center"/>
              <w:rPr>
                <w:rFonts w:ascii="Arial Narrow" w:eastAsia="Aptos" w:hAnsi="Arial Narrow" w:cs="Open Sans"/>
                <w:color w:val="333333"/>
                <w:sz w:val="20"/>
                <w:szCs w:val="20"/>
              </w:rPr>
            </w:pPr>
          </w:p>
        </w:tc>
        <w:tc>
          <w:tcPr>
            <w:tcW w:w="4449" w:type="pct"/>
            <w:tcBorders>
              <w:top w:val="single" w:sz="4" w:space="0" w:color="auto"/>
              <w:left w:val="single" w:sz="4" w:space="0" w:color="auto"/>
              <w:bottom w:val="single" w:sz="4" w:space="0" w:color="auto"/>
              <w:right w:val="single" w:sz="4" w:space="0" w:color="auto"/>
            </w:tcBorders>
          </w:tcPr>
          <w:p w14:paraId="185B8E2B" w14:textId="0843E8AE" w:rsidR="002B2479" w:rsidRPr="00CD0BD7" w:rsidRDefault="002B2479" w:rsidP="00F244C6">
            <w:pPr>
              <w:textAlignment w:val="baseline"/>
              <w:rPr>
                <w:rFonts w:ascii="Arial Narrow" w:hAnsi="Arial Narrow" w:cs="Open Sans"/>
                <w:color w:val="333333"/>
                <w:sz w:val="20"/>
                <w:szCs w:val="20"/>
              </w:rPr>
            </w:pPr>
            <w:r w:rsidRPr="003F222E">
              <w:rPr>
                <w:rFonts w:ascii="Arial Narrow" w:hAnsi="Arial Narrow" w:cs="Open Sans"/>
                <w:color w:val="333333"/>
                <w:sz w:val="20"/>
                <w:szCs w:val="20"/>
              </w:rPr>
              <w:t xml:space="preserve">Patient must not have received PBS-subsidised </w:t>
            </w:r>
            <w:r>
              <w:rPr>
                <w:rFonts w:ascii="Arial Narrow" w:hAnsi="Arial Narrow" w:cs="Open Sans"/>
                <w:color w:val="333333"/>
                <w:sz w:val="20"/>
                <w:szCs w:val="20"/>
              </w:rPr>
              <w:t>treatment with any of: (i) teriparatide, (ii) (abaloparatide)</w:t>
            </w:r>
            <w:r w:rsidR="00CC144E">
              <w:rPr>
                <w:rFonts w:ascii="Arial Narrow" w:hAnsi="Arial Narrow" w:cs="Open Sans"/>
                <w:color w:val="333333"/>
                <w:sz w:val="20"/>
                <w:szCs w:val="20"/>
              </w:rPr>
              <w:t>, or (iii) romosozumab</w:t>
            </w:r>
            <w:r>
              <w:rPr>
                <w:rFonts w:ascii="Arial Narrow" w:hAnsi="Arial Narrow" w:cs="Open Sans"/>
                <w:color w:val="333333"/>
                <w:sz w:val="20"/>
                <w:szCs w:val="20"/>
              </w:rPr>
              <w:t xml:space="preserve">; </w:t>
            </w:r>
          </w:p>
        </w:tc>
      </w:tr>
      <w:tr w:rsidR="002B2479" w:rsidRPr="00CD0BD7" w14:paraId="75A3A8CD" w14:textId="77777777">
        <w:tc>
          <w:tcPr>
            <w:tcW w:w="551" w:type="pct"/>
            <w:tcBorders>
              <w:left w:val="single" w:sz="4" w:space="0" w:color="auto"/>
              <w:right w:val="single" w:sz="4" w:space="0" w:color="auto"/>
            </w:tcBorders>
          </w:tcPr>
          <w:p w14:paraId="75A55870" w14:textId="77777777" w:rsidR="002B2479" w:rsidRPr="00CD0BD7" w:rsidRDefault="002B2479" w:rsidP="00F244C6">
            <w:pPr>
              <w:jc w:val="center"/>
              <w:rPr>
                <w:rFonts w:ascii="Arial Narrow" w:eastAsia="Aptos" w:hAnsi="Arial Narrow" w:cs="Open Sans"/>
                <w:color w:val="333333"/>
                <w:sz w:val="20"/>
                <w:szCs w:val="20"/>
              </w:rPr>
            </w:pPr>
          </w:p>
        </w:tc>
        <w:tc>
          <w:tcPr>
            <w:tcW w:w="4449" w:type="pct"/>
            <w:tcBorders>
              <w:top w:val="single" w:sz="4" w:space="0" w:color="auto"/>
              <w:left w:val="single" w:sz="4" w:space="0" w:color="auto"/>
              <w:bottom w:val="single" w:sz="4" w:space="0" w:color="auto"/>
              <w:right w:val="single" w:sz="4" w:space="0" w:color="auto"/>
            </w:tcBorders>
          </w:tcPr>
          <w:p w14:paraId="633EA743" w14:textId="77777777" w:rsidR="002B2479" w:rsidRPr="00CD0BD7" w:rsidRDefault="002B2479" w:rsidP="00F244C6">
            <w:pPr>
              <w:textAlignment w:val="baseline"/>
              <w:rPr>
                <w:rFonts w:ascii="Arial Narrow" w:hAnsi="Arial Narrow" w:cs="Open Sans"/>
                <w:color w:val="333333"/>
                <w:sz w:val="20"/>
                <w:szCs w:val="20"/>
              </w:rPr>
            </w:pPr>
            <w:r>
              <w:rPr>
                <w:rFonts w:ascii="Arial Narrow" w:hAnsi="Arial Narrow" w:cs="Open Sans"/>
                <w:color w:val="333333"/>
                <w:sz w:val="20"/>
                <w:szCs w:val="20"/>
              </w:rPr>
              <w:t>OR</w:t>
            </w:r>
          </w:p>
        </w:tc>
      </w:tr>
      <w:tr w:rsidR="002B2479" w:rsidRPr="00CD0BD7" w14:paraId="7D181CD7" w14:textId="77777777">
        <w:tc>
          <w:tcPr>
            <w:tcW w:w="551" w:type="pct"/>
            <w:tcBorders>
              <w:left w:val="single" w:sz="4" w:space="0" w:color="auto"/>
              <w:bottom w:val="single" w:sz="4" w:space="0" w:color="auto"/>
              <w:right w:val="single" w:sz="4" w:space="0" w:color="auto"/>
            </w:tcBorders>
          </w:tcPr>
          <w:p w14:paraId="228FBD28" w14:textId="39C35AC0" w:rsidR="002B2479" w:rsidRPr="00CD0BD7" w:rsidRDefault="002B2479" w:rsidP="00F244C6">
            <w:pPr>
              <w:jc w:val="center"/>
              <w:rPr>
                <w:rFonts w:ascii="Arial Narrow" w:eastAsia="Aptos" w:hAnsi="Arial Narrow" w:cs="Open Sans"/>
                <w:color w:val="333333"/>
                <w:sz w:val="20"/>
                <w:szCs w:val="20"/>
              </w:rPr>
            </w:pPr>
          </w:p>
        </w:tc>
        <w:tc>
          <w:tcPr>
            <w:tcW w:w="4449" w:type="pct"/>
            <w:tcBorders>
              <w:top w:val="single" w:sz="4" w:space="0" w:color="auto"/>
              <w:left w:val="single" w:sz="4" w:space="0" w:color="auto"/>
              <w:bottom w:val="single" w:sz="4" w:space="0" w:color="auto"/>
              <w:right w:val="single" w:sz="4" w:space="0" w:color="auto"/>
            </w:tcBorders>
          </w:tcPr>
          <w:p w14:paraId="7F586498" w14:textId="77777777" w:rsidR="002B2479" w:rsidRPr="00B941D8" w:rsidRDefault="002B2479" w:rsidP="00F244C6">
            <w:pPr>
              <w:textAlignment w:val="baseline"/>
              <w:rPr>
                <w:rFonts w:ascii="Arial Narrow" w:hAnsi="Arial Narrow" w:cs="Open Sans"/>
                <w:color w:val="333333"/>
                <w:sz w:val="20"/>
                <w:szCs w:val="20"/>
              </w:rPr>
            </w:pPr>
            <w:r w:rsidRPr="00B941D8">
              <w:rPr>
                <w:rFonts w:ascii="Arial Narrow" w:hAnsi="Arial Narrow" w:cs="Open Sans"/>
                <w:snapToGrid w:val="0"/>
                <w:color w:val="333333"/>
                <w:sz w:val="20"/>
                <w:szCs w:val="20"/>
                <w:lang w:val="en-GB"/>
              </w:rPr>
              <w:t xml:space="preserve">Patient must have developed intolerance to </w:t>
            </w:r>
            <w:r w:rsidRPr="00B941D8">
              <w:rPr>
                <w:rFonts w:ascii="Arial Narrow" w:hAnsi="Arial Narrow" w:cs="Open Sans"/>
                <w:snapToGrid w:val="0"/>
                <w:color w:val="333333"/>
                <w:sz w:val="20"/>
                <w:szCs w:val="20"/>
              </w:rPr>
              <w:t>(i) teriparatide, or (ii) abaloparatide</w:t>
            </w:r>
            <w:r w:rsidRPr="00B941D8">
              <w:rPr>
                <w:rFonts w:ascii="Arial Narrow" w:hAnsi="Arial Narrow" w:cs="Open Sans"/>
                <w:snapToGrid w:val="0"/>
                <w:color w:val="333333"/>
                <w:sz w:val="20"/>
                <w:szCs w:val="20"/>
                <w:lang w:val="en-GB"/>
              </w:rPr>
              <w:t xml:space="preserve"> of a severity necessitating permanent treatment withdrawal within the first 6 months of therapy.</w:t>
            </w:r>
          </w:p>
        </w:tc>
      </w:tr>
    </w:tbl>
    <w:p w14:paraId="21176D9A" w14:textId="77777777" w:rsidR="002B2479" w:rsidRPr="00502BF7" w:rsidRDefault="002B2479" w:rsidP="002B2479">
      <w:pPr>
        <w:rPr>
          <w:rFonts w:cs="Calibri"/>
        </w:rPr>
      </w:pPr>
    </w:p>
    <w:p w14:paraId="0BF8A5B4" w14:textId="2C766B90" w:rsidR="00DD1F6B" w:rsidRDefault="00DD1F6B" w:rsidP="00DD1F6B">
      <w:pPr>
        <w:spacing w:before="120"/>
        <w:rPr>
          <w:rFonts w:asciiTheme="minorHAnsi" w:hAnsiTheme="minorHAnsi"/>
          <w:b/>
          <w:i/>
          <w:iCs/>
          <w:snapToGrid w:val="0"/>
          <w:lang w:val="en-GB"/>
        </w:rPr>
      </w:pPr>
      <w:r w:rsidRPr="00907671">
        <w:rPr>
          <w:rFonts w:asciiTheme="minorHAnsi" w:hAnsiTheme="minorHAnsi"/>
          <w:b/>
          <w:i/>
          <w:iCs/>
          <w:snapToGrid w:val="0"/>
          <w:lang w:val="en-GB"/>
        </w:rPr>
        <w:t>These restrictions may be subject to further review. Should there be any changes made to the restriction</w:t>
      </w:r>
      <w:r w:rsidR="00952901">
        <w:rPr>
          <w:rFonts w:asciiTheme="minorHAnsi" w:hAnsiTheme="minorHAnsi"/>
          <w:b/>
          <w:i/>
          <w:iCs/>
          <w:snapToGrid w:val="0"/>
          <w:lang w:val="en-GB"/>
        </w:rPr>
        <w:t>s</w:t>
      </w:r>
      <w:r w:rsidRPr="00907671">
        <w:rPr>
          <w:rFonts w:asciiTheme="minorHAnsi" w:hAnsiTheme="minorHAnsi"/>
          <w:b/>
          <w:i/>
          <w:iCs/>
          <w:snapToGrid w:val="0"/>
          <w:lang w:val="en-GB"/>
        </w:rPr>
        <w:t xml:space="preserve"> the sponsor will be informed.</w:t>
      </w:r>
    </w:p>
    <w:p w14:paraId="00CB0C81" w14:textId="77777777" w:rsidR="00735A1B" w:rsidRPr="00735A1B" w:rsidRDefault="00735A1B" w:rsidP="006075C9">
      <w:pPr>
        <w:pStyle w:val="2-SectionHeading"/>
        <w:numPr>
          <w:ilvl w:val="0"/>
          <w:numId w:val="1"/>
        </w:numPr>
      </w:pPr>
      <w:r w:rsidRPr="00735A1B">
        <w:t>Context for Decision</w:t>
      </w:r>
    </w:p>
    <w:p w14:paraId="08AB69F6" w14:textId="77777777" w:rsidR="00735A1B" w:rsidRDefault="00735A1B" w:rsidP="00735A1B">
      <w:pPr>
        <w:spacing w:after="120"/>
        <w:ind w:left="720"/>
        <w:rPr>
          <w:rFonts w:asciiTheme="minorHAnsi" w:hAnsiTheme="minorHAnsi"/>
          <w:bCs/>
          <w:lang w:val="en-GB"/>
        </w:rPr>
      </w:pPr>
      <w:r w:rsidRPr="00735A1B">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75D0F183" w14:textId="77777777" w:rsidR="00524627" w:rsidRPr="00524627" w:rsidRDefault="00524627" w:rsidP="00524627">
      <w:pPr>
        <w:keepNext/>
        <w:spacing w:before="240" w:after="120"/>
        <w:ind w:left="720" w:hanging="720"/>
        <w:jc w:val="left"/>
        <w:outlineLvl w:val="0"/>
        <w:rPr>
          <w:rFonts w:asciiTheme="minorHAnsi" w:hAnsiTheme="minorHAnsi"/>
          <w:b/>
          <w:snapToGrid w:val="0"/>
          <w:sz w:val="32"/>
          <w:szCs w:val="32"/>
        </w:rPr>
      </w:pPr>
      <w:r w:rsidRPr="00524627">
        <w:rPr>
          <w:rFonts w:asciiTheme="minorHAnsi" w:hAnsiTheme="minorHAnsi"/>
          <w:b/>
          <w:snapToGrid w:val="0"/>
          <w:sz w:val="32"/>
          <w:szCs w:val="32"/>
        </w:rPr>
        <w:t>10</w:t>
      </w:r>
      <w:r w:rsidRPr="00524627">
        <w:rPr>
          <w:rFonts w:asciiTheme="minorHAnsi" w:hAnsiTheme="minorHAnsi"/>
          <w:b/>
          <w:snapToGrid w:val="0"/>
          <w:sz w:val="32"/>
          <w:szCs w:val="32"/>
        </w:rPr>
        <w:tab/>
        <w:t>Sponsor’s Comment</w:t>
      </w:r>
    </w:p>
    <w:p w14:paraId="2FF4E688" w14:textId="40CDD55F" w:rsidR="009B10D0" w:rsidRPr="00735A1B" w:rsidRDefault="00FE42B6" w:rsidP="00524627">
      <w:pPr>
        <w:spacing w:after="120"/>
        <w:ind w:left="720"/>
        <w:rPr>
          <w:rFonts w:asciiTheme="minorHAnsi" w:hAnsiTheme="minorHAnsi"/>
          <w:bCs/>
          <w:lang w:val="en-GB"/>
        </w:rPr>
      </w:pPr>
      <w:r w:rsidRPr="00FE42B6">
        <w:rPr>
          <w:rFonts w:asciiTheme="minorHAnsi" w:eastAsiaTheme="minorHAnsi" w:hAnsiTheme="minorHAnsi"/>
          <w:bCs/>
          <w:szCs w:val="22"/>
          <w:lang w:val="en-GB" w:eastAsia="en-US"/>
        </w:rPr>
        <w:t>Theramex continues to work with the Department to make Eladynos available to patients. The listing of Eladynos will offer patients greater choice of treatment.</w:t>
      </w:r>
    </w:p>
    <w:p w14:paraId="2A5F3DFC" w14:textId="77777777" w:rsidR="00525EB7" w:rsidRPr="00907671" w:rsidRDefault="00525EB7" w:rsidP="00DD1F6B">
      <w:pPr>
        <w:spacing w:before="120"/>
        <w:rPr>
          <w:rFonts w:asciiTheme="minorHAnsi" w:hAnsiTheme="minorHAnsi"/>
          <w:b/>
          <w:i/>
          <w:iCs/>
          <w:snapToGrid w:val="0"/>
          <w:lang w:val="en-GB"/>
        </w:rPr>
      </w:pPr>
    </w:p>
    <w:sectPr w:rsidR="00525EB7" w:rsidRPr="00907671" w:rsidSect="000926C8">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EFB77" w14:textId="77777777" w:rsidR="003946CB" w:rsidRDefault="003946CB" w:rsidP="00124A51">
      <w:r>
        <w:separator/>
      </w:r>
    </w:p>
    <w:p w14:paraId="7811E27D" w14:textId="77777777" w:rsidR="003946CB" w:rsidRDefault="003946CB"/>
  </w:endnote>
  <w:endnote w:type="continuationSeparator" w:id="0">
    <w:p w14:paraId="40779AA2" w14:textId="77777777" w:rsidR="003946CB" w:rsidRDefault="003946CB" w:rsidP="00124A51">
      <w:r>
        <w:continuationSeparator/>
      </w:r>
    </w:p>
    <w:p w14:paraId="4773FDC9" w14:textId="77777777" w:rsidR="003946CB" w:rsidRDefault="003946CB"/>
  </w:endnote>
  <w:endnote w:type="continuationNotice" w:id="1">
    <w:p w14:paraId="5A157F5A" w14:textId="77777777" w:rsidR="003946CB" w:rsidRDefault="003946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18FB2" w14:textId="307A86E9" w:rsidR="00D83E2D" w:rsidRDefault="00821BAC">
    <w:pPr>
      <w:pStyle w:val="Footer"/>
    </w:pPr>
    <w:r>
      <w:rPr>
        <w:noProof/>
      </w:rPr>
      <mc:AlternateContent>
        <mc:Choice Requires="wps">
          <w:drawing>
            <wp:anchor distT="0" distB="0" distL="0" distR="0" simplePos="0" relativeHeight="251663365" behindDoc="0" locked="0" layoutInCell="1" allowOverlap="1" wp14:anchorId="67966987" wp14:editId="66C2372B">
              <wp:simplePos x="635" y="635"/>
              <wp:positionH relativeFrom="page">
                <wp:align>center</wp:align>
              </wp:positionH>
              <wp:positionV relativeFrom="page">
                <wp:align>bottom</wp:align>
              </wp:positionV>
              <wp:extent cx="551815" cy="376555"/>
              <wp:effectExtent l="0" t="0" r="635" b="0"/>
              <wp:wrapNone/>
              <wp:docPr id="45144406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A1F8E57" w14:textId="47A457BA" w:rsidR="00821BAC" w:rsidRPr="00821BAC" w:rsidRDefault="00821BAC" w:rsidP="00821BAC">
                          <w:pPr>
                            <w:rPr>
                              <w:rFonts w:eastAsia="Calibri" w:cs="Calibri"/>
                              <w:noProof/>
                              <w:color w:val="FF0000"/>
                            </w:rPr>
                          </w:pPr>
                          <w:r w:rsidRPr="00821BAC">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966987"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29.6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1A1F8E57" w14:textId="47A457BA" w:rsidR="00821BAC" w:rsidRPr="00821BAC" w:rsidRDefault="00821BAC" w:rsidP="00821BAC">
                    <w:pPr>
                      <w:rPr>
                        <w:rFonts w:eastAsia="Calibri" w:cs="Calibri"/>
                        <w:noProof/>
                        <w:color w:val="FF0000"/>
                      </w:rPr>
                    </w:pPr>
                    <w:r w:rsidRPr="00821BAC">
                      <w:rPr>
                        <w:rFonts w:eastAsia="Calibri" w:cs="Calibri"/>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63511" w14:textId="6ACD9258" w:rsidR="00D843F2" w:rsidRDefault="00821BAC" w:rsidP="00753B29">
    <w:pPr>
      <w:pStyle w:val="Footer"/>
      <w:jc w:val="center"/>
    </w:pPr>
    <w:r>
      <w:rPr>
        <w:noProof/>
      </w:rPr>
      <mc:AlternateContent>
        <mc:Choice Requires="wps">
          <w:drawing>
            <wp:anchor distT="0" distB="0" distL="0" distR="0" simplePos="0" relativeHeight="251664389" behindDoc="0" locked="0" layoutInCell="1" allowOverlap="1" wp14:anchorId="6B7429AF" wp14:editId="1DF94D9F">
              <wp:simplePos x="635" y="635"/>
              <wp:positionH relativeFrom="page">
                <wp:align>center</wp:align>
              </wp:positionH>
              <wp:positionV relativeFrom="page">
                <wp:align>bottom</wp:align>
              </wp:positionV>
              <wp:extent cx="551815" cy="376555"/>
              <wp:effectExtent l="0" t="0" r="635" b="0"/>
              <wp:wrapNone/>
              <wp:docPr id="27284734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15C956D" w14:textId="57DD1B9C" w:rsidR="00821BAC" w:rsidRPr="00821BAC" w:rsidRDefault="00821BAC" w:rsidP="00821BAC">
                          <w:pPr>
                            <w:rPr>
                              <w:rFonts w:eastAsia="Calibri" w:cs="Calibri"/>
                              <w:noProof/>
                              <w:color w:val="FF0000"/>
                            </w:rPr>
                          </w:pPr>
                          <w:r w:rsidRPr="00821BAC">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7429AF"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015C956D" w14:textId="57DD1B9C" w:rsidR="00821BAC" w:rsidRPr="00821BAC" w:rsidRDefault="00821BAC" w:rsidP="00821BAC">
                    <w:pPr>
                      <w:rPr>
                        <w:rFonts w:eastAsia="Calibri" w:cs="Calibri"/>
                        <w:noProof/>
                        <w:color w:val="FF0000"/>
                      </w:rPr>
                    </w:pPr>
                    <w:r w:rsidRPr="00821BAC">
                      <w:rPr>
                        <w:rFonts w:eastAsia="Calibri" w:cs="Calibri"/>
                        <w:noProof/>
                        <w:color w:val="FF0000"/>
                      </w:rPr>
                      <w:t>OFFICIAL</w:t>
                    </w:r>
                  </w:p>
                </w:txbxContent>
              </v:textbox>
              <w10:wrap anchorx="page" anchory="page"/>
            </v:shape>
          </w:pict>
        </mc:Fallback>
      </mc:AlternateContent>
    </w:r>
  </w:p>
  <w:p w14:paraId="67252167" w14:textId="66339FC0" w:rsidR="00F779D0" w:rsidRDefault="005B625A" w:rsidP="00DD1F6B">
    <w:pPr>
      <w:pStyle w:val="PageFooter"/>
    </w:pPr>
    <w:sdt>
      <w:sdtPr>
        <w:id w:val="1036156457"/>
        <w:docPartObj>
          <w:docPartGallery w:val="Page Numbers (Bottom of Page)"/>
          <w:docPartUnique/>
        </w:docPartObj>
      </w:sdtPr>
      <w:sdtEndPr>
        <w:rPr>
          <w:noProof/>
        </w:rPr>
      </w:sdtEndPr>
      <w:sdtContent>
        <w:r w:rsidR="00D843F2">
          <w:fldChar w:fldCharType="begin"/>
        </w:r>
        <w:r w:rsidR="00D843F2">
          <w:instrText xml:space="preserve"> PAGE   \* MERGEFORMAT </w:instrText>
        </w:r>
        <w:r w:rsidR="00D843F2">
          <w:fldChar w:fldCharType="separate"/>
        </w:r>
        <w:r w:rsidR="00D843F2">
          <w:rPr>
            <w:noProof/>
          </w:rPr>
          <w:t>2</w:t>
        </w:r>
        <w:r w:rsidR="00D843F2">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8A0E3" w14:textId="0A2F41FD" w:rsidR="00D83E2D" w:rsidRDefault="00821BAC">
    <w:pPr>
      <w:pStyle w:val="Footer"/>
    </w:pPr>
    <w:r>
      <w:rPr>
        <w:noProof/>
      </w:rPr>
      <mc:AlternateContent>
        <mc:Choice Requires="wps">
          <w:drawing>
            <wp:anchor distT="0" distB="0" distL="0" distR="0" simplePos="0" relativeHeight="251662341" behindDoc="0" locked="0" layoutInCell="1" allowOverlap="1" wp14:anchorId="52034EFE" wp14:editId="00FA45C2">
              <wp:simplePos x="635" y="635"/>
              <wp:positionH relativeFrom="page">
                <wp:align>center</wp:align>
              </wp:positionH>
              <wp:positionV relativeFrom="page">
                <wp:align>bottom</wp:align>
              </wp:positionV>
              <wp:extent cx="551815" cy="376555"/>
              <wp:effectExtent l="0" t="0" r="635" b="0"/>
              <wp:wrapNone/>
              <wp:docPr id="95488613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0F93B8A" w14:textId="446DDF4B" w:rsidR="00821BAC" w:rsidRPr="00821BAC" w:rsidRDefault="00821BAC" w:rsidP="00821BAC">
                          <w:pPr>
                            <w:rPr>
                              <w:rFonts w:eastAsia="Calibri" w:cs="Calibri"/>
                              <w:noProof/>
                              <w:color w:val="FF0000"/>
                            </w:rPr>
                          </w:pPr>
                          <w:r w:rsidRPr="00821BAC">
                            <w:rPr>
                              <w:rFonts w:eastAsia="Calibri" w:cs="Calibri"/>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034EFE"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10F93B8A" w14:textId="446DDF4B" w:rsidR="00821BAC" w:rsidRPr="00821BAC" w:rsidRDefault="00821BAC" w:rsidP="00821BAC">
                    <w:pPr>
                      <w:rPr>
                        <w:rFonts w:eastAsia="Calibri" w:cs="Calibri"/>
                        <w:noProof/>
                        <w:color w:val="FF0000"/>
                      </w:rPr>
                    </w:pPr>
                    <w:r w:rsidRPr="00821BAC">
                      <w:rPr>
                        <w:rFonts w:eastAsia="Calibri" w:cs="Calibri"/>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54E7B" w14:textId="77777777" w:rsidR="003946CB" w:rsidRDefault="003946CB" w:rsidP="00124A51">
      <w:r>
        <w:separator/>
      </w:r>
    </w:p>
    <w:p w14:paraId="51C0832C" w14:textId="77777777" w:rsidR="003946CB" w:rsidRDefault="003946CB"/>
  </w:footnote>
  <w:footnote w:type="continuationSeparator" w:id="0">
    <w:p w14:paraId="64AEF7FE" w14:textId="77777777" w:rsidR="003946CB" w:rsidRDefault="003946CB" w:rsidP="00124A51">
      <w:r>
        <w:continuationSeparator/>
      </w:r>
    </w:p>
    <w:p w14:paraId="276CAA36" w14:textId="77777777" w:rsidR="003946CB" w:rsidRDefault="003946CB"/>
  </w:footnote>
  <w:footnote w:type="continuationNotice" w:id="1">
    <w:p w14:paraId="0C5FBA36" w14:textId="77777777" w:rsidR="003946CB" w:rsidRDefault="003946CB"/>
  </w:footnote>
  <w:footnote w:id="2">
    <w:p w14:paraId="3CE7F724" w14:textId="2998D088" w:rsidR="00343247" w:rsidRDefault="00343247">
      <w:pPr>
        <w:pStyle w:val="FootnoteText"/>
      </w:pPr>
      <w:r>
        <w:rPr>
          <w:rStyle w:val="FootnoteReference"/>
        </w:rPr>
        <w:footnoteRef/>
      </w:r>
      <w:r>
        <w:t xml:space="preserve"> Keen</w:t>
      </w:r>
      <w:r w:rsidR="00985CBB">
        <w:t xml:space="preserve"> M, Reddivari A. Osteoporosis in Females. </w:t>
      </w:r>
      <w:r w:rsidR="003A5DC9">
        <w:t>StatPearls [Internet]. June 12, 202</w:t>
      </w:r>
      <w:r w:rsidR="00EC107C">
        <w:t>3</w:t>
      </w:r>
      <w:r w:rsidR="003A5DC9">
        <w:t xml:space="preserve">. Available at: </w:t>
      </w:r>
      <w:hyperlink r:id="rId1" w:history="1">
        <w:r w:rsidR="003A5DC9" w:rsidRPr="003A5DC9">
          <w:rPr>
            <w:color w:val="0000FF"/>
            <w:u w:val="single"/>
          </w:rPr>
          <w:t>Osteoporosis in Females - StatPearls - NCBI Bookshelf</w:t>
        </w:r>
      </w:hyperlink>
    </w:p>
  </w:footnote>
  <w:footnote w:id="3">
    <w:p w14:paraId="7A582083" w14:textId="77777777" w:rsidR="003717E9" w:rsidRDefault="003717E9" w:rsidP="003717E9">
      <w:pPr>
        <w:pStyle w:val="FootnoteText"/>
      </w:pPr>
      <w:r>
        <w:rPr>
          <w:rStyle w:val="FootnoteReference"/>
        </w:rPr>
        <w:footnoteRef/>
      </w:r>
      <w:r>
        <w:t xml:space="preserve"> Walker MD &amp; Shane E. Postmenopausal osteoporosis. New England Journal of Medicine. 2023; 389(21): 1979-1991.</w:t>
      </w:r>
    </w:p>
  </w:footnote>
  <w:footnote w:id="4">
    <w:p w14:paraId="21E43103" w14:textId="77777777" w:rsidR="003717E9" w:rsidRDefault="003717E9" w:rsidP="003717E9">
      <w:pPr>
        <w:pStyle w:val="FootnoteText"/>
        <w:ind w:left="142" w:hanging="142"/>
      </w:pPr>
      <w:r>
        <w:rPr>
          <w:rStyle w:val="FootnoteReference"/>
        </w:rPr>
        <w:footnoteRef/>
      </w:r>
      <w:r>
        <w:t xml:space="preserve"> Kelepouris N, Harper KD, Gannon F et al. Severe osteoporosis in men. Annals of Internal Medicine. 1995; 123(6): 452-460.</w:t>
      </w:r>
    </w:p>
  </w:footnote>
  <w:footnote w:id="5">
    <w:p w14:paraId="4A38F776" w14:textId="2A0741AA" w:rsidR="003717E9" w:rsidRDefault="003717E9" w:rsidP="003717E9">
      <w:pPr>
        <w:pStyle w:val="FootnoteText"/>
      </w:pPr>
      <w:r>
        <w:rPr>
          <w:rStyle w:val="FootnoteReference"/>
        </w:rPr>
        <w:footnoteRef/>
      </w:r>
      <w:r>
        <w:t xml:space="preserve"> </w:t>
      </w:r>
      <w:r w:rsidRPr="005904C5">
        <w:t>AIHW</w:t>
      </w:r>
      <w:r>
        <w:t xml:space="preserve">. </w:t>
      </w:r>
      <w:r w:rsidRPr="005904C5">
        <w:t>Chronic musculoskeletal conditions: Osteoporosis and minimal trauma fractures</w:t>
      </w:r>
      <w:r>
        <w:t>. URL:</w:t>
      </w:r>
      <w:r w:rsidR="00306E37">
        <w:t xml:space="preserve"> </w:t>
      </w:r>
      <w:hyperlink r:id="rId2" w:history="1">
        <w:r w:rsidRPr="00CF2E5B">
          <w:rPr>
            <w:rStyle w:val="Hyperlink"/>
          </w:rPr>
          <w:t>https://www.aihw.gov.au/reports/chronic-musculoskeletal-conditions/osteoporosis</w:t>
        </w:r>
      </w:hyperlink>
    </w:p>
  </w:footnote>
  <w:footnote w:id="6">
    <w:p w14:paraId="067A4CA0" w14:textId="77777777" w:rsidR="003717E9" w:rsidRDefault="003717E9" w:rsidP="003717E9">
      <w:pPr>
        <w:pStyle w:val="FootnoteText"/>
      </w:pPr>
      <w:r>
        <w:rPr>
          <w:rStyle w:val="FootnoteReference"/>
        </w:rPr>
        <w:footnoteRef/>
      </w:r>
      <w:r>
        <w:t xml:space="preserve"> Naik-Panvelkar P, Normal S, Elgebaly Z et al. </w:t>
      </w:r>
      <w:r w:rsidRPr="00F83E8C">
        <w:t>Osteoporosis management in Australian general practice: an analysis of current osteoporosis treatment patterns and gaps in practice</w:t>
      </w:r>
      <w:r>
        <w:t>. BMC Family Practice. 2020; 21(1): 32.</w:t>
      </w:r>
    </w:p>
  </w:footnote>
  <w:footnote w:id="7">
    <w:p w14:paraId="1CDA590A" w14:textId="77777777" w:rsidR="003717E9" w:rsidRDefault="003717E9" w:rsidP="003717E9">
      <w:pPr>
        <w:pStyle w:val="FootnoteText"/>
      </w:pPr>
      <w:r>
        <w:rPr>
          <w:rStyle w:val="FootnoteReference"/>
        </w:rPr>
        <w:footnoteRef/>
      </w:r>
      <w:r>
        <w:t xml:space="preserve"> Rinonapoli G, Ruggiero C, Meccariello L. Osteoporosis in men: a review of an underestimated bone condition. International Journal of Molecular Sciences. 2021; 22(4): </w:t>
      </w:r>
      <w:r w:rsidRPr="00B851F5">
        <w:t>10.3390/ijms22042105</w:t>
      </w:r>
      <w:r>
        <w:t xml:space="preserve">. </w:t>
      </w:r>
    </w:p>
  </w:footnote>
  <w:footnote w:id="8">
    <w:p w14:paraId="14006170" w14:textId="77777777" w:rsidR="003717E9" w:rsidRDefault="003717E9" w:rsidP="003717E9">
      <w:pPr>
        <w:pStyle w:val="FootnoteText"/>
      </w:pPr>
      <w:r>
        <w:rPr>
          <w:rStyle w:val="FootnoteReference"/>
        </w:rPr>
        <w:footnoteRef/>
      </w:r>
      <w:r>
        <w:t xml:space="preserve"> In</w:t>
      </w:r>
      <w:r w:rsidRPr="005D32C9">
        <w:t>ternational Osteoporosis Foundation</w:t>
      </w:r>
      <w:r>
        <w:t xml:space="preserve">. </w:t>
      </w:r>
      <w:r w:rsidRPr="005D32C9">
        <w:t>Epidemiology of osteoporosis and fragility fractures</w:t>
      </w:r>
      <w:r>
        <w:t xml:space="preserve">. 2025. URL: </w:t>
      </w:r>
      <w:hyperlink r:id="rId3" w:anchor="ref_bottom_2" w:history="1">
        <w:r w:rsidRPr="00CF2E5B">
          <w:rPr>
            <w:rStyle w:val="Hyperlink"/>
          </w:rPr>
          <w:t>https://www.osteoporosis.foundation/facts-statistics/epidemiology-of-osteoporosis-and-fragility-fractures#ref_bottom_2</w:t>
        </w:r>
      </w:hyperlink>
      <w:r>
        <w:t xml:space="preserve"> </w:t>
      </w:r>
    </w:p>
  </w:footnote>
  <w:footnote w:id="9">
    <w:p w14:paraId="6DA6C7C6" w14:textId="77777777" w:rsidR="003717E9" w:rsidRDefault="003717E9" w:rsidP="003717E9">
      <w:pPr>
        <w:pStyle w:val="FootnoteText"/>
      </w:pPr>
      <w:r>
        <w:rPr>
          <w:rStyle w:val="FootnoteReference"/>
        </w:rPr>
        <w:footnoteRef/>
      </w:r>
      <w:r>
        <w:t xml:space="preserve"> Trombetti A, Herrmann F, Hoffmeyer P et al. </w:t>
      </w:r>
      <w:r w:rsidRPr="00AD0B7C">
        <w:t>Survival and potential years of life lost after hip fracture in men and age-matched women</w:t>
      </w:r>
      <w:r>
        <w:t>. Osteoporosis International. 2002; 13(9): 731-737.</w:t>
      </w:r>
    </w:p>
  </w:footnote>
  <w:footnote w:id="10">
    <w:p w14:paraId="324AD8B6" w14:textId="77777777" w:rsidR="003717E9" w:rsidRDefault="003717E9" w:rsidP="00CB717E">
      <w:pPr>
        <w:pStyle w:val="FootnoteText"/>
      </w:pPr>
      <w:r>
        <w:rPr>
          <w:rStyle w:val="FootnoteReference"/>
        </w:rPr>
        <w:footnoteRef/>
      </w:r>
      <w:r>
        <w:t xml:space="preserve"> Rosen HN &amp; Drake MT. </w:t>
      </w:r>
      <w:r w:rsidRPr="00092489">
        <w:t>Clinical manifestation, diagnosis, and evaluation of osteoporosis in postmenopausal women</w:t>
      </w:r>
      <w:r>
        <w:t xml:space="preserve">. UpToDate. URL: </w:t>
      </w:r>
      <w:hyperlink r:id="rId4" w:anchor="H6" w:history="1">
        <w:r w:rsidRPr="00CF2E5B">
          <w:rPr>
            <w:rStyle w:val="Hyperlink"/>
          </w:rPr>
          <w:t>https://www.uptodate.com/contents/clinical-manifestations-diagnosis-and-evaluation-of-osteoporosis-in-postmenopausal-women?sectionName=DIAGNOSIS&amp;topicRef= 145467&amp; anchor= H6&amp;source=bqp#H6</w:t>
        </w:r>
      </w:hyperlink>
    </w:p>
  </w:footnote>
  <w:footnote w:id="11">
    <w:p w14:paraId="7922C46D" w14:textId="77777777" w:rsidR="00CB717E" w:rsidRDefault="00CB717E" w:rsidP="00CB717E">
      <w:pPr>
        <w:pStyle w:val="FootnoteText"/>
      </w:pPr>
      <w:r>
        <w:rPr>
          <w:rStyle w:val="FootnoteReference"/>
        </w:rPr>
        <w:footnoteRef/>
      </w:r>
      <w:r>
        <w:t xml:space="preserve"> </w:t>
      </w:r>
      <w:r w:rsidRPr="00C63CFD">
        <w:t xml:space="preserve">FRAX® Fracture Risk Assessment Tool. URL: </w:t>
      </w:r>
      <w:hyperlink r:id="rId5" w:history="1">
        <w:r w:rsidRPr="00CF2E5B">
          <w:rPr>
            <w:rStyle w:val="Hyperlink"/>
          </w:rPr>
          <w:t>https://fraxplus.org/</w:t>
        </w:r>
      </w:hyperlink>
      <w:r>
        <w:t xml:space="preserve"> </w:t>
      </w:r>
    </w:p>
  </w:footnote>
  <w:footnote w:id="12">
    <w:p w14:paraId="4FC64779" w14:textId="755C4D1C" w:rsidR="00CB717E" w:rsidRDefault="00CB717E" w:rsidP="00CB717E">
      <w:pPr>
        <w:pStyle w:val="FootnoteText"/>
      </w:pPr>
      <w:r>
        <w:rPr>
          <w:rStyle w:val="FootnoteReference"/>
        </w:rPr>
        <w:footnoteRef/>
      </w:r>
      <w:r>
        <w:t xml:space="preserve"> Garvan Institute of Medical Research. Bone Fracture Risk Calculator. URL: </w:t>
      </w:r>
      <w:hyperlink r:id="rId6" w:history="1">
        <w:r w:rsidRPr="00E25420">
          <w:rPr>
            <w:rStyle w:val="Hyperlink"/>
          </w:rPr>
          <w:t>https://www.garvan.org.au/research/bone-fracture-risk-calculator</w:t>
        </w:r>
      </w:hyperlink>
      <w:r>
        <w:t xml:space="preserve"> </w:t>
      </w:r>
    </w:p>
  </w:footnote>
  <w:footnote w:id="13">
    <w:p w14:paraId="00ABBD5C" w14:textId="4F4ED39F" w:rsidR="003717E9" w:rsidRDefault="003717E9" w:rsidP="00CB717E">
      <w:pPr>
        <w:pStyle w:val="FootnoteText"/>
        <w:ind w:left="142" w:hanging="142"/>
      </w:pPr>
      <w:r>
        <w:rPr>
          <w:rStyle w:val="FootnoteReference"/>
        </w:rPr>
        <w:footnoteRef/>
      </w:r>
      <w:r>
        <w:t xml:space="preserve"> RA</w:t>
      </w:r>
      <w:r w:rsidR="00C37F45">
        <w:t>C</w:t>
      </w:r>
      <w:r>
        <w:t xml:space="preserve">GP. </w:t>
      </w:r>
      <w:r w:rsidRPr="00C54D6D">
        <w:t>Guideline - Osteoporosis management and fracture prevention in post-menopausal women and men &gt; 50 years of age</w:t>
      </w:r>
      <w:r>
        <w:t xml:space="preserve">. URL: </w:t>
      </w:r>
      <w:hyperlink r:id="rId7" w:history="1">
        <w:r w:rsidRPr="00CF2E5B">
          <w:rPr>
            <w:rStyle w:val="Hyperlink"/>
          </w:rPr>
          <w:t>https://www.racgp.org.au/clinical-resources/clinical-guidelines/key-racgp-guidelines/view-all-racgp-guidelines/osteoporosis/risk-factors/assessment-of-absolute-fracture-risk</w:t>
        </w:r>
      </w:hyperlink>
      <w:r>
        <w:t xml:space="preserve"> </w:t>
      </w:r>
    </w:p>
  </w:footnote>
  <w:footnote w:id="14">
    <w:p w14:paraId="578C28C8" w14:textId="77777777" w:rsidR="003717E9" w:rsidRDefault="003717E9" w:rsidP="00CB717E">
      <w:pPr>
        <w:pStyle w:val="FootnoteText"/>
      </w:pPr>
      <w:r>
        <w:rPr>
          <w:rStyle w:val="FootnoteReference"/>
        </w:rPr>
        <w:footnoteRef/>
      </w:r>
      <w:r>
        <w:t xml:space="preserve"> Hattersley G, Dean T, Corbin BA et al. </w:t>
      </w:r>
      <w:r w:rsidRPr="000024EA">
        <w:t xml:space="preserve">Binding </w:t>
      </w:r>
      <w:r>
        <w:t>s</w:t>
      </w:r>
      <w:r w:rsidRPr="000024EA">
        <w:t xml:space="preserve">electivity of </w:t>
      </w:r>
      <w:r>
        <w:t>a</w:t>
      </w:r>
      <w:r w:rsidRPr="000024EA">
        <w:t>baloparatide for PTH-</w:t>
      </w:r>
      <w:r>
        <w:t>t</w:t>
      </w:r>
      <w:r w:rsidRPr="000024EA">
        <w:t>ype-1-</w:t>
      </w:r>
      <w:r>
        <w:t>r</w:t>
      </w:r>
      <w:r w:rsidRPr="000024EA">
        <w:t xml:space="preserve">eceptor </w:t>
      </w:r>
      <w:r>
        <w:t>c</w:t>
      </w:r>
      <w:r w:rsidRPr="000024EA">
        <w:t xml:space="preserve">onformations and </w:t>
      </w:r>
      <w:r>
        <w:t>e</w:t>
      </w:r>
      <w:r w:rsidRPr="000024EA">
        <w:t xml:space="preserve">ffects on </w:t>
      </w:r>
      <w:r>
        <w:t>d</w:t>
      </w:r>
      <w:r w:rsidRPr="000024EA">
        <w:t xml:space="preserve">ownstream </w:t>
      </w:r>
      <w:r>
        <w:t>s</w:t>
      </w:r>
      <w:r w:rsidRPr="000024EA">
        <w:t>ignalling</w:t>
      </w:r>
      <w:r>
        <w:t xml:space="preserve">. Endocrinology. 2016; 157(1): 141-149. </w:t>
      </w:r>
    </w:p>
  </w:footnote>
  <w:footnote w:id="15">
    <w:p w14:paraId="007957DA" w14:textId="7F1FD122" w:rsidR="001240CA" w:rsidRDefault="001240CA">
      <w:pPr>
        <w:pStyle w:val="FootnoteText"/>
      </w:pPr>
      <w:r>
        <w:rPr>
          <w:rStyle w:val="FootnoteReference"/>
        </w:rPr>
        <w:footnoteRef/>
      </w:r>
      <w:r>
        <w:t xml:space="preserve"> Kim A and Girgis</w:t>
      </w:r>
      <w:r w:rsidR="00306E37">
        <w:t xml:space="preserve"> </w:t>
      </w:r>
      <w:r>
        <w:t>C.</w:t>
      </w:r>
      <w:r w:rsidR="003B36FD">
        <w:t xml:space="preserve"> Anabolic therapy: a new paradigm for osteoporosis management. Endocrinology </w:t>
      </w:r>
      <w:r w:rsidR="00363C4F">
        <w:t>Today 2021: 10(4):20-25.</w:t>
      </w:r>
    </w:p>
  </w:footnote>
  <w:footnote w:id="16">
    <w:p w14:paraId="21D09FCE" w14:textId="783A084E" w:rsidR="00975D04" w:rsidRDefault="00975D04">
      <w:pPr>
        <w:pStyle w:val="FootnoteText"/>
      </w:pPr>
      <w:r>
        <w:rPr>
          <w:rStyle w:val="FootnoteReference"/>
        </w:rPr>
        <w:footnoteRef/>
      </w:r>
      <w:r>
        <w:t xml:space="preserve"> Only included fractures occurred at </w:t>
      </w:r>
      <w:r>
        <w:rPr>
          <w:rFonts w:cs="Calibri"/>
        </w:rPr>
        <w:t>≥</w:t>
      </w:r>
      <w:r>
        <w:t xml:space="preserve"> 45 years of age</w:t>
      </w:r>
    </w:p>
  </w:footnote>
  <w:footnote w:id="17">
    <w:p w14:paraId="5FFE22BF" w14:textId="076D33AA" w:rsidR="005E0B60" w:rsidRPr="005E0B60" w:rsidRDefault="005E0B60" w:rsidP="005E0B60">
      <w:pPr>
        <w:pStyle w:val="FootnoteText"/>
      </w:pPr>
      <w:r>
        <w:rPr>
          <w:rStyle w:val="FootnoteReference"/>
        </w:rPr>
        <w:footnoteRef/>
      </w:r>
      <w:r>
        <w:t xml:space="preserve"> Curtis JR, Arora T, Liu Y et al. </w:t>
      </w:r>
      <w:r w:rsidRPr="005E0B60">
        <w:t>Comparative effectiveness of denosumab vs alendronate among postmenopausal women with osteoporosis</w:t>
      </w:r>
      <w:r>
        <w:t>. Journal of Bone and Mineral Research. 2024; 39(7): 826-834.</w:t>
      </w:r>
    </w:p>
    <w:p w14:paraId="3387E536" w14:textId="77777777" w:rsidR="005E0B60" w:rsidRPr="005E0B60" w:rsidRDefault="005E0B60" w:rsidP="005E0B60">
      <w:pPr>
        <w:pStyle w:val="FootnoteText"/>
      </w:pPr>
    </w:p>
    <w:p w14:paraId="2B8F8D91" w14:textId="7F7121B4" w:rsidR="005E0B60" w:rsidRDefault="005E0B60">
      <w:pPr>
        <w:pStyle w:val="FootnoteText"/>
      </w:pPr>
    </w:p>
  </w:footnote>
  <w:footnote w:id="18">
    <w:p w14:paraId="705642D2" w14:textId="5AF84BF7" w:rsidR="00B141AC" w:rsidRDefault="00B141AC">
      <w:pPr>
        <w:pStyle w:val="FootnoteText"/>
      </w:pPr>
      <w:r>
        <w:rPr>
          <w:rStyle w:val="FootnoteReference"/>
        </w:rPr>
        <w:footnoteRef/>
      </w:r>
      <w:r>
        <w:t xml:space="preserve"> Bucher HC et al. </w:t>
      </w:r>
      <w:r w:rsidRPr="00B141AC">
        <w:t>The results of direct and indirect treatment comparisons in meta-analysis of randomized controlled trials</w:t>
      </w:r>
      <w:r>
        <w:t>. Journal of Clinical Epidemiology. 1997; 50(6): 683-691.</w:t>
      </w:r>
    </w:p>
  </w:footnote>
  <w:footnote w:id="19">
    <w:p w14:paraId="13C30C10" w14:textId="56D46979" w:rsidR="00C85A1E" w:rsidRDefault="00C85A1E">
      <w:pPr>
        <w:pStyle w:val="FootnoteText"/>
      </w:pPr>
      <w:r>
        <w:rPr>
          <w:rStyle w:val="FootnoteReference"/>
        </w:rPr>
        <w:footnoteRef/>
      </w:r>
      <w:r>
        <w:t xml:space="preserve"> </w:t>
      </w:r>
      <w:r w:rsidRPr="00C85A1E">
        <w:t xml:space="preserve">Government of Western Australia Department of Health. Risk factors for falls. URL: </w:t>
      </w:r>
      <w:hyperlink r:id="rId8" w:history="1">
        <w:r w:rsidRPr="00E25420">
          <w:rPr>
            <w:rStyle w:val="Hyperlink"/>
          </w:rPr>
          <w:t>https://www.health.wa.gov.au/Articles/F_I/Falls-prevention-and-management-in-WA/Research-and-education-in-falls/Risk-factors-for-falls</w:t>
        </w:r>
      </w:hyperlink>
      <w:r>
        <w:t xml:space="preserve"> </w:t>
      </w:r>
    </w:p>
  </w:footnote>
  <w:footnote w:id="20">
    <w:p w14:paraId="713C02F6" w14:textId="5112250E" w:rsidR="00B51D8A" w:rsidRDefault="00B51D8A">
      <w:pPr>
        <w:pStyle w:val="FootnoteText"/>
      </w:pPr>
      <w:r>
        <w:rPr>
          <w:rStyle w:val="FootnoteReference"/>
        </w:rPr>
        <w:footnoteRef/>
      </w:r>
      <w:r>
        <w:t xml:space="preserve"> </w:t>
      </w:r>
      <w:r w:rsidR="00C455F9">
        <w:t>The safety profile for</w:t>
      </w:r>
      <w:r w:rsidR="00C455F9" w:rsidRPr="00C455F9">
        <w:t xml:space="preserve"> romosozumab</w:t>
      </w:r>
      <w:r w:rsidR="00C455F9">
        <w:t xml:space="preserve"> in</w:t>
      </w:r>
      <w:r w:rsidR="006D00B5">
        <w:t xml:space="preserve"> the approved</w:t>
      </w:r>
      <w:r w:rsidR="00C455F9" w:rsidRPr="00C455F9">
        <w:t xml:space="preserve"> PI</w:t>
      </w:r>
      <w:r w:rsidR="00C455F9">
        <w:t xml:space="preserve"> </w:t>
      </w:r>
      <w:r w:rsidR="00CC22C3">
        <w:t xml:space="preserve">is </w:t>
      </w:r>
      <w:r w:rsidR="00CC22C3" w:rsidRPr="00CC22C3">
        <w:t>based on 12-month pooled data from 3</w:t>
      </w:r>
      <w:r w:rsidR="001162D7">
        <w:t>,</w:t>
      </w:r>
      <w:r w:rsidR="00CC22C3" w:rsidRPr="00CC22C3">
        <w:t>695 postmenopausal women with osteoporosis and 163 men with osteoporosis treated with romosozumab in four Phase II and Phase III, placebo</w:t>
      </w:r>
      <w:r w:rsidR="00CC22C3">
        <w:t>-</w:t>
      </w:r>
      <w:r w:rsidR="00CC22C3" w:rsidRPr="00CC22C3">
        <w:t>controlled clinical trials, including the FRAME and BRIDGE studies.</w:t>
      </w:r>
      <w:r w:rsidR="001B7857">
        <w:t xml:space="preserve"> The total number of treated patients with either romosozumab or placebo was </w:t>
      </w:r>
      <w:r w:rsidR="00F7523C">
        <w:t>7,628.</w:t>
      </w:r>
    </w:p>
  </w:footnote>
  <w:footnote w:id="21">
    <w:p w14:paraId="645605CF" w14:textId="08FC312C" w:rsidR="00495D1D" w:rsidRDefault="00495D1D">
      <w:pPr>
        <w:pStyle w:val="FootnoteText"/>
      </w:pPr>
      <w:r>
        <w:rPr>
          <w:rStyle w:val="FootnoteReference"/>
        </w:rPr>
        <w:footnoteRef/>
      </w:r>
      <w:r>
        <w:t xml:space="preserve"> </w:t>
      </w:r>
      <w:r w:rsidR="00EC1067">
        <w:t>The summary in the romosozumab PI for myocardial infarction, stroke and mortality is based on</w:t>
      </w:r>
      <w:r w:rsidR="002F7CD3">
        <w:t xml:space="preserve"> a</w:t>
      </w:r>
      <w:r w:rsidR="00ED58CF">
        <w:t xml:space="preserve"> </w:t>
      </w:r>
      <w:r w:rsidR="002F7CD3" w:rsidRPr="002F7CD3">
        <w:t>separate double-blind, Phase III active-controlled study (ARCH)</w:t>
      </w:r>
      <w:r w:rsidR="002F7CD3">
        <w:t xml:space="preserve"> of romosozumab vs alendronate, with</w:t>
      </w:r>
      <w:r w:rsidR="00C71225">
        <w:t xml:space="preserve"> 2,040</w:t>
      </w:r>
      <w:r w:rsidR="002F7CD3">
        <w:t xml:space="preserve"> </w:t>
      </w:r>
      <w:r w:rsidR="00C71225" w:rsidRPr="00C71225">
        <w:t>romosozumab-treated patients</w:t>
      </w:r>
      <w:r w:rsidR="00C71225">
        <w:t>.</w:t>
      </w:r>
    </w:p>
  </w:footnote>
  <w:footnote w:id="22">
    <w:p w14:paraId="610D4F5E" w14:textId="77777777" w:rsidR="006F6C8B" w:rsidRDefault="006F6C8B" w:rsidP="006F6C8B">
      <w:pPr>
        <w:pStyle w:val="FootnoteText"/>
      </w:pPr>
      <w:r>
        <w:rPr>
          <w:rStyle w:val="FootnoteReference"/>
        </w:rPr>
        <w:footnoteRef/>
      </w:r>
      <w:r>
        <w:t xml:space="preserve"> </w:t>
      </w:r>
      <w:r w:rsidRPr="002B0164">
        <w:t xml:space="preserve">Interventional Coronary Procedures, Admitted for </w:t>
      </w:r>
      <w:r>
        <w:t>acute myocardial infarction</w:t>
      </w:r>
    </w:p>
  </w:footnote>
  <w:footnote w:id="23">
    <w:p w14:paraId="56AAA473" w14:textId="77777777" w:rsidR="006F6C8B" w:rsidRDefault="006F6C8B" w:rsidP="006F6C8B">
      <w:pPr>
        <w:pStyle w:val="FootnoteText"/>
      </w:pPr>
      <w:r>
        <w:rPr>
          <w:rStyle w:val="FootnoteReference"/>
        </w:rPr>
        <w:footnoteRef/>
      </w:r>
      <w:r>
        <w:t xml:space="preserve"> Incidence of cardiovascular event (0.59%) × hospitalisation cost per event ($15,484)</w:t>
      </w:r>
    </w:p>
  </w:footnote>
  <w:footnote w:id="24">
    <w:p w14:paraId="6B73A318" w14:textId="77777777" w:rsidR="006F6C8B" w:rsidRPr="006B0DD8" w:rsidRDefault="006F6C8B" w:rsidP="006F6C8B">
      <w:pPr>
        <w:pStyle w:val="FootnoteText"/>
        <w:rPr>
          <w:lang w:val="en-US"/>
        </w:rPr>
      </w:pPr>
      <w:r>
        <w:rPr>
          <w:rStyle w:val="FootnoteReference"/>
        </w:rPr>
        <w:footnoteRef/>
      </w:r>
      <w:r w:rsidRPr="002A21D3">
        <w:rPr>
          <w:lang w:val="de-DE"/>
        </w:rPr>
        <w:t xml:space="preserve"> Ioannides-Demos LL, Makarounas-Kirchmann K, Ashton E, Stoelwinder J, McNeil JJ. </w:t>
      </w:r>
      <w:r w:rsidRPr="006B0DD8">
        <w:t xml:space="preserve">Cost of myocardial infarction to the Australian community: a prospective, multicentre survey. </w:t>
      </w:r>
      <w:r w:rsidRPr="006B0DD8">
        <w:rPr>
          <w:i/>
          <w:iCs/>
        </w:rPr>
        <w:t>Clin Drug Investig</w:t>
      </w:r>
      <w:r w:rsidRPr="006B0DD8">
        <w:t>. 2010;30(8):533-43.</w:t>
      </w:r>
    </w:p>
  </w:footnote>
  <w:footnote w:id="25">
    <w:p w14:paraId="4E44CF52" w14:textId="77777777" w:rsidR="006F6C8B" w:rsidRDefault="006F6C8B" w:rsidP="006F6C8B">
      <w:pPr>
        <w:pStyle w:val="FootnoteText"/>
      </w:pPr>
      <w:r>
        <w:rPr>
          <w:rStyle w:val="FootnoteReference"/>
        </w:rPr>
        <w:footnoteRef/>
      </w:r>
      <w:r>
        <w:t xml:space="preserve"> Based on a reduction of 6 months of anti-resorptive therapy (50% year), where patients would reduce 6 scripts per year, at 90% compliance (50% × 6 × 90%)</w:t>
      </w:r>
    </w:p>
  </w:footnote>
  <w:footnote w:id="26">
    <w:p w14:paraId="40D26384" w14:textId="3A56D184" w:rsidR="006F6C8B" w:rsidRDefault="006F6C8B" w:rsidP="006F6C8B">
      <w:pPr>
        <w:pStyle w:val="FootnoteText"/>
      </w:pPr>
      <w:r>
        <w:rPr>
          <w:rStyle w:val="FootnoteReference"/>
        </w:rPr>
        <w:footnoteRef/>
      </w:r>
      <w:r>
        <w:t xml:space="preserve"> 50% of administration cost was GP only, with the remaining 50% split between nurses (69%) and GPs (31%). </w:t>
      </w:r>
      <w:r w:rsidR="0051229E">
        <w:t>Overall,</w:t>
      </w:r>
      <w:r>
        <w:t xml:space="preserve"> the proportion of services provided by nurses was 50% × 69% = 34.5%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3129E" w14:textId="38F12BB0" w:rsidR="00D83E2D" w:rsidRDefault="00821BAC">
    <w:pPr>
      <w:pStyle w:val="Header"/>
    </w:pPr>
    <w:r>
      <w:rPr>
        <w:noProof/>
      </w:rPr>
      <mc:AlternateContent>
        <mc:Choice Requires="wps">
          <w:drawing>
            <wp:anchor distT="0" distB="0" distL="0" distR="0" simplePos="0" relativeHeight="251660293" behindDoc="0" locked="0" layoutInCell="1" allowOverlap="1" wp14:anchorId="1725C42D" wp14:editId="23FFAF1C">
              <wp:simplePos x="635" y="635"/>
              <wp:positionH relativeFrom="page">
                <wp:align>center</wp:align>
              </wp:positionH>
              <wp:positionV relativeFrom="page">
                <wp:align>top</wp:align>
              </wp:positionV>
              <wp:extent cx="551815" cy="376555"/>
              <wp:effectExtent l="0" t="0" r="635" b="4445"/>
              <wp:wrapNone/>
              <wp:docPr id="48529283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D6BEC31" w14:textId="5050C7BA" w:rsidR="00821BAC" w:rsidRPr="00821BAC" w:rsidRDefault="00821BAC" w:rsidP="00821BAC">
                          <w:pPr>
                            <w:rPr>
                              <w:rFonts w:eastAsia="Calibri" w:cs="Calibri"/>
                              <w:noProof/>
                              <w:color w:val="FF0000"/>
                            </w:rPr>
                          </w:pPr>
                          <w:r w:rsidRPr="00821BAC">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25C42D"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1D6BEC31" w14:textId="5050C7BA" w:rsidR="00821BAC" w:rsidRPr="00821BAC" w:rsidRDefault="00821BAC" w:rsidP="00821BAC">
                    <w:pPr>
                      <w:rPr>
                        <w:rFonts w:eastAsia="Calibri" w:cs="Calibri"/>
                        <w:noProof/>
                        <w:color w:val="FF0000"/>
                      </w:rPr>
                    </w:pPr>
                    <w:r w:rsidRPr="00821BAC">
                      <w:rPr>
                        <w:rFonts w:eastAsia="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77BC8" w14:textId="78173BB0" w:rsidR="00C037F9" w:rsidRPr="00056684" w:rsidRDefault="00821BAC" w:rsidP="00C037F9">
    <w:pPr>
      <w:pStyle w:val="Header"/>
      <w:ind w:left="360"/>
      <w:rPr>
        <w:rFonts w:asciiTheme="minorHAnsi" w:hAnsiTheme="minorHAnsi"/>
        <w:i w:val="0"/>
        <w:color w:val="808080"/>
      </w:rPr>
    </w:pPr>
    <w:r>
      <w:rPr>
        <w:rFonts w:asciiTheme="minorHAnsi" w:hAnsiTheme="minorHAnsi"/>
        <w:noProof/>
        <w:color w:val="808080"/>
      </w:rPr>
      <mc:AlternateContent>
        <mc:Choice Requires="wps">
          <w:drawing>
            <wp:anchor distT="0" distB="0" distL="0" distR="0" simplePos="0" relativeHeight="251661317" behindDoc="0" locked="0" layoutInCell="1" allowOverlap="1" wp14:anchorId="07559533" wp14:editId="48B33E4E">
              <wp:simplePos x="635" y="635"/>
              <wp:positionH relativeFrom="page">
                <wp:align>center</wp:align>
              </wp:positionH>
              <wp:positionV relativeFrom="page">
                <wp:align>top</wp:align>
              </wp:positionV>
              <wp:extent cx="551815" cy="376555"/>
              <wp:effectExtent l="0" t="0" r="635" b="4445"/>
              <wp:wrapNone/>
              <wp:docPr id="15552497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40CDD85" w14:textId="4C9AEEB0" w:rsidR="00821BAC" w:rsidRPr="00821BAC" w:rsidRDefault="00821BAC" w:rsidP="00821BAC">
                          <w:pPr>
                            <w:rPr>
                              <w:rFonts w:eastAsia="Calibri" w:cs="Calibri"/>
                              <w:noProof/>
                              <w:color w:val="FF0000"/>
                            </w:rPr>
                          </w:pPr>
                          <w:r w:rsidRPr="00821BAC">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559533"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140CDD85" w14:textId="4C9AEEB0" w:rsidR="00821BAC" w:rsidRPr="00821BAC" w:rsidRDefault="00821BAC" w:rsidP="00821BAC">
                    <w:pPr>
                      <w:rPr>
                        <w:rFonts w:eastAsia="Calibri" w:cs="Calibri"/>
                        <w:noProof/>
                        <w:color w:val="FF0000"/>
                      </w:rPr>
                    </w:pPr>
                    <w:r w:rsidRPr="00821BAC">
                      <w:rPr>
                        <w:rFonts w:eastAsia="Calibri" w:cs="Calibri"/>
                        <w:noProof/>
                        <w:color w:val="FF0000"/>
                      </w:rPr>
                      <w:t>OFFICIAL</w:t>
                    </w:r>
                  </w:p>
                </w:txbxContent>
              </v:textbox>
              <w10:wrap anchorx="page" anchory="page"/>
            </v:shape>
          </w:pict>
        </mc:Fallback>
      </mc:AlternateContent>
    </w:r>
    <w:r w:rsidR="00EB118D">
      <w:rPr>
        <w:rFonts w:asciiTheme="minorHAnsi" w:hAnsiTheme="minorHAnsi"/>
        <w:color w:val="808080"/>
      </w:rPr>
      <w:t>Public Summary Document</w:t>
    </w:r>
    <w:r w:rsidR="00EB118D" w:rsidRPr="00056684">
      <w:rPr>
        <w:rFonts w:asciiTheme="minorHAnsi" w:hAnsiTheme="minorHAnsi"/>
        <w:color w:val="808080"/>
      </w:rPr>
      <w:t xml:space="preserve"> </w:t>
    </w:r>
    <w:r w:rsidR="00C037F9" w:rsidRPr="00056684">
      <w:rPr>
        <w:rFonts w:asciiTheme="minorHAnsi" w:hAnsiTheme="minorHAnsi"/>
        <w:color w:val="808080"/>
      </w:rPr>
      <w:t xml:space="preserve">– </w:t>
    </w:r>
    <w:r w:rsidR="00C037F9">
      <w:rPr>
        <w:rFonts w:asciiTheme="minorHAnsi" w:hAnsiTheme="minorHAnsi"/>
        <w:color w:val="808080"/>
      </w:rPr>
      <w:t>July 2025</w:t>
    </w:r>
    <w:r w:rsidR="00C037F9" w:rsidRPr="00056684">
      <w:rPr>
        <w:rFonts w:asciiTheme="minorHAnsi" w:hAnsiTheme="minorHAnsi"/>
        <w:color w:val="808080"/>
      </w:rPr>
      <w:t xml:space="preserve"> PBAC Meeting</w:t>
    </w:r>
  </w:p>
  <w:p w14:paraId="1AEC8354" w14:textId="08FBD8CF" w:rsidR="00D843F2" w:rsidRDefault="00D843F2" w:rsidP="00C037F9">
    <w:pPr>
      <w:pStyle w:val="Header"/>
    </w:pPr>
  </w:p>
  <w:p w14:paraId="4B92CB65" w14:textId="77777777" w:rsidR="00F779D0" w:rsidRDefault="00F779D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97CD" w14:textId="607B351A" w:rsidR="00D83E2D" w:rsidRDefault="00821BAC">
    <w:pPr>
      <w:pStyle w:val="Header"/>
    </w:pPr>
    <w:r>
      <w:rPr>
        <w:noProof/>
      </w:rPr>
      <mc:AlternateContent>
        <mc:Choice Requires="wps">
          <w:drawing>
            <wp:anchor distT="0" distB="0" distL="0" distR="0" simplePos="0" relativeHeight="251659269" behindDoc="0" locked="0" layoutInCell="1" allowOverlap="1" wp14:anchorId="71B117E2" wp14:editId="1D6480E4">
              <wp:simplePos x="635" y="635"/>
              <wp:positionH relativeFrom="page">
                <wp:align>center</wp:align>
              </wp:positionH>
              <wp:positionV relativeFrom="page">
                <wp:align>top</wp:align>
              </wp:positionV>
              <wp:extent cx="551815" cy="376555"/>
              <wp:effectExtent l="0" t="0" r="635" b="4445"/>
              <wp:wrapNone/>
              <wp:docPr id="104633157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1B1EF6D4" w14:textId="0DEFD4C5" w:rsidR="00821BAC" w:rsidRPr="00821BAC" w:rsidRDefault="00821BAC" w:rsidP="00821BAC">
                          <w:pPr>
                            <w:rPr>
                              <w:rFonts w:eastAsia="Calibri" w:cs="Calibri"/>
                              <w:noProof/>
                              <w:color w:val="FF0000"/>
                            </w:rPr>
                          </w:pPr>
                          <w:r w:rsidRPr="00821BAC">
                            <w:rPr>
                              <w:rFonts w:eastAsia="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B117E2"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1B1EF6D4" w14:textId="0DEFD4C5" w:rsidR="00821BAC" w:rsidRPr="00821BAC" w:rsidRDefault="00821BAC" w:rsidP="00821BAC">
                    <w:pPr>
                      <w:rPr>
                        <w:rFonts w:eastAsia="Calibri" w:cs="Calibri"/>
                        <w:noProof/>
                        <w:color w:val="FF0000"/>
                      </w:rPr>
                    </w:pPr>
                    <w:r w:rsidRPr="00821BAC">
                      <w:rPr>
                        <w:rFonts w:eastAsia="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076D69"/>
    <w:multiLevelType w:val="hybridMultilevel"/>
    <w:tmpl w:val="6C36EF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FE2E1F"/>
    <w:multiLevelType w:val="hybridMultilevel"/>
    <w:tmpl w:val="22A0A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1135FA"/>
    <w:multiLevelType w:val="hybridMultilevel"/>
    <w:tmpl w:val="10DC239E"/>
    <w:lvl w:ilvl="0" w:tplc="D598AE68">
      <w:start w:val="1"/>
      <w:numFmt w:val="bullet"/>
      <w:lvlText w:val="•"/>
      <w:lvlJc w:val="left"/>
      <w:pPr>
        <w:tabs>
          <w:tab w:val="num" w:pos="720"/>
        </w:tabs>
        <w:ind w:left="720" w:hanging="360"/>
      </w:pPr>
      <w:rPr>
        <w:rFonts w:ascii="Arial" w:hAnsi="Arial" w:hint="default"/>
      </w:rPr>
    </w:lvl>
    <w:lvl w:ilvl="1" w:tplc="625CFA8C" w:tentative="1">
      <w:start w:val="1"/>
      <w:numFmt w:val="bullet"/>
      <w:lvlText w:val="•"/>
      <w:lvlJc w:val="left"/>
      <w:pPr>
        <w:tabs>
          <w:tab w:val="num" w:pos="1440"/>
        </w:tabs>
        <w:ind w:left="1440" w:hanging="360"/>
      </w:pPr>
      <w:rPr>
        <w:rFonts w:ascii="Arial" w:hAnsi="Arial" w:hint="default"/>
      </w:rPr>
    </w:lvl>
    <w:lvl w:ilvl="2" w:tplc="7EC83366" w:tentative="1">
      <w:start w:val="1"/>
      <w:numFmt w:val="bullet"/>
      <w:lvlText w:val="•"/>
      <w:lvlJc w:val="left"/>
      <w:pPr>
        <w:tabs>
          <w:tab w:val="num" w:pos="2160"/>
        </w:tabs>
        <w:ind w:left="2160" w:hanging="360"/>
      </w:pPr>
      <w:rPr>
        <w:rFonts w:ascii="Arial" w:hAnsi="Arial" w:hint="default"/>
      </w:rPr>
    </w:lvl>
    <w:lvl w:ilvl="3" w:tplc="5EB26F9C" w:tentative="1">
      <w:start w:val="1"/>
      <w:numFmt w:val="bullet"/>
      <w:lvlText w:val="•"/>
      <w:lvlJc w:val="left"/>
      <w:pPr>
        <w:tabs>
          <w:tab w:val="num" w:pos="2880"/>
        </w:tabs>
        <w:ind w:left="2880" w:hanging="360"/>
      </w:pPr>
      <w:rPr>
        <w:rFonts w:ascii="Arial" w:hAnsi="Arial" w:hint="default"/>
      </w:rPr>
    </w:lvl>
    <w:lvl w:ilvl="4" w:tplc="3424A0BE" w:tentative="1">
      <w:start w:val="1"/>
      <w:numFmt w:val="bullet"/>
      <w:lvlText w:val="•"/>
      <w:lvlJc w:val="left"/>
      <w:pPr>
        <w:tabs>
          <w:tab w:val="num" w:pos="3600"/>
        </w:tabs>
        <w:ind w:left="3600" w:hanging="360"/>
      </w:pPr>
      <w:rPr>
        <w:rFonts w:ascii="Arial" w:hAnsi="Arial" w:hint="default"/>
      </w:rPr>
    </w:lvl>
    <w:lvl w:ilvl="5" w:tplc="2DBE49FC" w:tentative="1">
      <w:start w:val="1"/>
      <w:numFmt w:val="bullet"/>
      <w:lvlText w:val="•"/>
      <w:lvlJc w:val="left"/>
      <w:pPr>
        <w:tabs>
          <w:tab w:val="num" w:pos="4320"/>
        </w:tabs>
        <w:ind w:left="4320" w:hanging="360"/>
      </w:pPr>
      <w:rPr>
        <w:rFonts w:ascii="Arial" w:hAnsi="Arial" w:hint="default"/>
      </w:rPr>
    </w:lvl>
    <w:lvl w:ilvl="6" w:tplc="A33EE96A" w:tentative="1">
      <w:start w:val="1"/>
      <w:numFmt w:val="bullet"/>
      <w:lvlText w:val="•"/>
      <w:lvlJc w:val="left"/>
      <w:pPr>
        <w:tabs>
          <w:tab w:val="num" w:pos="5040"/>
        </w:tabs>
        <w:ind w:left="5040" w:hanging="360"/>
      </w:pPr>
      <w:rPr>
        <w:rFonts w:ascii="Arial" w:hAnsi="Arial" w:hint="default"/>
      </w:rPr>
    </w:lvl>
    <w:lvl w:ilvl="7" w:tplc="34F4F08C" w:tentative="1">
      <w:start w:val="1"/>
      <w:numFmt w:val="bullet"/>
      <w:lvlText w:val="•"/>
      <w:lvlJc w:val="left"/>
      <w:pPr>
        <w:tabs>
          <w:tab w:val="num" w:pos="5760"/>
        </w:tabs>
        <w:ind w:left="5760" w:hanging="360"/>
      </w:pPr>
      <w:rPr>
        <w:rFonts w:ascii="Arial" w:hAnsi="Arial" w:hint="default"/>
      </w:rPr>
    </w:lvl>
    <w:lvl w:ilvl="8" w:tplc="B658F14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21721C5"/>
    <w:multiLevelType w:val="hybridMultilevel"/>
    <w:tmpl w:val="64D4A0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1308A"/>
    <w:multiLevelType w:val="hybridMultilevel"/>
    <w:tmpl w:val="A24A69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CC277E4"/>
    <w:multiLevelType w:val="hybridMultilevel"/>
    <w:tmpl w:val="6434B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6D2667"/>
    <w:multiLevelType w:val="hybridMultilevel"/>
    <w:tmpl w:val="017C6EF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5E3A7D"/>
    <w:multiLevelType w:val="hybridMultilevel"/>
    <w:tmpl w:val="FECA329E"/>
    <w:lvl w:ilvl="0" w:tplc="46FCA590">
      <w:start w:val="1"/>
      <w:numFmt w:val="bullet"/>
      <w:lvlText w:val=""/>
      <w:lvlJc w:val="left"/>
      <w:pPr>
        <w:ind w:left="720" w:hanging="360"/>
      </w:pPr>
      <w:rPr>
        <w:rFonts w:ascii="Symbol" w:hAnsi="Symbol"/>
      </w:rPr>
    </w:lvl>
    <w:lvl w:ilvl="1" w:tplc="FC58796A">
      <w:start w:val="1"/>
      <w:numFmt w:val="bullet"/>
      <w:lvlText w:val=""/>
      <w:lvlJc w:val="left"/>
      <w:pPr>
        <w:ind w:left="720" w:hanging="360"/>
      </w:pPr>
      <w:rPr>
        <w:rFonts w:ascii="Symbol" w:hAnsi="Symbol"/>
      </w:rPr>
    </w:lvl>
    <w:lvl w:ilvl="2" w:tplc="5FC8D7D6">
      <w:start w:val="1"/>
      <w:numFmt w:val="bullet"/>
      <w:lvlText w:val=""/>
      <w:lvlJc w:val="left"/>
      <w:pPr>
        <w:ind w:left="720" w:hanging="360"/>
      </w:pPr>
      <w:rPr>
        <w:rFonts w:ascii="Symbol" w:hAnsi="Symbol"/>
      </w:rPr>
    </w:lvl>
    <w:lvl w:ilvl="3" w:tplc="E820CF16">
      <w:start w:val="1"/>
      <w:numFmt w:val="bullet"/>
      <w:lvlText w:val=""/>
      <w:lvlJc w:val="left"/>
      <w:pPr>
        <w:ind w:left="720" w:hanging="360"/>
      </w:pPr>
      <w:rPr>
        <w:rFonts w:ascii="Symbol" w:hAnsi="Symbol"/>
      </w:rPr>
    </w:lvl>
    <w:lvl w:ilvl="4" w:tplc="F8D48DCE">
      <w:start w:val="1"/>
      <w:numFmt w:val="bullet"/>
      <w:lvlText w:val=""/>
      <w:lvlJc w:val="left"/>
      <w:pPr>
        <w:ind w:left="720" w:hanging="360"/>
      </w:pPr>
      <w:rPr>
        <w:rFonts w:ascii="Symbol" w:hAnsi="Symbol"/>
      </w:rPr>
    </w:lvl>
    <w:lvl w:ilvl="5" w:tplc="ABCC281C">
      <w:start w:val="1"/>
      <w:numFmt w:val="bullet"/>
      <w:lvlText w:val=""/>
      <w:lvlJc w:val="left"/>
      <w:pPr>
        <w:ind w:left="720" w:hanging="360"/>
      </w:pPr>
      <w:rPr>
        <w:rFonts w:ascii="Symbol" w:hAnsi="Symbol"/>
      </w:rPr>
    </w:lvl>
    <w:lvl w:ilvl="6" w:tplc="1A188A00">
      <w:start w:val="1"/>
      <w:numFmt w:val="bullet"/>
      <w:lvlText w:val=""/>
      <w:lvlJc w:val="left"/>
      <w:pPr>
        <w:ind w:left="720" w:hanging="360"/>
      </w:pPr>
      <w:rPr>
        <w:rFonts w:ascii="Symbol" w:hAnsi="Symbol"/>
      </w:rPr>
    </w:lvl>
    <w:lvl w:ilvl="7" w:tplc="A20663BC">
      <w:start w:val="1"/>
      <w:numFmt w:val="bullet"/>
      <w:lvlText w:val=""/>
      <w:lvlJc w:val="left"/>
      <w:pPr>
        <w:ind w:left="720" w:hanging="360"/>
      </w:pPr>
      <w:rPr>
        <w:rFonts w:ascii="Symbol" w:hAnsi="Symbol"/>
      </w:rPr>
    </w:lvl>
    <w:lvl w:ilvl="8" w:tplc="95763B14">
      <w:start w:val="1"/>
      <w:numFmt w:val="bullet"/>
      <w:lvlText w:val=""/>
      <w:lvlJc w:val="left"/>
      <w:pPr>
        <w:ind w:left="720" w:hanging="360"/>
      </w:pPr>
      <w:rPr>
        <w:rFonts w:ascii="Symbol" w:hAnsi="Symbol"/>
      </w:rPr>
    </w:lvl>
  </w:abstractNum>
  <w:abstractNum w:abstractNumId="12"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5097662"/>
    <w:multiLevelType w:val="hybridMultilevel"/>
    <w:tmpl w:val="DAC20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BE0B9E"/>
    <w:multiLevelType w:val="hybridMultilevel"/>
    <w:tmpl w:val="BEE62F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346AD7"/>
    <w:multiLevelType w:val="hybridMultilevel"/>
    <w:tmpl w:val="71A65F8E"/>
    <w:lvl w:ilvl="0" w:tplc="CFBE442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3963546"/>
    <w:multiLevelType w:val="hybridMultilevel"/>
    <w:tmpl w:val="7612FE7E"/>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1429"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5DB5D73"/>
    <w:multiLevelType w:val="hybridMultilevel"/>
    <w:tmpl w:val="C29423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C4848EA"/>
    <w:multiLevelType w:val="hybridMultilevel"/>
    <w:tmpl w:val="E662DED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CC34453"/>
    <w:multiLevelType w:val="hybridMultilevel"/>
    <w:tmpl w:val="D1D451D2"/>
    <w:lvl w:ilvl="0" w:tplc="4FB65336">
      <w:start w:val="1"/>
      <w:numFmt w:val="bullet"/>
      <w:lvlText w:val=""/>
      <w:lvlJc w:val="left"/>
      <w:pPr>
        <w:ind w:left="720" w:hanging="360"/>
      </w:pPr>
      <w:rPr>
        <w:rFonts w:ascii="Symbol" w:hAnsi="Symbol"/>
      </w:rPr>
    </w:lvl>
    <w:lvl w:ilvl="1" w:tplc="CFD00050">
      <w:start w:val="1"/>
      <w:numFmt w:val="bullet"/>
      <w:lvlText w:val=""/>
      <w:lvlJc w:val="left"/>
      <w:pPr>
        <w:ind w:left="720" w:hanging="360"/>
      </w:pPr>
      <w:rPr>
        <w:rFonts w:ascii="Symbol" w:hAnsi="Symbol"/>
      </w:rPr>
    </w:lvl>
    <w:lvl w:ilvl="2" w:tplc="4356BDCA">
      <w:start w:val="1"/>
      <w:numFmt w:val="bullet"/>
      <w:lvlText w:val=""/>
      <w:lvlJc w:val="left"/>
      <w:pPr>
        <w:ind w:left="720" w:hanging="360"/>
      </w:pPr>
      <w:rPr>
        <w:rFonts w:ascii="Symbol" w:hAnsi="Symbol"/>
      </w:rPr>
    </w:lvl>
    <w:lvl w:ilvl="3" w:tplc="6C3CD0D0">
      <w:start w:val="1"/>
      <w:numFmt w:val="bullet"/>
      <w:lvlText w:val=""/>
      <w:lvlJc w:val="left"/>
      <w:pPr>
        <w:ind w:left="720" w:hanging="360"/>
      </w:pPr>
      <w:rPr>
        <w:rFonts w:ascii="Symbol" w:hAnsi="Symbol"/>
      </w:rPr>
    </w:lvl>
    <w:lvl w:ilvl="4" w:tplc="660418E6">
      <w:start w:val="1"/>
      <w:numFmt w:val="bullet"/>
      <w:lvlText w:val=""/>
      <w:lvlJc w:val="left"/>
      <w:pPr>
        <w:ind w:left="720" w:hanging="360"/>
      </w:pPr>
      <w:rPr>
        <w:rFonts w:ascii="Symbol" w:hAnsi="Symbol"/>
      </w:rPr>
    </w:lvl>
    <w:lvl w:ilvl="5" w:tplc="84B2109E">
      <w:start w:val="1"/>
      <w:numFmt w:val="bullet"/>
      <w:lvlText w:val=""/>
      <w:lvlJc w:val="left"/>
      <w:pPr>
        <w:ind w:left="720" w:hanging="360"/>
      </w:pPr>
      <w:rPr>
        <w:rFonts w:ascii="Symbol" w:hAnsi="Symbol"/>
      </w:rPr>
    </w:lvl>
    <w:lvl w:ilvl="6" w:tplc="049874A4">
      <w:start w:val="1"/>
      <w:numFmt w:val="bullet"/>
      <w:lvlText w:val=""/>
      <w:lvlJc w:val="left"/>
      <w:pPr>
        <w:ind w:left="720" w:hanging="360"/>
      </w:pPr>
      <w:rPr>
        <w:rFonts w:ascii="Symbol" w:hAnsi="Symbol"/>
      </w:rPr>
    </w:lvl>
    <w:lvl w:ilvl="7" w:tplc="1A4EA9D2">
      <w:start w:val="1"/>
      <w:numFmt w:val="bullet"/>
      <w:lvlText w:val=""/>
      <w:lvlJc w:val="left"/>
      <w:pPr>
        <w:ind w:left="720" w:hanging="360"/>
      </w:pPr>
      <w:rPr>
        <w:rFonts w:ascii="Symbol" w:hAnsi="Symbol"/>
      </w:rPr>
    </w:lvl>
    <w:lvl w:ilvl="8" w:tplc="8F068362">
      <w:start w:val="1"/>
      <w:numFmt w:val="bullet"/>
      <w:lvlText w:val=""/>
      <w:lvlJc w:val="left"/>
      <w:pPr>
        <w:ind w:left="720" w:hanging="360"/>
      </w:pPr>
      <w:rPr>
        <w:rFonts w:ascii="Symbol" w:hAnsi="Symbol"/>
      </w:rPr>
    </w:lvl>
  </w:abstractNum>
  <w:abstractNum w:abstractNumId="2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3347F0"/>
    <w:multiLevelType w:val="hybridMultilevel"/>
    <w:tmpl w:val="D4D44560"/>
    <w:lvl w:ilvl="0" w:tplc="E0F0DA0A">
      <w:start w:val="1"/>
      <w:numFmt w:val="decimal"/>
      <w:lvlText w:val="%1)"/>
      <w:lvlJc w:val="left"/>
      <w:pPr>
        <w:ind w:left="1440" w:hanging="360"/>
      </w:pPr>
      <w:rPr>
        <w:color w:val="000000" w:themeColor="text1"/>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4" w15:restartNumberingAfterBreak="0">
    <w:nsid w:val="496F6511"/>
    <w:multiLevelType w:val="hybridMultilevel"/>
    <w:tmpl w:val="2A52F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6268C5"/>
    <w:multiLevelType w:val="hybridMultilevel"/>
    <w:tmpl w:val="53C8713C"/>
    <w:lvl w:ilvl="0" w:tplc="0C090003">
      <w:start w:val="1"/>
      <w:numFmt w:val="bullet"/>
      <w:lvlText w:val="o"/>
      <w:lvlJc w:val="left"/>
      <w:pPr>
        <w:ind w:left="1174" w:hanging="360"/>
      </w:pPr>
      <w:rPr>
        <w:rFonts w:ascii="Courier New" w:hAnsi="Courier New" w:cs="Courier New"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26" w15:restartNumberingAfterBreak="0">
    <w:nsid w:val="50F5067D"/>
    <w:multiLevelType w:val="hybridMultilevel"/>
    <w:tmpl w:val="4852C1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6F541F9"/>
    <w:multiLevelType w:val="hybridMultilevel"/>
    <w:tmpl w:val="769CAE9A"/>
    <w:lvl w:ilvl="0" w:tplc="E1B6BF4A">
      <w:start w:val="1"/>
      <w:numFmt w:val="decimal"/>
      <w:lvlText w:val="%1."/>
      <w:lvlJc w:val="left"/>
      <w:pPr>
        <w:ind w:left="36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7F5592"/>
    <w:multiLevelType w:val="hybridMultilevel"/>
    <w:tmpl w:val="0DAAB63E"/>
    <w:lvl w:ilvl="0" w:tplc="128CF624">
      <w:start w:val="1"/>
      <w:numFmt w:val="bullet"/>
      <w:lvlText w:val=""/>
      <w:lvlJc w:val="left"/>
      <w:pPr>
        <w:ind w:left="720" w:hanging="360"/>
      </w:pPr>
      <w:rPr>
        <w:rFonts w:ascii="Symbol" w:hAnsi="Symbol"/>
      </w:rPr>
    </w:lvl>
    <w:lvl w:ilvl="1" w:tplc="5FD49BF8">
      <w:start w:val="1"/>
      <w:numFmt w:val="bullet"/>
      <w:lvlText w:val=""/>
      <w:lvlJc w:val="left"/>
      <w:pPr>
        <w:ind w:left="720" w:hanging="360"/>
      </w:pPr>
      <w:rPr>
        <w:rFonts w:ascii="Symbol" w:hAnsi="Symbol"/>
      </w:rPr>
    </w:lvl>
    <w:lvl w:ilvl="2" w:tplc="0C5C8108">
      <w:start w:val="1"/>
      <w:numFmt w:val="bullet"/>
      <w:lvlText w:val=""/>
      <w:lvlJc w:val="left"/>
      <w:pPr>
        <w:ind w:left="720" w:hanging="360"/>
      </w:pPr>
      <w:rPr>
        <w:rFonts w:ascii="Symbol" w:hAnsi="Symbol"/>
      </w:rPr>
    </w:lvl>
    <w:lvl w:ilvl="3" w:tplc="8B0A98F4">
      <w:start w:val="1"/>
      <w:numFmt w:val="bullet"/>
      <w:lvlText w:val=""/>
      <w:lvlJc w:val="left"/>
      <w:pPr>
        <w:ind w:left="720" w:hanging="360"/>
      </w:pPr>
      <w:rPr>
        <w:rFonts w:ascii="Symbol" w:hAnsi="Symbol"/>
      </w:rPr>
    </w:lvl>
    <w:lvl w:ilvl="4" w:tplc="3F1692EC">
      <w:start w:val="1"/>
      <w:numFmt w:val="bullet"/>
      <w:lvlText w:val=""/>
      <w:lvlJc w:val="left"/>
      <w:pPr>
        <w:ind w:left="720" w:hanging="360"/>
      </w:pPr>
      <w:rPr>
        <w:rFonts w:ascii="Symbol" w:hAnsi="Symbol"/>
      </w:rPr>
    </w:lvl>
    <w:lvl w:ilvl="5" w:tplc="09F69162">
      <w:start w:val="1"/>
      <w:numFmt w:val="bullet"/>
      <w:lvlText w:val=""/>
      <w:lvlJc w:val="left"/>
      <w:pPr>
        <w:ind w:left="720" w:hanging="360"/>
      </w:pPr>
      <w:rPr>
        <w:rFonts w:ascii="Symbol" w:hAnsi="Symbol"/>
      </w:rPr>
    </w:lvl>
    <w:lvl w:ilvl="6" w:tplc="0096C4EC">
      <w:start w:val="1"/>
      <w:numFmt w:val="bullet"/>
      <w:lvlText w:val=""/>
      <w:lvlJc w:val="left"/>
      <w:pPr>
        <w:ind w:left="720" w:hanging="360"/>
      </w:pPr>
      <w:rPr>
        <w:rFonts w:ascii="Symbol" w:hAnsi="Symbol"/>
      </w:rPr>
    </w:lvl>
    <w:lvl w:ilvl="7" w:tplc="46E88C04">
      <w:start w:val="1"/>
      <w:numFmt w:val="bullet"/>
      <w:lvlText w:val=""/>
      <w:lvlJc w:val="left"/>
      <w:pPr>
        <w:ind w:left="720" w:hanging="360"/>
      </w:pPr>
      <w:rPr>
        <w:rFonts w:ascii="Symbol" w:hAnsi="Symbol"/>
      </w:rPr>
    </w:lvl>
    <w:lvl w:ilvl="8" w:tplc="F2CAC50C">
      <w:start w:val="1"/>
      <w:numFmt w:val="bullet"/>
      <w:lvlText w:val=""/>
      <w:lvlJc w:val="left"/>
      <w:pPr>
        <w:ind w:left="720" w:hanging="360"/>
      </w:pPr>
      <w:rPr>
        <w:rFonts w:ascii="Symbol" w:hAnsi="Symbol"/>
      </w:rPr>
    </w:lvl>
  </w:abstractNum>
  <w:abstractNum w:abstractNumId="30" w15:restartNumberingAfterBreak="0">
    <w:nsid w:val="5991502F"/>
    <w:multiLevelType w:val="hybridMultilevel"/>
    <w:tmpl w:val="C2C46D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2" w15:restartNumberingAfterBreak="0">
    <w:nsid w:val="63F502AF"/>
    <w:multiLevelType w:val="hybridMultilevel"/>
    <w:tmpl w:val="A8DEF65A"/>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3"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6A1B62DC"/>
    <w:multiLevelType w:val="hybridMultilevel"/>
    <w:tmpl w:val="AE3E062C"/>
    <w:lvl w:ilvl="0" w:tplc="D716DF98">
      <w:start w:val="1"/>
      <w:numFmt w:val="decimal"/>
      <w:lvlText w:val="%1."/>
      <w:lvlJc w:val="left"/>
      <w:pPr>
        <w:ind w:left="720" w:hanging="360"/>
      </w:pPr>
    </w:lvl>
    <w:lvl w:ilvl="1" w:tplc="398041A4">
      <w:start w:val="1"/>
      <w:numFmt w:val="bullet"/>
      <w:lvlText w:val=""/>
      <w:lvlJc w:val="left"/>
      <w:pPr>
        <w:ind w:left="720" w:hanging="360"/>
      </w:pPr>
      <w:rPr>
        <w:rFonts w:ascii="Symbol" w:hAnsi="Symbol"/>
      </w:rPr>
    </w:lvl>
    <w:lvl w:ilvl="2" w:tplc="5A2A59D6">
      <w:start w:val="1"/>
      <w:numFmt w:val="decimal"/>
      <w:lvlText w:val="%3."/>
      <w:lvlJc w:val="left"/>
      <w:pPr>
        <w:ind w:left="720" w:hanging="360"/>
      </w:pPr>
    </w:lvl>
    <w:lvl w:ilvl="3" w:tplc="FFF4F826">
      <w:start w:val="1"/>
      <w:numFmt w:val="decimal"/>
      <w:lvlText w:val="%4."/>
      <w:lvlJc w:val="left"/>
      <w:pPr>
        <w:ind w:left="720" w:hanging="360"/>
      </w:pPr>
    </w:lvl>
    <w:lvl w:ilvl="4" w:tplc="510CC37A">
      <w:start w:val="1"/>
      <w:numFmt w:val="decimal"/>
      <w:lvlText w:val="%5."/>
      <w:lvlJc w:val="left"/>
      <w:pPr>
        <w:ind w:left="720" w:hanging="360"/>
      </w:pPr>
    </w:lvl>
    <w:lvl w:ilvl="5" w:tplc="91B40E9A">
      <w:start w:val="1"/>
      <w:numFmt w:val="decimal"/>
      <w:lvlText w:val="%6."/>
      <w:lvlJc w:val="left"/>
      <w:pPr>
        <w:ind w:left="720" w:hanging="360"/>
      </w:pPr>
    </w:lvl>
    <w:lvl w:ilvl="6" w:tplc="663EB056">
      <w:start w:val="1"/>
      <w:numFmt w:val="decimal"/>
      <w:lvlText w:val="%7."/>
      <w:lvlJc w:val="left"/>
      <w:pPr>
        <w:ind w:left="720" w:hanging="360"/>
      </w:pPr>
    </w:lvl>
    <w:lvl w:ilvl="7" w:tplc="6A664E9E">
      <w:start w:val="1"/>
      <w:numFmt w:val="decimal"/>
      <w:lvlText w:val="%8."/>
      <w:lvlJc w:val="left"/>
      <w:pPr>
        <w:ind w:left="720" w:hanging="360"/>
      </w:pPr>
    </w:lvl>
    <w:lvl w:ilvl="8" w:tplc="6F9E8EDC">
      <w:start w:val="1"/>
      <w:numFmt w:val="decimal"/>
      <w:lvlText w:val="%9."/>
      <w:lvlJc w:val="left"/>
      <w:pPr>
        <w:ind w:left="720" w:hanging="360"/>
      </w:pPr>
    </w:lvl>
  </w:abstractNum>
  <w:abstractNum w:abstractNumId="35" w15:restartNumberingAfterBreak="0">
    <w:nsid w:val="6AD53512"/>
    <w:multiLevelType w:val="hybridMultilevel"/>
    <w:tmpl w:val="8DE4D5E8"/>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AF22442"/>
    <w:multiLevelType w:val="hybridMultilevel"/>
    <w:tmpl w:val="9BA0DDB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44D7ED0"/>
    <w:multiLevelType w:val="hybridMultilevel"/>
    <w:tmpl w:val="F99EEF5C"/>
    <w:lvl w:ilvl="0" w:tplc="0C090001">
      <w:start w:val="1"/>
      <w:numFmt w:val="bullet"/>
      <w:lvlText w:val=""/>
      <w:lvlJc w:val="left"/>
      <w:pPr>
        <w:ind w:left="742" w:hanging="360"/>
      </w:pPr>
      <w:rPr>
        <w:rFonts w:ascii="Symbol" w:hAnsi="Symbol" w:hint="default"/>
      </w:rPr>
    </w:lvl>
    <w:lvl w:ilvl="1" w:tplc="0C090003" w:tentative="1">
      <w:start w:val="1"/>
      <w:numFmt w:val="bullet"/>
      <w:lvlText w:val="o"/>
      <w:lvlJc w:val="left"/>
      <w:pPr>
        <w:ind w:left="1462" w:hanging="360"/>
      </w:pPr>
      <w:rPr>
        <w:rFonts w:ascii="Courier New" w:hAnsi="Courier New" w:cs="Courier New" w:hint="default"/>
      </w:rPr>
    </w:lvl>
    <w:lvl w:ilvl="2" w:tplc="0C090005" w:tentative="1">
      <w:start w:val="1"/>
      <w:numFmt w:val="bullet"/>
      <w:lvlText w:val=""/>
      <w:lvlJc w:val="left"/>
      <w:pPr>
        <w:ind w:left="2182" w:hanging="360"/>
      </w:pPr>
      <w:rPr>
        <w:rFonts w:ascii="Wingdings" w:hAnsi="Wingdings" w:hint="default"/>
      </w:rPr>
    </w:lvl>
    <w:lvl w:ilvl="3" w:tplc="0C090001" w:tentative="1">
      <w:start w:val="1"/>
      <w:numFmt w:val="bullet"/>
      <w:lvlText w:val=""/>
      <w:lvlJc w:val="left"/>
      <w:pPr>
        <w:ind w:left="2902" w:hanging="360"/>
      </w:pPr>
      <w:rPr>
        <w:rFonts w:ascii="Symbol" w:hAnsi="Symbol" w:hint="default"/>
      </w:rPr>
    </w:lvl>
    <w:lvl w:ilvl="4" w:tplc="0C090003" w:tentative="1">
      <w:start w:val="1"/>
      <w:numFmt w:val="bullet"/>
      <w:lvlText w:val="o"/>
      <w:lvlJc w:val="left"/>
      <w:pPr>
        <w:ind w:left="3622" w:hanging="360"/>
      </w:pPr>
      <w:rPr>
        <w:rFonts w:ascii="Courier New" w:hAnsi="Courier New" w:cs="Courier New" w:hint="default"/>
      </w:rPr>
    </w:lvl>
    <w:lvl w:ilvl="5" w:tplc="0C090005" w:tentative="1">
      <w:start w:val="1"/>
      <w:numFmt w:val="bullet"/>
      <w:lvlText w:val=""/>
      <w:lvlJc w:val="left"/>
      <w:pPr>
        <w:ind w:left="4342" w:hanging="360"/>
      </w:pPr>
      <w:rPr>
        <w:rFonts w:ascii="Wingdings" w:hAnsi="Wingdings" w:hint="default"/>
      </w:rPr>
    </w:lvl>
    <w:lvl w:ilvl="6" w:tplc="0C090001" w:tentative="1">
      <w:start w:val="1"/>
      <w:numFmt w:val="bullet"/>
      <w:lvlText w:val=""/>
      <w:lvlJc w:val="left"/>
      <w:pPr>
        <w:ind w:left="5062" w:hanging="360"/>
      </w:pPr>
      <w:rPr>
        <w:rFonts w:ascii="Symbol" w:hAnsi="Symbol" w:hint="default"/>
      </w:rPr>
    </w:lvl>
    <w:lvl w:ilvl="7" w:tplc="0C090003" w:tentative="1">
      <w:start w:val="1"/>
      <w:numFmt w:val="bullet"/>
      <w:lvlText w:val="o"/>
      <w:lvlJc w:val="left"/>
      <w:pPr>
        <w:ind w:left="5782" w:hanging="360"/>
      </w:pPr>
      <w:rPr>
        <w:rFonts w:ascii="Courier New" w:hAnsi="Courier New" w:cs="Courier New" w:hint="default"/>
      </w:rPr>
    </w:lvl>
    <w:lvl w:ilvl="8" w:tplc="0C090005" w:tentative="1">
      <w:start w:val="1"/>
      <w:numFmt w:val="bullet"/>
      <w:lvlText w:val=""/>
      <w:lvlJc w:val="left"/>
      <w:pPr>
        <w:ind w:left="6502" w:hanging="360"/>
      </w:pPr>
      <w:rPr>
        <w:rFonts w:ascii="Wingdings" w:hAnsi="Wingdings" w:hint="default"/>
      </w:rPr>
    </w:lvl>
  </w:abstractNum>
  <w:abstractNum w:abstractNumId="39" w15:restartNumberingAfterBreak="0">
    <w:nsid w:val="784D033C"/>
    <w:multiLevelType w:val="multilevel"/>
    <w:tmpl w:val="320409C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C51088A"/>
    <w:multiLevelType w:val="hybridMultilevel"/>
    <w:tmpl w:val="6DB644B6"/>
    <w:lvl w:ilvl="0" w:tplc="4ED8486C">
      <w:start w:val="1"/>
      <w:numFmt w:val="bullet"/>
      <w:lvlText w:val=""/>
      <w:lvlJc w:val="left"/>
      <w:pPr>
        <w:ind w:left="720" w:hanging="360"/>
      </w:pPr>
      <w:rPr>
        <w:rFonts w:ascii="Symbol" w:hAnsi="Symbol"/>
      </w:rPr>
    </w:lvl>
    <w:lvl w:ilvl="1" w:tplc="A82E6FB2">
      <w:start w:val="1"/>
      <w:numFmt w:val="bullet"/>
      <w:lvlText w:val=""/>
      <w:lvlJc w:val="left"/>
      <w:pPr>
        <w:ind w:left="720" w:hanging="360"/>
      </w:pPr>
      <w:rPr>
        <w:rFonts w:ascii="Symbol" w:hAnsi="Symbol"/>
      </w:rPr>
    </w:lvl>
    <w:lvl w:ilvl="2" w:tplc="780005F2">
      <w:start w:val="1"/>
      <w:numFmt w:val="bullet"/>
      <w:lvlText w:val=""/>
      <w:lvlJc w:val="left"/>
      <w:pPr>
        <w:ind w:left="720" w:hanging="360"/>
      </w:pPr>
      <w:rPr>
        <w:rFonts w:ascii="Symbol" w:hAnsi="Symbol"/>
      </w:rPr>
    </w:lvl>
    <w:lvl w:ilvl="3" w:tplc="7A72EAB6">
      <w:start w:val="1"/>
      <w:numFmt w:val="bullet"/>
      <w:lvlText w:val=""/>
      <w:lvlJc w:val="left"/>
      <w:pPr>
        <w:ind w:left="720" w:hanging="360"/>
      </w:pPr>
      <w:rPr>
        <w:rFonts w:ascii="Symbol" w:hAnsi="Symbol"/>
      </w:rPr>
    </w:lvl>
    <w:lvl w:ilvl="4" w:tplc="E67246B4">
      <w:start w:val="1"/>
      <w:numFmt w:val="bullet"/>
      <w:lvlText w:val=""/>
      <w:lvlJc w:val="left"/>
      <w:pPr>
        <w:ind w:left="720" w:hanging="360"/>
      </w:pPr>
      <w:rPr>
        <w:rFonts w:ascii="Symbol" w:hAnsi="Symbol"/>
      </w:rPr>
    </w:lvl>
    <w:lvl w:ilvl="5" w:tplc="EC5AFB12">
      <w:start w:val="1"/>
      <w:numFmt w:val="bullet"/>
      <w:lvlText w:val=""/>
      <w:lvlJc w:val="left"/>
      <w:pPr>
        <w:ind w:left="720" w:hanging="360"/>
      </w:pPr>
      <w:rPr>
        <w:rFonts w:ascii="Symbol" w:hAnsi="Symbol"/>
      </w:rPr>
    </w:lvl>
    <w:lvl w:ilvl="6" w:tplc="78583CC2">
      <w:start w:val="1"/>
      <w:numFmt w:val="bullet"/>
      <w:lvlText w:val=""/>
      <w:lvlJc w:val="left"/>
      <w:pPr>
        <w:ind w:left="720" w:hanging="360"/>
      </w:pPr>
      <w:rPr>
        <w:rFonts w:ascii="Symbol" w:hAnsi="Symbol"/>
      </w:rPr>
    </w:lvl>
    <w:lvl w:ilvl="7" w:tplc="2E1E9D02">
      <w:start w:val="1"/>
      <w:numFmt w:val="bullet"/>
      <w:lvlText w:val=""/>
      <w:lvlJc w:val="left"/>
      <w:pPr>
        <w:ind w:left="720" w:hanging="360"/>
      </w:pPr>
      <w:rPr>
        <w:rFonts w:ascii="Symbol" w:hAnsi="Symbol"/>
      </w:rPr>
    </w:lvl>
    <w:lvl w:ilvl="8" w:tplc="CBD2ACDA">
      <w:start w:val="1"/>
      <w:numFmt w:val="bullet"/>
      <w:lvlText w:val=""/>
      <w:lvlJc w:val="left"/>
      <w:pPr>
        <w:ind w:left="720" w:hanging="360"/>
      </w:pPr>
      <w:rPr>
        <w:rFonts w:ascii="Symbol" w:hAnsi="Symbol"/>
      </w:rPr>
    </w:lvl>
  </w:abstractNum>
  <w:abstractNum w:abstractNumId="41" w15:restartNumberingAfterBreak="0">
    <w:nsid w:val="7D6A24CF"/>
    <w:multiLevelType w:val="hybridMultilevel"/>
    <w:tmpl w:val="AB661C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2"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816186631">
    <w:abstractNumId w:val="39"/>
  </w:num>
  <w:num w:numId="2" w16cid:durableId="917793048">
    <w:abstractNumId w:val="22"/>
  </w:num>
  <w:num w:numId="3" w16cid:durableId="263461728">
    <w:abstractNumId w:val="0"/>
  </w:num>
  <w:num w:numId="4" w16cid:durableId="220360847">
    <w:abstractNumId w:val="33"/>
  </w:num>
  <w:num w:numId="5" w16cid:durableId="268196418">
    <w:abstractNumId w:val="17"/>
  </w:num>
  <w:num w:numId="6" w16cid:durableId="1048839230">
    <w:abstractNumId w:val="39"/>
  </w:num>
  <w:num w:numId="7" w16cid:durableId="1694109783">
    <w:abstractNumId w:val="10"/>
  </w:num>
  <w:num w:numId="8" w16cid:durableId="335884925">
    <w:abstractNumId w:val="7"/>
  </w:num>
  <w:num w:numId="9" w16cid:durableId="1365211765">
    <w:abstractNumId w:val="9"/>
  </w:num>
  <w:num w:numId="10" w16cid:durableId="581530668">
    <w:abstractNumId w:val="4"/>
  </w:num>
  <w:num w:numId="11" w16cid:durableId="1740594071">
    <w:abstractNumId w:val="38"/>
  </w:num>
  <w:num w:numId="12" w16cid:durableId="1791431881">
    <w:abstractNumId w:val="14"/>
  </w:num>
  <w:num w:numId="13" w16cid:durableId="1967196916">
    <w:abstractNumId w:val="32"/>
  </w:num>
  <w:num w:numId="14" w16cid:durableId="1420252617">
    <w:abstractNumId w:val="24"/>
  </w:num>
  <w:num w:numId="15" w16cid:durableId="881014482">
    <w:abstractNumId w:val="30"/>
  </w:num>
  <w:num w:numId="16" w16cid:durableId="1502351110">
    <w:abstractNumId w:val="41"/>
  </w:num>
  <w:num w:numId="17" w16cid:durableId="77990116">
    <w:abstractNumId w:val="23"/>
  </w:num>
  <w:num w:numId="18" w16cid:durableId="1669333242">
    <w:abstractNumId w:val="15"/>
  </w:num>
  <w:num w:numId="19" w16cid:durableId="834345768">
    <w:abstractNumId w:val="2"/>
  </w:num>
  <w:num w:numId="20" w16cid:durableId="1470971421">
    <w:abstractNumId w:val="8"/>
  </w:num>
  <w:num w:numId="21" w16cid:durableId="82773887">
    <w:abstractNumId w:val="19"/>
  </w:num>
  <w:num w:numId="22" w16cid:durableId="1947349301">
    <w:abstractNumId w:val="42"/>
  </w:num>
  <w:num w:numId="23" w16cid:durableId="530074390">
    <w:abstractNumId w:val="28"/>
  </w:num>
  <w:num w:numId="24" w16cid:durableId="857623855">
    <w:abstractNumId w:val="26"/>
  </w:num>
  <w:num w:numId="25" w16cid:durableId="1547982551">
    <w:abstractNumId w:val="25"/>
  </w:num>
  <w:num w:numId="26" w16cid:durableId="126240624">
    <w:abstractNumId w:val="36"/>
  </w:num>
  <w:num w:numId="27" w16cid:durableId="1448357523">
    <w:abstractNumId w:val="21"/>
  </w:num>
  <w:num w:numId="28" w16cid:durableId="1382751647">
    <w:abstractNumId w:val="40"/>
  </w:num>
  <w:num w:numId="29" w16cid:durableId="320937983">
    <w:abstractNumId w:val="34"/>
  </w:num>
  <w:num w:numId="30" w16cid:durableId="1856504874">
    <w:abstractNumId w:val="29"/>
  </w:num>
  <w:num w:numId="31" w16cid:durableId="1839614831">
    <w:abstractNumId w:val="11"/>
  </w:num>
  <w:num w:numId="32" w16cid:durableId="837382983">
    <w:abstractNumId w:val="35"/>
  </w:num>
  <w:num w:numId="33" w16cid:durableId="1660116426">
    <w:abstractNumId w:val="3"/>
  </w:num>
  <w:num w:numId="34" w16cid:durableId="408699874">
    <w:abstractNumId w:val="27"/>
  </w:num>
  <w:num w:numId="35" w16cid:durableId="1569418770">
    <w:abstractNumId w:val="5"/>
  </w:num>
  <w:num w:numId="36" w16cid:durableId="705176722">
    <w:abstractNumId w:val="1"/>
  </w:num>
  <w:num w:numId="37" w16cid:durableId="1926569401">
    <w:abstractNumId w:val="13"/>
  </w:num>
  <w:num w:numId="38" w16cid:durableId="1979457665">
    <w:abstractNumId w:val="16"/>
  </w:num>
  <w:num w:numId="39" w16cid:durableId="2038313566">
    <w:abstractNumId w:val="12"/>
  </w:num>
  <w:num w:numId="40" w16cid:durableId="1297443176">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9997201">
    <w:abstractNumId w:val="37"/>
  </w:num>
  <w:num w:numId="42" w16cid:durableId="197280399">
    <w:abstractNumId w:val="18"/>
  </w:num>
  <w:num w:numId="43" w16cid:durableId="1315069232">
    <w:abstractNumId w:val="20"/>
  </w:num>
  <w:num w:numId="44" w16cid:durableId="1533570825">
    <w:abstractNumId w:val="6"/>
  </w:num>
  <w:num w:numId="45" w16cid:durableId="1512794500">
    <w:abstractNumId w:val="3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55rrfsx2dtx0ierev3v0xry0sffs9ar2rtr&quot;&gt;Abaloparatide_OC&lt;record-ids&gt;&lt;item&gt;1&lt;/item&gt;&lt;item&gt;2&lt;/item&gt;&lt;item&gt;3&lt;/item&gt;&lt;item&gt;4&lt;/item&gt;&lt;item&gt;5&lt;/item&gt;&lt;item&gt;6&lt;/item&gt;&lt;item&gt;7&lt;/item&gt;&lt;item&gt;11&lt;/item&gt;&lt;item&gt;12&lt;/item&gt;&lt;item&gt;13&lt;/item&gt;&lt;item&gt;14&lt;/item&gt;&lt;item&gt;16&lt;/item&gt;&lt;item&gt;17&lt;/item&gt;&lt;item&gt;18&lt;/item&gt;&lt;item&gt;19&lt;/item&gt;&lt;item&gt;20&lt;/item&gt;&lt;item&gt;21&lt;/item&gt;&lt;item&gt;22&lt;/item&gt;&lt;item&gt;25&lt;/item&gt;&lt;item&gt;26&lt;/item&gt;&lt;item&gt;27&lt;/item&gt;&lt;item&gt;28&lt;/item&gt;&lt;item&gt;29&lt;/item&gt;&lt;item&gt;30&lt;/item&gt;&lt;item&gt;33&lt;/item&gt;&lt;item&gt;36&lt;/item&gt;&lt;item&gt;37&lt;/item&gt;&lt;item&gt;38&lt;/item&gt;&lt;item&gt;39&lt;/item&gt;&lt;/record-ids&gt;&lt;/item&gt;&lt;/Libraries&gt;"/>
  </w:docVars>
  <w:rsids>
    <w:rsidRoot w:val="00E65E79"/>
    <w:rsid w:val="0000025B"/>
    <w:rsid w:val="00000790"/>
    <w:rsid w:val="00000973"/>
    <w:rsid w:val="00000DA4"/>
    <w:rsid w:val="0000110B"/>
    <w:rsid w:val="00001425"/>
    <w:rsid w:val="00001B38"/>
    <w:rsid w:val="0000250F"/>
    <w:rsid w:val="00002CAF"/>
    <w:rsid w:val="0000304B"/>
    <w:rsid w:val="000032EB"/>
    <w:rsid w:val="00003499"/>
    <w:rsid w:val="000038BD"/>
    <w:rsid w:val="000039B7"/>
    <w:rsid w:val="00004096"/>
    <w:rsid w:val="00004239"/>
    <w:rsid w:val="000056B9"/>
    <w:rsid w:val="00005C7D"/>
    <w:rsid w:val="00005CB9"/>
    <w:rsid w:val="000061CD"/>
    <w:rsid w:val="0000639A"/>
    <w:rsid w:val="00006567"/>
    <w:rsid w:val="00006951"/>
    <w:rsid w:val="00006E1A"/>
    <w:rsid w:val="000073EB"/>
    <w:rsid w:val="0000774F"/>
    <w:rsid w:val="00007910"/>
    <w:rsid w:val="00007B46"/>
    <w:rsid w:val="00007C72"/>
    <w:rsid w:val="00007DF8"/>
    <w:rsid w:val="00010D13"/>
    <w:rsid w:val="00010F85"/>
    <w:rsid w:val="0001155F"/>
    <w:rsid w:val="000116BA"/>
    <w:rsid w:val="00012C5C"/>
    <w:rsid w:val="00012E6F"/>
    <w:rsid w:val="00013247"/>
    <w:rsid w:val="000137A7"/>
    <w:rsid w:val="0001385E"/>
    <w:rsid w:val="000139F8"/>
    <w:rsid w:val="00013C07"/>
    <w:rsid w:val="0001426B"/>
    <w:rsid w:val="00014775"/>
    <w:rsid w:val="00015886"/>
    <w:rsid w:val="000162EF"/>
    <w:rsid w:val="00016CE6"/>
    <w:rsid w:val="00016D14"/>
    <w:rsid w:val="00017589"/>
    <w:rsid w:val="000202C7"/>
    <w:rsid w:val="000207C9"/>
    <w:rsid w:val="00020DF0"/>
    <w:rsid w:val="00020FC8"/>
    <w:rsid w:val="00021426"/>
    <w:rsid w:val="00021BB9"/>
    <w:rsid w:val="0002225F"/>
    <w:rsid w:val="000223D3"/>
    <w:rsid w:val="000225BE"/>
    <w:rsid w:val="000229B9"/>
    <w:rsid w:val="00022B63"/>
    <w:rsid w:val="00023190"/>
    <w:rsid w:val="000231D9"/>
    <w:rsid w:val="000235E6"/>
    <w:rsid w:val="000235F6"/>
    <w:rsid w:val="00023763"/>
    <w:rsid w:val="00023FE1"/>
    <w:rsid w:val="00024EB5"/>
    <w:rsid w:val="0002508D"/>
    <w:rsid w:val="00025169"/>
    <w:rsid w:val="00025527"/>
    <w:rsid w:val="0002570B"/>
    <w:rsid w:val="00026FDA"/>
    <w:rsid w:val="000274B8"/>
    <w:rsid w:val="000275CF"/>
    <w:rsid w:val="00027667"/>
    <w:rsid w:val="000303E7"/>
    <w:rsid w:val="00030402"/>
    <w:rsid w:val="00030801"/>
    <w:rsid w:val="000309D1"/>
    <w:rsid w:val="000309DD"/>
    <w:rsid w:val="00031690"/>
    <w:rsid w:val="00031728"/>
    <w:rsid w:val="00031FF3"/>
    <w:rsid w:val="000325E6"/>
    <w:rsid w:val="000330EF"/>
    <w:rsid w:val="00033863"/>
    <w:rsid w:val="00033968"/>
    <w:rsid w:val="000339F6"/>
    <w:rsid w:val="0003425C"/>
    <w:rsid w:val="000347E0"/>
    <w:rsid w:val="0003490D"/>
    <w:rsid w:val="00034E55"/>
    <w:rsid w:val="00034F6F"/>
    <w:rsid w:val="000350A9"/>
    <w:rsid w:val="000354F3"/>
    <w:rsid w:val="00035A3F"/>
    <w:rsid w:val="00035C37"/>
    <w:rsid w:val="00035DC0"/>
    <w:rsid w:val="000362EF"/>
    <w:rsid w:val="000365B8"/>
    <w:rsid w:val="00036829"/>
    <w:rsid w:val="000368FD"/>
    <w:rsid w:val="00040789"/>
    <w:rsid w:val="00040895"/>
    <w:rsid w:val="000408B8"/>
    <w:rsid w:val="00040CAB"/>
    <w:rsid w:val="00040F45"/>
    <w:rsid w:val="000410A0"/>
    <w:rsid w:val="000410F8"/>
    <w:rsid w:val="0004123B"/>
    <w:rsid w:val="000415A6"/>
    <w:rsid w:val="00041999"/>
    <w:rsid w:val="000419DF"/>
    <w:rsid w:val="00041B00"/>
    <w:rsid w:val="00041C67"/>
    <w:rsid w:val="00041C70"/>
    <w:rsid w:val="000431A7"/>
    <w:rsid w:val="00043223"/>
    <w:rsid w:val="000435EE"/>
    <w:rsid w:val="000438CA"/>
    <w:rsid w:val="00043C37"/>
    <w:rsid w:val="00043C8B"/>
    <w:rsid w:val="000441CC"/>
    <w:rsid w:val="00044580"/>
    <w:rsid w:val="0004487E"/>
    <w:rsid w:val="0004492B"/>
    <w:rsid w:val="00044A20"/>
    <w:rsid w:val="00044EF0"/>
    <w:rsid w:val="00045017"/>
    <w:rsid w:val="000453BD"/>
    <w:rsid w:val="00045A2B"/>
    <w:rsid w:val="00045AD7"/>
    <w:rsid w:val="000460D2"/>
    <w:rsid w:val="0004627B"/>
    <w:rsid w:val="0004698F"/>
    <w:rsid w:val="00046D64"/>
    <w:rsid w:val="000478AA"/>
    <w:rsid w:val="00047FB7"/>
    <w:rsid w:val="000500BC"/>
    <w:rsid w:val="000505E3"/>
    <w:rsid w:val="000508C2"/>
    <w:rsid w:val="00050DC6"/>
    <w:rsid w:val="000510BD"/>
    <w:rsid w:val="000511CA"/>
    <w:rsid w:val="00051330"/>
    <w:rsid w:val="0005147D"/>
    <w:rsid w:val="000519CC"/>
    <w:rsid w:val="00051A00"/>
    <w:rsid w:val="00051BFB"/>
    <w:rsid w:val="00051EDF"/>
    <w:rsid w:val="00053115"/>
    <w:rsid w:val="0005333B"/>
    <w:rsid w:val="0005355D"/>
    <w:rsid w:val="000539D0"/>
    <w:rsid w:val="00053E0F"/>
    <w:rsid w:val="00054028"/>
    <w:rsid w:val="00054621"/>
    <w:rsid w:val="000546D7"/>
    <w:rsid w:val="00054A8D"/>
    <w:rsid w:val="00054B3D"/>
    <w:rsid w:val="00054E1D"/>
    <w:rsid w:val="00055355"/>
    <w:rsid w:val="00055DAF"/>
    <w:rsid w:val="00055DB9"/>
    <w:rsid w:val="00056073"/>
    <w:rsid w:val="0005627C"/>
    <w:rsid w:val="00056E15"/>
    <w:rsid w:val="00056ECF"/>
    <w:rsid w:val="0005780E"/>
    <w:rsid w:val="000603DB"/>
    <w:rsid w:val="000604DF"/>
    <w:rsid w:val="00060BD4"/>
    <w:rsid w:val="00061075"/>
    <w:rsid w:val="00062081"/>
    <w:rsid w:val="00062198"/>
    <w:rsid w:val="00062324"/>
    <w:rsid w:val="00062A8A"/>
    <w:rsid w:val="00062CD1"/>
    <w:rsid w:val="00063C9A"/>
    <w:rsid w:val="0006453F"/>
    <w:rsid w:val="00064E38"/>
    <w:rsid w:val="000653B5"/>
    <w:rsid w:val="00065650"/>
    <w:rsid w:val="00065F38"/>
    <w:rsid w:val="000661E2"/>
    <w:rsid w:val="00066360"/>
    <w:rsid w:val="0006678C"/>
    <w:rsid w:val="00066AF8"/>
    <w:rsid w:val="00070DC7"/>
    <w:rsid w:val="00071248"/>
    <w:rsid w:val="000717D5"/>
    <w:rsid w:val="000720B9"/>
    <w:rsid w:val="000724A2"/>
    <w:rsid w:val="00072B9C"/>
    <w:rsid w:val="0007302D"/>
    <w:rsid w:val="000737F7"/>
    <w:rsid w:val="00073E4D"/>
    <w:rsid w:val="00075049"/>
    <w:rsid w:val="00075DB5"/>
    <w:rsid w:val="000763E4"/>
    <w:rsid w:val="0007672F"/>
    <w:rsid w:val="00076B54"/>
    <w:rsid w:val="0007705D"/>
    <w:rsid w:val="000774F0"/>
    <w:rsid w:val="00077F9B"/>
    <w:rsid w:val="0008026E"/>
    <w:rsid w:val="00080909"/>
    <w:rsid w:val="00080BB4"/>
    <w:rsid w:val="000812CA"/>
    <w:rsid w:val="00081648"/>
    <w:rsid w:val="000817D6"/>
    <w:rsid w:val="000819F3"/>
    <w:rsid w:val="00081E63"/>
    <w:rsid w:val="0008258D"/>
    <w:rsid w:val="00082E55"/>
    <w:rsid w:val="00083C57"/>
    <w:rsid w:val="00083CD6"/>
    <w:rsid w:val="00083E99"/>
    <w:rsid w:val="0008429C"/>
    <w:rsid w:val="00084768"/>
    <w:rsid w:val="00084FA8"/>
    <w:rsid w:val="000856C5"/>
    <w:rsid w:val="00085C31"/>
    <w:rsid w:val="00086531"/>
    <w:rsid w:val="0008739C"/>
    <w:rsid w:val="00087556"/>
    <w:rsid w:val="0008778E"/>
    <w:rsid w:val="000879F5"/>
    <w:rsid w:val="00087D7A"/>
    <w:rsid w:val="00087FAD"/>
    <w:rsid w:val="000902D9"/>
    <w:rsid w:val="00090928"/>
    <w:rsid w:val="00090B54"/>
    <w:rsid w:val="00090C7E"/>
    <w:rsid w:val="00090D8A"/>
    <w:rsid w:val="000910EA"/>
    <w:rsid w:val="00091175"/>
    <w:rsid w:val="000911AC"/>
    <w:rsid w:val="000916B4"/>
    <w:rsid w:val="00092358"/>
    <w:rsid w:val="00092600"/>
    <w:rsid w:val="0009262B"/>
    <w:rsid w:val="000926C8"/>
    <w:rsid w:val="00093310"/>
    <w:rsid w:val="0009434A"/>
    <w:rsid w:val="0009445C"/>
    <w:rsid w:val="000945BC"/>
    <w:rsid w:val="00095200"/>
    <w:rsid w:val="0009548E"/>
    <w:rsid w:val="00095C3F"/>
    <w:rsid w:val="00095FE5"/>
    <w:rsid w:val="00096284"/>
    <w:rsid w:val="00096389"/>
    <w:rsid w:val="000963BF"/>
    <w:rsid w:val="000A08CC"/>
    <w:rsid w:val="000A1123"/>
    <w:rsid w:val="000A156F"/>
    <w:rsid w:val="000A1884"/>
    <w:rsid w:val="000A1BC0"/>
    <w:rsid w:val="000A212D"/>
    <w:rsid w:val="000A2147"/>
    <w:rsid w:val="000A2538"/>
    <w:rsid w:val="000A274D"/>
    <w:rsid w:val="000A2AC3"/>
    <w:rsid w:val="000A2F9E"/>
    <w:rsid w:val="000A3198"/>
    <w:rsid w:val="000A31F1"/>
    <w:rsid w:val="000A3E47"/>
    <w:rsid w:val="000A457F"/>
    <w:rsid w:val="000A4B56"/>
    <w:rsid w:val="000A522B"/>
    <w:rsid w:val="000A525A"/>
    <w:rsid w:val="000A5770"/>
    <w:rsid w:val="000A583F"/>
    <w:rsid w:val="000A5E0B"/>
    <w:rsid w:val="000A6039"/>
    <w:rsid w:val="000A608C"/>
    <w:rsid w:val="000A628F"/>
    <w:rsid w:val="000A6D4B"/>
    <w:rsid w:val="000A6FE6"/>
    <w:rsid w:val="000A7023"/>
    <w:rsid w:val="000A7227"/>
    <w:rsid w:val="000A7239"/>
    <w:rsid w:val="000A7453"/>
    <w:rsid w:val="000A785F"/>
    <w:rsid w:val="000A791B"/>
    <w:rsid w:val="000A7D08"/>
    <w:rsid w:val="000B0121"/>
    <w:rsid w:val="000B0670"/>
    <w:rsid w:val="000B0A8B"/>
    <w:rsid w:val="000B0AB8"/>
    <w:rsid w:val="000B0C68"/>
    <w:rsid w:val="000B0E75"/>
    <w:rsid w:val="000B1019"/>
    <w:rsid w:val="000B1E79"/>
    <w:rsid w:val="000B2130"/>
    <w:rsid w:val="000B221C"/>
    <w:rsid w:val="000B2C26"/>
    <w:rsid w:val="000B2DCB"/>
    <w:rsid w:val="000B3291"/>
    <w:rsid w:val="000B32E4"/>
    <w:rsid w:val="000B35CD"/>
    <w:rsid w:val="000B3A25"/>
    <w:rsid w:val="000B3CB9"/>
    <w:rsid w:val="000B3F6B"/>
    <w:rsid w:val="000B4485"/>
    <w:rsid w:val="000B45CC"/>
    <w:rsid w:val="000B4789"/>
    <w:rsid w:val="000B4EF2"/>
    <w:rsid w:val="000B53AE"/>
    <w:rsid w:val="000B57E9"/>
    <w:rsid w:val="000B5A11"/>
    <w:rsid w:val="000B5B05"/>
    <w:rsid w:val="000B5CE0"/>
    <w:rsid w:val="000B5EC9"/>
    <w:rsid w:val="000B61F4"/>
    <w:rsid w:val="000B6CAC"/>
    <w:rsid w:val="000B7612"/>
    <w:rsid w:val="000B78AE"/>
    <w:rsid w:val="000C05A3"/>
    <w:rsid w:val="000C09E4"/>
    <w:rsid w:val="000C10E2"/>
    <w:rsid w:val="000C14EB"/>
    <w:rsid w:val="000C176A"/>
    <w:rsid w:val="000C1B59"/>
    <w:rsid w:val="000C2142"/>
    <w:rsid w:val="000C2232"/>
    <w:rsid w:val="000C278F"/>
    <w:rsid w:val="000C2A86"/>
    <w:rsid w:val="000C2E6E"/>
    <w:rsid w:val="000C333A"/>
    <w:rsid w:val="000C3DF9"/>
    <w:rsid w:val="000C4167"/>
    <w:rsid w:val="000C451B"/>
    <w:rsid w:val="000C47A6"/>
    <w:rsid w:val="000C4CF2"/>
    <w:rsid w:val="000C4FD2"/>
    <w:rsid w:val="000C56DC"/>
    <w:rsid w:val="000C5BEE"/>
    <w:rsid w:val="000C5D9E"/>
    <w:rsid w:val="000C6198"/>
    <w:rsid w:val="000C6348"/>
    <w:rsid w:val="000C65B6"/>
    <w:rsid w:val="000C6713"/>
    <w:rsid w:val="000C68B1"/>
    <w:rsid w:val="000C7247"/>
    <w:rsid w:val="000C7CF4"/>
    <w:rsid w:val="000D0B4C"/>
    <w:rsid w:val="000D0EE4"/>
    <w:rsid w:val="000D144B"/>
    <w:rsid w:val="000D1470"/>
    <w:rsid w:val="000D1806"/>
    <w:rsid w:val="000D1A62"/>
    <w:rsid w:val="000D1BFC"/>
    <w:rsid w:val="000D1D5D"/>
    <w:rsid w:val="000D281A"/>
    <w:rsid w:val="000D2848"/>
    <w:rsid w:val="000D326A"/>
    <w:rsid w:val="000D3872"/>
    <w:rsid w:val="000D3ABE"/>
    <w:rsid w:val="000D42AA"/>
    <w:rsid w:val="000D45AD"/>
    <w:rsid w:val="000D48D2"/>
    <w:rsid w:val="000D4A4A"/>
    <w:rsid w:val="000D51FB"/>
    <w:rsid w:val="000D5B52"/>
    <w:rsid w:val="000D5C8C"/>
    <w:rsid w:val="000D5D80"/>
    <w:rsid w:val="000D5E92"/>
    <w:rsid w:val="000D6775"/>
    <w:rsid w:val="000D6A5C"/>
    <w:rsid w:val="000D6DB8"/>
    <w:rsid w:val="000D6EFC"/>
    <w:rsid w:val="000D79D3"/>
    <w:rsid w:val="000D7E42"/>
    <w:rsid w:val="000E00EA"/>
    <w:rsid w:val="000E0640"/>
    <w:rsid w:val="000E0A1E"/>
    <w:rsid w:val="000E0B3D"/>
    <w:rsid w:val="000E1123"/>
    <w:rsid w:val="000E135D"/>
    <w:rsid w:val="000E1A2B"/>
    <w:rsid w:val="000E36B2"/>
    <w:rsid w:val="000E472D"/>
    <w:rsid w:val="000E473A"/>
    <w:rsid w:val="000E49B9"/>
    <w:rsid w:val="000E55F4"/>
    <w:rsid w:val="000E5730"/>
    <w:rsid w:val="000E5CC7"/>
    <w:rsid w:val="000E6556"/>
    <w:rsid w:val="000E65B3"/>
    <w:rsid w:val="000E7125"/>
    <w:rsid w:val="000E7755"/>
    <w:rsid w:val="000F00BA"/>
    <w:rsid w:val="000F01F4"/>
    <w:rsid w:val="000F02D0"/>
    <w:rsid w:val="000F04AA"/>
    <w:rsid w:val="000F0613"/>
    <w:rsid w:val="000F1072"/>
    <w:rsid w:val="000F115E"/>
    <w:rsid w:val="000F1612"/>
    <w:rsid w:val="000F1C97"/>
    <w:rsid w:val="000F25A0"/>
    <w:rsid w:val="000F2C6D"/>
    <w:rsid w:val="000F2E89"/>
    <w:rsid w:val="000F3163"/>
    <w:rsid w:val="000F316A"/>
    <w:rsid w:val="000F3561"/>
    <w:rsid w:val="000F3975"/>
    <w:rsid w:val="000F3C74"/>
    <w:rsid w:val="000F3D10"/>
    <w:rsid w:val="000F3FFE"/>
    <w:rsid w:val="000F45F4"/>
    <w:rsid w:val="000F4B68"/>
    <w:rsid w:val="000F4BB8"/>
    <w:rsid w:val="000F4FA9"/>
    <w:rsid w:val="000F5284"/>
    <w:rsid w:val="000F53FB"/>
    <w:rsid w:val="000F5ED3"/>
    <w:rsid w:val="000F6274"/>
    <w:rsid w:val="000F6618"/>
    <w:rsid w:val="000F66A1"/>
    <w:rsid w:val="000F6A24"/>
    <w:rsid w:val="000F6AC1"/>
    <w:rsid w:val="000F708D"/>
    <w:rsid w:val="000F7127"/>
    <w:rsid w:val="000F716C"/>
    <w:rsid w:val="000F7B54"/>
    <w:rsid w:val="001000B3"/>
    <w:rsid w:val="001003CB"/>
    <w:rsid w:val="00100F8A"/>
    <w:rsid w:val="00101496"/>
    <w:rsid w:val="0010216B"/>
    <w:rsid w:val="001025EB"/>
    <w:rsid w:val="00102AA2"/>
    <w:rsid w:val="00102C40"/>
    <w:rsid w:val="00102ED1"/>
    <w:rsid w:val="0010370D"/>
    <w:rsid w:val="00103EC1"/>
    <w:rsid w:val="00104111"/>
    <w:rsid w:val="0010452E"/>
    <w:rsid w:val="0010482B"/>
    <w:rsid w:val="00104B0B"/>
    <w:rsid w:val="00104F12"/>
    <w:rsid w:val="00105AE2"/>
    <w:rsid w:val="00105C8F"/>
    <w:rsid w:val="001060C6"/>
    <w:rsid w:val="0010655B"/>
    <w:rsid w:val="00106B80"/>
    <w:rsid w:val="0011011A"/>
    <w:rsid w:val="0011012F"/>
    <w:rsid w:val="001101FE"/>
    <w:rsid w:val="0011032E"/>
    <w:rsid w:val="001106B5"/>
    <w:rsid w:val="00110E77"/>
    <w:rsid w:val="0011140C"/>
    <w:rsid w:val="00111412"/>
    <w:rsid w:val="00112144"/>
    <w:rsid w:val="00112F08"/>
    <w:rsid w:val="0011348B"/>
    <w:rsid w:val="00113624"/>
    <w:rsid w:val="0011373E"/>
    <w:rsid w:val="001145D7"/>
    <w:rsid w:val="001145EE"/>
    <w:rsid w:val="00115015"/>
    <w:rsid w:val="00115106"/>
    <w:rsid w:val="001154DB"/>
    <w:rsid w:val="001158D9"/>
    <w:rsid w:val="00115982"/>
    <w:rsid w:val="00115E9C"/>
    <w:rsid w:val="00116140"/>
    <w:rsid w:val="001162D7"/>
    <w:rsid w:val="001166A9"/>
    <w:rsid w:val="00116C53"/>
    <w:rsid w:val="00117070"/>
    <w:rsid w:val="00117361"/>
    <w:rsid w:val="001174A7"/>
    <w:rsid w:val="00117C40"/>
    <w:rsid w:val="001200E8"/>
    <w:rsid w:val="001204F5"/>
    <w:rsid w:val="00120860"/>
    <w:rsid w:val="00120BEC"/>
    <w:rsid w:val="001214BA"/>
    <w:rsid w:val="0012154E"/>
    <w:rsid w:val="00121799"/>
    <w:rsid w:val="00121834"/>
    <w:rsid w:val="00121B33"/>
    <w:rsid w:val="001220E3"/>
    <w:rsid w:val="001222FC"/>
    <w:rsid w:val="00122828"/>
    <w:rsid w:val="00122F44"/>
    <w:rsid w:val="001235C1"/>
    <w:rsid w:val="001237BE"/>
    <w:rsid w:val="00123902"/>
    <w:rsid w:val="00123A24"/>
    <w:rsid w:val="00123CEB"/>
    <w:rsid w:val="00123CF7"/>
    <w:rsid w:val="00124052"/>
    <w:rsid w:val="001240CA"/>
    <w:rsid w:val="0012448E"/>
    <w:rsid w:val="0012475A"/>
    <w:rsid w:val="0012478F"/>
    <w:rsid w:val="001247BC"/>
    <w:rsid w:val="00124A51"/>
    <w:rsid w:val="00124D13"/>
    <w:rsid w:val="00124FF5"/>
    <w:rsid w:val="00125304"/>
    <w:rsid w:val="00125428"/>
    <w:rsid w:val="001257C0"/>
    <w:rsid w:val="0012581A"/>
    <w:rsid w:val="001258A8"/>
    <w:rsid w:val="00126068"/>
    <w:rsid w:val="00126621"/>
    <w:rsid w:val="00126B1D"/>
    <w:rsid w:val="0012709D"/>
    <w:rsid w:val="001278E0"/>
    <w:rsid w:val="00127ADB"/>
    <w:rsid w:val="00127FB5"/>
    <w:rsid w:val="001301E9"/>
    <w:rsid w:val="00130697"/>
    <w:rsid w:val="00130A1D"/>
    <w:rsid w:val="00130BC7"/>
    <w:rsid w:val="00130F62"/>
    <w:rsid w:val="001310AB"/>
    <w:rsid w:val="0013194B"/>
    <w:rsid w:val="00131B32"/>
    <w:rsid w:val="00131BDD"/>
    <w:rsid w:val="00131D82"/>
    <w:rsid w:val="00132538"/>
    <w:rsid w:val="00132A1C"/>
    <w:rsid w:val="00132B22"/>
    <w:rsid w:val="00132E08"/>
    <w:rsid w:val="00133D36"/>
    <w:rsid w:val="00133E66"/>
    <w:rsid w:val="00133F50"/>
    <w:rsid w:val="00134135"/>
    <w:rsid w:val="00134998"/>
    <w:rsid w:val="00134BE7"/>
    <w:rsid w:val="00134E95"/>
    <w:rsid w:val="0013506C"/>
    <w:rsid w:val="001352F3"/>
    <w:rsid w:val="00135A0B"/>
    <w:rsid w:val="00135ADE"/>
    <w:rsid w:val="00135E28"/>
    <w:rsid w:val="00135FA1"/>
    <w:rsid w:val="0013603B"/>
    <w:rsid w:val="0013609D"/>
    <w:rsid w:val="00136C12"/>
    <w:rsid w:val="00137645"/>
    <w:rsid w:val="0014015A"/>
    <w:rsid w:val="0014074D"/>
    <w:rsid w:val="00140A87"/>
    <w:rsid w:val="00140E99"/>
    <w:rsid w:val="001413FB"/>
    <w:rsid w:val="00141520"/>
    <w:rsid w:val="00141B27"/>
    <w:rsid w:val="00142240"/>
    <w:rsid w:val="00142447"/>
    <w:rsid w:val="001434AD"/>
    <w:rsid w:val="00143582"/>
    <w:rsid w:val="001436EA"/>
    <w:rsid w:val="00143F67"/>
    <w:rsid w:val="00144275"/>
    <w:rsid w:val="00145234"/>
    <w:rsid w:val="00145539"/>
    <w:rsid w:val="00145540"/>
    <w:rsid w:val="00145613"/>
    <w:rsid w:val="001456B0"/>
    <w:rsid w:val="00146291"/>
    <w:rsid w:val="0014651F"/>
    <w:rsid w:val="0014661F"/>
    <w:rsid w:val="001469BF"/>
    <w:rsid w:val="001477E8"/>
    <w:rsid w:val="00147EDB"/>
    <w:rsid w:val="00150974"/>
    <w:rsid w:val="00150DF0"/>
    <w:rsid w:val="00151CEE"/>
    <w:rsid w:val="00151D8A"/>
    <w:rsid w:val="00152424"/>
    <w:rsid w:val="0015332B"/>
    <w:rsid w:val="00153AEE"/>
    <w:rsid w:val="00153C37"/>
    <w:rsid w:val="00154399"/>
    <w:rsid w:val="001547AB"/>
    <w:rsid w:val="0015486F"/>
    <w:rsid w:val="00154878"/>
    <w:rsid w:val="00154F99"/>
    <w:rsid w:val="0015500B"/>
    <w:rsid w:val="00155605"/>
    <w:rsid w:val="00155F71"/>
    <w:rsid w:val="00156233"/>
    <w:rsid w:val="0015694A"/>
    <w:rsid w:val="00156D02"/>
    <w:rsid w:val="00156F8F"/>
    <w:rsid w:val="00157130"/>
    <w:rsid w:val="001572E9"/>
    <w:rsid w:val="001576B1"/>
    <w:rsid w:val="001579C5"/>
    <w:rsid w:val="0016047B"/>
    <w:rsid w:val="00160A4C"/>
    <w:rsid w:val="00160BB6"/>
    <w:rsid w:val="001614D0"/>
    <w:rsid w:val="001615BC"/>
    <w:rsid w:val="00161AB1"/>
    <w:rsid w:val="00161C2B"/>
    <w:rsid w:val="001623CA"/>
    <w:rsid w:val="00162913"/>
    <w:rsid w:val="0016367F"/>
    <w:rsid w:val="001638C1"/>
    <w:rsid w:val="00163C33"/>
    <w:rsid w:val="00163E21"/>
    <w:rsid w:val="00163EFF"/>
    <w:rsid w:val="00163F66"/>
    <w:rsid w:val="00163F8E"/>
    <w:rsid w:val="00164200"/>
    <w:rsid w:val="001644C1"/>
    <w:rsid w:val="0016478E"/>
    <w:rsid w:val="00164B38"/>
    <w:rsid w:val="00164EB4"/>
    <w:rsid w:val="001653BA"/>
    <w:rsid w:val="00165465"/>
    <w:rsid w:val="00165479"/>
    <w:rsid w:val="001657D4"/>
    <w:rsid w:val="00165C12"/>
    <w:rsid w:val="00165DD7"/>
    <w:rsid w:val="00165EC4"/>
    <w:rsid w:val="001661E5"/>
    <w:rsid w:val="001661FB"/>
    <w:rsid w:val="00166A07"/>
    <w:rsid w:val="00166AD7"/>
    <w:rsid w:val="00166E7D"/>
    <w:rsid w:val="00166F73"/>
    <w:rsid w:val="001671A0"/>
    <w:rsid w:val="0016767F"/>
    <w:rsid w:val="00167863"/>
    <w:rsid w:val="001678F3"/>
    <w:rsid w:val="001678FC"/>
    <w:rsid w:val="001702BE"/>
    <w:rsid w:val="00172625"/>
    <w:rsid w:val="00172C87"/>
    <w:rsid w:val="00172EED"/>
    <w:rsid w:val="00173216"/>
    <w:rsid w:val="00173565"/>
    <w:rsid w:val="00173B07"/>
    <w:rsid w:val="00173FA2"/>
    <w:rsid w:val="001742B5"/>
    <w:rsid w:val="001751FA"/>
    <w:rsid w:val="001758C7"/>
    <w:rsid w:val="00175F91"/>
    <w:rsid w:val="00175FD7"/>
    <w:rsid w:val="00176158"/>
    <w:rsid w:val="00176A5B"/>
    <w:rsid w:val="00177FAD"/>
    <w:rsid w:val="0018057F"/>
    <w:rsid w:val="0018183E"/>
    <w:rsid w:val="001819E7"/>
    <w:rsid w:val="00181C10"/>
    <w:rsid w:val="00181D9C"/>
    <w:rsid w:val="00182706"/>
    <w:rsid w:val="0018274D"/>
    <w:rsid w:val="001828C7"/>
    <w:rsid w:val="00182957"/>
    <w:rsid w:val="00182C64"/>
    <w:rsid w:val="00182EDF"/>
    <w:rsid w:val="00182FA2"/>
    <w:rsid w:val="001833BF"/>
    <w:rsid w:val="00183671"/>
    <w:rsid w:val="001837FF"/>
    <w:rsid w:val="00184B0E"/>
    <w:rsid w:val="00184EBD"/>
    <w:rsid w:val="001852D5"/>
    <w:rsid w:val="00185538"/>
    <w:rsid w:val="00185948"/>
    <w:rsid w:val="00186D92"/>
    <w:rsid w:val="00186E81"/>
    <w:rsid w:val="0018752F"/>
    <w:rsid w:val="00187902"/>
    <w:rsid w:val="00187A2C"/>
    <w:rsid w:val="00187D39"/>
    <w:rsid w:val="001902AA"/>
    <w:rsid w:val="001904B4"/>
    <w:rsid w:val="00190D27"/>
    <w:rsid w:val="001915AC"/>
    <w:rsid w:val="00192B08"/>
    <w:rsid w:val="001937CC"/>
    <w:rsid w:val="00193838"/>
    <w:rsid w:val="00193E13"/>
    <w:rsid w:val="00194173"/>
    <w:rsid w:val="0019452A"/>
    <w:rsid w:val="001947E5"/>
    <w:rsid w:val="0019492A"/>
    <w:rsid w:val="00194AD8"/>
    <w:rsid w:val="00194D97"/>
    <w:rsid w:val="00194FFB"/>
    <w:rsid w:val="00195222"/>
    <w:rsid w:val="00195452"/>
    <w:rsid w:val="00195CA1"/>
    <w:rsid w:val="00196880"/>
    <w:rsid w:val="0019696F"/>
    <w:rsid w:val="00196A71"/>
    <w:rsid w:val="00196BBE"/>
    <w:rsid w:val="001975D8"/>
    <w:rsid w:val="00197EAE"/>
    <w:rsid w:val="001A044B"/>
    <w:rsid w:val="001A09D3"/>
    <w:rsid w:val="001A0FDA"/>
    <w:rsid w:val="001A147E"/>
    <w:rsid w:val="001A15DA"/>
    <w:rsid w:val="001A178E"/>
    <w:rsid w:val="001A2364"/>
    <w:rsid w:val="001A3845"/>
    <w:rsid w:val="001A41C8"/>
    <w:rsid w:val="001A433C"/>
    <w:rsid w:val="001A43FA"/>
    <w:rsid w:val="001A4727"/>
    <w:rsid w:val="001A47C5"/>
    <w:rsid w:val="001A5290"/>
    <w:rsid w:val="001A5400"/>
    <w:rsid w:val="001A58FD"/>
    <w:rsid w:val="001A59FB"/>
    <w:rsid w:val="001A5CEE"/>
    <w:rsid w:val="001A5E9E"/>
    <w:rsid w:val="001A60E0"/>
    <w:rsid w:val="001A6349"/>
    <w:rsid w:val="001A6354"/>
    <w:rsid w:val="001A6366"/>
    <w:rsid w:val="001A6BD3"/>
    <w:rsid w:val="001A6F38"/>
    <w:rsid w:val="001A714D"/>
    <w:rsid w:val="001A78DE"/>
    <w:rsid w:val="001A7AE8"/>
    <w:rsid w:val="001B02E4"/>
    <w:rsid w:val="001B058E"/>
    <w:rsid w:val="001B05C0"/>
    <w:rsid w:val="001B08AF"/>
    <w:rsid w:val="001B0DA3"/>
    <w:rsid w:val="001B1197"/>
    <w:rsid w:val="001B1E7E"/>
    <w:rsid w:val="001B204E"/>
    <w:rsid w:val="001B22DD"/>
    <w:rsid w:val="001B2372"/>
    <w:rsid w:val="001B2A57"/>
    <w:rsid w:val="001B2C6B"/>
    <w:rsid w:val="001B3443"/>
    <w:rsid w:val="001B3527"/>
    <w:rsid w:val="001B37FB"/>
    <w:rsid w:val="001B3F2A"/>
    <w:rsid w:val="001B4470"/>
    <w:rsid w:val="001B453E"/>
    <w:rsid w:val="001B4B0C"/>
    <w:rsid w:val="001B4D20"/>
    <w:rsid w:val="001B5138"/>
    <w:rsid w:val="001B54C7"/>
    <w:rsid w:val="001B5C53"/>
    <w:rsid w:val="001B5D62"/>
    <w:rsid w:val="001B7857"/>
    <w:rsid w:val="001B7F84"/>
    <w:rsid w:val="001C0E13"/>
    <w:rsid w:val="001C1286"/>
    <w:rsid w:val="001C162B"/>
    <w:rsid w:val="001C173A"/>
    <w:rsid w:val="001C1AC2"/>
    <w:rsid w:val="001C1C72"/>
    <w:rsid w:val="001C1DB9"/>
    <w:rsid w:val="001C2A9B"/>
    <w:rsid w:val="001C2CDD"/>
    <w:rsid w:val="001C3103"/>
    <w:rsid w:val="001C3643"/>
    <w:rsid w:val="001C3DD6"/>
    <w:rsid w:val="001C4299"/>
    <w:rsid w:val="001C4328"/>
    <w:rsid w:val="001C4670"/>
    <w:rsid w:val="001C4874"/>
    <w:rsid w:val="001C4AD9"/>
    <w:rsid w:val="001C5593"/>
    <w:rsid w:val="001C5F94"/>
    <w:rsid w:val="001C60B2"/>
    <w:rsid w:val="001C6228"/>
    <w:rsid w:val="001C689E"/>
    <w:rsid w:val="001C6E1E"/>
    <w:rsid w:val="001C6E66"/>
    <w:rsid w:val="001C71C9"/>
    <w:rsid w:val="001C7C9D"/>
    <w:rsid w:val="001D04DF"/>
    <w:rsid w:val="001D0D79"/>
    <w:rsid w:val="001D1100"/>
    <w:rsid w:val="001D137E"/>
    <w:rsid w:val="001D1385"/>
    <w:rsid w:val="001D1391"/>
    <w:rsid w:val="001D164B"/>
    <w:rsid w:val="001D16C6"/>
    <w:rsid w:val="001D1936"/>
    <w:rsid w:val="001D1A5A"/>
    <w:rsid w:val="001D1FFC"/>
    <w:rsid w:val="001D20AD"/>
    <w:rsid w:val="001D25D7"/>
    <w:rsid w:val="001D277B"/>
    <w:rsid w:val="001D2AE3"/>
    <w:rsid w:val="001D34CD"/>
    <w:rsid w:val="001D3824"/>
    <w:rsid w:val="001D4A37"/>
    <w:rsid w:val="001D4F85"/>
    <w:rsid w:val="001D50B2"/>
    <w:rsid w:val="001D50EA"/>
    <w:rsid w:val="001D56C6"/>
    <w:rsid w:val="001D58B5"/>
    <w:rsid w:val="001D62B8"/>
    <w:rsid w:val="001D6902"/>
    <w:rsid w:val="001D71F4"/>
    <w:rsid w:val="001D72D6"/>
    <w:rsid w:val="001D7307"/>
    <w:rsid w:val="001D758C"/>
    <w:rsid w:val="001D7645"/>
    <w:rsid w:val="001D7C34"/>
    <w:rsid w:val="001D7E4A"/>
    <w:rsid w:val="001E11F3"/>
    <w:rsid w:val="001E122B"/>
    <w:rsid w:val="001E131A"/>
    <w:rsid w:val="001E1CDA"/>
    <w:rsid w:val="001E1E86"/>
    <w:rsid w:val="001E238E"/>
    <w:rsid w:val="001E2483"/>
    <w:rsid w:val="001E2820"/>
    <w:rsid w:val="001E2B1E"/>
    <w:rsid w:val="001E2CFF"/>
    <w:rsid w:val="001E2DEC"/>
    <w:rsid w:val="001E2F24"/>
    <w:rsid w:val="001E301A"/>
    <w:rsid w:val="001E30D4"/>
    <w:rsid w:val="001E34DF"/>
    <w:rsid w:val="001E3C80"/>
    <w:rsid w:val="001E4C53"/>
    <w:rsid w:val="001E52EB"/>
    <w:rsid w:val="001E5591"/>
    <w:rsid w:val="001E61D2"/>
    <w:rsid w:val="001E63C3"/>
    <w:rsid w:val="001E64EC"/>
    <w:rsid w:val="001E71E2"/>
    <w:rsid w:val="001E7250"/>
    <w:rsid w:val="001E740C"/>
    <w:rsid w:val="001E773B"/>
    <w:rsid w:val="001E79F9"/>
    <w:rsid w:val="001E7B14"/>
    <w:rsid w:val="001F04B5"/>
    <w:rsid w:val="001F068C"/>
    <w:rsid w:val="001F0B2F"/>
    <w:rsid w:val="001F1235"/>
    <w:rsid w:val="001F15BE"/>
    <w:rsid w:val="001F16EB"/>
    <w:rsid w:val="001F17D2"/>
    <w:rsid w:val="001F1AC1"/>
    <w:rsid w:val="001F1CB3"/>
    <w:rsid w:val="001F2A0B"/>
    <w:rsid w:val="001F2E35"/>
    <w:rsid w:val="001F3622"/>
    <w:rsid w:val="001F38B5"/>
    <w:rsid w:val="001F395A"/>
    <w:rsid w:val="001F4081"/>
    <w:rsid w:val="001F4362"/>
    <w:rsid w:val="001F4CF5"/>
    <w:rsid w:val="001F4D10"/>
    <w:rsid w:val="001F507E"/>
    <w:rsid w:val="001F522F"/>
    <w:rsid w:val="001F593C"/>
    <w:rsid w:val="001F5F99"/>
    <w:rsid w:val="001F6588"/>
    <w:rsid w:val="001F6715"/>
    <w:rsid w:val="001F7043"/>
    <w:rsid w:val="001F7361"/>
    <w:rsid w:val="001F7845"/>
    <w:rsid w:val="001F7CF2"/>
    <w:rsid w:val="0020089C"/>
    <w:rsid w:val="00200DA4"/>
    <w:rsid w:val="002011B0"/>
    <w:rsid w:val="00201582"/>
    <w:rsid w:val="00201877"/>
    <w:rsid w:val="00201FC2"/>
    <w:rsid w:val="002021CC"/>
    <w:rsid w:val="0020261D"/>
    <w:rsid w:val="002028FA"/>
    <w:rsid w:val="00202B6A"/>
    <w:rsid w:val="00203181"/>
    <w:rsid w:val="00203573"/>
    <w:rsid w:val="00203783"/>
    <w:rsid w:val="0020385F"/>
    <w:rsid w:val="00203889"/>
    <w:rsid w:val="002038B1"/>
    <w:rsid w:val="00203C17"/>
    <w:rsid w:val="002046E3"/>
    <w:rsid w:val="00204792"/>
    <w:rsid w:val="00204A46"/>
    <w:rsid w:val="00204C67"/>
    <w:rsid w:val="0020502D"/>
    <w:rsid w:val="00205523"/>
    <w:rsid w:val="00205A1C"/>
    <w:rsid w:val="00206519"/>
    <w:rsid w:val="002068A0"/>
    <w:rsid w:val="00206C53"/>
    <w:rsid w:val="00206E1F"/>
    <w:rsid w:val="00207021"/>
    <w:rsid w:val="0020705D"/>
    <w:rsid w:val="00207211"/>
    <w:rsid w:val="00207247"/>
    <w:rsid w:val="0020732F"/>
    <w:rsid w:val="00207A4F"/>
    <w:rsid w:val="00207D00"/>
    <w:rsid w:val="002105C1"/>
    <w:rsid w:val="00210749"/>
    <w:rsid w:val="0021077E"/>
    <w:rsid w:val="00210AB8"/>
    <w:rsid w:val="002116FD"/>
    <w:rsid w:val="00211F69"/>
    <w:rsid w:val="00211FAA"/>
    <w:rsid w:val="0021237F"/>
    <w:rsid w:val="00212A12"/>
    <w:rsid w:val="00212B1F"/>
    <w:rsid w:val="00212CE5"/>
    <w:rsid w:val="002130A0"/>
    <w:rsid w:val="0021340F"/>
    <w:rsid w:val="00213EF5"/>
    <w:rsid w:val="0021422D"/>
    <w:rsid w:val="0021468A"/>
    <w:rsid w:val="0021498F"/>
    <w:rsid w:val="00214C4C"/>
    <w:rsid w:val="00214DCD"/>
    <w:rsid w:val="00216222"/>
    <w:rsid w:val="002165F0"/>
    <w:rsid w:val="0021680A"/>
    <w:rsid w:val="0021686E"/>
    <w:rsid w:val="00216BF5"/>
    <w:rsid w:val="00216FE9"/>
    <w:rsid w:val="002176A0"/>
    <w:rsid w:val="0021790F"/>
    <w:rsid w:val="002210D5"/>
    <w:rsid w:val="002216D8"/>
    <w:rsid w:val="00222460"/>
    <w:rsid w:val="00222838"/>
    <w:rsid w:val="00222AD8"/>
    <w:rsid w:val="00222DE2"/>
    <w:rsid w:val="00222EA1"/>
    <w:rsid w:val="00223A2D"/>
    <w:rsid w:val="00223B49"/>
    <w:rsid w:val="00223D5A"/>
    <w:rsid w:val="00224DD4"/>
    <w:rsid w:val="0022517B"/>
    <w:rsid w:val="00225256"/>
    <w:rsid w:val="00225267"/>
    <w:rsid w:val="00225381"/>
    <w:rsid w:val="00226F3F"/>
    <w:rsid w:val="00227057"/>
    <w:rsid w:val="002278A0"/>
    <w:rsid w:val="00227B30"/>
    <w:rsid w:val="002309CC"/>
    <w:rsid w:val="00231BA9"/>
    <w:rsid w:val="00231FD7"/>
    <w:rsid w:val="0023209F"/>
    <w:rsid w:val="002333E2"/>
    <w:rsid w:val="002337ED"/>
    <w:rsid w:val="00233C01"/>
    <w:rsid w:val="00233CF0"/>
    <w:rsid w:val="00233CFE"/>
    <w:rsid w:val="00233F49"/>
    <w:rsid w:val="00233F88"/>
    <w:rsid w:val="0023413C"/>
    <w:rsid w:val="00234290"/>
    <w:rsid w:val="00234469"/>
    <w:rsid w:val="002346F0"/>
    <w:rsid w:val="00234B0E"/>
    <w:rsid w:val="002353F7"/>
    <w:rsid w:val="0023587B"/>
    <w:rsid w:val="00235E71"/>
    <w:rsid w:val="0023605C"/>
    <w:rsid w:val="0023629D"/>
    <w:rsid w:val="00236A21"/>
    <w:rsid w:val="0023713E"/>
    <w:rsid w:val="00237255"/>
    <w:rsid w:val="00237CC8"/>
    <w:rsid w:val="00237E2F"/>
    <w:rsid w:val="00237F00"/>
    <w:rsid w:val="00241DAE"/>
    <w:rsid w:val="0024206F"/>
    <w:rsid w:val="00242420"/>
    <w:rsid w:val="002424AF"/>
    <w:rsid w:val="002425A8"/>
    <w:rsid w:val="002427E0"/>
    <w:rsid w:val="00242BBC"/>
    <w:rsid w:val="00243379"/>
    <w:rsid w:val="002437CD"/>
    <w:rsid w:val="002439CD"/>
    <w:rsid w:val="002439DC"/>
    <w:rsid w:val="00243D86"/>
    <w:rsid w:val="002441D2"/>
    <w:rsid w:val="00244BDB"/>
    <w:rsid w:val="00244DC8"/>
    <w:rsid w:val="00245045"/>
    <w:rsid w:val="002456ED"/>
    <w:rsid w:val="00245853"/>
    <w:rsid w:val="002458BA"/>
    <w:rsid w:val="00245CE9"/>
    <w:rsid w:val="00245DD5"/>
    <w:rsid w:val="00245EEA"/>
    <w:rsid w:val="0024636C"/>
    <w:rsid w:val="00246E70"/>
    <w:rsid w:val="00247908"/>
    <w:rsid w:val="00247925"/>
    <w:rsid w:val="00251006"/>
    <w:rsid w:val="002510EB"/>
    <w:rsid w:val="00251A5D"/>
    <w:rsid w:val="00251C10"/>
    <w:rsid w:val="00251C16"/>
    <w:rsid w:val="00251C2F"/>
    <w:rsid w:val="00251CFF"/>
    <w:rsid w:val="002524D5"/>
    <w:rsid w:val="002528E7"/>
    <w:rsid w:val="00252C6F"/>
    <w:rsid w:val="00253347"/>
    <w:rsid w:val="00253604"/>
    <w:rsid w:val="002539FD"/>
    <w:rsid w:val="00253B1D"/>
    <w:rsid w:val="00253E28"/>
    <w:rsid w:val="00254077"/>
    <w:rsid w:val="002543CF"/>
    <w:rsid w:val="002545D9"/>
    <w:rsid w:val="0025463B"/>
    <w:rsid w:val="00254D43"/>
    <w:rsid w:val="00254D99"/>
    <w:rsid w:val="00254DCF"/>
    <w:rsid w:val="0025534B"/>
    <w:rsid w:val="00255929"/>
    <w:rsid w:val="00255BB7"/>
    <w:rsid w:val="00255E45"/>
    <w:rsid w:val="00255FC9"/>
    <w:rsid w:val="00255FD5"/>
    <w:rsid w:val="002565DB"/>
    <w:rsid w:val="002569ED"/>
    <w:rsid w:val="00256C08"/>
    <w:rsid w:val="00256D39"/>
    <w:rsid w:val="00256F1A"/>
    <w:rsid w:val="002570D4"/>
    <w:rsid w:val="00257136"/>
    <w:rsid w:val="00257541"/>
    <w:rsid w:val="00257A39"/>
    <w:rsid w:val="00257AC4"/>
    <w:rsid w:val="00257BBE"/>
    <w:rsid w:val="00257D08"/>
    <w:rsid w:val="00257DCE"/>
    <w:rsid w:val="002605CE"/>
    <w:rsid w:val="00260C5D"/>
    <w:rsid w:val="00261C5C"/>
    <w:rsid w:val="00261CAA"/>
    <w:rsid w:val="00261E65"/>
    <w:rsid w:val="00261EEF"/>
    <w:rsid w:val="00262887"/>
    <w:rsid w:val="00262924"/>
    <w:rsid w:val="00262A1A"/>
    <w:rsid w:val="00262A87"/>
    <w:rsid w:val="00262BE9"/>
    <w:rsid w:val="0026395A"/>
    <w:rsid w:val="002639FD"/>
    <w:rsid w:val="00264411"/>
    <w:rsid w:val="002644E1"/>
    <w:rsid w:val="002645B3"/>
    <w:rsid w:val="002648D4"/>
    <w:rsid w:val="00264D26"/>
    <w:rsid w:val="0026512F"/>
    <w:rsid w:val="00266098"/>
    <w:rsid w:val="00266FB6"/>
    <w:rsid w:val="00267642"/>
    <w:rsid w:val="00267826"/>
    <w:rsid w:val="00267AEA"/>
    <w:rsid w:val="002700E6"/>
    <w:rsid w:val="0027031D"/>
    <w:rsid w:val="00270EB6"/>
    <w:rsid w:val="002711B0"/>
    <w:rsid w:val="002715DB"/>
    <w:rsid w:val="00271DEC"/>
    <w:rsid w:val="0027246C"/>
    <w:rsid w:val="00272493"/>
    <w:rsid w:val="0027294B"/>
    <w:rsid w:val="00272A3B"/>
    <w:rsid w:val="00273676"/>
    <w:rsid w:val="00273EB4"/>
    <w:rsid w:val="00273F0E"/>
    <w:rsid w:val="00274682"/>
    <w:rsid w:val="00275158"/>
    <w:rsid w:val="00275796"/>
    <w:rsid w:val="0027579C"/>
    <w:rsid w:val="00275C5A"/>
    <w:rsid w:val="0027680A"/>
    <w:rsid w:val="00276828"/>
    <w:rsid w:val="00276B12"/>
    <w:rsid w:val="00276C53"/>
    <w:rsid w:val="00277058"/>
    <w:rsid w:val="002772FB"/>
    <w:rsid w:val="00281014"/>
    <w:rsid w:val="0028115F"/>
    <w:rsid w:val="00281703"/>
    <w:rsid w:val="00281861"/>
    <w:rsid w:val="00281A6B"/>
    <w:rsid w:val="002820EF"/>
    <w:rsid w:val="002822CB"/>
    <w:rsid w:val="002827A4"/>
    <w:rsid w:val="00282AE3"/>
    <w:rsid w:val="00283028"/>
    <w:rsid w:val="00283EE4"/>
    <w:rsid w:val="0028436B"/>
    <w:rsid w:val="00284B0B"/>
    <w:rsid w:val="00285057"/>
    <w:rsid w:val="00285BCE"/>
    <w:rsid w:val="002863E5"/>
    <w:rsid w:val="0028665D"/>
    <w:rsid w:val="002867E6"/>
    <w:rsid w:val="00286F88"/>
    <w:rsid w:val="00286FC4"/>
    <w:rsid w:val="00287654"/>
    <w:rsid w:val="00287714"/>
    <w:rsid w:val="00287AA3"/>
    <w:rsid w:val="00287B82"/>
    <w:rsid w:val="00287E86"/>
    <w:rsid w:val="00291520"/>
    <w:rsid w:val="00291A1B"/>
    <w:rsid w:val="00291DB6"/>
    <w:rsid w:val="002920FD"/>
    <w:rsid w:val="00292A35"/>
    <w:rsid w:val="00292F20"/>
    <w:rsid w:val="00293397"/>
    <w:rsid w:val="00294197"/>
    <w:rsid w:val="002941DC"/>
    <w:rsid w:val="002947B1"/>
    <w:rsid w:val="00294E15"/>
    <w:rsid w:val="0029558D"/>
    <w:rsid w:val="002957EF"/>
    <w:rsid w:val="002958EE"/>
    <w:rsid w:val="00295A11"/>
    <w:rsid w:val="00295B20"/>
    <w:rsid w:val="00295E30"/>
    <w:rsid w:val="00296A41"/>
    <w:rsid w:val="0029725E"/>
    <w:rsid w:val="002975B9"/>
    <w:rsid w:val="002978AA"/>
    <w:rsid w:val="002A04EB"/>
    <w:rsid w:val="002A0EA7"/>
    <w:rsid w:val="002A14AB"/>
    <w:rsid w:val="002A1953"/>
    <w:rsid w:val="002A21D3"/>
    <w:rsid w:val="002A25D4"/>
    <w:rsid w:val="002A26A6"/>
    <w:rsid w:val="002A2ADE"/>
    <w:rsid w:val="002A2DC9"/>
    <w:rsid w:val="002A2F50"/>
    <w:rsid w:val="002A3213"/>
    <w:rsid w:val="002A3C28"/>
    <w:rsid w:val="002A3E10"/>
    <w:rsid w:val="002A53BC"/>
    <w:rsid w:val="002A555A"/>
    <w:rsid w:val="002A5A0A"/>
    <w:rsid w:val="002A5EAE"/>
    <w:rsid w:val="002A6BB2"/>
    <w:rsid w:val="002A6DDD"/>
    <w:rsid w:val="002A73AC"/>
    <w:rsid w:val="002A7421"/>
    <w:rsid w:val="002A7943"/>
    <w:rsid w:val="002B005B"/>
    <w:rsid w:val="002B0066"/>
    <w:rsid w:val="002B0567"/>
    <w:rsid w:val="002B05A1"/>
    <w:rsid w:val="002B0776"/>
    <w:rsid w:val="002B09A4"/>
    <w:rsid w:val="002B1046"/>
    <w:rsid w:val="002B1C1F"/>
    <w:rsid w:val="002B233F"/>
    <w:rsid w:val="002B2479"/>
    <w:rsid w:val="002B2EAB"/>
    <w:rsid w:val="002B2FF6"/>
    <w:rsid w:val="002B36F1"/>
    <w:rsid w:val="002B377B"/>
    <w:rsid w:val="002B377F"/>
    <w:rsid w:val="002B3BAD"/>
    <w:rsid w:val="002B432F"/>
    <w:rsid w:val="002B4341"/>
    <w:rsid w:val="002B4847"/>
    <w:rsid w:val="002B4AF9"/>
    <w:rsid w:val="002B5565"/>
    <w:rsid w:val="002B586A"/>
    <w:rsid w:val="002B5AF0"/>
    <w:rsid w:val="002B6070"/>
    <w:rsid w:val="002B6109"/>
    <w:rsid w:val="002B62B3"/>
    <w:rsid w:val="002B66D0"/>
    <w:rsid w:val="002B6754"/>
    <w:rsid w:val="002B6CCE"/>
    <w:rsid w:val="002B6D3C"/>
    <w:rsid w:val="002B6E88"/>
    <w:rsid w:val="002B7124"/>
    <w:rsid w:val="002C01BE"/>
    <w:rsid w:val="002C0213"/>
    <w:rsid w:val="002C061E"/>
    <w:rsid w:val="002C0F3E"/>
    <w:rsid w:val="002C162D"/>
    <w:rsid w:val="002C1869"/>
    <w:rsid w:val="002C1893"/>
    <w:rsid w:val="002C19F0"/>
    <w:rsid w:val="002C1C87"/>
    <w:rsid w:val="002C21FB"/>
    <w:rsid w:val="002C2510"/>
    <w:rsid w:val="002C2775"/>
    <w:rsid w:val="002C27C1"/>
    <w:rsid w:val="002C2F8E"/>
    <w:rsid w:val="002C36E3"/>
    <w:rsid w:val="002C426B"/>
    <w:rsid w:val="002C42D8"/>
    <w:rsid w:val="002C49C1"/>
    <w:rsid w:val="002C4E59"/>
    <w:rsid w:val="002C5099"/>
    <w:rsid w:val="002C517B"/>
    <w:rsid w:val="002C519E"/>
    <w:rsid w:val="002C5889"/>
    <w:rsid w:val="002C5A3C"/>
    <w:rsid w:val="002C5E08"/>
    <w:rsid w:val="002C628F"/>
    <w:rsid w:val="002C687D"/>
    <w:rsid w:val="002C71CE"/>
    <w:rsid w:val="002C7208"/>
    <w:rsid w:val="002C7271"/>
    <w:rsid w:val="002D0430"/>
    <w:rsid w:val="002D0605"/>
    <w:rsid w:val="002D08F8"/>
    <w:rsid w:val="002D0CAA"/>
    <w:rsid w:val="002D0DD3"/>
    <w:rsid w:val="002D1060"/>
    <w:rsid w:val="002D114B"/>
    <w:rsid w:val="002D1311"/>
    <w:rsid w:val="002D15AD"/>
    <w:rsid w:val="002D18B4"/>
    <w:rsid w:val="002D2180"/>
    <w:rsid w:val="002D2194"/>
    <w:rsid w:val="002D23F9"/>
    <w:rsid w:val="002D2CC7"/>
    <w:rsid w:val="002D3C26"/>
    <w:rsid w:val="002D4808"/>
    <w:rsid w:val="002D577C"/>
    <w:rsid w:val="002D5DE8"/>
    <w:rsid w:val="002D62A0"/>
    <w:rsid w:val="002D6F27"/>
    <w:rsid w:val="002D75B8"/>
    <w:rsid w:val="002D7646"/>
    <w:rsid w:val="002D7832"/>
    <w:rsid w:val="002E1071"/>
    <w:rsid w:val="002E15B9"/>
    <w:rsid w:val="002E18DD"/>
    <w:rsid w:val="002E1981"/>
    <w:rsid w:val="002E1DC9"/>
    <w:rsid w:val="002E1F2D"/>
    <w:rsid w:val="002E2158"/>
    <w:rsid w:val="002E246A"/>
    <w:rsid w:val="002E24F5"/>
    <w:rsid w:val="002E253D"/>
    <w:rsid w:val="002E2657"/>
    <w:rsid w:val="002E2AAE"/>
    <w:rsid w:val="002E309E"/>
    <w:rsid w:val="002E3290"/>
    <w:rsid w:val="002E3549"/>
    <w:rsid w:val="002E40FD"/>
    <w:rsid w:val="002E4679"/>
    <w:rsid w:val="002E49FD"/>
    <w:rsid w:val="002E4F02"/>
    <w:rsid w:val="002E5569"/>
    <w:rsid w:val="002E6040"/>
    <w:rsid w:val="002E62F2"/>
    <w:rsid w:val="002E647E"/>
    <w:rsid w:val="002E741D"/>
    <w:rsid w:val="002E754D"/>
    <w:rsid w:val="002E7722"/>
    <w:rsid w:val="002E7947"/>
    <w:rsid w:val="002E7B8B"/>
    <w:rsid w:val="002E7E70"/>
    <w:rsid w:val="002F07BA"/>
    <w:rsid w:val="002F0DA9"/>
    <w:rsid w:val="002F0E35"/>
    <w:rsid w:val="002F1014"/>
    <w:rsid w:val="002F127A"/>
    <w:rsid w:val="002F15D6"/>
    <w:rsid w:val="002F1E3B"/>
    <w:rsid w:val="002F22B6"/>
    <w:rsid w:val="002F2685"/>
    <w:rsid w:val="002F2CF5"/>
    <w:rsid w:val="002F2F2C"/>
    <w:rsid w:val="002F3466"/>
    <w:rsid w:val="002F44AE"/>
    <w:rsid w:val="002F4620"/>
    <w:rsid w:val="002F5A87"/>
    <w:rsid w:val="002F5CAC"/>
    <w:rsid w:val="002F6358"/>
    <w:rsid w:val="002F643C"/>
    <w:rsid w:val="002F7044"/>
    <w:rsid w:val="002F71C0"/>
    <w:rsid w:val="002F74F1"/>
    <w:rsid w:val="002F7906"/>
    <w:rsid w:val="002F7CD3"/>
    <w:rsid w:val="002F7F7B"/>
    <w:rsid w:val="003002FA"/>
    <w:rsid w:val="00300619"/>
    <w:rsid w:val="00300686"/>
    <w:rsid w:val="00301017"/>
    <w:rsid w:val="0030155F"/>
    <w:rsid w:val="00301A35"/>
    <w:rsid w:val="00301CDF"/>
    <w:rsid w:val="00301F1F"/>
    <w:rsid w:val="0030260C"/>
    <w:rsid w:val="0030294D"/>
    <w:rsid w:val="00303689"/>
    <w:rsid w:val="00303D24"/>
    <w:rsid w:val="0030464C"/>
    <w:rsid w:val="00304921"/>
    <w:rsid w:val="00304B47"/>
    <w:rsid w:val="00304D68"/>
    <w:rsid w:val="00304EDD"/>
    <w:rsid w:val="0030550B"/>
    <w:rsid w:val="0030587B"/>
    <w:rsid w:val="00305888"/>
    <w:rsid w:val="003060C4"/>
    <w:rsid w:val="003060E4"/>
    <w:rsid w:val="00306690"/>
    <w:rsid w:val="00306D98"/>
    <w:rsid w:val="00306E37"/>
    <w:rsid w:val="00307431"/>
    <w:rsid w:val="0030786C"/>
    <w:rsid w:val="00310265"/>
    <w:rsid w:val="0031031A"/>
    <w:rsid w:val="0031037E"/>
    <w:rsid w:val="00310507"/>
    <w:rsid w:val="00310981"/>
    <w:rsid w:val="00311B5A"/>
    <w:rsid w:val="00311D43"/>
    <w:rsid w:val="00311D9B"/>
    <w:rsid w:val="003123AC"/>
    <w:rsid w:val="0031245D"/>
    <w:rsid w:val="003124D9"/>
    <w:rsid w:val="00312594"/>
    <w:rsid w:val="00312875"/>
    <w:rsid w:val="00312F13"/>
    <w:rsid w:val="0031320B"/>
    <w:rsid w:val="003139AA"/>
    <w:rsid w:val="00313F3B"/>
    <w:rsid w:val="0031402F"/>
    <w:rsid w:val="00314202"/>
    <w:rsid w:val="0031499B"/>
    <w:rsid w:val="00314DEC"/>
    <w:rsid w:val="00315498"/>
    <w:rsid w:val="00315739"/>
    <w:rsid w:val="00315963"/>
    <w:rsid w:val="00316474"/>
    <w:rsid w:val="003166ED"/>
    <w:rsid w:val="003167B9"/>
    <w:rsid w:val="00316B54"/>
    <w:rsid w:val="0032097C"/>
    <w:rsid w:val="00320C7D"/>
    <w:rsid w:val="00321543"/>
    <w:rsid w:val="0032160A"/>
    <w:rsid w:val="003217FE"/>
    <w:rsid w:val="00321851"/>
    <w:rsid w:val="00321A0A"/>
    <w:rsid w:val="00321C0F"/>
    <w:rsid w:val="00321D1A"/>
    <w:rsid w:val="00322107"/>
    <w:rsid w:val="00322355"/>
    <w:rsid w:val="00322382"/>
    <w:rsid w:val="00322846"/>
    <w:rsid w:val="00323739"/>
    <w:rsid w:val="00325053"/>
    <w:rsid w:val="0032551F"/>
    <w:rsid w:val="003259FE"/>
    <w:rsid w:val="00326851"/>
    <w:rsid w:val="00326DA7"/>
    <w:rsid w:val="003270E4"/>
    <w:rsid w:val="00327B77"/>
    <w:rsid w:val="00327DD7"/>
    <w:rsid w:val="0033009D"/>
    <w:rsid w:val="003309B0"/>
    <w:rsid w:val="00330C93"/>
    <w:rsid w:val="00330DAA"/>
    <w:rsid w:val="00330F5C"/>
    <w:rsid w:val="003317AC"/>
    <w:rsid w:val="00332381"/>
    <w:rsid w:val="0033283A"/>
    <w:rsid w:val="00332DC6"/>
    <w:rsid w:val="00332DD2"/>
    <w:rsid w:val="00333605"/>
    <w:rsid w:val="00333E43"/>
    <w:rsid w:val="003347C6"/>
    <w:rsid w:val="00334BAD"/>
    <w:rsid w:val="00335081"/>
    <w:rsid w:val="003359CE"/>
    <w:rsid w:val="00335A6B"/>
    <w:rsid w:val="00336053"/>
    <w:rsid w:val="003366C9"/>
    <w:rsid w:val="00336F37"/>
    <w:rsid w:val="0033711D"/>
    <w:rsid w:val="003371B0"/>
    <w:rsid w:val="003409BD"/>
    <w:rsid w:val="00340DF1"/>
    <w:rsid w:val="00341134"/>
    <w:rsid w:val="00341790"/>
    <w:rsid w:val="003418AC"/>
    <w:rsid w:val="00343247"/>
    <w:rsid w:val="00343E05"/>
    <w:rsid w:val="00344478"/>
    <w:rsid w:val="00344545"/>
    <w:rsid w:val="00344C52"/>
    <w:rsid w:val="00345453"/>
    <w:rsid w:val="00345785"/>
    <w:rsid w:val="00345C1F"/>
    <w:rsid w:val="00346088"/>
    <w:rsid w:val="00346FF5"/>
    <w:rsid w:val="00347757"/>
    <w:rsid w:val="00347ADC"/>
    <w:rsid w:val="00347FE8"/>
    <w:rsid w:val="00350509"/>
    <w:rsid w:val="00350D16"/>
    <w:rsid w:val="00350EBD"/>
    <w:rsid w:val="00350F9E"/>
    <w:rsid w:val="0035147A"/>
    <w:rsid w:val="0035153B"/>
    <w:rsid w:val="003517F9"/>
    <w:rsid w:val="00351BA9"/>
    <w:rsid w:val="00352261"/>
    <w:rsid w:val="003522C1"/>
    <w:rsid w:val="00352935"/>
    <w:rsid w:val="00352AA4"/>
    <w:rsid w:val="00352ABA"/>
    <w:rsid w:val="00352E47"/>
    <w:rsid w:val="00353A87"/>
    <w:rsid w:val="00354F64"/>
    <w:rsid w:val="00354FC4"/>
    <w:rsid w:val="00355441"/>
    <w:rsid w:val="0035620E"/>
    <w:rsid w:val="00356428"/>
    <w:rsid w:val="003566F9"/>
    <w:rsid w:val="00356CCF"/>
    <w:rsid w:val="00357340"/>
    <w:rsid w:val="00357577"/>
    <w:rsid w:val="003575BE"/>
    <w:rsid w:val="003576B1"/>
    <w:rsid w:val="00357B02"/>
    <w:rsid w:val="003600A5"/>
    <w:rsid w:val="0036022B"/>
    <w:rsid w:val="00360345"/>
    <w:rsid w:val="003603F5"/>
    <w:rsid w:val="0036049B"/>
    <w:rsid w:val="003606DA"/>
    <w:rsid w:val="0036073D"/>
    <w:rsid w:val="00360967"/>
    <w:rsid w:val="00361067"/>
    <w:rsid w:val="0036184F"/>
    <w:rsid w:val="00361850"/>
    <w:rsid w:val="00361A05"/>
    <w:rsid w:val="00361AFA"/>
    <w:rsid w:val="00361DAC"/>
    <w:rsid w:val="00361E92"/>
    <w:rsid w:val="00361FFC"/>
    <w:rsid w:val="003621D7"/>
    <w:rsid w:val="00362390"/>
    <w:rsid w:val="003624C4"/>
    <w:rsid w:val="003626EB"/>
    <w:rsid w:val="00362966"/>
    <w:rsid w:val="00362A12"/>
    <w:rsid w:val="00362D2F"/>
    <w:rsid w:val="00363184"/>
    <w:rsid w:val="003631D2"/>
    <w:rsid w:val="0036351C"/>
    <w:rsid w:val="003638B4"/>
    <w:rsid w:val="00363B00"/>
    <w:rsid w:val="00363B9D"/>
    <w:rsid w:val="00363C4F"/>
    <w:rsid w:val="00363D02"/>
    <w:rsid w:val="00364119"/>
    <w:rsid w:val="0036508B"/>
    <w:rsid w:val="00365194"/>
    <w:rsid w:val="003654AC"/>
    <w:rsid w:val="003663F2"/>
    <w:rsid w:val="0036646C"/>
    <w:rsid w:val="00366C31"/>
    <w:rsid w:val="0036705A"/>
    <w:rsid w:val="00367593"/>
    <w:rsid w:val="00367D19"/>
    <w:rsid w:val="003710CF"/>
    <w:rsid w:val="00371669"/>
    <w:rsid w:val="003716B2"/>
    <w:rsid w:val="003717E9"/>
    <w:rsid w:val="00372162"/>
    <w:rsid w:val="003722B3"/>
    <w:rsid w:val="00373078"/>
    <w:rsid w:val="0037358A"/>
    <w:rsid w:val="00373D14"/>
    <w:rsid w:val="00373D54"/>
    <w:rsid w:val="00374672"/>
    <w:rsid w:val="00374764"/>
    <w:rsid w:val="00374E30"/>
    <w:rsid w:val="00375007"/>
    <w:rsid w:val="003750F6"/>
    <w:rsid w:val="003751E6"/>
    <w:rsid w:val="003754A9"/>
    <w:rsid w:val="003760BC"/>
    <w:rsid w:val="003760FC"/>
    <w:rsid w:val="00376541"/>
    <w:rsid w:val="00377FA0"/>
    <w:rsid w:val="003803A8"/>
    <w:rsid w:val="00380864"/>
    <w:rsid w:val="003808AD"/>
    <w:rsid w:val="003809D3"/>
    <w:rsid w:val="003810C4"/>
    <w:rsid w:val="00383267"/>
    <w:rsid w:val="0038365C"/>
    <w:rsid w:val="0038369B"/>
    <w:rsid w:val="00383B78"/>
    <w:rsid w:val="00383EE6"/>
    <w:rsid w:val="00383F43"/>
    <w:rsid w:val="00385240"/>
    <w:rsid w:val="00385432"/>
    <w:rsid w:val="00385A9D"/>
    <w:rsid w:val="00385AC7"/>
    <w:rsid w:val="00385C2E"/>
    <w:rsid w:val="00385E73"/>
    <w:rsid w:val="00387121"/>
    <w:rsid w:val="003872AC"/>
    <w:rsid w:val="003873BE"/>
    <w:rsid w:val="00387828"/>
    <w:rsid w:val="00387A34"/>
    <w:rsid w:val="00387DA9"/>
    <w:rsid w:val="003902B1"/>
    <w:rsid w:val="00390348"/>
    <w:rsid w:val="00390376"/>
    <w:rsid w:val="00390441"/>
    <w:rsid w:val="003908D3"/>
    <w:rsid w:val="00390A6C"/>
    <w:rsid w:val="00390BD9"/>
    <w:rsid w:val="00390C2B"/>
    <w:rsid w:val="00391133"/>
    <w:rsid w:val="00391557"/>
    <w:rsid w:val="00391587"/>
    <w:rsid w:val="0039179C"/>
    <w:rsid w:val="003918AF"/>
    <w:rsid w:val="00391B6E"/>
    <w:rsid w:val="0039217E"/>
    <w:rsid w:val="003923CE"/>
    <w:rsid w:val="00392A11"/>
    <w:rsid w:val="00392A9A"/>
    <w:rsid w:val="00392AC9"/>
    <w:rsid w:val="00392ACB"/>
    <w:rsid w:val="00392D19"/>
    <w:rsid w:val="00392FE4"/>
    <w:rsid w:val="00393438"/>
    <w:rsid w:val="00393C29"/>
    <w:rsid w:val="00393D1B"/>
    <w:rsid w:val="003946CB"/>
    <w:rsid w:val="003949AE"/>
    <w:rsid w:val="00395560"/>
    <w:rsid w:val="00395D86"/>
    <w:rsid w:val="003965F1"/>
    <w:rsid w:val="00396896"/>
    <w:rsid w:val="00396A12"/>
    <w:rsid w:val="00396FD0"/>
    <w:rsid w:val="003970A6"/>
    <w:rsid w:val="00397534"/>
    <w:rsid w:val="00397946"/>
    <w:rsid w:val="00397DFF"/>
    <w:rsid w:val="003A0116"/>
    <w:rsid w:val="003A02C0"/>
    <w:rsid w:val="003A0E0F"/>
    <w:rsid w:val="003A1078"/>
    <w:rsid w:val="003A1556"/>
    <w:rsid w:val="003A1A7A"/>
    <w:rsid w:val="003A2392"/>
    <w:rsid w:val="003A26C1"/>
    <w:rsid w:val="003A2831"/>
    <w:rsid w:val="003A2CA1"/>
    <w:rsid w:val="003A3312"/>
    <w:rsid w:val="003A3ABD"/>
    <w:rsid w:val="003A3BC2"/>
    <w:rsid w:val="003A3CB6"/>
    <w:rsid w:val="003A3ED1"/>
    <w:rsid w:val="003A43A5"/>
    <w:rsid w:val="003A4487"/>
    <w:rsid w:val="003A44DB"/>
    <w:rsid w:val="003A48D8"/>
    <w:rsid w:val="003A4C14"/>
    <w:rsid w:val="003A569A"/>
    <w:rsid w:val="003A5AE2"/>
    <w:rsid w:val="003A5B41"/>
    <w:rsid w:val="003A5DC9"/>
    <w:rsid w:val="003A61BB"/>
    <w:rsid w:val="003A6384"/>
    <w:rsid w:val="003A6639"/>
    <w:rsid w:val="003A667B"/>
    <w:rsid w:val="003A66DF"/>
    <w:rsid w:val="003A68E2"/>
    <w:rsid w:val="003A69B8"/>
    <w:rsid w:val="003A6AA5"/>
    <w:rsid w:val="003A6FE8"/>
    <w:rsid w:val="003A739D"/>
    <w:rsid w:val="003A7460"/>
    <w:rsid w:val="003A75E6"/>
    <w:rsid w:val="003A7AD4"/>
    <w:rsid w:val="003A7CCF"/>
    <w:rsid w:val="003A7FBC"/>
    <w:rsid w:val="003B0B85"/>
    <w:rsid w:val="003B0D33"/>
    <w:rsid w:val="003B1288"/>
    <w:rsid w:val="003B2F1F"/>
    <w:rsid w:val="003B36FD"/>
    <w:rsid w:val="003B374C"/>
    <w:rsid w:val="003B3971"/>
    <w:rsid w:val="003B3A4F"/>
    <w:rsid w:val="003B3C35"/>
    <w:rsid w:val="003B4EF7"/>
    <w:rsid w:val="003B5336"/>
    <w:rsid w:val="003B55D1"/>
    <w:rsid w:val="003B5B2F"/>
    <w:rsid w:val="003B5B61"/>
    <w:rsid w:val="003B6195"/>
    <w:rsid w:val="003B6279"/>
    <w:rsid w:val="003B63B1"/>
    <w:rsid w:val="003B6769"/>
    <w:rsid w:val="003C0BF8"/>
    <w:rsid w:val="003C0E14"/>
    <w:rsid w:val="003C1654"/>
    <w:rsid w:val="003C1671"/>
    <w:rsid w:val="003C1BB6"/>
    <w:rsid w:val="003C256E"/>
    <w:rsid w:val="003C290E"/>
    <w:rsid w:val="003C2A8D"/>
    <w:rsid w:val="003C3A1C"/>
    <w:rsid w:val="003C4275"/>
    <w:rsid w:val="003C439A"/>
    <w:rsid w:val="003C4483"/>
    <w:rsid w:val="003C4775"/>
    <w:rsid w:val="003C495E"/>
    <w:rsid w:val="003C5542"/>
    <w:rsid w:val="003C5A30"/>
    <w:rsid w:val="003C5BB6"/>
    <w:rsid w:val="003C5BDE"/>
    <w:rsid w:val="003C5C4A"/>
    <w:rsid w:val="003C5CB7"/>
    <w:rsid w:val="003C6069"/>
    <w:rsid w:val="003C6AF4"/>
    <w:rsid w:val="003C6D47"/>
    <w:rsid w:val="003C6D7A"/>
    <w:rsid w:val="003C7784"/>
    <w:rsid w:val="003C7944"/>
    <w:rsid w:val="003C7C15"/>
    <w:rsid w:val="003C7D19"/>
    <w:rsid w:val="003C7D2F"/>
    <w:rsid w:val="003C7E54"/>
    <w:rsid w:val="003D01F2"/>
    <w:rsid w:val="003D0533"/>
    <w:rsid w:val="003D0BEB"/>
    <w:rsid w:val="003D0C5A"/>
    <w:rsid w:val="003D143F"/>
    <w:rsid w:val="003D171D"/>
    <w:rsid w:val="003D1828"/>
    <w:rsid w:val="003D1A66"/>
    <w:rsid w:val="003D1DE4"/>
    <w:rsid w:val="003D1E9A"/>
    <w:rsid w:val="003D1F9C"/>
    <w:rsid w:val="003D207A"/>
    <w:rsid w:val="003D2422"/>
    <w:rsid w:val="003D27EE"/>
    <w:rsid w:val="003D2B39"/>
    <w:rsid w:val="003D3555"/>
    <w:rsid w:val="003D365B"/>
    <w:rsid w:val="003D39A1"/>
    <w:rsid w:val="003D3A72"/>
    <w:rsid w:val="003D3FBF"/>
    <w:rsid w:val="003D4A30"/>
    <w:rsid w:val="003D4ACE"/>
    <w:rsid w:val="003D5066"/>
    <w:rsid w:val="003D52F8"/>
    <w:rsid w:val="003D5335"/>
    <w:rsid w:val="003D5D7C"/>
    <w:rsid w:val="003D6B2F"/>
    <w:rsid w:val="003D7452"/>
    <w:rsid w:val="003D752E"/>
    <w:rsid w:val="003D79BB"/>
    <w:rsid w:val="003D7C98"/>
    <w:rsid w:val="003D7D9D"/>
    <w:rsid w:val="003E02EF"/>
    <w:rsid w:val="003E0543"/>
    <w:rsid w:val="003E092D"/>
    <w:rsid w:val="003E094E"/>
    <w:rsid w:val="003E0E90"/>
    <w:rsid w:val="003E1BEF"/>
    <w:rsid w:val="003E1E11"/>
    <w:rsid w:val="003E25AE"/>
    <w:rsid w:val="003E2990"/>
    <w:rsid w:val="003E2D46"/>
    <w:rsid w:val="003E40E2"/>
    <w:rsid w:val="003E484C"/>
    <w:rsid w:val="003E4C15"/>
    <w:rsid w:val="003E548D"/>
    <w:rsid w:val="003E54CA"/>
    <w:rsid w:val="003E5603"/>
    <w:rsid w:val="003E5A63"/>
    <w:rsid w:val="003E5B8B"/>
    <w:rsid w:val="003E68D6"/>
    <w:rsid w:val="003E6B14"/>
    <w:rsid w:val="003E7262"/>
    <w:rsid w:val="003E749E"/>
    <w:rsid w:val="003E7770"/>
    <w:rsid w:val="003E7A58"/>
    <w:rsid w:val="003E7B28"/>
    <w:rsid w:val="003F04BB"/>
    <w:rsid w:val="003F04E5"/>
    <w:rsid w:val="003F05AA"/>
    <w:rsid w:val="003F1D05"/>
    <w:rsid w:val="003F20DC"/>
    <w:rsid w:val="003F2B71"/>
    <w:rsid w:val="003F2BD5"/>
    <w:rsid w:val="003F2C25"/>
    <w:rsid w:val="003F2E09"/>
    <w:rsid w:val="003F3355"/>
    <w:rsid w:val="003F3618"/>
    <w:rsid w:val="003F36B3"/>
    <w:rsid w:val="003F38FA"/>
    <w:rsid w:val="003F3B1A"/>
    <w:rsid w:val="003F3D97"/>
    <w:rsid w:val="003F3E9E"/>
    <w:rsid w:val="003F4156"/>
    <w:rsid w:val="003F4225"/>
    <w:rsid w:val="003F42A6"/>
    <w:rsid w:val="003F4D30"/>
    <w:rsid w:val="003F4DFB"/>
    <w:rsid w:val="003F5127"/>
    <w:rsid w:val="003F5ADF"/>
    <w:rsid w:val="003F66C2"/>
    <w:rsid w:val="003F67ED"/>
    <w:rsid w:val="003F7870"/>
    <w:rsid w:val="003F7D14"/>
    <w:rsid w:val="0040050E"/>
    <w:rsid w:val="00400B29"/>
    <w:rsid w:val="00400E2C"/>
    <w:rsid w:val="0040167D"/>
    <w:rsid w:val="00401B97"/>
    <w:rsid w:val="00401CE0"/>
    <w:rsid w:val="0040227E"/>
    <w:rsid w:val="00402812"/>
    <w:rsid w:val="0040283E"/>
    <w:rsid w:val="00402F54"/>
    <w:rsid w:val="004031F6"/>
    <w:rsid w:val="004039A7"/>
    <w:rsid w:val="00403A52"/>
    <w:rsid w:val="00403E45"/>
    <w:rsid w:val="00404847"/>
    <w:rsid w:val="00404AD1"/>
    <w:rsid w:val="00404FE2"/>
    <w:rsid w:val="0040504B"/>
    <w:rsid w:val="00405296"/>
    <w:rsid w:val="004053F8"/>
    <w:rsid w:val="004059F4"/>
    <w:rsid w:val="00405A94"/>
    <w:rsid w:val="00405AAB"/>
    <w:rsid w:val="00405AAD"/>
    <w:rsid w:val="0040683D"/>
    <w:rsid w:val="00406DF6"/>
    <w:rsid w:val="0040717C"/>
    <w:rsid w:val="00407705"/>
    <w:rsid w:val="004079C2"/>
    <w:rsid w:val="00407CBC"/>
    <w:rsid w:val="00407E8D"/>
    <w:rsid w:val="00407FE5"/>
    <w:rsid w:val="004101B0"/>
    <w:rsid w:val="00410326"/>
    <w:rsid w:val="00410348"/>
    <w:rsid w:val="00410708"/>
    <w:rsid w:val="00410EC7"/>
    <w:rsid w:val="004116EA"/>
    <w:rsid w:val="0041184A"/>
    <w:rsid w:val="00411B39"/>
    <w:rsid w:val="00411F50"/>
    <w:rsid w:val="004127A7"/>
    <w:rsid w:val="004127A9"/>
    <w:rsid w:val="00412DA5"/>
    <w:rsid w:val="004134BD"/>
    <w:rsid w:val="00413642"/>
    <w:rsid w:val="00413A1E"/>
    <w:rsid w:val="00413AD8"/>
    <w:rsid w:val="00414476"/>
    <w:rsid w:val="00414C2E"/>
    <w:rsid w:val="00414DE4"/>
    <w:rsid w:val="004151CF"/>
    <w:rsid w:val="0041526D"/>
    <w:rsid w:val="00415856"/>
    <w:rsid w:val="004158F8"/>
    <w:rsid w:val="0041599B"/>
    <w:rsid w:val="00416125"/>
    <w:rsid w:val="00416364"/>
    <w:rsid w:val="004163BD"/>
    <w:rsid w:val="004163F8"/>
    <w:rsid w:val="004173BC"/>
    <w:rsid w:val="00417D28"/>
    <w:rsid w:val="00417ED5"/>
    <w:rsid w:val="0042047F"/>
    <w:rsid w:val="00420AA6"/>
    <w:rsid w:val="00420B9F"/>
    <w:rsid w:val="00420BB8"/>
    <w:rsid w:val="00420E8D"/>
    <w:rsid w:val="00421689"/>
    <w:rsid w:val="0042192C"/>
    <w:rsid w:val="00421B3B"/>
    <w:rsid w:val="00421C1A"/>
    <w:rsid w:val="00422260"/>
    <w:rsid w:val="00422843"/>
    <w:rsid w:val="004229B3"/>
    <w:rsid w:val="00422B67"/>
    <w:rsid w:val="00422BAF"/>
    <w:rsid w:val="004232D3"/>
    <w:rsid w:val="00423AB8"/>
    <w:rsid w:val="00423FFA"/>
    <w:rsid w:val="0042413F"/>
    <w:rsid w:val="00424B9A"/>
    <w:rsid w:val="00425082"/>
    <w:rsid w:val="004254CE"/>
    <w:rsid w:val="004259B5"/>
    <w:rsid w:val="004260DD"/>
    <w:rsid w:val="0042652C"/>
    <w:rsid w:val="004269D5"/>
    <w:rsid w:val="00427191"/>
    <w:rsid w:val="004271A4"/>
    <w:rsid w:val="004273AC"/>
    <w:rsid w:val="00427798"/>
    <w:rsid w:val="004277D2"/>
    <w:rsid w:val="00430674"/>
    <w:rsid w:val="00430D6A"/>
    <w:rsid w:val="0043167E"/>
    <w:rsid w:val="004317F7"/>
    <w:rsid w:val="004319F8"/>
    <w:rsid w:val="00431E55"/>
    <w:rsid w:val="00431EC2"/>
    <w:rsid w:val="0043204F"/>
    <w:rsid w:val="004321F6"/>
    <w:rsid w:val="00433044"/>
    <w:rsid w:val="0043347D"/>
    <w:rsid w:val="00433764"/>
    <w:rsid w:val="00434088"/>
    <w:rsid w:val="0043439D"/>
    <w:rsid w:val="00434ADB"/>
    <w:rsid w:val="00434BD7"/>
    <w:rsid w:val="004351E1"/>
    <w:rsid w:val="004375B9"/>
    <w:rsid w:val="0044077C"/>
    <w:rsid w:val="00440F10"/>
    <w:rsid w:val="004410AB"/>
    <w:rsid w:val="004428D0"/>
    <w:rsid w:val="004428E2"/>
    <w:rsid w:val="00442E69"/>
    <w:rsid w:val="00442F8C"/>
    <w:rsid w:val="00443032"/>
    <w:rsid w:val="00444185"/>
    <w:rsid w:val="0044428A"/>
    <w:rsid w:val="004443A7"/>
    <w:rsid w:val="0044442C"/>
    <w:rsid w:val="004449C4"/>
    <w:rsid w:val="00444A72"/>
    <w:rsid w:val="00444C8B"/>
    <w:rsid w:val="00445071"/>
    <w:rsid w:val="0044588F"/>
    <w:rsid w:val="00445941"/>
    <w:rsid w:val="00445D6D"/>
    <w:rsid w:val="004460CC"/>
    <w:rsid w:val="00446449"/>
    <w:rsid w:val="004464EB"/>
    <w:rsid w:val="0044678E"/>
    <w:rsid w:val="00446955"/>
    <w:rsid w:val="0044719E"/>
    <w:rsid w:val="00447619"/>
    <w:rsid w:val="00447995"/>
    <w:rsid w:val="00447C84"/>
    <w:rsid w:val="00447D26"/>
    <w:rsid w:val="00447D47"/>
    <w:rsid w:val="00447DFC"/>
    <w:rsid w:val="00447F9F"/>
    <w:rsid w:val="0045018E"/>
    <w:rsid w:val="00451BB3"/>
    <w:rsid w:val="00451D8E"/>
    <w:rsid w:val="00451D9F"/>
    <w:rsid w:val="00451E10"/>
    <w:rsid w:val="00452A57"/>
    <w:rsid w:val="00452D2A"/>
    <w:rsid w:val="00452DFD"/>
    <w:rsid w:val="00453DE7"/>
    <w:rsid w:val="004548BE"/>
    <w:rsid w:val="0045490D"/>
    <w:rsid w:val="00454B76"/>
    <w:rsid w:val="00454E34"/>
    <w:rsid w:val="004550AF"/>
    <w:rsid w:val="004559FA"/>
    <w:rsid w:val="00455A34"/>
    <w:rsid w:val="00455B0C"/>
    <w:rsid w:val="00455D45"/>
    <w:rsid w:val="0045676A"/>
    <w:rsid w:val="00456780"/>
    <w:rsid w:val="00456C40"/>
    <w:rsid w:val="00456D03"/>
    <w:rsid w:val="00456DB4"/>
    <w:rsid w:val="00457C9A"/>
    <w:rsid w:val="00457E55"/>
    <w:rsid w:val="00457F5A"/>
    <w:rsid w:val="00460067"/>
    <w:rsid w:val="0046042D"/>
    <w:rsid w:val="00460D8E"/>
    <w:rsid w:val="00460F5E"/>
    <w:rsid w:val="00461727"/>
    <w:rsid w:val="00462375"/>
    <w:rsid w:val="00463924"/>
    <w:rsid w:val="00463FE5"/>
    <w:rsid w:val="00464408"/>
    <w:rsid w:val="00464595"/>
    <w:rsid w:val="00464A71"/>
    <w:rsid w:val="00465253"/>
    <w:rsid w:val="0046570C"/>
    <w:rsid w:val="004658B5"/>
    <w:rsid w:val="004662DD"/>
    <w:rsid w:val="00466DED"/>
    <w:rsid w:val="00467269"/>
    <w:rsid w:val="00467D44"/>
    <w:rsid w:val="004700D4"/>
    <w:rsid w:val="00470128"/>
    <w:rsid w:val="00470714"/>
    <w:rsid w:val="00470D58"/>
    <w:rsid w:val="00470EBF"/>
    <w:rsid w:val="0047126A"/>
    <w:rsid w:val="004712EC"/>
    <w:rsid w:val="004718E6"/>
    <w:rsid w:val="00471E3A"/>
    <w:rsid w:val="00471EA5"/>
    <w:rsid w:val="00472229"/>
    <w:rsid w:val="00472A2A"/>
    <w:rsid w:val="00472A79"/>
    <w:rsid w:val="00473F19"/>
    <w:rsid w:val="004742D7"/>
    <w:rsid w:val="0047564F"/>
    <w:rsid w:val="004758C0"/>
    <w:rsid w:val="00475BDD"/>
    <w:rsid w:val="00475D76"/>
    <w:rsid w:val="00475E22"/>
    <w:rsid w:val="00476026"/>
    <w:rsid w:val="004765F8"/>
    <w:rsid w:val="0047673A"/>
    <w:rsid w:val="00477664"/>
    <w:rsid w:val="00477688"/>
    <w:rsid w:val="00477E79"/>
    <w:rsid w:val="00477F03"/>
    <w:rsid w:val="00477FFC"/>
    <w:rsid w:val="00480139"/>
    <w:rsid w:val="004801AC"/>
    <w:rsid w:val="0048088E"/>
    <w:rsid w:val="004808C7"/>
    <w:rsid w:val="00480984"/>
    <w:rsid w:val="00480DD5"/>
    <w:rsid w:val="00480F2B"/>
    <w:rsid w:val="004821CF"/>
    <w:rsid w:val="004823B0"/>
    <w:rsid w:val="00482720"/>
    <w:rsid w:val="0048291B"/>
    <w:rsid w:val="004829A7"/>
    <w:rsid w:val="00482CC6"/>
    <w:rsid w:val="00483150"/>
    <w:rsid w:val="0048359C"/>
    <w:rsid w:val="004835E7"/>
    <w:rsid w:val="00483CC0"/>
    <w:rsid w:val="00483CD3"/>
    <w:rsid w:val="004845C6"/>
    <w:rsid w:val="00484635"/>
    <w:rsid w:val="004847D6"/>
    <w:rsid w:val="004848EF"/>
    <w:rsid w:val="00484A43"/>
    <w:rsid w:val="00484B9C"/>
    <w:rsid w:val="004851B6"/>
    <w:rsid w:val="0048576B"/>
    <w:rsid w:val="004859E1"/>
    <w:rsid w:val="00485ABB"/>
    <w:rsid w:val="00485E6C"/>
    <w:rsid w:val="004861CA"/>
    <w:rsid w:val="00486386"/>
    <w:rsid w:val="00486684"/>
    <w:rsid w:val="004867E2"/>
    <w:rsid w:val="00486B4E"/>
    <w:rsid w:val="004874C5"/>
    <w:rsid w:val="00487A4B"/>
    <w:rsid w:val="00487D29"/>
    <w:rsid w:val="00490B17"/>
    <w:rsid w:val="00491330"/>
    <w:rsid w:val="00491B3A"/>
    <w:rsid w:val="00491C88"/>
    <w:rsid w:val="004926C0"/>
    <w:rsid w:val="004929C2"/>
    <w:rsid w:val="00492B37"/>
    <w:rsid w:val="00492CFD"/>
    <w:rsid w:val="004935C2"/>
    <w:rsid w:val="004938F4"/>
    <w:rsid w:val="00493A71"/>
    <w:rsid w:val="00494207"/>
    <w:rsid w:val="004947EF"/>
    <w:rsid w:val="00494DD5"/>
    <w:rsid w:val="00494F9D"/>
    <w:rsid w:val="004953F3"/>
    <w:rsid w:val="0049540C"/>
    <w:rsid w:val="00495C3B"/>
    <w:rsid w:val="00495D1D"/>
    <w:rsid w:val="00495F61"/>
    <w:rsid w:val="00496036"/>
    <w:rsid w:val="004962D2"/>
    <w:rsid w:val="00496320"/>
    <w:rsid w:val="004964E5"/>
    <w:rsid w:val="00496EA7"/>
    <w:rsid w:val="00496EB8"/>
    <w:rsid w:val="00497D30"/>
    <w:rsid w:val="00497D82"/>
    <w:rsid w:val="004A0271"/>
    <w:rsid w:val="004A05F9"/>
    <w:rsid w:val="004A08FD"/>
    <w:rsid w:val="004A0941"/>
    <w:rsid w:val="004A0DA1"/>
    <w:rsid w:val="004A13D6"/>
    <w:rsid w:val="004A15CE"/>
    <w:rsid w:val="004A1782"/>
    <w:rsid w:val="004A1F42"/>
    <w:rsid w:val="004A2196"/>
    <w:rsid w:val="004A293B"/>
    <w:rsid w:val="004A2A82"/>
    <w:rsid w:val="004A385E"/>
    <w:rsid w:val="004A3A28"/>
    <w:rsid w:val="004A3A88"/>
    <w:rsid w:val="004A3AF6"/>
    <w:rsid w:val="004A3C29"/>
    <w:rsid w:val="004A3ED3"/>
    <w:rsid w:val="004A49CA"/>
    <w:rsid w:val="004A52E9"/>
    <w:rsid w:val="004A5478"/>
    <w:rsid w:val="004A5664"/>
    <w:rsid w:val="004A5683"/>
    <w:rsid w:val="004A5ADD"/>
    <w:rsid w:val="004A6040"/>
    <w:rsid w:val="004A62DF"/>
    <w:rsid w:val="004A6597"/>
    <w:rsid w:val="004A6D32"/>
    <w:rsid w:val="004A7394"/>
    <w:rsid w:val="004A7848"/>
    <w:rsid w:val="004A793B"/>
    <w:rsid w:val="004A7E2E"/>
    <w:rsid w:val="004A7EB9"/>
    <w:rsid w:val="004A7FD5"/>
    <w:rsid w:val="004B014A"/>
    <w:rsid w:val="004B1226"/>
    <w:rsid w:val="004B1583"/>
    <w:rsid w:val="004B173E"/>
    <w:rsid w:val="004B1CB4"/>
    <w:rsid w:val="004B1E8A"/>
    <w:rsid w:val="004B1FC6"/>
    <w:rsid w:val="004B2E03"/>
    <w:rsid w:val="004B2F18"/>
    <w:rsid w:val="004B3C08"/>
    <w:rsid w:val="004B3DDB"/>
    <w:rsid w:val="004B431D"/>
    <w:rsid w:val="004B44FD"/>
    <w:rsid w:val="004B4E29"/>
    <w:rsid w:val="004B52DC"/>
    <w:rsid w:val="004B5CFC"/>
    <w:rsid w:val="004B5D2E"/>
    <w:rsid w:val="004B607D"/>
    <w:rsid w:val="004B6672"/>
    <w:rsid w:val="004B6F79"/>
    <w:rsid w:val="004B75FA"/>
    <w:rsid w:val="004B774D"/>
    <w:rsid w:val="004B7A11"/>
    <w:rsid w:val="004B7DB7"/>
    <w:rsid w:val="004C0242"/>
    <w:rsid w:val="004C02CB"/>
    <w:rsid w:val="004C05CB"/>
    <w:rsid w:val="004C0B89"/>
    <w:rsid w:val="004C1504"/>
    <w:rsid w:val="004C1DC9"/>
    <w:rsid w:val="004C2205"/>
    <w:rsid w:val="004C2472"/>
    <w:rsid w:val="004C2AC2"/>
    <w:rsid w:val="004C2CB6"/>
    <w:rsid w:val="004C2E53"/>
    <w:rsid w:val="004C3088"/>
    <w:rsid w:val="004C351C"/>
    <w:rsid w:val="004C3B02"/>
    <w:rsid w:val="004C3B14"/>
    <w:rsid w:val="004C3BCE"/>
    <w:rsid w:val="004C41A3"/>
    <w:rsid w:val="004C477B"/>
    <w:rsid w:val="004C4991"/>
    <w:rsid w:val="004C4A1D"/>
    <w:rsid w:val="004C4AED"/>
    <w:rsid w:val="004C51E6"/>
    <w:rsid w:val="004C5DB2"/>
    <w:rsid w:val="004C5E90"/>
    <w:rsid w:val="004C6ED8"/>
    <w:rsid w:val="004C76B0"/>
    <w:rsid w:val="004C76DA"/>
    <w:rsid w:val="004C7749"/>
    <w:rsid w:val="004C7783"/>
    <w:rsid w:val="004C7E3C"/>
    <w:rsid w:val="004D03C8"/>
    <w:rsid w:val="004D0498"/>
    <w:rsid w:val="004D0765"/>
    <w:rsid w:val="004D0C53"/>
    <w:rsid w:val="004D14EA"/>
    <w:rsid w:val="004D1503"/>
    <w:rsid w:val="004D19ED"/>
    <w:rsid w:val="004D1E72"/>
    <w:rsid w:val="004D222B"/>
    <w:rsid w:val="004D2685"/>
    <w:rsid w:val="004D27A2"/>
    <w:rsid w:val="004D282F"/>
    <w:rsid w:val="004D2C2D"/>
    <w:rsid w:val="004D2D35"/>
    <w:rsid w:val="004D34F0"/>
    <w:rsid w:val="004D36AE"/>
    <w:rsid w:val="004D4414"/>
    <w:rsid w:val="004D51B0"/>
    <w:rsid w:val="004D53DD"/>
    <w:rsid w:val="004D563E"/>
    <w:rsid w:val="004D6192"/>
    <w:rsid w:val="004D6792"/>
    <w:rsid w:val="004D69B5"/>
    <w:rsid w:val="004D6D68"/>
    <w:rsid w:val="004D711D"/>
    <w:rsid w:val="004D7227"/>
    <w:rsid w:val="004D72EE"/>
    <w:rsid w:val="004D7AA0"/>
    <w:rsid w:val="004D7B5E"/>
    <w:rsid w:val="004E0639"/>
    <w:rsid w:val="004E0BC7"/>
    <w:rsid w:val="004E0E7F"/>
    <w:rsid w:val="004E0EB8"/>
    <w:rsid w:val="004E1288"/>
    <w:rsid w:val="004E1572"/>
    <w:rsid w:val="004E18E9"/>
    <w:rsid w:val="004E1979"/>
    <w:rsid w:val="004E19AA"/>
    <w:rsid w:val="004E1C01"/>
    <w:rsid w:val="004E1DA8"/>
    <w:rsid w:val="004E20A2"/>
    <w:rsid w:val="004E29CD"/>
    <w:rsid w:val="004E29FF"/>
    <w:rsid w:val="004E2ADC"/>
    <w:rsid w:val="004E2C62"/>
    <w:rsid w:val="004E38C1"/>
    <w:rsid w:val="004E3C8C"/>
    <w:rsid w:val="004E43B2"/>
    <w:rsid w:val="004E447C"/>
    <w:rsid w:val="004E49EC"/>
    <w:rsid w:val="004E5515"/>
    <w:rsid w:val="004E6411"/>
    <w:rsid w:val="004E659D"/>
    <w:rsid w:val="004E690F"/>
    <w:rsid w:val="004E70EA"/>
    <w:rsid w:val="004E7559"/>
    <w:rsid w:val="004E7DCF"/>
    <w:rsid w:val="004F017D"/>
    <w:rsid w:val="004F0415"/>
    <w:rsid w:val="004F0501"/>
    <w:rsid w:val="004F068B"/>
    <w:rsid w:val="004F1413"/>
    <w:rsid w:val="004F1539"/>
    <w:rsid w:val="004F161F"/>
    <w:rsid w:val="004F18E8"/>
    <w:rsid w:val="004F1D02"/>
    <w:rsid w:val="004F1EBA"/>
    <w:rsid w:val="004F20F2"/>
    <w:rsid w:val="004F2679"/>
    <w:rsid w:val="004F2B05"/>
    <w:rsid w:val="004F2F21"/>
    <w:rsid w:val="004F32D1"/>
    <w:rsid w:val="004F37DA"/>
    <w:rsid w:val="004F3DE5"/>
    <w:rsid w:val="004F4842"/>
    <w:rsid w:val="004F4E6D"/>
    <w:rsid w:val="004F5704"/>
    <w:rsid w:val="004F5725"/>
    <w:rsid w:val="004F606B"/>
    <w:rsid w:val="004F6913"/>
    <w:rsid w:val="004F6B60"/>
    <w:rsid w:val="004F7181"/>
    <w:rsid w:val="004F742E"/>
    <w:rsid w:val="004F74A3"/>
    <w:rsid w:val="004F7865"/>
    <w:rsid w:val="004F7D03"/>
    <w:rsid w:val="005000F5"/>
    <w:rsid w:val="00500B46"/>
    <w:rsid w:val="00500F46"/>
    <w:rsid w:val="00501215"/>
    <w:rsid w:val="0050145E"/>
    <w:rsid w:val="0050174E"/>
    <w:rsid w:val="00501803"/>
    <w:rsid w:val="00501854"/>
    <w:rsid w:val="00501AD9"/>
    <w:rsid w:val="00501ADD"/>
    <w:rsid w:val="00502071"/>
    <w:rsid w:val="0050219B"/>
    <w:rsid w:val="00502407"/>
    <w:rsid w:val="0050271C"/>
    <w:rsid w:val="0050372F"/>
    <w:rsid w:val="00503E32"/>
    <w:rsid w:val="00503F17"/>
    <w:rsid w:val="00503F3A"/>
    <w:rsid w:val="00504445"/>
    <w:rsid w:val="00504A3F"/>
    <w:rsid w:val="00505714"/>
    <w:rsid w:val="00505C5F"/>
    <w:rsid w:val="00506928"/>
    <w:rsid w:val="00506A47"/>
    <w:rsid w:val="00506AB2"/>
    <w:rsid w:val="00507013"/>
    <w:rsid w:val="005077EF"/>
    <w:rsid w:val="005111DE"/>
    <w:rsid w:val="00511227"/>
    <w:rsid w:val="0051177F"/>
    <w:rsid w:val="00511AD5"/>
    <w:rsid w:val="00511DC7"/>
    <w:rsid w:val="0051229E"/>
    <w:rsid w:val="00512E77"/>
    <w:rsid w:val="00512F32"/>
    <w:rsid w:val="0051318E"/>
    <w:rsid w:val="005132E7"/>
    <w:rsid w:val="0051349E"/>
    <w:rsid w:val="0051391D"/>
    <w:rsid w:val="00513EF5"/>
    <w:rsid w:val="00513FA4"/>
    <w:rsid w:val="00514177"/>
    <w:rsid w:val="005142C5"/>
    <w:rsid w:val="005144C9"/>
    <w:rsid w:val="00514C87"/>
    <w:rsid w:val="0051501B"/>
    <w:rsid w:val="005152B5"/>
    <w:rsid w:val="00515886"/>
    <w:rsid w:val="00516515"/>
    <w:rsid w:val="005165CC"/>
    <w:rsid w:val="00516A70"/>
    <w:rsid w:val="00517A88"/>
    <w:rsid w:val="0052123C"/>
    <w:rsid w:val="00521319"/>
    <w:rsid w:val="00521706"/>
    <w:rsid w:val="005224CD"/>
    <w:rsid w:val="0052275D"/>
    <w:rsid w:val="00522AAB"/>
    <w:rsid w:val="00522BC8"/>
    <w:rsid w:val="005234D4"/>
    <w:rsid w:val="00523719"/>
    <w:rsid w:val="00523C28"/>
    <w:rsid w:val="00523E94"/>
    <w:rsid w:val="005240C0"/>
    <w:rsid w:val="00524627"/>
    <w:rsid w:val="00524E2E"/>
    <w:rsid w:val="00524F60"/>
    <w:rsid w:val="00524FF0"/>
    <w:rsid w:val="00525188"/>
    <w:rsid w:val="005255D4"/>
    <w:rsid w:val="00525751"/>
    <w:rsid w:val="00525EB7"/>
    <w:rsid w:val="00526576"/>
    <w:rsid w:val="00526806"/>
    <w:rsid w:val="00526E47"/>
    <w:rsid w:val="00527C88"/>
    <w:rsid w:val="00527CE1"/>
    <w:rsid w:val="00530E1A"/>
    <w:rsid w:val="00530F8D"/>
    <w:rsid w:val="0053176B"/>
    <w:rsid w:val="00533485"/>
    <w:rsid w:val="00533BE3"/>
    <w:rsid w:val="005341B3"/>
    <w:rsid w:val="00534400"/>
    <w:rsid w:val="005357C9"/>
    <w:rsid w:val="00536885"/>
    <w:rsid w:val="00536D78"/>
    <w:rsid w:val="00536F07"/>
    <w:rsid w:val="00536F42"/>
    <w:rsid w:val="00537182"/>
    <w:rsid w:val="005378F0"/>
    <w:rsid w:val="00540ED9"/>
    <w:rsid w:val="00541053"/>
    <w:rsid w:val="0054126E"/>
    <w:rsid w:val="005413C5"/>
    <w:rsid w:val="00541511"/>
    <w:rsid w:val="00541EDD"/>
    <w:rsid w:val="00542733"/>
    <w:rsid w:val="00542743"/>
    <w:rsid w:val="00542C2D"/>
    <w:rsid w:val="005434BA"/>
    <w:rsid w:val="00543CE8"/>
    <w:rsid w:val="00543DA5"/>
    <w:rsid w:val="00544325"/>
    <w:rsid w:val="0054449B"/>
    <w:rsid w:val="00544587"/>
    <w:rsid w:val="005449C2"/>
    <w:rsid w:val="00544A5F"/>
    <w:rsid w:val="0054595A"/>
    <w:rsid w:val="00546556"/>
    <w:rsid w:val="0054686E"/>
    <w:rsid w:val="005478BD"/>
    <w:rsid w:val="005479E3"/>
    <w:rsid w:val="00550109"/>
    <w:rsid w:val="00550544"/>
    <w:rsid w:val="00551985"/>
    <w:rsid w:val="00551EBB"/>
    <w:rsid w:val="00552123"/>
    <w:rsid w:val="00552BD3"/>
    <w:rsid w:val="0055321C"/>
    <w:rsid w:val="005532A0"/>
    <w:rsid w:val="0055353F"/>
    <w:rsid w:val="00553944"/>
    <w:rsid w:val="005539B5"/>
    <w:rsid w:val="00553A73"/>
    <w:rsid w:val="00553B0B"/>
    <w:rsid w:val="0055469D"/>
    <w:rsid w:val="00554A3C"/>
    <w:rsid w:val="005550D5"/>
    <w:rsid w:val="00555109"/>
    <w:rsid w:val="005551A9"/>
    <w:rsid w:val="00555778"/>
    <w:rsid w:val="005558D1"/>
    <w:rsid w:val="00555E89"/>
    <w:rsid w:val="00556306"/>
    <w:rsid w:val="0055630F"/>
    <w:rsid w:val="00556510"/>
    <w:rsid w:val="00556B35"/>
    <w:rsid w:val="00556DDC"/>
    <w:rsid w:val="00556E13"/>
    <w:rsid w:val="00556FCB"/>
    <w:rsid w:val="0055725C"/>
    <w:rsid w:val="0055741A"/>
    <w:rsid w:val="00557D18"/>
    <w:rsid w:val="0056033E"/>
    <w:rsid w:val="00560A45"/>
    <w:rsid w:val="00560C49"/>
    <w:rsid w:val="005611B7"/>
    <w:rsid w:val="005615F5"/>
    <w:rsid w:val="00561817"/>
    <w:rsid w:val="00561876"/>
    <w:rsid w:val="005618D4"/>
    <w:rsid w:val="005619FF"/>
    <w:rsid w:val="00561E1D"/>
    <w:rsid w:val="00562673"/>
    <w:rsid w:val="00562B60"/>
    <w:rsid w:val="00562E6F"/>
    <w:rsid w:val="00562F11"/>
    <w:rsid w:val="00562F7D"/>
    <w:rsid w:val="005633F9"/>
    <w:rsid w:val="005638AD"/>
    <w:rsid w:val="00563AF6"/>
    <w:rsid w:val="00563C17"/>
    <w:rsid w:val="00563D12"/>
    <w:rsid w:val="00564223"/>
    <w:rsid w:val="00564867"/>
    <w:rsid w:val="005649A7"/>
    <w:rsid w:val="00564C13"/>
    <w:rsid w:val="0056590A"/>
    <w:rsid w:val="00565C79"/>
    <w:rsid w:val="00565DF0"/>
    <w:rsid w:val="005663D1"/>
    <w:rsid w:val="0056690E"/>
    <w:rsid w:val="0056696F"/>
    <w:rsid w:val="00566CEC"/>
    <w:rsid w:val="00566FD3"/>
    <w:rsid w:val="00567FB6"/>
    <w:rsid w:val="0057165F"/>
    <w:rsid w:val="00571A98"/>
    <w:rsid w:val="00571B1A"/>
    <w:rsid w:val="00572269"/>
    <w:rsid w:val="0057244A"/>
    <w:rsid w:val="00572F26"/>
    <w:rsid w:val="005746EA"/>
    <w:rsid w:val="00574B85"/>
    <w:rsid w:val="00574D73"/>
    <w:rsid w:val="005750C5"/>
    <w:rsid w:val="005750F2"/>
    <w:rsid w:val="005752DE"/>
    <w:rsid w:val="0057561D"/>
    <w:rsid w:val="0057581D"/>
    <w:rsid w:val="00575D60"/>
    <w:rsid w:val="00575D8D"/>
    <w:rsid w:val="00575FA5"/>
    <w:rsid w:val="005760E1"/>
    <w:rsid w:val="00576972"/>
    <w:rsid w:val="00576B2E"/>
    <w:rsid w:val="005771D2"/>
    <w:rsid w:val="00577248"/>
    <w:rsid w:val="00577296"/>
    <w:rsid w:val="00577556"/>
    <w:rsid w:val="00577DAC"/>
    <w:rsid w:val="005802EF"/>
    <w:rsid w:val="0058054A"/>
    <w:rsid w:val="00580B58"/>
    <w:rsid w:val="00580E17"/>
    <w:rsid w:val="00581ABB"/>
    <w:rsid w:val="00581EE5"/>
    <w:rsid w:val="00582042"/>
    <w:rsid w:val="0058254D"/>
    <w:rsid w:val="00583284"/>
    <w:rsid w:val="005835FD"/>
    <w:rsid w:val="00583699"/>
    <w:rsid w:val="005839C2"/>
    <w:rsid w:val="005844BE"/>
    <w:rsid w:val="00584B16"/>
    <w:rsid w:val="00584D18"/>
    <w:rsid w:val="00585549"/>
    <w:rsid w:val="0058570F"/>
    <w:rsid w:val="00585A40"/>
    <w:rsid w:val="00585BE5"/>
    <w:rsid w:val="00585CDD"/>
    <w:rsid w:val="00585F11"/>
    <w:rsid w:val="0058646B"/>
    <w:rsid w:val="00586755"/>
    <w:rsid w:val="005869C3"/>
    <w:rsid w:val="00587058"/>
    <w:rsid w:val="00587582"/>
    <w:rsid w:val="0058758F"/>
    <w:rsid w:val="0058798B"/>
    <w:rsid w:val="00587C2F"/>
    <w:rsid w:val="005902A8"/>
    <w:rsid w:val="00590CAD"/>
    <w:rsid w:val="00591491"/>
    <w:rsid w:val="005916F7"/>
    <w:rsid w:val="0059187B"/>
    <w:rsid w:val="00591957"/>
    <w:rsid w:val="00591D90"/>
    <w:rsid w:val="005928E6"/>
    <w:rsid w:val="00592A5F"/>
    <w:rsid w:val="00592E69"/>
    <w:rsid w:val="00592F12"/>
    <w:rsid w:val="00593804"/>
    <w:rsid w:val="00593900"/>
    <w:rsid w:val="00593D17"/>
    <w:rsid w:val="00593D87"/>
    <w:rsid w:val="00594062"/>
    <w:rsid w:val="005942C8"/>
    <w:rsid w:val="0059489D"/>
    <w:rsid w:val="00595D19"/>
    <w:rsid w:val="00596248"/>
    <w:rsid w:val="00596355"/>
    <w:rsid w:val="005963F6"/>
    <w:rsid w:val="00596A58"/>
    <w:rsid w:val="00596E3B"/>
    <w:rsid w:val="00597804"/>
    <w:rsid w:val="00597B00"/>
    <w:rsid w:val="00597BEC"/>
    <w:rsid w:val="00597BF9"/>
    <w:rsid w:val="00597C3B"/>
    <w:rsid w:val="00597E5F"/>
    <w:rsid w:val="005A0086"/>
    <w:rsid w:val="005A060A"/>
    <w:rsid w:val="005A07BD"/>
    <w:rsid w:val="005A0A99"/>
    <w:rsid w:val="005A0C11"/>
    <w:rsid w:val="005A15B9"/>
    <w:rsid w:val="005A1700"/>
    <w:rsid w:val="005A2800"/>
    <w:rsid w:val="005A280A"/>
    <w:rsid w:val="005A309A"/>
    <w:rsid w:val="005A3310"/>
    <w:rsid w:val="005A373D"/>
    <w:rsid w:val="005A3B7A"/>
    <w:rsid w:val="005A42C7"/>
    <w:rsid w:val="005A4AE0"/>
    <w:rsid w:val="005A5098"/>
    <w:rsid w:val="005A587A"/>
    <w:rsid w:val="005A5BE2"/>
    <w:rsid w:val="005A603C"/>
    <w:rsid w:val="005A61DC"/>
    <w:rsid w:val="005A64DE"/>
    <w:rsid w:val="005A64E4"/>
    <w:rsid w:val="005A64FD"/>
    <w:rsid w:val="005A6650"/>
    <w:rsid w:val="005A6C8C"/>
    <w:rsid w:val="005A7322"/>
    <w:rsid w:val="005A7ED3"/>
    <w:rsid w:val="005A7EFA"/>
    <w:rsid w:val="005B0358"/>
    <w:rsid w:val="005B0B58"/>
    <w:rsid w:val="005B0B82"/>
    <w:rsid w:val="005B1CCB"/>
    <w:rsid w:val="005B2300"/>
    <w:rsid w:val="005B2399"/>
    <w:rsid w:val="005B2624"/>
    <w:rsid w:val="005B33DE"/>
    <w:rsid w:val="005B34B5"/>
    <w:rsid w:val="005B4162"/>
    <w:rsid w:val="005B4175"/>
    <w:rsid w:val="005B4E53"/>
    <w:rsid w:val="005B55A3"/>
    <w:rsid w:val="005B5857"/>
    <w:rsid w:val="005B5862"/>
    <w:rsid w:val="005B625A"/>
    <w:rsid w:val="005B647F"/>
    <w:rsid w:val="005B6BEC"/>
    <w:rsid w:val="005B6CD0"/>
    <w:rsid w:val="005B7A3A"/>
    <w:rsid w:val="005B7B1B"/>
    <w:rsid w:val="005B7E4D"/>
    <w:rsid w:val="005C0109"/>
    <w:rsid w:val="005C047E"/>
    <w:rsid w:val="005C075E"/>
    <w:rsid w:val="005C0A03"/>
    <w:rsid w:val="005C0B01"/>
    <w:rsid w:val="005C0EA6"/>
    <w:rsid w:val="005C0ED0"/>
    <w:rsid w:val="005C12B4"/>
    <w:rsid w:val="005C14E0"/>
    <w:rsid w:val="005C15A9"/>
    <w:rsid w:val="005C19C4"/>
    <w:rsid w:val="005C1B83"/>
    <w:rsid w:val="005C1CC0"/>
    <w:rsid w:val="005C22A2"/>
    <w:rsid w:val="005C25FF"/>
    <w:rsid w:val="005C2D55"/>
    <w:rsid w:val="005C346B"/>
    <w:rsid w:val="005C3E70"/>
    <w:rsid w:val="005C3EBC"/>
    <w:rsid w:val="005C4685"/>
    <w:rsid w:val="005C49E2"/>
    <w:rsid w:val="005C5309"/>
    <w:rsid w:val="005C5757"/>
    <w:rsid w:val="005C57DF"/>
    <w:rsid w:val="005C5ABC"/>
    <w:rsid w:val="005C5CD4"/>
    <w:rsid w:val="005C62E8"/>
    <w:rsid w:val="005C6998"/>
    <w:rsid w:val="005C6D23"/>
    <w:rsid w:val="005C7361"/>
    <w:rsid w:val="005C73DF"/>
    <w:rsid w:val="005C78A1"/>
    <w:rsid w:val="005C7B4A"/>
    <w:rsid w:val="005C7DFA"/>
    <w:rsid w:val="005D0098"/>
    <w:rsid w:val="005D044D"/>
    <w:rsid w:val="005D0ABD"/>
    <w:rsid w:val="005D0CF2"/>
    <w:rsid w:val="005D0E27"/>
    <w:rsid w:val="005D10C2"/>
    <w:rsid w:val="005D1256"/>
    <w:rsid w:val="005D12B0"/>
    <w:rsid w:val="005D18AD"/>
    <w:rsid w:val="005D19CF"/>
    <w:rsid w:val="005D1D52"/>
    <w:rsid w:val="005D2644"/>
    <w:rsid w:val="005D26B4"/>
    <w:rsid w:val="005D27A1"/>
    <w:rsid w:val="005D2D7C"/>
    <w:rsid w:val="005D2E7A"/>
    <w:rsid w:val="005D33AA"/>
    <w:rsid w:val="005D36C3"/>
    <w:rsid w:val="005D3B6F"/>
    <w:rsid w:val="005D4033"/>
    <w:rsid w:val="005D41ED"/>
    <w:rsid w:val="005D4493"/>
    <w:rsid w:val="005D49E0"/>
    <w:rsid w:val="005D4D78"/>
    <w:rsid w:val="005D5380"/>
    <w:rsid w:val="005D55CF"/>
    <w:rsid w:val="005D58E5"/>
    <w:rsid w:val="005D593D"/>
    <w:rsid w:val="005D59EB"/>
    <w:rsid w:val="005D627B"/>
    <w:rsid w:val="005D63D6"/>
    <w:rsid w:val="005D63E2"/>
    <w:rsid w:val="005D6640"/>
    <w:rsid w:val="005D7766"/>
    <w:rsid w:val="005D79AB"/>
    <w:rsid w:val="005D79B3"/>
    <w:rsid w:val="005D7D27"/>
    <w:rsid w:val="005D7FE3"/>
    <w:rsid w:val="005D7FE7"/>
    <w:rsid w:val="005E047A"/>
    <w:rsid w:val="005E0983"/>
    <w:rsid w:val="005E0B60"/>
    <w:rsid w:val="005E1629"/>
    <w:rsid w:val="005E1995"/>
    <w:rsid w:val="005E1A1C"/>
    <w:rsid w:val="005E273E"/>
    <w:rsid w:val="005E283B"/>
    <w:rsid w:val="005E2BD3"/>
    <w:rsid w:val="005E2CFD"/>
    <w:rsid w:val="005E329B"/>
    <w:rsid w:val="005E3319"/>
    <w:rsid w:val="005E3688"/>
    <w:rsid w:val="005E39AB"/>
    <w:rsid w:val="005E3F27"/>
    <w:rsid w:val="005E4601"/>
    <w:rsid w:val="005E4A50"/>
    <w:rsid w:val="005E4BC8"/>
    <w:rsid w:val="005E5238"/>
    <w:rsid w:val="005E5489"/>
    <w:rsid w:val="005E591C"/>
    <w:rsid w:val="005E5B4F"/>
    <w:rsid w:val="005E5D97"/>
    <w:rsid w:val="005E633B"/>
    <w:rsid w:val="005E6982"/>
    <w:rsid w:val="005E6BC6"/>
    <w:rsid w:val="005E6CBC"/>
    <w:rsid w:val="005E72FF"/>
    <w:rsid w:val="005E73C0"/>
    <w:rsid w:val="005E7AE6"/>
    <w:rsid w:val="005F006C"/>
    <w:rsid w:val="005F07ED"/>
    <w:rsid w:val="005F0E45"/>
    <w:rsid w:val="005F1BBC"/>
    <w:rsid w:val="005F1D22"/>
    <w:rsid w:val="005F2706"/>
    <w:rsid w:val="005F293A"/>
    <w:rsid w:val="005F3AB9"/>
    <w:rsid w:val="005F4262"/>
    <w:rsid w:val="005F44C8"/>
    <w:rsid w:val="005F4A6D"/>
    <w:rsid w:val="005F4C91"/>
    <w:rsid w:val="005F5006"/>
    <w:rsid w:val="005F521C"/>
    <w:rsid w:val="005F525D"/>
    <w:rsid w:val="005F5C6D"/>
    <w:rsid w:val="005F65CF"/>
    <w:rsid w:val="005F68E1"/>
    <w:rsid w:val="005F6A8F"/>
    <w:rsid w:val="005F6BB7"/>
    <w:rsid w:val="005F7588"/>
    <w:rsid w:val="005F76ED"/>
    <w:rsid w:val="005F7877"/>
    <w:rsid w:val="0060001E"/>
    <w:rsid w:val="00601356"/>
    <w:rsid w:val="00601E9B"/>
    <w:rsid w:val="00601EFF"/>
    <w:rsid w:val="00601F4A"/>
    <w:rsid w:val="00602054"/>
    <w:rsid w:val="00602128"/>
    <w:rsid w:val="006028D3"/>
    <w:rsid w:val="0060359C"/>
    <w:rsid w:val="006038F7"/>
    <w:rsid w:val="00603DB9"/>
    <w:rsid w:val="0060419F"/>
    <w:rsid w:val="00604693"/>
    <w:rsid w:val="006056A0"/>
    <w:rsid w:val="0060590E"/>
    <w:rsid w:val="0060593B"/>
    <w:rsid w:val="00606525"/>
    <w:rsid w:val="006066C4"/>
    <w:rsid w:val="00606FBA"/>
    <w:rsid w:val="006071E0"/>
    <w:rsid w:val="006075C9"/>
    <w:rsid w:val="00607638"/>
    <w:rsid w:val="00607669"/>
    <w:rsid w:val="006076F4"/>
    <w:rsid w:val="00607998"/>
    <w:rsid w:val="00607AFD"/>
    <w:rsid w:val="00610691"/>
    <w:rsid w:val="006109B5"/>
    <w:rsid w:val="00610C75"/>
    <w:rsid w:val="0061110B"/>
    <w:rsid w:val="00611224"/>
    <w:rsid w:val="0061185D"/>
    <w:rsid w:val="00611B12"/>
    <w:rsid w:val="006120CB"/>
    <w:rsid w:val="006122BE"/>
    <w:rsid w:val="00612985"/>
    <w:rsid w:val="00612F97"/>
    <w:rsid w:val="0061345D"/>
    <w:rsid w:val="00613B76"/>
    <w:rsid w:val="00613CAA"/>
    <w:rsid w:val="00613E82"/>
    <w:rsid w:val="00613EAF"/>
    <w:rsid w:val="00613ED7"/>
    <w:rsid w:val="00614083"/>
    <w:rsid w:val="00614136"/>
    <w:rsid w:val="00614727"/>
    <w:rsid w:val="00614B5C"/>
    <w:rsid w:val="0061549B"/>
    <w:rsid w:val="006157E7"/>
    <w:rsid w:val="006158B6"/>
    <w:rsid w:val="00615994"/>
    <w:rsid w:val="00615AB3"/>
    <w:rsid w:val="00615C2E"/>
    <w:rsid w:val="006161AF"/>
    <w:rsid w:val="006165A7"/>
    <w:rsid w:val="00616802"/>
    <w:rsid w:val="0061685F"/>
    <w:rsid w:val="006168A4"/>
    <w:rsid w:val="0061691F"/>
    <w:rsid w:val="00616A55"/>
    <w:rsid w:val="006170C7"/>
    <w:rsid w:val="006174CC"/>
    <w:rsid w:val="006174CD"/>
    <w:rsid w:val="00617864"/>
    <w:rsid w:val="00617E12"/>
    <w:rsid w:val="006200FF"/>
    <w:rsid w:val="00620366"/>
    <w:rsid w:val="006206FC"/>
    <w:rsid w:val="00620C25"/>
    <w:rsid w:val="00621162"/>
    <w:rsid w:val="00621477"/>
    <w:rsid w:val="00621799"/>
    <w:rsid w:val="006219C3"/>
    <w:rsid w:val="00621ADA"/>
    <w:rsid w:val="0062214D"/>
    <w:rsid w:val="0062247A"/>
    <w:rsid w:val="00622A95"/>
    <w:rsid w:val="0062349A"/>
    <w:rsid w:val="00623F7B"/>
    <w:rsid w:val="006248A1"/>
    <w:rsid w:val="00624BD4"/>
    <w:rsid w:val="00624ED3"/>
    <w:rsid w:val="006250E2"/>
    <w:rsid w:val="006254C1"/>
    <w:rsid w:val="0062597A"/>
    <w:rsid w:val="00625A3B"/>
    <w:rsid w:val="0062607F"/>
    <w:rsid w:val="00626C85"/>
    <w:rsid w:val="00627521"/>
    <w:rsid w:val="006275F9"/>
    <w:rsid w:val="006303C2"/>
    <w:rsid w:val="006312EA"/>
    <w:rsid w:val="0063158F"/>
    <w:rsid w:val="00631D6B"/>
    <w:rsid w:val="00631EF7"/>
    <w:rsid w:val="00632183"/>
    <w:rsid w:val="006322C2"/>
    <w:rsid w:val="00632694"/>
    <w:rsid w:val="006328BE"/>
    <w:rsid w:val="00632910"/>
    <w:rsid w:val="00632B4D"/>
    <w:rsid w:val="00632F32"/>
    <w:rsid w:val="00633009"/>
    <w:rsid w:val="00633049"/>
    <w:rsid w:val="006330A1"/>
    <w:rsid w:val="006332E0"/>
    <w:rsid w:val="00633B47"/>
    <w:rsid w:val="00633F2A"/>
    <w:rsid w:val="0063479F"/>
    <w:rsid w:val="00634961"/>
    <w:rsid w:val="00634F56"/>
    <w:rsid w:val="00635371"/>
    <w:rsid w:val="006353F0"/>
    <w:rsid w:val="006357B5"/>
    <w:rsid w:val="006361F1"/>
    <w:rsid w:val="00636264"/>
    <w:rsid w:val="006364A1"/>
    <w:rsid w:val="0063678E"/>
    <w:rsid w:val="00636A5D"/>
    <w:rsid w:val="00636AE0"/>
    <w:rsid w:val="00636C0C"/>
    <w:rsid w:val="00636EA0"/>
    <w:rsid w:val="00637734"/>
    <w:rsid w:val="00637BFD"/>
    <w:rsid w:val="00637C5C"/>
    <w:rsid w:val="00640845"/>
    <w:rsid w:val="00640B70"/>
    <w:rsid w:val="00640F3B"/>
    <w:rsid w:val="006412C5"/>
    <w:rsid w:val="006415DB"/>
    <w:rsid w:val="00641C4E"/>
    <w:rsid w:val="00641C83"/>
    <w:rsid w:val="00641F4D"/>
    <w:rsid w:val="00641FB3"/>
    <w:rsid w:val="006425F7"/>
    <w:rsid w:val="006427D8"/>
    <w:rsid w:val="006430D5"/>
    <w:rsid w:val="00643A41"/>
    <w:rsid w:val="00643D0C"/>
    <w:rsid w:val="00643DFF"/>
    <w:rsid w:val="00644233"/>
    <w:rsid w:val="00644343"/>
    <w:rsid w:val="0064434C"/>
    <w:rsid w:val="006449AB"/>
    <w:rsid w:val="00644C98"/>
    <w:rsid w:val="006452FC"/>
    <w:rsid w:val="0064532F"/>
    <w:rsid w:val="006455A1"/>
    <w:rsid w:val="00645818"/>
    <w:rsid w:val="00646120"/>
    <w:rsid w:val="006461EA"/>
    <w:rsid w:val="0064699A"/>
    <w:rsid w:val="00646A2F"/>
    <w:rsid w:val="006471CC"/>
    <w:rsid w:val="006472FE"/>
    <w:rsid w:val="006473A8"/>
    <w:rsid w:val="006475A7"/>
    <w:rsid w:val="00647A29"/>
    <w:rsid w:val="00650415"/>
    <w:rsid w:val="0065079F"/>
    <w:rsid w:val="00650C4F"/>
    <w:rsid w:val="00651141"/>
    <w:rsid w:val="006512DB"/>
    <w:rsid w:val="00651D3B"/>
    <w:rsid w:val="00651F9E"/>
    <w:rsid w:val="00652221"/>
    <w:rsid w:val="00652A28"/>
    <w:rsid w:val="00652C02"/>
    <w:rsid w:val="006530CF"/>
    <w:rsid w:val="00653104"/>
    <w:rsid w:val="006536E0"/>
    <w:rsid w:val="0065379F"/>
    <w:rsid w:val="00653D0D"/>
    <w:rsid w:val="006540D3"/>
    <w:rsid w:val="006542CD"/>
    <w:rsid w:val="00654327"/>
    <w:rsid w:val="00654784"/>
    <w:rsid w:val="0065488E"/>
    <w:rsid w:val="00655235"/>
    <w:rsid w:val="00655573"/>
    <w:rsid w:val="006559C6"/>
    <w:rsid w:val="00655A58"/>
    <w:rsid w:val="00655AD6"/>
    <w:rsid w:val="00655EB6"/>
    <w:rsid w:val="00656188"/>
    <w:rsid w:val="00656D32"/>
    <w:rsid w:val="00656D63"/>
    <w:rsid w:val="0065715A"/>
    <w:rsid w:val="00657721"/>
    <w:rsid w:val="006577F2"/>
    <w:rsid w:val="00657C62"/>
    <w:rsid w:val="00657EF4"/>
    <w:rsid w:val="00660DD8"/>
    <w:rsid w:val="00661041"/>
    <w:rsid w:val="006610F1"/>
    <w:rsid w:val="0066126A"/>
    <w:rsid w:val="00661619"/>
    <w:rsid w:val="00661732"/>
    <w:rsid w:val="00661B67"/>
    <w:rsid w:val="00661C6B"/>
    <w:rsid w:val="00661E68"/>
    <w:rsid w:val="006621D9"/>
    <w:rsid w:val="006622FF"/>
    <w:rsid w:val="00662A31"/>
    <w:rsid w:val="00662D3E"/>
    <w:rsid w:val="00663C59"/>
    <w:rsid w:val="00663CB4"/>
    <w:rsid w:val="00664687"/>
    <w:rsid w:val="00664973"/>
    <w:rsid w:val="006649BB"/>
    <w:rsid w:val="00664A1E"/>
    <w:rsid w:val="00665820"/>
    <w:rsid w:val="0066588F"/>
    <w:rsid w:val="00665A8C"/>
    <w:rsid w:val="00665AFC"/>
    <w:rsid w:val="0066698C"/>
    <w:rsid w:val="00666A81"/>
    <w:rsid w:val="00667821"/>
    <w:rsid w:val="00667BE3"/>
    <w:rsid w:val="00667DAE"/>
    <w:rsid w:val="00667ED8"/>
    <w:rsid w:val="006703AB"/>
    <w:rsid w:val="0067041F"/>
    <w:rsid w:val="006705DC"/>
    <w:rsid w:val="00670D27"/>
    <w:rsid w:val="00670E31"/>
    <w:rsid w:val="00671004"/>
    <w:rsid w:val="00671300"/>
    <w:rsid w:val="006720A5"/>
    <w:rsid w:val="00672522"/>
    <w:rsid w:val="00672646"/>
    <w:rsid w:val="0067289A"/>
    <w:rsid w:val="00672D7D"/>
    <w:rsid w:val="00673586"/>
    <w:rsid w:val="006738C1"/>
    <w:rsid w:val="006739EB"/>
    <w:rsid w:val="00673F7E"/>
    <w:rsid w:val="006746CF"/>
    <w:rsid w:val="00674E42"/>
    <w:rsid w:val="006751D5"/>
    <w:rsid w:val="00675329"/>
    <w:rsid w:val="00675E9B"/>
    <w:rsid w:val="00676245"/>
    <w:rsid w:val="00676563"/>
    <w:rsid w:val="00676D77"/>
    <w:rsid w:val="00677CEA"/>
    <w:rsid w:val="00677F28"/>
    <w:rsid w:val="006800B6"/>
    <w:rsid w:val="00680E8D"/>
    <w:rsid w:val="006813F8"/>
    <w:rsid w:val="0068208E"/>
    <w:rsid w:val="00682112"/>
    <w:rsid w:val="0068225B"/>
    <w:rsid w:val="00682BA6"/>
    <w:rsid w:val="0068343E"/>
    <w:rsid w:val="006848D8"/>
    <w:rsid w:val="00684A11"/>
    <w:rsid w:val="00684BD8"/>
    <w:rsid w:val="00684DBD"/>
    <w:rsid w:val="0068521A"/>
    <w:rsid w:val="006853ED"/>
    <w:rsid w:val="00685D83"/>
    <w:rsid w:val="0068609E"/>
    <w:rsid w:val="006860E8"/>
    <w:rsid w:val="0068689B"/>
    <w:rsid w:val="00686957"/>
    <w:rsid w:val="00687181"/>
    <w:rsid w:val="006872BA"/>
    <w:rsid w:val="00687536"/>
    <w:rsid w:val="00687997"/>
    <w:rsid w:val="00687DA8"/>
    <w:rsid w:val="0069001A"/>
    <w:rsid w:val="0069026A"/>
    <w:rsid w:val="00690312"/>
    <w:rsid w:val="006904C4"/>
    <w:rsid w:val="00690795"/>
    <w:rsid w:val="00690805"/>
    <w:rsid w:val="006908E7"/>
    <w:rsid w:val="00690AC4"/>
    <w:rsid w:val="00690CB2"/>
    <w:rsid w:val="00690F80"/>
    <w:rsid w:val="00691648"/>
    <w:rsid w:val="006917D7"/>
    <w:rsid w:val="00691A28"/>
    <w:rsid w:val="00692437"/>
    <w:rsid w:val="0069248B"/>
    <w:rsid w:val="00692894"/>
    <w:rsid w:val="00692BCE"/>
    <w:rsid w:val="00693689"/>
    <w:rsid w:val="00693BD0"/>
    <w:rsid w:val="00693EA8"/>
    <w:rsid w:val="00694287"/>
    <w:rsid w:val="0069434C"/>
    <w:rsid w:val="00694C65"/>
    <w:rsid w:val="00694F44"/>
    <w:rsid w:val="00694F6C"/>
    <w:rsid w:val="00695607"/>
    <w:rsid w:val="00695B6C"/>
    <w:rsid w:val="006964B5"/>
    <w:rsid w:val="00696617"/>
    <w:rsid w:val="006966A8"/>
    <w:rsid w:val="00696EF9"/>
    <w:rsid w:val="00696F51"/>
    <w:rsid w:val="006970BD"/>
    <w:rsid w:val="006975E0"/>
    <w:rsid w:val="006979A5"/>
    <w:rsid w:val="00697D38"/>
    <w:rsid w:val="006A016F"/>
    <w:rsid w:val="006A0294"/>
    <w:rsid w:val="006A0DF7"/>
    <w:rsid w:val="006A17F6"/>
    <w:rsid w:val="006A211D"/>
    <w:rsid w:val="006A2189"/>
    <w:rsid w:val="006A22FE"/>
    <w:rsid w:val="006A26C8"/>
    <w:rsid w:val="006A2A38"/>
    <w:rsid w:val="006A2A66"/>
    <w:rsid w:val="006A365F"/>
    <w:rsid w:val="006A374A"/>
    <w:rsid w:val="006A4321"/>
    <w:rsid w:val="006A43D9"/>
    <w:rsid w:val="006A4B46"/>
    <w:rsid w:val="006A5223"/>
    <w:rsid w:val="006A5864"/>
    <w:rsid w:val="006A59C9"/>
    <w:rsid w:val="006A5C54"/>
    <w:rsid w:val="006A6532"/>
    <w:rsid w:val="006A66F2"/>
    <w:rsid w:val="006A6727"/>
    <w:rsid w:val="006A6B99"/>
    <w:rsid w:val="006A6CB8"/>
    <w:rsid w:val="006A6FEE"/>
    <w:rsid w:val="006A7E5F"/>
    <w:rsid w:val="006B0A42"/>
    <w:rsid w:val="006B0DC4"/>
    <w:rsid w:val="006B0DD8"/>
    <w:rsid w:val="006B0F1C"/>
    <w:rsid w:val="006B10CD"/>
    <w:rsid w:val="006B163B"/>
    <w:rsid w:val="006B1EFB"/>
    <w:rsid w:val="006B261B"/>
    <w:rsid w:val="006B2C90"/>
    <w:rsid w:val="006B3288"/>
    <w:rsid w:val="006B35E6"/>
    <w:rsid w:val="006B3988"/>
    <w:rsid w:val="006B39FB"/>
    <w:rsid w:val="006B465A"/>
    <w:rsid w:val="006B4840"/>
    <w:rsid w:val="006B4C27"/>
    <w:rsid w:val="006B4EE7"/>
    <w:rsid w:val="006B50C8"/>
    <w:rsid w:val="006B55E3"/>
    <w:rsid w:val="006B5922"/>
    <w:rsid w:val="006B5DD7"/>
    <w:rsid w:val="006B633B"/>
    <w:rsid w:val="006B6799"/>
    <w:rsid w:val="006B6847"/>
    <w:rsid w:val="006B6C31"/>
    <w:rsid w:val="006B6DD0"/>
    <w:rsid w:val="006B6E5E"/>
    <w:rsid w:val="006B6EEB"/>
    <w:rsid w:val="006B719E"/>
    <w:rsid w:val="006B7526"/>
    <w:rsid w:val="006C0217"/>
    <w:rsid w:val="006C0392"/>
    <w:rsid w:val="006C0399"/>
    <w:rsid w:val="006C0608"/>
    <w:rsid w:val="006C1685"/>
    <w:rsid w:val="006C2A8E"/>
    <w:rsid w:val="006C2BEC"/>
    <w:rsid w:val="006C3255"/>
    <w:rsid w:val="006C32CC"/>
    <w:rsid w:val="006C398A"/>
    <w:rsid w:val="006C3EBA"/>
    <w:rsid w:val="006C3F26"/>
    <w:rsid w:val="006C459D"/>
    <w:rsid w:val="006C4A54"/>
    <w:rsid w:val="006C4B59"/>
    <w:rsid w:val="006C4FCC"/>
    <w:rsid w:val="006C509E"/>
    <w:rsid w:val="006C50A4"/>
    <w:rsid w:val="006C5AD2"/>
    <w:rsid w:val="006C5DD2"/>
    <w:rsid w:val="006C6008"/>
    <w:rsid w:val="006C601E"/>
    <w:rsid w:val="006C6BCE"/>
    <w:rsid w:val="006C6E05"/>
    <w:rsid w:val="006C71CE"/>
    <w:rsid w:val="006C72E1"/>
    <w:rsid w:val="006C7333"/>
    <w:rsid w:val="006C7481"/>
    <w:rsid w:val="006C74F4"/>
    <w:rsid w:val="006C792A"/>
    <w:rsid w:val="006D00B5"/>
    <w:rsid w:val="006D020D"/>
    <w:rsid w:val="006D06E7"/>
    <w:rsid w:val="006D0B8C"/>
    <w:rsid w:val="006D0D17"/>
    <w:rsid w:val="006D1989"/>
    <w:rsid w:val="006D23FF"/>
    <w:rsid w:val="006D2A7D"/>
    <w:rsid w:val="006D2C43"/>
    <w:rsid w:val="006D3038"/>
    <w:rsid w:val="006D3852"/>
    <w:rsid w:val="006D3C5B"/>
    <w:rsid w:val="006D3C7D"/>
    <w:rsid w:val="006D42C1"/>
    <w:rsid w:val="006D4659"/>
    <w:rsid w:val="006D47CC"/>
    <w:rsid w:val="006D4A03"/>
    <w:rsid w:val="006D4A49"/>
    <w:rsid w:val="006D4F8A"/>
    <w:rsid w:val="006D5002"/>
    <w:rsid w:val="006D5200"/>
    <w:rsid w:val="006D581D"/>
    <w:rsid w:val="006D5D5F"/>
    <w:rsid w:val="006D64B3"/>
    <w:rsid w:val="006D68FB"/>
    <w:rsid w:val="006D6E4B"/>
    <w:rsid w:val="006D6EB4"/>
    <w:rsid w:val="006D7448"/>
    <w:rsid w:val="006D7695"/>
    <w:rsid w:val="006D7FCC"/>
    <w:rsid w:val="006E024A"/>
    <w:rsid w:val="006E0331"/>
    <w:rsid w:val="006E0FBC"/>
    <w:rsid w:val="006E10B8"/>
    <w:rsid w:val="006E17DF"/>
    <w:rsid w:val="006E268B"/>
    <w:rsid w:val="006E2868"/>
    <w:rsid w:val="006E3B48"/>
    <w:rsid w:val="006E3B58"/>
    <w:rsid w:val="006E3D24"/>
    <w:rsid w:val="006E46A7"/>
    <w:rsid w:val="006E4DBB"/>
    <w:rsid w:val="006E4E73"/>
    <w:rsid w:val="006E55A9"/>
    <w:rsid w:val="006E58CA"/>
    <w:rsid w:val="006E5915"/>
    <w:rsid w:val="006E65A3"/>
    <w:rsid w:val="006E662D"/>
    <w:rsid w:val="006E6DED"/>
    <w:rsid w:val="006E7973"/>
    <w:rsid w:val="006E7ACA"/>
    <w:rsid w:val="006F0593"/>
    <w:rsid w:val="006F0888"/>
    <w:rsid w:val="006F11C5"/>
    <w:rsid w:val="006F1E65"/>
    <w:rsid w:val="006F1ED0"/>
    <w:rsid w:val="006F29F5"/>
    <w:rsid w:val="006F306C"/>
    <w:rsid w:val="006F32A0"/>
    <w:rsid w:val="006F3745"/>
    <w:rsid w:val="006F37AD"/>
    <w:rsid w:val="006F416D"/>
    <w:rsid w:val="006F44CB"/>
    <w:rsid w:val="006F4798"/>
    <w:rsid w:val="006F5B1A"/>
    <w:rsid w:val="006F5DB3"/>
    <w:rsid w:val="006F6150"/>
    <w:rsid w:val="006F63A5"/>
    <w:rsid w:val="006F6C8B"/>
    <w:rsid w:val="006F70DD"/>
    <w:rsid w:val="0070142B"/>
    <w:rsid w:val="007022A1"/>
    <w:rsid w:val="0070276E"/>
    <w:rsid w:val="007027A5"/>
    <w:rsid w:val="00702D4C"/>
    <w:rsid w:val="00702F8F"/>
    <w:rsid w:val="007032D3"/>
    <w:rsid w:val="00703F85"/>
    <w:rsid w:val="00703FDC"/>
    <w:rsid w:val="00704163"/>
    <w:rsid w:val="00704564"/>
    <w:rsid w:val="007058BB"/>
    <w:rsid w:val="007061F4"/>
    <w:rsid w:val="007065E8"/>
    <w:rsid w:val="007067EA"/>
    <w:rsid w:val="00706EEE"/>
    <w:rsid w:val="0070749E"/>
    <w:rsid w:val="0070750E"/>
    <w:rsid w:val="007079FC"/>
    <w:rsid w:val="00710140"/>
    <w:rsid w:val="00710360"/>
    <w:rsid w:val="007106F9"/>
    <w:rsid w:val="007108EF"/>
    <w:rsid w:val="00710F89"/>
    <w:rsid w:val="007111D3"/>
    <w:rsid w:val="00711473"/>
    <w:rsid w:val="007116AD"/>
    <w:rsid w:val="00711A11"/>
    <w:rsid w:val="00711A36"/>
    <w:rsid w:val="00711B1A"/>
    <w:rsid w:val="00711D03"/>
    <w:rsid w:val="0071207C"/>
    <w:rsid w:val="007125D3"/>
    <w:rsid w:val="00712C48"/>
    <w:rsid w:val="00712F8C"/>
    <w:rsid w:val="00713727"/>
    <w:rsid w:val="007142F2"/>
    <w:rsid w:val="007149A1"/>
    <w:rsid w:val="00714C26"/>
    <w:rsid w:val="0071529C"/>
    <w:rsid w:val="00715330"/>
    <w:rsid w:val="0071533B"/>
    <w:rsid w:val="00715BF4"/>
    <w:rsid w:val="00716285"/>
    <w:rsid w:val="00716664"/>
    <w:rsid w:val="007170DA"/>
    <w:rsid w:val="007172AD"/>
    <w:rsid w:val="00717399"/>
    <w:rsid w:val="00717546"/>
    <w:rsid w:val="00720801"/>
    <w:rsid w:val="00720C78"/>
    <w:rsid w:val="00722448"/>
    <w:rsid w:val="007229B9"/>
    <w:rsid w:val="00722B1B"/>
    <w:rsid w:val="00722B30"/>
    <w:rsid w:val="00722FED"/>
    <w:rsid w:val="00723B7B"/>
    <w:rsid w:val="00723E24"/>
    <w:rsid w:val="00723FEA"/>
    <w:rsid w:val="00724163"/>
    <w:rsid w:val="0072416F"/>
    <w:rsid w:val="00724628"/>
    <w:rsid w:val="007246E7"/>
    <w:rsid w:val="00724C37"/>
    <w:rsid w:val="007250C3"/>
    <w:rsid w:val="007252C7"/>
    <w:rsid w:val="0072546C"/>
    <w:rsid w:val="00725FDD"/>
    <w:rsid w:val="00726403"/>
    <w:rsid w:val="007264F8"/>
    <w:rsid w:val="00726D3D"/>
    <w:rsid w:val="0072700E"/>
    <w:rsid w:val="00727190"/>
    <w:rsid w:val="00727533"/>
    <w:rsid w:val="00727767"/>
    <w:rsid w:val="00727C94"/>
    <w:rsid w:val="00730051"/>
    <w:rsid w:val="007303EF"/>
    <w:rsid w:val="007304D0"/>
    <w:rsid w:val="0073091D"/>
    <w:rsid w:val="00730977"/>
    <w:rsid w:val="0073124D"/>
    <w:rsid w:val="0073139E"/>
    <w:rsid w:val="00731B0A"/>
    <w:rsid w:val="00731EAE"/>
    <w:rsid w:val="00731F7D"/>
    <w:rsid w:val="007328D3"/>
    <w:rsid w:val="00732A75"/>
    <w:rsid w:val="00732BE2"/>
    <w:rsid w:val="00733073"/>
    <w:rsid w:val="007330EF"/>
    <w:rsid w:val="007342CB"/>
    <w:rsid w:val="00734794"/>
    <w:rsid w:val="00734829"/>
    <w:rsid w:val="00734920"/>
    <w:rsid w:val="007349AF"/>
    <w:rsid w:val="00734C40"/>
    <w:rsid w:val="00735033"/>
    <w:rsid w:val="00735328"/>
    <w:rsid w:val="007356E1"/>
    <w:rsid w:val="00735924"/>
    <w:rsid w:val="00735A1B"/>
    <w:rsid w:val="00735BAF"/>
    <w:rsid w:val="0073660B"/>
    <w:rsid w:val="0073685B"/>
    <w:rsid w:val="007368B9"/>
    <w:rsid w:val="007376FD"/>
    <w:rsid w:val="00737899"/>
    <w:rsid w:val="007403F6"/>
    <w:rsid w:val="00740CC8"/>
    <w:rsid w:val="0074137F"/>
    <w:rsid w:val="00742160"/>
    <w:rsid w:val="00742226"/>
    <w:rsid w:val="007425FA"/>
    <w:rsid w:val="007426AE"/>
    <w:rsid w:val="007426C6"/>
    <w:rsid w:val="0074282A"/>
    <w:rsid w:val="00743C60"/>
    <w:rsid w:val="007448F8"/>
    <w:rsid w:val="007449BF"/>
    <w:rsid w:val="00744D0B"/>
    <w:rsid w:val="00744D11"/>
    <w:rsid w:val="00744D21"/>
    <w:rsid w:val="00744FBA"/>
    <w:rsid w:val="00745359"/>
    <w:rsid w:val="0074555C"/>
    <w:rsid w:val="00745DC8"/>
    <w:rsid w:val="007463FE"/>
    <w:rsid w:val="00746590"/>
    <w:rsid w:val="007469A6"/>
    <w:rsid w:val="00746A64"/>
    <w:rsid w:val="00746B3E"/>
    <w:rsid w:val="00746BC0"/>
    <w:rsid w:val="00746CF1"/>
    <w:rsid w:val="0074716C"/>
    <w:rsid w:val="00747518"/>
    <w:rsid w:val="007475D3"/>
    <w:rsid w:val="0075050D"/>
    <w:rsid w:val="00750C3C"/>
    <w:rsid w:val="007510B4"/>
    <w:rsid w:val="00751521"/>
    <w:rsid w:val="0075162B"/>
    <w:rsid w:val="00751678"/>
    <w:rsid w:val="00751DF4"/>
    <w:rsid w:val="00751E7D"/>
    <w:rsid w:val="00752142"/>
    <w:rsid w:val="00752312"/>
    <w:rsid w:val="007523F9"/>
    <w:rsid w:val="00752582"/>
    <w:rsid w:val="0075357E"/>
    <w:rsid w:val="00753B29"/>
    <w:rsid w:val="00754143"/>
    <w:rsid w:val="0075475B"/>
    <w:rsid w:val="007557C6"/>
    <w:rsid w:val="00755B47"/>
    <w:rsid w:val="00755D4D"/>
    <w:rsid w:val="0075616C"/>
    <w:rsid w:val="00756550"/>
    <w:rsid w:val="0075726D"/>
    <w:rsid w:val="007573E8"/>
    <w:rsid w:val="0075785E"/>
    <w:rsid w:val="00757AE9"/>
    <w:rsid w:val="0076040A"/>
    <w:rsid w:val="0076054A"/>
    <w:rsid w:val="0076056C"/>
    <w:rsid w:val="00760C4E"/>
    <w:rsid w:val="00760E54"/>
    <w:rsid w:val="00760F9E"/>
    <w:rsid w:val="00761071"/>
    <w:rsid w:val="007611EA"/>
    <w:rsid w:val="00761377"/>
    <w:rsid w:val="007616E6"/>
    <w:rsid w:val="0076177D"/>
    <w:rsid w:val="00761D12"/>
    <w:rsid w:val="00761D55"/>
    <w:rsid w:val="00762464"/>
    <w:rsid w:val="0076259F"/>
    <w:rsid w:val="007627BE"/>
    <w:rsid w:val="00762DAA"/>
    <w:rsid w:val="00763BC4"/>
    <w:rsid w:val="00763EC7"/>
    <w:rsid w:val="0076480C"/>
    <w:rsid w:val="00764A80"/>
    <w:rsid w:val="00764C71"/>
    <w:rsid w:val="00764DA2"/>
    <w:rsid w:val="00764DC0"/>
    <w:rsid w:val="00764F03"/>
    <w:rsid w:val="007653F8"/>
    <w:rsid w:val="00765519"/>
    <w:rsid w:val="007658CB"/>
    <w:rsid w:val="00765B1A"/>
    <w:rsid w:val="00765D74"/>
    <w:rsid w:val="00765DC1"/>
    <w:rsid w:val="00765ED7"/>
    <w:rsid w:val="00766504"/>
    <w:rsid w:val="00766EBA"/>
    <w:rsid w:val="0076719B"/>
    <w:rsid w:val="00767792"/>
    <w:rsid w:val="0077010D"/>
    <w:rsid w:val="007702AC"/>
    <w:rsid w:val="007705F5"/>
    <w:rsid w:val="00770689"/>
    <w:rsid w:val="00770698"/>
    <w:rsid w:val="007708A9"/>
    <w:rsid w:val="007708D7"/>
    <w:rsid w:val="00770A0A"/>
    <w:rsid w:val="00770CE3"/>
    <w:rsid w:val="00771247"/>
    <w:rsid w:val="007713C2"/>
    <w:rsid w:val="0077161F"/>
    <w:rsid w:val="00771650"/>
    <w:rsid w:val="00771C15"/>
    <w:rsid w:val="00772154"/>
    <w:rsid w:val="00772411"/>
    <w:rsid w:val="007724F9"/>
    <w:rsid w:val="00772F4D"/>
    <w:rsid w:val="00773246"/>
    <w:rsid w:val="0077398F"/>
    <w:rsid w:val="00774414"/>
    <w:rsid w:val="0077447B"/>
    <w:rsid w:val="007746EF"/>
    <w:rsid w:val="00774ED9"/>
    <w:rsid w:val="00774F5A"/>
    <w:rsid w:val="0077549C"/>
    <w:rsid w:val="0077567B"/>
    <w:rsid w:val="00775A01"/>
    <w:rsid w:val="007763D6"/>
    <w:rsid w:val="00776546"/>
    <w:rsid w:val="00776A29"/>
    <w:rsid w:val="00777335"/>
    <w:rsid w:val="00777428"/>
    <w:rsid w:val="00777714"/>
    <w:rsid w:val="0077779E"/>
    <w:rsid w:val="00777D9C"/>
    <w:rsid w:val="00780205"/>
    <w:rsid w:val="00780285"/>
    <w:rsid w:val="007805CB"/>
    <w:rsid w:val="00780DBB"/>
    <w:rsid w:val="00780E62"/>
    <w:rsid w:val="00780E8E"/>
    <w:rsid w:val="00781E70"/>
    <w:rsid w:val="007821EB"/>
    <w:rsid w:val="0078242D"/>
    <w:rsid w:val="00782675"/>
    <w:rsid w:val="007843F2"/>
    <w:rsid w:val="0078462E"/>
    <w:rsid w:val="007846FA"/>
    <w:rsid w:val="0078497D"/>
    <w:rsid w:val="00784E19"/>
    <w:rsid w:val="00785A9F"/>
    <w:rsid w:val="00785F63"/>
    <w:rsid w:val="00786190"/>
    <w:rsid w:val="00786261"/>
    <w:rsid w:val="00786DF2"/>
    <w:rsid w:val="00786EA8"/>
    <w:rsid w:val="00787282"/>
    <w:rsid w:val="007875A5"/>
    <w:rsid w:val="00790619"/>
    <w:rsid w:val="00790833"/>
    <w:rsid w:val="00790AC4"/>
    <w:rsid w:val="00790E8C"/>
    <w:rsid w:val="0079147B"/>
    <w:rsid w:val="00791A99"/>
    <w:rsid w:val="007925DF"/>
    <w:rsid w:val="00792A29"/>
    <w:rsid w:val="0079301C"/>
    <w:rsid w:val="00793485"/>
    <w:rsid w:val="0079385C"/>
    <w:rsid w:val="00794BB2"/>
    <w:rsid w:val="00794C9A"/>
    <w:rsid w:val="00795C98"/>
    <w:rsid w:val="00796836"/>
    <w:rsid w:val="00796877"/>
    <w:rsid w:val="0079753F"/>
    <w:rsid w:val="00797736"/>
    <w:rsid w:val="00797A34"/>
    <w:rsid w:val="00797CEB"/>
    <w:rsid w:val="007A08AA"/>
    <w:rsid w:val="007A0A0C"/>
    <w:rsid w:val="007A0A12"/>
    <w:rsid w:val="007A0F0C"/>
    <w:rsid w:val="007A10DC"/>
    <w:rsid w:val="007A132D"/>
    <w:rsid w:val="007A1345"/>
    <w:rsid w:val="007A13A4"/>
    <w:rsid w:val="007A1608"/>
    <w:rsid w:val="007A176C"/>
    <w:rsid w:val="007A217C"/>
    <w:rsid w:val="007A21F0"/>
    <w:rsid w:val="007A24B5"/>
    <w:rsid w:val="007A292E"/>
    <w:rsid w:val="007A2DDB"/>
    <w:rsid w:val="007A35CF"/>
    <w:rsid w:val="007A3BDC"/>
    <w:rsid w:val="007A3C9D"/>
    <w:rsid w:val="007A3D9D"/>
    <w:rsid w:val="007A4186"/>
    <w:rsid w:val="007A4660"/>
    <w:rsid w:val="007A4FB9"/>
    <w:rsid w:val="007A506E"/>
    <w:rsid w:val="007A533D"/>
    <w:rsid w:val="007A5AA0"/>
    <w:rsid w:val="007A5C16"/>
    <w:rsid w:val="007A5D49"/>
    <w:rsid w:val="007A6C7C"/>
    <w:rsid w:val="007A70BA"/>
    <w:rsid w:val="007B0287"/>
    <w:rsid w:val="007B0623"/>
    <w:rsid w:val="007B08B1"/>
    <w:rsid w:val="007B0B1D"/>
    <w:rsid w:val="007B0D68"/>
    <w:rsid w:val="007B0F5A"/>
    <w:rsid w:val="007B1A14"/>
    <w:rsid w:val="007B1E02"/>
    <w:rsid w:val="007B239B"/>
    <w:rsid w:val="007B2465"/>
    <w:rsid w:val="007B250C"/>
    <w:rsid w:val="007B251D"/>
    <w:rsid w:val="007B3145"/>
    <w:rsid w:val="007B327B"/>
    <w:rsid w:val="007B3336"/>
    <w:rsid w:val="007B3371"/>
    <w:rsid w:val="007B3375"/>
    <w:rsid w:val="007B3533"/>
    <w:rsid w:val="007B37DB"/>
    <w:rsid w:val="007B38AF"/>
    <w:rsid w:val="007B3B41"/>
    <w:rsid w:val="007B3E62"/>
    <w:rsid w:val="007B3F11"/>
    <w:rsid w:val="007B459B"/>
    <w:rsid w:val="007B45B6"/>
    <w:rsid w:val="007B4B46"/>
    <w:rsid w:val="007B4B4E"/>
    <w:rsid w:val="007B4DB3"/>
    <w:rsid w:val="007B4F58"/>
    <w:rsid w:val="007B528D"/>
    <w:rsid w:val="007B6085"/>
    <w:rsid w:val="007B63CA"/>
    <w:rsid w:val="007B6F4B"/>
    <w:rsid w:val="007B73B4"/>
    <w:rsid w:val="007B77D1"/>
    <w:rsid w:val="007C046D"/>
    <w:rsid w:val="007C07C7"/>
    <w:rsid w:val="007C1A93"/>
    <w:rsid w:val="007C1CD9"/>
    <w:rsid w:val="007C26E4"/>
    <w:rsid w:val="007C2896"/>
    <w:rsid w:val="007C2D09"/>
    <w:rsid w:val="007C32EF"/>
    <w:rsid w:val="007C361D"/>
    <w:rsid w:val="007C3798"/>
    <w:rsid w:val="007C38A3"/>
    <w:rsid w:val="007C420C"/>
    <w:rsid w:val="007C4B84"/>
    <w:rsid w:val="007C523B"/>
    <w:rsid w:val="007C5D15"/>
    <w:rsid w:val="007C5FAA"/>
    <w:rsid w:val="007C65C2"/>
    <w:rsid w:val="007C70FF"/>
    <w:rsid w:val="007C7362"/>
    <w:rsid w:val="007C74C1"/>
    <w:rsid w:val="007C7C25"/>
    <w:rsid w:val="007C7CD1"/>
    <w:rsid w:val="007C7E98"/>
    <w:rsid w:val="007C7FFD"/>
    <w:rsid w:val="007D004F"/>
    <w:rsid w:val="007D035F"/>
    <w:rsid w:val="007D06B2"/>
    <w:rsid w:val="007D0B38"/>
    <w:rsid w:val="007D0D3C"/>
    <w:rsid w:val="007D0F04"/>
    <w:rsid w:val="007D1E1D"/>
    <w:rsid w:val="007D2B92"/>
    <w:rsid w:val="007D2CAA"/>
    <w:rsid w:val="007D3126"/>
    <w:rsid w:val="007D3416"/>
    <w:rsid w:val="007D45A3"/>
    <w:rsid w:val="007D464A"/>
    <w:rsid w:val="007D46C3"/>
    <w:rsid w:val="007D4AB6"/>
    <w:rsid w:val="007D4F54"/>
    <w:rsid w:val="007D5440"/>
    <w:rsid w:val="007D5AA6"/>
    <w:rsid w:val="007D5D22"/>
    <w:rsid w:val="007D6194"/>
    <w:rsid w:val="007D649B"/>
    <w:rsid w:val="007D6664"/>
    <w:rsid w:val="007D69EB"/>
    <w:rsid w:val="007D6E20"/>
    <w:rsid w:val="007D7F6D"/>
    <w:rsid w:val="007E0B6F"/>
    <w:rsid w:val="007E0D50"/>
    <w:rsid w:val="007E0EE9"/>
    <w:rsid w:val="007E11F9"/>
    <w:rsid w:val="007E128F"/>
    <w:rsid w:val="007E1394"/>
    <w:rsid w:val="007E1591"/>
    <w:rsid w:val="007E1765"/>
    <w:rsid w:val="007E2426"/>
    <w:rsid w:val="007E2E3C"/>
    <w:rsid w:val="007E3188"/>
    <w:rsid w:val="007E3259"/>
    <w:rsid w:val="007E4118"/>
    <w:rsid w:val="007E47C8"/>
    <w:rsid w:val="007E4C97"/>
    <w:rsid w:val="007E57DB"/>
    <w:rsid w:val="007E5FDB"/>
    <w:rsid w:val="007E6681"/>
    <w:rsid w:val="007E7117"/>
    <w:rsid w:val="007E75FF"/>
    <w:rsid w:val="007E7844"/>
    <w:rsid w:val="007F00BF"/>
    <w:rsid w:val="007F0104"/>
    <w:rsid w:val="007F060C"/>
    <w:rsid w:val="007F0B04"/>
    <w:rsid w:val="007F1001"/>
    <w:rsid w:val="007F1017"/>
    <w:rsid w:val="007F104A"/>
    <w:rsid w:val="007F2249"/>
    <w:rsid w:val="007F2A0D"/>
    <w:rsid w:val="007F2C07"/>
    <w:rsid w:val="007F3D00"/>
    <w:rsid w:val="007F3D01"/>
    <w:rsid w:val="007F4A3F"/>
    <w:rsid w:val="007F4A61"/>
    <w:rsid w:val="007F4EBC"/>
    <w:rsid w:val="007F5255"/>
    <w:rsid w:val="007F56CC"/>
    <w:rsid w:val="007F56DB"/>
    <w:rsid w:val="007F5B1E"/>
    <w:rsid w:val="007F5BDE"/>
    <w:rsid w:val="007F5D28"/>
    <w:rsid w:val="007F5E21"/>
    <w:rsid w:val="007F6165"/>
    <w:rsid w:val="007F61C2"/>
    <w:rsid w:val="007F6E18"/>
    <w:rsid w:val="007F6E58"/>
    <w:rsid w:val="00800357"/>
    <w:rsid w:val="00800670"/>
    <w:rsid w:val="008023BC"/>
    <w:rsid w:val="0080273F"/>
    <w:rsid w:val="0080285E"/>
    <w:rsid w:val="00802BD7"/>
    <w:rsid w:val="00803ACB"/>
    <w:rsid w:val="00803B4D"/>
    <w:rsid w:val="00803CF4"/>
    <w:rsid w:val="008041EA"/>
    <w:rsid w:val="0080498D"/>
    <w:rsid w:val="00804A8C"/>
    <w:rsid w:val="00805142"/>
    <w:rsid w:val="00805326"/>
    <w:rsid w:val="0080562E"/>
    <w:rsid w:val="0080566B"/>
    <w:rsid w:val="00805839"/>
    <w:rsid w:val="00805FB1"/>
    <w:rsid w:val="00805FCE"/>
    <w:rsid w:val="008060E5"/>
    <w:rsid w:val="0080768C"/>
    <w:rsid w:val="00807A8B"/>
    <w:rsid w:val="00807A9B"/>
    <w:rsid w:val="00807DB5"/>
    <w:rsid w:val="008107B7"/>
    <w:rsid w:val="008107EA"/>
    <w:rsid w:val="00810DEA"/>
    <w:rsid w:val="00811383"/>
    <w:rsid w:val="008120A7"/>
    <w:rsid w:val="00812149"/>
    <w:rsid w:val="008122CA"/>
    <w:rsid w:val="00812386"/>
    <w:rsid w:val="008125E1"/>
    <w:rsid w:val="008129C4"/>
    <w:rsid w:val="008129C9"/>
    <w:rsid w:val="00812CAC"/>
    <w:rsid w:val="008134FE"/>
    <w:rsid w:val="00813B0F"/>
    <w:rsid w:val="008141DE"/>
    <w:rsid w:val="00814562"/>
    <w:rsid w:val="00815EAE"/>
    <w:rsid w:val="00816361"/>
    <w:rsid w:val="008166EF"/>
    <w:rsid w:val="00816819"/>
    <w:rsid w:val="00816FEF"/>
    <w:rsid w:val="00817116"/>
    <w:rsid w:val="00817612"/>
    <w:rsid w:val="00817758"/>
    <w:rsid w:val="0082063A"/>
    <w:rsid w:val="00820A8C"/>
    <w:rsid w:val="008212D3"/>
    <w:rsid w:val="008215FB"/>
    <w:rsid w:val="008216DD"/>
    <w:rsid w:val="0082177C"/>
    <w:rsid w:val="00821BAC"/>
    <w:rsid w:val="008220CC"/>
    <w:rsid w:val="00822587"/>
    <w:rsid w:val="008227BF"/>
    <w:rsid w:val="00823174"/>
    <w:rsid w:val="00823856"/>
    <w:rsid w:val="0082397A"/>
    <w:rsid w:val="00824B9D"/>
    <w:rsid w:val="00825150"/>
    <w:rsid w:val="00825751"/>
    <w:rsid w:val="00825906"/>
    <w:rsid w:val="008264EB"/>
    <w:rsid w:val="008267B1"/>
    <w:rsid w:val="008268CE"/>
    <w:rsid w:val="008269AC"/>
    <w:rsid w:val="00826D25"/>
    <w:rsid w:val="0082736E"/>
    <w:rsid w:val="008276F6"/>
    <w:rsid w:val="00827864"/>
    <w:rsid w:val="00827871"/>
    <w:rsid w:val="00827B3C"/>
    <w:rsid w:val="00827C23"/>
    <w:rsid w:val="00827F89"/>
    <w:rsid w:val="00827F99"/>
    <w:rsid w:val="008302F1"/>
    <w:rsid w:val="00831028"/>
    <w:rsid w:val="00831415"/>
    <w:rsid w:val="008314EF"/>
    <w:rsid w:val="008316A2"/>
    <w:rsid w:val="008318AD"/>
    <w:rsid w:val="00831AD9"/>
    <w:rsid w:val="00831D0B"/>
    <w:rsid w:val="00832225"/>
    <w:rsid w:val="008322BB"/>
    <w:rsid w:val="00832408"/>
    <w:rsid w:val="00832F26"/>
    <w:rsid w:val="00833387"/>
    <w:rsid w:val="008335E8"/>
    <w:rsid w:val="0083372E"/>
    <w:rsid w:val="00833B05"/>
    <w:rsid w:val="00833DA8"/>
    <w:rsid w:val="00834283"/>
    <w:rsid w:val="00834352"/>
    <w:rsid w:val="00835A76"/>
    <w:rsid w:val="00835A87"/>
    <w:rsid w:val="008362B4"/>
    <w:rsid w:val="008365BB"/>
    <w:rsid w:val="008367FD"/>
    <w:rsid w:val="00836D0E"/>
    <w:rsid w:val="00836E3D"/>
    <w:rsid w:val="008378EC"/>
    <w:rsid w:val="00837B40"/>
    <w:rsid w:val="0084042B"/>
    <w:rsid w:val="0084074D"/>
    <w:rsid w:val="008408CA"/>
    <w:rsid w:val="0084096D"/>
    <w:rsid w:val="00840BB1"/>
    <w:rsid w:val="00840CA2"/>
    <w:rsid w:val="00842267"/>
    <w:rsid w:val="0084256C"/>
    <w:rsid w:val="0084276D"/>
    <w:rsid w:val="00842EDA"/>
    <w:rsid w:val="00842FBB"/>
    <w:rsid w:val="008435F9"/>
    <w:rsid w:val="0084374F"/>
    <w:rsid w:val="00843AAA"/>
    <w:rsid w:val="0084473B"/>
    <w:rsid w:val="008448AF"/>
    <w:rsid w:val="00844A22"/>
    <w:rsid w:val="008464E2"/>
    <w:rsid w:val="00846604"/>
    <w:rsid w:val="00846920"/>
    <w:rsid w:val="00846CC3"/>
    <w:rsid w:val="00846F8C"/>
    <w:rsid w:val="00847703"/>
    <w:rsid w:val="0084773C"/>
    <w:rsid w:val="00847DF5"/>
    <w:rsid w:val="008510D9"/>
    <w:rsid w:val="0085156B"/>
    <w:rsid w:val="008515D9"/>
    <w:rsid w:val="008515F4"/>
    <w:rsid w:val="008519E5"/>
    <w:rsid w:val="00851A50"/>
    <w:rsid w:val="00852956"/>
    <w:rsid w:val="00852DFD"/>
    <w:rsid w:val="00853050"/>
    <w:rsid w:val="0085309D"/>
    <w:rsid w:val="00853E72"/>
    <w:rsid w:val="00854270"/>
    <w:rsid w:val="008545FD"/>
    <w:rsid w:val="008547D7"/>
    <w:rsid w:val="00854A95"/>
    <w:rsid w:val="00854B74"/>
    <w:rsid w:val="00854D4B"/>
    <w:rsid w:val="00855670"/>
    <w:rsid w:val="008557AD"/>
    <w:rsid w:val="008562CC"/>
    <w:rsid w:val="00856897"/>
    <w:rsid w:val="00856943"/>
    <w:rsid w:val="00856E9A"/>
    <w:rsid w:val="00856F08"/>
    <w:rsid w:val="00857D08"/>
    <w:rsid w:val="0086033C"/>
    <w:rsid w:val="00860604"/>
    <w:rsid w:val="0086071A"/>
    <w:rsid w:val="0086075D"/>
    <w:rsid w:val="00861306"/>
    <w:rsid w:val="00861661"/>
    <w:rsid w:val="00861F54"/>
    <w:rsid w:val="00862502"/>
    <w:rsid w:val="00862CC1"/>
    <w:rsid w:val="00862D0B"/>
    <w:rsid w:val="00862E76"/>
    <w:rsid w:val="00862EB4"/>
    <w:rsid w:val="00863672"/>
    <w:rsid w:val="00863C53"/>
    <w:rsid w:val="008640D5"/>
    <w:rsid w:val="008642A7"/>
    <w:rsid w:val="008647A9"/>
    <w:rsid w:val="00864C5A"/>
    <w:rsid w:val="00865FD9"/>
    <w:rsid w:val="008660D4"/>
    <w:rsid w:val="00867004"/>
    <w:rsid w:val="00867A0A"/>
    <w:rsid w:val="00867DBD"/>
    <w:rsid w:val="00867DEB"/>
    <w:rsid w:val="00870824"/>
    <w:rsid w:val="0087098E"/>
    <w:rsid w:val="008716B9"/>
    <w:rsid w:val="00871FA9"/>
    <w:rsid w:val="008728E9"/>
    <w:rsid w:val="00873075"/>
    <w:rsid w:val="008738EC"/>
    <w:rsid w:val="008747D2"/>
    <w:rsid w:val="008754D0"/>
    <w:rsid w:val="008755A8"/>
    <w:rsid w:val="00875BC7"/>
    <w:rsid w:val="00875F93"/>
    <w:rsid w:val="00876122"/>
    <w:rsid w:val="00876DFC"/>
    <w:rsid w:val="00876F0E"/>
    <w:rsid w:val="008771E5"/>
    <w:rsid w:val="00877746"/>
    <w:rsid w:val="00880339"/>
    <w:rsid w:val="00880C9C"/>
    <w:rsid w:val="00880F7C"/>
    <w:rsid w:val="008817EC"/>
    <w:rsid w:val="00881BFD"/>
    <w:rsid w:val="0088259A"/>
    <w:rsid w:val="008826FF"/>
    <w:rsid w:val="00882874"/>
    <w:rsid w:val="00882976"/>
    <w:rsid w:val="00882A47"/>
    <w:rsid w:val="00882E3C"/>
    <w:rsid w:val="00882E91"/>
    <w:rsid w:val="0088308A"/>
    <w:rsid w:val="00883787"/>
    <w:rsid w:val="008839F0"/>
    <w:rsid w:val="00883A86"/>
    <w:rsid w:val="008855E4"/>
    <w:rsid w:val="0088561C"/>
    <w:rsid w:val="00885979"/>
    <w:rsid w:val="00885DE9"/>
    <w:rsid w:val="008869B6"/>
    <w:rsid w:val="00886ACD"/>
    <w:rsid w:val="00886CD2"/>
    <w:rsid w:val="008870F0"/>
    <w:rsid w:val="0089001D"/>
    <w:rsid w:val="00890914"/>
    <w:rsid w:val="00890F5A"/>
    <w:rsid w:val="00891483"/>
    <w:rsid w:val="008916A1"/>
    <w:rsid w:val="00891867"/>
    <w:rsid w:val="00891BFF"/>
    <w:rsid w:val="00891E6F"/>
    <w:rsid w:val="00892121"/>
    <w:rsid w:val="00892159"/>
    <w:rsid w:val="00892693"/>
    <w:rsid w:val="0089275D"/>
    <w:rsid w:val="00892A25"/>
    <w:rsid w:val="00892A36"/>
    <w:rsid w:val="00892FCE"/>
    <w:rsid w:val="00893239"/>
    <w:rsid w:val="00893DAD"/>
    <w:rsid w:val="00893F25"/>
    <w:rsid w:val="0089420E"/>
    <w:rsid w:val="00894489"/>
    <w:rsid w:val="008945C5"/>
    <w:rsid w:val="00894C93"/>
    <w:rsid w:val="00894CD6"/>
    <w:rsid w:val="00894DD4"/>
    <w:rsid w:val="00895263"/>
    <w:rsid w:val="00895A68"/>
    <w:rsid w:val="00895B79"/>
    <w:rsid w:val="00896281"/>
    <w:rsid w:val="008963A5"/>
    <w:rsid w:val="008965D6"/>
    <w:rsid w:val="00896D5D"/>
    <w:rsid w:val="008972B1"/>
    <w:rsid w:val="0089754D"/>
    <w:rsid w:val="00897BB3"/>
    <w:rsid w:val="00897E68"/>
    <w:rsid w:val="008A0051"/>
    <w:rsid w:val="008A1573"/>
    <w:rsid w:val="008A1874"/>
    <w:rsid w:val="008A18EF"/>
    <w:rsid w:val="008A1CDF"/>
    <w:rsid w:val="008A24D7"/>
    <w:rsid w:val="008A299F"/>
    <w:rsid w:val="008A3158"/>
    <w:rsid w:val="008A3363"/>
    <w:rsid w:val="008A3371"/>
    <w:rsid w:val="008A388F"/>
    <w:rsid w:val="008A3A2D"/>
    <w:rsid w:val="008A3C3E"/>
    <w:rsid w:val="008A3F6F"/>
    <w:rsid w:val="008A495C"/>
    <w:rsid w:val="008A4D26"/>
    <w:rsid w:val="008A4EA6"/>
    <w:rsid w:val="008A50D1"/>
    <w:rsid w:val="008A541D"/>
    <w:rsid w:val="008A5F82"/>
    <w:rsid w:val="008A6057"/>
    <w:rsid w:val="008A626E"/>
    <w:rsid w:val="008A65CE"/>
    <w:rsid w:val="008A65CF"/>
    <w:rsid w:val="008A6831"/>
    <w:rsid w:val="008A7321"/>
    <w:rsid w:val="008A7684"/>
    <w:rsid w:val="008A79DE"/>
    <w:rsid w:val="008B030C"/>
    <w:rsid w:val="008B03BC"/>
    <w:rsid w:val="008B065B"/>
    <w:rsid w:val="008B0B2F"/>
    <w:rsid w:val="008B0B5A"/>
    <w:rsid w:val="008B14F2"/>
    <w:rsid w:val="008B16E0"/>
    <w:rsid w:val="008B1757"/>
    <w:rsid w:val="008B18BD"/>
    <w:rsid w:val="008B1C33"/>
    <w:rsid w:val="008B1F1C"/>
    <w:rsid w:val="008B229F"/>
    <w:rsid w:val="008B2369"/>
    <w:rsid w:val="008B2A7D"/>
    <w:rsid w:val="008B3998"/>
    <w:rsid w:val="008B3DD7"/>
    <w:rsid w:val="008B4B6F"/>
    <w:rsid w:val="008B599C"/>
    <w:rsid w:val="008B5F3E"/>
    <w:rsid w:val="008B6ACE"/>
    <w:rsid w:val="008B6C43"/>
    <w:rsid w:val="008B6F5C"/>
    <w:rsid w:val="008B792C"/>
    <w:rsid w:val="008B7992"/>
    <w:rsid w:val="008B7C35"/>
    <w:rsid w:val="008B7D7E"/>
    <w:rsid w:val="008B7EC1"/>
    <w:rsid w:val="008B7F57"/>
    <w:rsid w:val="008C0396"/>
    <w:rsid w:val="008C053A"/>
    <w:rsid w:val="008C0C40"/>
    <w:rsid w:val="008C0DFF"/>
    <w:rsid w:val="008C1408"/>
    <w:rsid w:val="008C1513"/>
    <w:rsid w:val="008C1529"/>
    <w:rsid w:val="008C17BD"/>
    <w:rsid w:val="008C1A6B"/>
    <w:rsid w:val="008C1E83"/>
    <w:rsid w:val="008C2259"/>
    <w:rsid w:val="008C2578"/>
    <w:rsid w:val="008C27EA"/>
    <w:rsid w:val="008C2A62"/>
    <w:rsid w:val="008C3551"/>
    <w:rsid w:val="008C35D5"/>
    <w:rsid w:val="008C363E"/>
    <w:rsid w:val="008C3773"/>
    <w:rsid w:val="008C41EF"/>
    <w:rsid w:val="008C4CC6"/>
    <w:rsid w:val="008C4DC8"/>
    <w:rsid w:val="008C50F2"/>
    <w:rsid w:val="008C5610"/>
    <w:rsid w:val="008C563E"/>
    <w:rsid w:val="008C5739"/>
    <w:rsid w:val="008C6338"/>
    <w:rsid w:val="008C6341"/>
    <w:rsid w:val="008C68B4"/>
    <w:rsid w:val="008C69CA"/>
    <w:rsid w:val="008C6A19"/>
    <w:rsid w:val="008C70CB"/>
    <w:rsid w:val="008C7282"/>
    <w:rsid w:val="008C7392"/>
    <w:rsid w:val="008C7AE5"/>
    <w:rsid w:val="008C7BDA"/>
    <w:rsid w:val="008C7ECB"/>
    <w:rsid w:val="008C7FC9"/>
    <w:rsid w:val="008D0488"/>
    <w:rsid w:val="008D0BF4"/>
    <w:rsid w:val="008D1627"/>
    <w:rsid w:val="008D1ABB"/>
    <w:rsid w:val="008D1CD8"/>
    <w:rsid w:val="008D210D"/>
    <w:rsid w:val="008D21C3"/>
    <w:rsid w:val="008D2435"/>
    <w:rsid w:val="008D2ABD"/>
    <w:rsid w:val="008D331C"/>
    <w:rsid w:val="008D3B86"/>
    <w:rsid w:val="008D3FDE"/>
    <w:rsid w:val="008D43FD"/>
    <w:rsid w:val="008D44F8"/>
    <w:rsid w:val="008D4755"/>
    <w:rsid w:val="008D4AD5"/>
    <w:rsid w:val="008D4C3D"/>
    <w:rsid w:val="008D4ED6"/>
    <w:rsid w:val="008D594D"/>
    <w:rsid w:val="008D5BD3"/>
    <w:rsid w:val="008D5D60"/>
    <w:rsid w:val="008D5E0F"/>
    <w:rsid w:val="008D613E"/>
    <w:rsid w:val="008D6972"/>
    <w:rsid w:val="008D70BA"/>
    <w:rsid w:val="008D743C"/>
    <w:rsid w:val="008D7730"/>
    <w:rsid w:val="008D78EC"/>
    <w:rsid w:val="008D7B25"/>
    <w:rsid w:val="008D7B6C"/>
    <w:rsid w:val="008D7BDC"/>
    <w:rsid w:val="008D7C2C"/>
    <w:rsid w:val="008E04C5"/>
    <w:rsid w:val="008E0708"/>
    <w:rsid w:val="008E0D3C"/>
    <w:rsid w:val="008E0DED"/>
    <w:rsid w:val="008E12EE"/>
    <w:rsid w:val="008E145F"/>
    <w:rsid w:val="008E1A6D"/>
    <w:rsid w:val="008E1B9E"/>
    <w:rsid w:val="008E1FC0"/>
    <w:rsid w:val="008E23DE"/>
    <w:rsid w:val="008E2B90"/>
    <w:rsid w:val="008E435E"/>
    <w:rsid w:val="008E49C0"/>
    <w:rsid w:val="008E516D"/>
    <w:rsid w:val="008E55AB"/>
    <w:rsid w:val="008E56A6"/>
    <w:rsid w:val="008E7394"/>
    <w:rsid w:val="008E7536"/>
    <w:rsid w:val="008E79B3"/>
    <w:rsid w:val="008E7C68"/>
    <w:rsid w:val="008E7ECE"/>
    <w:rsid w:val="008E7F3A"/>
    <w:rsid w:val="008F0287"/>
    <w:rsid w:val="008F028C"/>
    <w:rsid w:val="008F0C7C"/>
    <w:rsid w:val="008F1009"/>
    <w:rsid w:val="008F120A"/>
    <w:rsid w:val="008F12EA"/>
    <w:rsid w:val="008F1394"/>
    <w:rsid w:val="008F1503"/>
    <w:rsid w:val="008F24BB"/>
    <w:rsid w:val="008F2656"/>
    <w:rsid w:val="008F27E0"/>
    <w:rsid w:val="008F2B2A"/>
    <w:rsid w:val="008F2C2A"/>
    <w:rsid w:val="008F2D63"/>
    <w:rsid w:val="008F300A"/>
    <w:rsid w:val="008F48EB"/>
    <w:rsid w:val="008F4B43"/>
    <w:rsid w:val="008F4BFC"/>
    <w:rsid w:val="008F4F0B"/>
    <w:rsid w:val="008F5056"/>
    <w:rsid w:val="008F51A4"/>
    <w:rsid w:val="008F573F"/>
    <w:rsid w:val="008F5DD3"/>
    <w:rsid w:val="008F5E39"/>
    <w:rsid w:val="008F63EA"/>
    <w:rsid w:val="008F77DB"/>
    <w:rsid w:val="0090002B"/>
    <w:rsid w:val="009001AC"/>
    <w:rsid w:val="0090047F"/>
    <w:rsid w:val="0090090D"/>
    <w:rsid w:val="00901300"/>
    <w:rsid w:val="00901CED"/>
    <w:rsid w:val="00901E4F"/>
    <w:rsid w:val="00902440"/>
    <w:rsid w:val="009026AE"/>
    <w:rsid w:val="0090285C"/>
    <w:rsid w:val="00903973"/>
    <w:rsid w:val="00903F1D"/>
    <w:rsid w:val="009046C4"/>
    <w:rsid w:val="00904868"/>
    <w:rsid w:val="009051B2"/>
    <w:rsid w:val="0090529B"/>
    <w:rsid w:val="0090555D"/>
    <w:rsid w:val="00905C1A"/>
    <w:rsid w:val="009062A5"/>
    <w:rsid w:val="009062C5"/>
    <w:rsid w:val="009067B6"/>
    <w:rsid w:val="009067F8"/>
    <w:rsid w:val="0090690C"/>
    <w:rsid w:val="00906A26"/>
    <w:rsid w:val="00906FAF"/>
    <w:rsid w:val="00907699"/>
    <w:rsid w:val="009078D3"/>
    <w:rsid w:val="00907C75"/>
    <w:rsid w:val="00907F04"/>
    <w:rsid w:val="00910471"/>
    <w:rsid w:val="009105F1"/>
    <w:rsid w:val="0091076F"/>
    <w:rsid w:val="009107F3"/>
    <w:rsid w:val="00910ACB"/>
    <w:rsid w:val="00910AEC"/>
    <w:rsid w:val="00910B41"/>
    <w:rsid w:val="00910FA7"/>
    <w:rsid w:val="00911217"/>
    <w:rsid w:val="00911272"/>
    <w:rsid w:val="00911339"/>
    <w:rsid w:val="009115BB"/>
    <w:rsid w:val="00911F48"/>
    <w:rsid w:val="0091240C"/>
    <w:rsid w:val="009128F9"/>
    <w:rsid w:val="009135D6"/>
    <w:rsid w:val="00913BE5"/>
    <w:rsid w:val="00913FA7"/>
    <w:rsid w:val="00914C77"/>
    <w:rsid w:val="0091502B"/>
    <w:rsid w:val="00915B2F"/>
    <w:rsid w:val="00915C38"/>
    <w:rsid w:val="00915E52"/>
    <w:rsid w:val="0091618D"/>
    <w:rsid w:val="00916420"/>
    <w:rsid w:val="009168AB"/>
    <w:rsid w:val="00916E3D"/>
    <w:rsid w:val="00916F49"/>
    <w:rsid w:val="00916FFB"/>
    <w:rsid w:val="0091753D"/>
    <w:rsid w:val="009176C7"/>
    <w:rsid w:val="009176E0"/>
    <w:rsid w:val="0091797C"/>
    <w:rsid w:val="00920B77"/>
    <w:rsid w:val="00920D01"/>
    <w:rsid w:val="00921116"/>
    <w:rsid w:val="009211AB"/>
    <w:rsid w:val="0092138E"/>
    <w:rsid w:val="00921A08"/>
    <w:rsid w:val="00921A6C"/>
    <w:rsid w:val="00921ACB"/>
    <w:rsid w:val="00921FAA"/>
    <w:rsid w:val="0092271F"/>
    <w:rsid w:val="0092284B"/>
    <w:rsid w:val="009228B5"/>
    <w:rsid w:val="00922E3B"/>
    <w:rsid w:val="00922EF8"/>
    <w:rsid w:val="009231E4"/>
    <w:rsid w:val="009235C6"/>
    <w:rsid w:val="0092369B"/>
    <w:rsid w:val="0092375A"/>
    <w:rsid w:val="00923F14"/>
    <w:rsid w:val="00924596"/>
    <w:rsid w:val="00924A96"/>
    <w:rsid w:val="00925567"/>
    <w:rsid w:val="0092563D"/>
    <w:rsid w:val="009257DA"/>
    <w:rsid w:val="00925821"/>
    <w:rsid w:val="00925DCF"/>
    <w:rsid w:val="009260E3"/>
    <w:rsid w:val="00926275"/>
    <w:rsid w:val="009267CB"/>
    <w:rsid w:val="0092699E"/>
    <w:rsid w:val="00926EB1"/>
    <w:rsid w:val="00926EDE"/>
    <w:rsid w:val="00926FD9"/>
    <w:rsid w:val="00927437"/>
    <w:rsid w:val="00927E83"/>
    <w:rsid w:val="009304E1"/>
    <w:rsid w:val="00930ACE"/>
    <w:rsid w:val="00931962"/>
    <w:rsid w:val="00931B18"/>
    <w:rsid w:val="00931BD7"/>
    <w:rsid w:val="00932204"/>
    <w:rsid w:val="00933D17"/>
    <w:rsid w:val="00933E50"/>
    <w:rsid w:val="009341CC"/>
    <w:rsid w:val="00934664"/>
    <w:rsid w:val="00934988"/>
    <w:rsid w:val="00934BA9"/>
    <w:rsid w:val="009357D6"/>
    <w:rsid w:val="00935BD3"/>
    <w:rsid w:val="009366A8"/>
    <w:rsid w:val="00936860"/>
    <w:rsid w:val="00937089"/>
    <w:rsid w:val="00937919"/>
    <w:rsid w:val="00937D98"/>
    <w:rsid w:val="00940B3D"/>
    <w:rsid w:val="00940B42"/>
    <w:rsid w:val="009410F8"/>
    <w:rsid w:val="009415F7"/>
    <w:rsid w:val="00941A00"/>
    <w:rsid w:val="009421EE"/>
    <w:rsid w:val="009428C8"/>
    <w:rsid w:val="00943410"/>
    <w:rsid w:val="009435F2"/>
    <w:rsid w:val="0094371A"/>
    <w:rsid w:val="00943BCF"/>
    <w:rsid w:val="00944F60"/>
    <w:rsid w:val="00944F8A"/>
    <w:rsid w:val="009469AD"/>
    <w:rsid w:val="00946A8E"/>
    <w:rsid w:val="0094786B"/>
    <w:rsid w:val="00947F1C"/>
    <w:rsid w:val="009503E7"/>
    <w:rsid w:val="009505E1"/>
    <w:rsid w:val="009508AF"/>
    <w:rsid w:val="009510A2"/>
    <w:rsid w:val="00951859"/>
    <w:rsid w:val="009519E7"/>
    <w:rsid w:val="00951F0A"/>
    <w:rsid w:val="00952502"/>
    <w:rsid w:val="00952713"/>
    <w:rsid w:val="009527B6"/>
    <w:rsid w:val="00952901"/>
    <w:rsid w:val="00952E12"/>
    <w:rsid w:val="00953257"/>
    <w:rsid w:val="009532EF"/>
    <w:rsid w:val="0095368E"/>
    <w:rsid w:val="00953A4F"/>
    <w:rsid w:val="00953B89"/>
    <w:rsid w:val="00953C6A"/>
    <w:rsid w:val="00953EA3"/>
    <w:rsid w:val="00954412"/>
    <w:rsid w:val="009545B3"/>
    <w:rsid w:val="0095474C"/>
    <w:rsid w:val="0095497C"/>
    <w:rsid w:val="00954CBF"/>
    <w:rsid w:val="00954E16"/>
    <w:rsid w:val="00954F99"/>
    <w:rsid w:val="00955625"/>
    <w:rsid w:val="009559DF"/>
    <w:rsid w:val="0095640C"/>
    <w:rsid w:val="0095640F"/>
    <w:rsid w:val="00956CCC"/>
    <w:rsid w:val="00956D41"/>
    <w:rsid w:val="0095753D"/>
    <w:rsid w:val="00957626"/>
    <w:rsid w:val="00957A63"/>
    <w:rsid w:val="00957D92"/>
    <w:rsid w:val="00960B05"/>
    <w:rsid w:val="009614A4"/>
    <w:rsid w:val="00961658"/>
    <w:rsid w:val="00961A6A"/>
    <w:rsid w:val="009623D0"/>
    <w:rsid w:val="00962508"/>
    <w:rsid w:val="00962CB9"/>
    <w:rsid w:val="00962CFE"/>
    <w:rsid w:val="0096304B"/>
    <w:rsid w:val="0096304F"/>
    <w:rsid w:val="00963083"/>
    <w:rsid w:val="009634F4"/>
    <w:rsid w:val="00963BD8"/>
    <w:rsid w:val="009640A5"/>
    <w:rsid w:val="0096410A"/>
    <w:rsid w:val="00964312"/>
    <w:rsid w:val="00964586"/>
    <w:rsid w:val="009647E4"/>
    <w:rsid w:val="009649CD"/>
    <w:rsid w:val="009652FE"/>
    <w:rsid w:val="009654E1"/>
    <w:rsid w:val="00965703"/>
    <w:rsid w:val="00965B8A"/>
    <w:rsid w:val="00966385"/>
    <w:rsid w:val="00966F9B"/>
    <w:rsid w:val="009671D0"/>
    <w:rsid w:val="00967F3A"/>
    <w:rsid w:val="00970220"/>
    <w:rsid w:val="0097071F"/>
    <w:rsid w:val="00971598"/>
    <w:rsid w:val="009717AC"/>
    <w:rsid w:val="00971C85"/>
    <w:rsid w:val="0097229A"/>
    <w:rsid w:val="00972861"/>
    <w:rsid w:val="00973D1C"/>
    <w:rsid w:val="00974031"/>
    <w:rsid w:val="00974123"/>
    <w:rsid w:val="00974963"/>
    <w:rsid w:val="00974B25"/>
    <w:rsid w:val="00974C6E"/>
    <w:rsid w:val="00974FE7"/>
    <w:rsid w:val="009751C1"/>
    <w:rsid w:val="00975D04"/>
    <w:rsid w:val="00975EBC"/>
    <w:rsid w:val="00976011"/>
    <w:rsid w:val="00976491"/>
    <w:rsid w:val="0097699D"/>
    <w:rsid w:val="009772C5"/>
    <w:rsid w:val="0097781E"/>
    <w:rsid w:val="00980C79"/>
    <w:rsid w:val="0098105D"/>
    <w:rsid w:val="009811F1"/>
    <w:rsid w:val="0098174D"/>
    <w:rsid w:val="00981B31"/>
    <w:rsid w:val="00981F9B"/>
    <w:rsid w:val="009823A8"/>
    <w:rsid w:val="009825D4"/>
    <w:rsid w:val="0098262F"/>
    <w:rsid w:val="00983884"/>
    <w:rsid w:val="00983ACE"/>
    <w:rsid w:val="00983DF4"/>
    <w:rsid w:val="00983E57"/>
    <w:rsid w:val="009852CF"/>
    <w:rsid w:val="00985760"/>
    <w:rsid w:val="009857C7"/>
    <w:rsid w:val="0098580E"/>
    <w:rsid w:val="009858CC"/>
    <w:rsid w:val="00985CBB"/>
    <w:rsid w:val="00985DE2"/>
    <w:rsid w:val="0098675D"/>
    <w:rsid w:val="00986827"/>
    <w:rsid w:val="00987216"/>
    <w:rsid w:val="0098733E"/>
    <w:rsid w:val="00987A1E"/>
    <w:rsid w:val="00987BA4"/>
    <w:rsid w:val="009900BA"/>
    <w:rsid w:val="0099019E"/>
    <w:rsid w:val="009908D6"/>
    <w:rsid w:val="0099094A"/>
    <w:rsid w:val="0099101E"/>
    <w:rsid w:val="009926E0"/>
    <w:rsid w:val="0099309A"/>
    <w:rsid w:val="0099325D"/>
    <w:rsid w:val="009936C5"/>
    <w:rsid w:val="009942E8"/>
    <w:rsid w:val="0099451E"/>
    <w:rsid w:val="00994916"/>
    <w:rsid w:val="00994A50"/>
    <w:rsid w:val="00994FBC"/>
    <w:rsid w:val="009952AE"/>
    <w:rsid w:val="00995EAC"/>
    <w:rsid w:val="00995F01"/>
    <w:rsid w:val="00996B1A"/>
    <w:rsid w:val="00996E97"/>
    <w:rsid w:val="00997255"/>
    <w:rsid w:val="00997278"/>
    <w:rsid w:val="00997613"/>
    <w:rsid w:val="00997808"/>
    <w:rsid w:val="00997F4E"/>
    <w:rsid w:val="009A01C3"/>
    <w:rsid w:val="009A0677"/>
    <w:rsid w:val="009A0A4E"/>
    <w:rsid w:val="009A0C1E"/>
    <w:rsid w:val="009A10D2"/>
    <w:rsid w:val="009A1401"/>
    <w:rsid w:val="009A18F6"/>
    <w:rsid w:val="009A1965"/>
    <w:rsid w:val="009A1CF0"/>
    <w:rsid w:val="009A2301"/>
    <w:rsid w:val="009A2645"/>
    <w:rsid w:val="009A28C2"/>
    <w:rsid w:val="009A2CFE"/>
    <w:rsid w:val="009A2DCC"/>
    <w:rsid w:val="009A2F78"/>
    <w:rsid w:val="009A3158"/>
    <w:rsid w:val="009A3879"/>
    <w:rsid w:val="009A3AD9"/>
    <w:rsid w:val="009A3CDF"/>
    <w:rsid w:val="009A3F39"/>
    <w:rsid w:val="009A3FAD"/>
    <w:rsid w:val="009A4094"/>
    <w:rsid w:val="009A4393"/>
    <w:rsid w:val="009A4D0C"/>
    <w:rsid w:val="009A592B"/>
    <w:rsid w:val="009A598D"/>
    <w:rsid w:val="009A5A16"/>
    <w:rsid w:val="009A5ABC"/>
    <w:rsid w:val="009A61B3"/>
    <w:rsid w:val="009A64CD"/>
    <w:rsid w:val="009A74E1"/>
    <w:rsid w:val="009A7669"/>
    <w:rsid w:val="009A7ACA"/>
    <w:rsid w:val="009A7F10"/>
    <w:rsid w:val="009B056A"/>
    <w:rsid w:val="009B10D0"/>
    <w:rsid w:val="009B190F"/>
    <w:rsid w:val="009B2088"/>
    <w:rsid w:val="009B23C8"/>
    <w:rsid w:val="009B2B66"/>
    <w:rsid w:val="009B3562"/>
    <w:rsid w:val="009B3E26"/>
    <w:rsid w:val="009B3E63"/>
    <w:rsid w:val="009B425A"/>
    <w:rsid w:val="009B4333"/>
    <w:rsid w:val="009B4864"/>
    <w:rsid w:val="009B48AD"/>
    <w:rsid w:val="009B5542"/>
    <w:rsid w:val="009B5BCF"/>
    <w:rsid w:val="009B5F08"/>
    <w:rsid w:val="009B65AD"/>
    <w:rsid w:val="009B78D6"/>
    <w:rsid w:val="009B7ED8"/>
    <w:rsid w:val="009C0120"/>
    <w:rsid w:val="009C0529"/>
    <w:rsid w:val="009C06ED"/>
    <w:rsid w:val="009C1271"/>
    <w:rsid w:val="009C17A6"/>
    <w:rsid w:val="009C1CFE"/>
    <w:rsid w:val="009C2014"/>
    <w:rsid w:val="009C221D"/>
    <w:rsid w:val="009C2851"/>
    <w:rsid w:val="009C2EF3"/>
    <w:rsid w:val="009C35D5"/>
    <w:rsid w:val="009C3706"/>
    <w:rsid w:val="009C3A3A"/>
    <w:rsid w:val="009C3A55"/>
    <w:rsid w:val="009C3B6C"/>
    <w:rsid w:val="009C410E"/>
    <w:rsid w:val="009C426B"/>
    <w:rsid w:val="009C4AE0"/>
    <w:rsid w:val="009C5089"/>
    <w:rsid w:val="009C54B7"/>
    <w:rsid w:val="009C59FD"/>
    <w:rsid w:val="009C6BC9"/>
    <w:rsid w:val="009C6CB4"/>
    <w:rsid w:val="009C6CEA"/>
    <w:rsid w:val="009C6D84"/>
    <w:rsid w:val="009C7B85"/>
    <w:rsid w:val="009C7DEF"/>
    <w:rsid w:val="009D0254"/>
    <w:rsid w:val="009D0320"/>
    <w:rsid w:val="009D1228"/>
    <w:rsid w:val="009D1A64"/>
    <w:rsid w:val="009D1EBE"/>
    <w:rsid w:val="009D2892"/>
    <w:rsid w:val="009D299C"/>
    <w:rsid w:val="009D3E52"/>
    <w:rsid w:val="009D4041"/>
    <w:rsid w:val="009D5446"/>
    <w:rsid w:val="009D5B91"/>
    <w:rsid w:val="009D6F60"/>
    <w:rsid w:val="009D78A0"/>
    <w:rsid w:val="009D78CE"/>
    <w:rsid w:val="009D7923"/>
    <w:rsid w:val="009D792E"/>
    <w:rsid w:val="009D7999"/>
    <w:rsid w:val="009D7C9B"/>
    <w:rsid w:val="009E00F6"/>
    <w:rsid w:val="009E0DFE"/>
    <w:rsid w:val="009E19B6"/>
    <w:rsid w:val="009E1CFD"/>
    <w:rsid w:val="009E1F31"/>
    <w:rsid w:val="009E2169"/>
    <w:rsid w:val="009E25B1"/>
    <w:rsid w:val="009E2639"/>
    <w:rsid w:val="009E31F6"/>
    <w:rsid w:val="009E37F9"/>
    <w:rsid w:val="009E39EA"/>
    <w:rsid w:val="009E435C"/>
    <w:rsid w:val="009E43A5"/>
    <w:rsid w:val="009E458B"/>
    <w:rsid w:val="009E49FB"/>
    <w:rsid w:val="009E4C07"/>
    <w:rsid w:val="009E4DD4"/>
    <w:rsid w:val="009E51D6"/>
    <w:rsid w:val="009E5781"/>
    <w:rsid w:val="009E579C"/>
    <w:rsid w:val="009E6055"/>
    <w:rsid w:val="009E66D0"/>
    <w:rsid w:val="009E6ADD"/>
    <w:rsid w:val="009E7502"/>
    <w:rsid w:val="009E7529"/>
    <w:rsid w:val="009E777F"/>
    <w:rsid w:val="009F02E2"/>
    <w:rsid w:val="009F03C8"/>
    <w:rsid w:val="009F04C2"/>
    <w:rsid w:val="009F0587"/>
    <w:rsid w:val="009F078A"/>
    <w:rsid w:val="009F089D"/>
    <w:rsid w:val="009F0A86"/>
    <w:rsid w:val="009F1A4B"/>
    <w:rsid w:val="009F1BA4"/>
    <w:rsid w:val="009F1E0C"/>
    <w:rsid w:val="009F2005"/>
    <w:rsid w:val="009F237A"/>
    <w:rsid w:val="009F2842"/>
    <w:rsid w:val="009F2C83"/>
    <w:rsid w:val="009F2E6B"/>
    <w:rsid w:val="009F33B1"/>
    <w:rsid w:val="009F3804"/>
    <w:rsid w:val="009F4523"/>
    <w:rsid w:val="009F4801"/>
    <w:rsid w:val="009F4F04"/>
    <w:rsid w:val="009F51FA"/>
    <w:rsid w:val="009F5274"/>
    <w:rsid w:val="009F5748"/>
    <w:rsid w:val="009F5813"/>
    <w:rsid w:val="009F6120"/>
    <w:rsid w:val="009F62F5"/>
    <w:rsid w:val="009F6B4F"/>
    <w:rsid w:val="009F6C80"/>
    <w:rsid w:val="009F7015"/>
    <w:rsid w:val="009F7683"/>
    <w:rsid w:val="009F7B48"/>
    <w:rsid w:val="009F7E48"/>
    <w:rsid w:val="00A00048"/>
    <w:rsid w:val="00A001B6"/>
    <w:rsid w:val="00A00399"/>
    <w:rsid w:val="00A00D76"/>
    <w:rsid w:val="00A01184"/>
    <w:rsid w:val="00A01449"/>
    <w:rsid w:val="00A015C2"/>
    <w:rsid w:val="00A01B30"/>
    <w:rsid w:val="00A01D0F"/>
    <w:rsid w:val="00A0216A"/>
    <w:rsid w:val="00A02780"/>
    <w:rsid w:val="00A028B4"/>
    <w:rsid w:val="00A02AC7"/>
    <w:rsid w:val="00A02D90"/>
    <w:rsid w:val="00A03298"/>
    <w:rsid w:val="00A037C2"/>
    <w:rsid w:val="00A03CF2"/>
    <w:rsid w:val="00A03D43"/>
    <w:rsid w:val="00A0406F"/>
    <w:rsid w:val="00A04380"/>
    <w:rsid w:val="00A04699"/>
    <w:rsid w:val="00A04786"/>
    <w:rsid w:val="00A04ECF"/>
    <w:rsid w:val="00A05229"/>
    <w:rsid w:val="00A0530D"/>
    <w:rsid w:val="00A05359"/>
    <w:rsid w:val="00A05472"/>
    <w:rsid w:val="00A05C32"/>
    <w:rsid w:val="00A05CE0"/>
    <w:rsid w:val="00A05FAC"/>
    <w:rsid w:val="00A0653F"/>
    <w:rsid w:val="00A06AE0"/>
    <w:rsid w:val="00A07F26"/>
    <w:rsid w:val="00A1006C"/>
    <w:rsid w:val="00A10889"/>
    <w:rsid w:val="00A10D6B"/>
    <w:rsid w:val="00A11CD0"/>
    <w:rsid w:val="00A12043"/>
    <w:rsid w:val="00A12619"/>
    <w:rsid w:val="00A12A55"/>
    <w:rsid w:val="00A12E5A"/>
    <w:rsid w:val="00A135E2"/>
    <w:rsid w:val="00A135FF"/>
    <w:rsid w:val="00A1379A"/>
    <w:rsid w:val="00A13948"/>
    <w:rsid w:val="00A13BFF"/>
    <w:rsid w:val="00A13DE8"/>
    <w:rsid w:val="00A1425E"/>
    <w:rsid w:val="00A14488"/>
    <w:rsid w:val="00A14B77"/>
    <w:rsid w:val="00A1521A"/>
    <w:rsid w:val="00A15330"/>
    <w:rsid w:val="00A1543E"/>
    <w:rsid w:val="00A1555B"/>
    <w:rsid w:val="00A155C5"/>
    <w:rsid w:val="00A1581F"/>
    <w:rsid w:val="00A15CDF"/>
    <w:rsid w:val="00A15FEC"/>
    <w:rsid w:val="00A1622A"/>
    <w:rsid w:val="00A16453"/>
    <w:rsid w:val="00A164C0"/>
    <w:rsid w:val="00A16AD8"/>
    <w:rsid w:val="00A17523"/>
    <w:rsid w:val="00A179E3"/>
    <w:rsid w:val="00A17BAD"/>
    <w:rsid w:val="00A17F53"/>
    <w:rsid w:val="00A2015C"/>
    <w:rsid w:val="00A2021E"/>
    <w:rsid w:val="00A209D2"/>
    <w:rsid w:val="00A216EB"/>
    <w:rsid w:val="00A21C95"/>
    <w:rsid w:val="00A21CF3"/>
    <w:rsid w:val="00A21D12"/>
    <w:rsid w:val="00A21ED9"/>
    <w:rsid w:val="00A2212D"/>
    <w:rsid w:val="00A22315"/>
    <w:rsid w:val="00A2381B"/>
    <w:rsid w:val="00A24813"/>
    <w:rsid w:val="00A24A7B"/>
    <w:rsid w:val="00A25228"/>
    <w:rsid w:val="00A2582D"/>
    <w:rsid w:val="00A2656B"/>
    <w:rsid w:val="00A26791"/>
    <w:rsid w:val="00A26B37"/>
    <w:rsid w:val="00A27207"/>
    <w:rsid w:val="00A27AEC"/>
    <w:rsid w:val="00A27DD0"/>
    <w:rsid w:val="00A30906"/>
    <w:rsid w:val="00A3115F"/>
    <w:rsid w:val="00A320C7"/>
    <w:rsid w:val="00A320DB"/>
    <w:rsid w:val="00A3225F"/>
    <w:rsid w:val="00A3243B"/>
    <w:rsid w:val="00A32A03"/>
    <w:rsid w:val="00A32D92"/>
    <w:rsid w:val="00A331CF"/>
    <w:rsid w:val="00A33722"/>
    <w:rsid w:val="00A33B1D"/>
    <w:rsid w:val="00A34190"/>
    <w:rsid w:val="00A347DD"/>
    <w:rsid w:val="00A34CD4"/>
    <w:rsid w:val="00A350CA"/>
    <w:rsid w:val="00A3546A"/>
    <w:rsid w:val="00A356AF"/>
    <w:rsid w:val="00A35D16"/>
    <w:rsid w:val="00A37A62"/>
    <w:rsid w:val="00A37BCD"/>
    <w:rsid w:val="00A37D23"/>
    <w:rsid w:val="00A4017A"/>
    <w:rsid w:val="00A4026B"/>
    <w:rsid w:val="00A406C2"/>
    <w:rsid w:val="00A40C4C"/>
    <w:rsid w:val="00A40E16"/>
    <w:rsid w:val="00A40E4E"/>
    <w:rsid w:val="00A41647"/>
    <w:rsid w:val="00A41689"/>
    <w:rsid w:val="00A41BF3"/>
    <w:rsid w:val="00A42183"/>
    <w:rsid w:val="00A42481"/>
    <w:rsid w:val="00A42592"/>
    <w:rsid w:val="00A42829"/>
    <w:rsid w:val="00A42C51"/>
    <w:rsid w:val="00A43C59"/>
    <w:rsid w:val="00A43C72"/>
    <w:rsid w:val="00A443DE"/>
    <w:rsid w:val="00A443F8"/>
    <w:rsid w:val="00A44E90"/>
    <w:rsid w:val="00A44E9A"/>
    <w:rsid w:val="00A452C4"/>
    <w:rsid w:val="00A45338"/>
    <w:rsid w:val="00A45425"/>
    <w:rsid w:val="00A45C2B"/>
    <w:rsid w:val="00A46340"/>
    <w:rsid w:val="00A4677E"/>
    <w:rsid w:val="00A46B3E"/>
    <w:rsid w:val="00A46B82"/>
    <w:rsid w:val="00A46E8B"/>
    <w:rsid w:val="00A5089A"/>
    <w:rsid w:val="00A50DDF"/>
    <w:rsid w:val="00A50ECD"/>
    <w:rsid w:val="00A51015"/>
    <w:rsid w:val="00A517E1"/>
    <w:rsid w:val="00A518F3"/>
    <w:rsid w:val="00A52273"/>
    <w:rsid w:val="00A52729"/>
    <w:rsid w:val="00A527F3"/>
    <w:rsid w:val="00A528EE"/>
    <w:rsid w:val="00A52BF7"/>
    <w:rsid w:val="00A52D24"/>
    <w:rsid w:val="00A53539"/>
    <w:rsid w:val="00A53675"/>
    <w:rsid w:val="00A54828"/>
    <w:rsid w:val="00A549C5"/>
    <w:rsid w:val="00A54B90"/>
    <w:rsid w:val="00A557F7"/>
    <w:rsid w:val="00A55A7A"/>
    <w:rsid w:val="00A564D7"/>
    <w:rsid w:val="00A5671A"/>
    <w:rsid w:val="00A56B6A"/>
    <w:rsid w:val="00A57069"/>
    <w:rsid w:val="00A57795"/>
    <w:rsid w:val="00A578DC"/>
    <w:rsid w:val="00A57B0B"/>
    <w:rsid w:val="00A604B1"/>
    <w:rsid w:val="00A60846"/>
    <w:rsid w:val="00A60EEE"/>
    <w:rsid w:val="00A61BC5"/>
    <w:rsid w:val="00A62388"/>
    <w:rsid w:val="00A624EF"/>
    <w:rsid w:val="00A62FE3"/>
    <w:rsid w:val="00A640E2"/>
    <w:rsid w:val="00A64D65"/>
    <w:rsid w:val="00A650BD"/>
    <w:rsid w:val="00A65196"/>
    <w:rsid w:val="00A65339"/>
    <w:rsid w:val="00A65CBA"/>
    <w:rsid w:val="00A661C2"/>
    <w:rsid w:val="00A6725B"/>
    <w:rsid w:val="00A67931"/>
    <w:rsid w:val="00A679E8"/>
    <w:rsid w:val="00A67F30"/>
    <w:rsid w:val="00A70296"/>
    <w:rsid w:val="00A70605"/>
    <w:rsid w:val="00A711C2"/>
    <w:rsid w:val="00A713CF"/>
    <w:rsid w:val="00A71C3C"/>
    <w:rsid w:val="00A71F1F"/>
    <w:rsid w:val="00A71F42"/>
    <w:rsid w:val="00A7231B"/>
    <w:rsid w:val="00A725DA"/>
    <w:rsid w:val="00A7292F"/>
    <w:rsid w:val="00A72C8A"/>
    <w:rsid w:val="00A72CAA"/>
    <w:rsid w:val="00A72E50"/>
    <w:rsid w:val="00A73134"/>
    <w:rsid w:val="00A7365A"/>
    <w:rsid w:val="00A73A87"/>
    <w:rsid w:val="00A74DED"/>
    <w:rsid w:val="00A74F89"/>
    <w:rsid w:val="00A750B9"/>
    <w:rsid w:val="00A753B3"/>
    <w:rsid w:val="00A75467"/>
    <w:rsid w:val="00A7564B"/>
    <w:rsid w:val="00A756FD"/>
    <w:rsid w:val="00A75BA0"/>
    <w:rsid w:val="00A75C41"/>
    <w:rsid w:val="00A75EF0"/>
    <w:rsid w:val="00A76001"/>
    <w:rsid w:val="00A76908"/>
    <w:rsid w:val="00A76947"/>
    <w:rsid w:val="00A76C0A"/>
    <w:rsid w:val="00A777B2"/>
    <w:rsid w:val="00A77A24"/>
    <w:rsid w:val="00A77CED"/>
    <w:rsid w:val="00A77E99"/>
    <w:rsid w:val="00A80300"/>
    <w:rsid w:val="00A80366"/>
    <w:rsid w:val="00A80C81"/>
    <w:rsid w:val="00A80D07"/>
    <w:rsid w:val="00A81030"/>
    <w:rsid w:val="00A81608"/>
    <w:rsid w:val="00A822EF"/>
    <w:rsid w:val="00A825D4"/>
    <w:rsid w:val="00A828F6"/>
    <w:rsid w:val="00A82B73"/>
    <w:rsid w:val="00A82DC6"/>
    <w:rsid w:val="00A839C4"/>
    <w:rsid w:val="00A83AD3"/>
    <w:rsid w:val="00A83BEF"/>
    <w:rsid w:val="00A8417B"/>
    <w:rsid w:val="00A84A14"/>
    <w:rsid w:val="00A84B24"/>
    <w:rsid w:val="00A84D3C"/>
    <w:rsid w:val="00A85084"/>
    <w:rsid w:val="00A850E9"/>
    <w:rsid w:val="00A85734"/>
    <w:rsid w:val="00A85CF4"/>
    <w:rsid w:val="00A86525"/>
    <w:rsid w:val="00A866EB"/>
    <w:rsid w:val="00A86CF1"/>
    <w:rsid w:val="00A86E8B"/>
    <w:rsid w:val="00A86FCC"/>
    <w:rsid w:val="00A87164"/>
    <w:rsid w:val="00A871A9"/>
    <w:rsid w:val="00A878B6"/>
    <w:rsid w:val="00A878E4"/>
    <w:rsid w:val="00A87DAB"/>
    <w:rsid w:val="00A87F30"/>
    <w:rsid w:val="00A9056A"/>
    <w:rsid w:val="00A90A25"/>
    <w:rsid w:val="00A91815"/>
    <w:rsid w:val="00A9208A"/>
    <w:rsid w:val="00A92EEF"/>
    <w:rsid w:val="00A93072"/>
    <w:rsid w:val="00A938BD"/>
    <w:rsid w:val="00A93953"/>
    <w:rsid w:val="00A93A8E"/>
    <w:rsid w:val="00A94118"/>
    <w:rsid w:val="00A944E0"/>
    <w:rsid w:val="00A948D8"/>
    <w:rsid w:val="00A9497F"/>
    <w:rsid w:val="00A94ABA"/>
    <w:rsid w:val="00A94CBD"/>
    <w:rsid w:val="00A94F6A"/>
    <w:rsid w:val="00A955A2"/>
    <w:rsid w:val="00A95606"/>
    <w:rsid w:val="00A95675"/>
    <w:rsid w:val="00A958AA"/>
    <w:rsid w:val="00A959D8"/>
    <w:rsid w:val="00A95D1C"/>
    <w:rsid w:val="00A9649D"/>
    <w:rsid w:val="00A96E49"/>
    <w:rsid w:val="00A96F14"/>
    <w:rsid w:val="00A97EF8"/>
    <w:rsid w:val="00AA04F2"/>
    <w:rsid w:val="00AA07FC"/>
    <w:rsid w:val="00AA0DC3"/>
    <w:rsid w:val="00AA113D"/>
    <w:rsid w:val="00AA1286"/>
    <w:rsid w:val="00AA1624"/>
    <w:rsid w:val="00AA1A58"/>
    <w:rsid w:val="00AA1BE1"/>
    <w:rsid w:val="00AA22E2"/>
    <w:rsid w:val="00AA2349"/>
    <w:rsid w:val="00AA23D5"/>
    <w:rsid w:val="00AA2BAB"/>
    <w:rsid w:val="00AA300F"/>
    <w:rsid w:val="00AA4343"/>
    <w:rsid w:val="00AA44A4"/>
    <w:rsid w:val="00AA50D2"/>
    <w:rsid w:val="00AA54B2"/>
    <w:rsid w:val="00AA5BC1"/>
    <w:rsid w:val="00AA62AC"/>
    <w:rsid w:val="00AA68B1"/>
    <w:rsid w:val="00AA6BD5"/>
    <w:rsid w:val="00AA6BD8"/>
    <w:rsid w:val="00AA6C7D"/>
    <w:rsid w:val="00AA6E09"/>
    <w:rsid w:val="00AA7BA2"/>
    <w:rsid w:val="00AA7FD6"/>
    <w:rsid w:val="00AB009E"/>
    <w:rsid w:val="00AB013B"/>
    <w:rsid w:val="00AB024D"/>
    <w:rsid w:val="00AB042A"/>
    <w:rsid w:val="00AB093F"/>
    <w:rsid w:val="00AB0F30"/>
    <w:rsid w:val="00AB11AD"/>
    <w:rsid w:val="00AB13A5"/>
    <w:rsid w:val="00AB1674"/>
    <w:rsid w:val="00AB19EF"/>
    <w:rsid w:val="00AB2011"/>
    <w:rsid w:val="00AB2495"/>
    <w:rsid w:val="00AB2D34"/>
    <w:rsid w:val="00AB2E13"/>
    <w:rsid w:val="00AB2FB5"/>
    <w:rsid w:val="00AB3430"/>
    <w:rsid w:val="00AB34F1"/>
    <w:rsid w:val="00AB35BF"/>
    <w:rsid w:val="00AB37B9"/>
    <w:rsid w:val="00AB37D6"/>
    <w:rsid w:val="00AB3DCE"/>
    <w:rsid w:val="00AB3E59"/>
    <w:rsid w:val="00AB3F74"/>
    <w:rsid w:val="00AB4AD1"/>
    <w:rsid w:val="00AB4AEC"/>
    <w:rsid w:val="00AB4EF5"/>
    <w:rsid w:val="00AB5A87"/>
    <w:rsid w:val="00AB5E07"/>
    <w:rsid w:val="00AB60E4"/>
    <w:rsid w:val="00AB65CE"/>
    <w:rsid w:val="00AB6A8A"/>
    <w:rsid w:val="00AB6EAF"/>
    <w:rsid w:val="00AB7A03"/>
    <w:rsid w:val="00AB7C12"/>
    <w:rsid w:val="00AB7CFA"/>
    <w:rsid w:val="00AC1111"/>
    <w:rsid w:val="00AC1372"/>
    <w:rsid w:val="00AC13E9"/>
    <w:rsid w:val="00AC26D5"/>
    <w:rsid w:val="00AC26E4"/>
    <w:rsid w:val="00AC2969"/>
    <w:rsid w:val="00AC2AE5"/>
    <w:rsid w:val="00AC3B79"/>
    <w:rsid w:val="00AC3D40"/>
    <w:rsid w:val="00AC3F5F"/>
    <w:rsid w:val="00AC3FCE"/>
    <w:rsid w:val="00AC4024"/>
    <w:rsid w:val="00AC43D0"/>
    <w:rsid w:val="00AC49A7"/>
    <w:rsid w:val="00AC4AE0"/>
    <w:rsid w:val="00AC5200"/>
    <w:rsid w:val="00AC5B42"/>
    <w:rsid w:val="00AC5B48"/>
    <w:rsid w:val="00AC64D7"/>
    <w:rsid w:val="00AC6642"/>
    <w:rsid w:val="00AC680C"/>
    <w:rsid w:val="00AC68E7"/>
    <w:rsid w:val="00AC690B"/>
    <w:rsid w:val="00AC7601"/>
    <w:rsid w:val="00AC79DC"/>
    <w:rsid w:val="00AD016A"/>
    <w:rsid w:val="00AD049B"/>
    <w:rsid w:val="00AD0520"/>
    <w:rsid w:val="00AD1450"/>
    <w:rsid w:val="00AD14E4"/>
    <w:rsid w:val="00AD15E8"/>
    <w:rsid w:val="00AD173D"/>
    <w:rsid w:val="00AD1850"/>
    <w:rsid w:val="00AD1B81"/>
    <w:rsid w:val="00AD1ECE"/>
    <w:rsid w:val="00AD22C4"/>
    <w:rsid w:val="00AD256E"/>
    <w:rsid w:val="00AD2633"/>
    <w:rsid w:val="00AD2F2A"/>
    <w:rsid w:val="00AD356D"/>
    <w:rsid w:val="00AD3637"/>
    <w:rsid w:val="00AD3F07"/>
    <w:rsid w:val="00AD4879"/>
    <w:rsid w:val="00AD492E"/>
    <w:rsid w:val="00AD4C1A"/>
    <w:rsid w:val="00AD5555"/>
    <w:rsid w:val="00AD5A3B"/>
    <w:rsid w:val="00AD5B72"/>
    <w:rsid w:val="00AD6502"/>
    <w:rsid w:val="00AD66E8"/>
    <w:rsid w:val="00AD675F"/>
    <w:rsid w:val="00AD73C2"/>
    <w:rsid w:val="00AE057F"/>
    <w:rsid w:val="00AE0695"/>
    <w:rsid w:val="00AE09DC"/>
    <w:rsid w:val="00AE0F3A"/>
    <w:rsid w:val="00AE11A5"/>
    <w:rsid w:val="00AE1742"/>
    <w:rsid w:val="00AE1922"/>
    <w:rsid w:val="00AE1A8E"/>
    <w:rsid w:val="00AE1FEF"/>
    <w:rsid w:val="00AE2D02"/>
    <w:rsid w:val="00AE2DE5"/>
    <w:rsid w:val="00AE3412"/>
    <w:rsid w:val="00AE36CC"/>
    <w:rsid w:val="00AE3E7E"/>
    <w:rsid w:val="00AE4199"/>
    <w:rsid w:val="00AE420F"/>
    <w:rsid w:val="00AE4371"/>
    <w:rsid w:val="00AE5D26"/>
    <w:rsid w:val="00AE695C"/>
    <w:rsid w:val="00AE7AF3"/>
    <w:rsid w:val="00AE7E53"/>
    <w:rsid w:val="00AF038F"/>
    <w:rsid w:val="00AF0C7C"/>
    <w:rsid w:val="00AF0D9E"/>
    <w:rsid w:val="00AF0EC9"/>
    <w:rsid w:val="00AF1217"/>
    <w:rsid w:val="00AF1315"/>
    <w:rsid w:val="00AF179B"/>
    <w:rsid w:val="00AF1868"/>
    <w:rsid w:val="00AF19BF"/>
    <w:rsid w:val="00AF2866"/>
    <w:rsid w:val="00AF298D"/>
    <w:rsid w:val="00AF2A32"/>
    <w:rsid w:val="00AF2C8D"/>
    <w:rsid w:val="00AF2DC3"/>
    <w:rsid w:val="00AF34C3"/>
    <w:rsid w:val="00AF37D8"/>
    <w:rsid w:val="00AF386E"/>
    <w:rsid w:val="00AF56D2"/>
    <w:rsid w:val="00AF597E"/>
    <w:rsid w:val="00AF5A31"/>
    <w:rsid w:val="00AF5D0D"/>
    <w:rsid w:val="00AF6CEC"/>
    <w:rsid w:val="00AF7413"/>
    <w:rsid w:val="00AF7AF0"/>
    <w:rsid w:val="00AF7D35"/>
    <w:rsid w:val="00B0085A"/>
    <w:rsid w:val="00B0172D"/>
    <w:rsid w:val="00B01B53"/>
    <w:rsid w:val="00B021DB"/>
    <w:rsid w:val="00B02FD3"/>
    <w:rsid w:val="00B033E5"/>
    <w:rsid w:val="00B03521"/>
    <w:rsid w:val="00B03575"/>
    <w:rsid w:val="00B03A63"/>
    <w:rsid w:val="00B03F48"/>
    <w:rsid w:val="00B04D4C"/>
    <w:rsid w:val="00B0593C"/>
    <w:rsid w:val="00B05F38"/>
    <w:rsid w:val="00B06746"/>
    <w:rsid w:val="00B067A4"/>
    <w:rsid w:val="00B06952"/>
    <w:rsid w:val="00B06EBA"/>
    <w:rsid w:val="00B06F15"/>
    <w:rsid w:val="00B07267"/>
    <w:rsid w:val="00B072DA"/>
    <w:rsid w:val="00B0786C"/>
    <w:rsid w:val="00B0788F"/>
    <w:rsid w:val="00B101BB"/>
    <w:rsid w:val="00B10332"/>
    <w:rsid w:val="00B10436"/>
    <w:rsid w:val="00B10AF1"/>
    <w:rsid w:val="00B10CA7"/>
    <w:rsid w:val="00B10CC3"/>
    <w:rsid w:val="00B10EAF"/>
    <w:rsid w:val="00B11042"/>
    <w:rsid w:val="00B111BB"/>
    <w:rsid w:val="00B1204B"/>
    <w:rsid w:val="00B12570"/>
    <w:rsid w:val="00B1261C"/>
    <w:rsid w:val="00B129A4"/>
    <w:rsid w:val="00B1361A"/>
    <w:rsid w:val="00B138D2"/>
    <w:rsid w:val="00B14066"/>
    <w:rsid w:val="00B141AC"/>
    <w:rsid w:val="00B14482"/>
    <w:rsid w:val="00B14F9B"/>
    <w:rsid w:val="00B150EB"/>
    <w:rsid w:val="00B15D4D"/>
    <w:rsid w:val="00B15DC1"/>
    <w:rsid w:val="00B16408"/>
    <w:rsid w:val="00B16413"/>
    <w:rsid w:val="00B166E6"/>
    <w:rsid w:val="00B17945"/>
    <w:rsid w:val="00B17F32"/>
    <w:rsid w:val="00B201A4"/>
    <w:rsid w:val="00B201D1"/>
    <w:rsid w:val="00B2058A"/>
    <w:rsid w:val="00B2084E"/>
    <w:rsid w:val="00B20CA5"/>
    <w:rsid w:val="00B20EFC"/>
    <w:rsid w:val="00B213A6"/>
    <w:rsid w:val="00B21B0F"/>
    <w:rsid w:val="00B230BD"/>
    <w:rsid w:val="00B235B0"/>
    <w:rsid w:val="00B2410B"/>
    <w:rsid w:val="00B24DF6"/>
    <w:rsid w:val="00B256BD"/>
    <w:rsid w:val="00B25929"/>
    <w:rsid w:val="00B2662B"/>
    <w:rsid w:val="00B267E1"/>
    <w:rsid w:val="00B26BBE"/>
    <w:rsid w:val="00B26C5C"/>
    <w:rsid w:val="00B27200"/>
    <w:rsid w:val="00B27872"/>
    <w:rsid w:val="00B27A61"/>
    <w:rsid w:val="00B27A80"/>
    <w:rsid w:val="00B30B08"/>
    <w:rsid w:val="00B30B95"/>
    <w:rsid w:val="00B30EB4"/>
    <w:rsid w:val="00B310D1"/>
    <w:rsid w:val="00B31200"/>
    <w:rsid w:val="00B3202B"/>
    <w:rsid w:val="00B32642"/>
    <w:rsid w:val="00B33273"/>
    <w:rsid w:val="00B33494"/>
    <w:rsid w:val="00B335BF"/>
    <w:rsid w:val="00B3456B"/>
    <w:rsid w:val="00B34FE2"/>
    <w:rsid w:val="00B35166"/>
    <w:rsid w:val="00B3546B"/>
    <w:rsid w:val="00B35682"/>
    <w:rsid w:val="00B357D8"/>
    <w:rsid w:val="00B360F4"/>
    <w:rsid w:val="00B3638D"/>
    <w:rsid w:val="00B368A3"/>
    <w:rsid w:val="00B36A00"/>
    <w:rsid w:val="00B36A03"/>
    <w:rsid w:val="00B373EE"/>
    <w:rsid w:val="00B3792B"/>
    <w:rsid w:val="00B37BFC"/>
    <w:rsid w:val="00B37F13"/>
    <w:rsid w:val="00B40117"/>
    <w:rsid w:val="00B40358"/>
    <w:rsid w:val="00B405A1"/>
    <w:rsid w:val="00B40B66"/>
    <w:rsid w:val="00B41151"/>
    <w:rsid w:val="00B41614"/>
    <w:rsid w:val="00B41C8C"/>
    <w:rsid w:val="00B41E39"/>
    <w:rsid w:val="00B42851"/>
    <w:rsid w:val="00B42F80"/>
    <w:rsid w:val="00B4300A"/>
    <w:rsid w:val="00B433D1"/>
    <w:rsid w:val="00B435CB"/>
    <w:rsid w:val="00B43909"/>
    <w:rsid w:val="00B44E5D"/>
    <w:rsid w:val="00B451B9"/>
    <w:rsid w:val="00B45542"/>
    <w:rsid w:val="00B45730"/>
    <w:rsid w:val="00B45831"/>
    <w:rsid w:val="00B45987"/>
    <w:rsid w:val="00B45C53"/>
    <w:rsid w:val="00B465EC"/>
    <w:rsid w:val="00B46629"/>
    <w:rsid w:val="00B46D5C"/>
    <w:rsid w:val="00B47065"/>
    <w:rsid w:val="00B505C8"/>
    <w:rsid w:val="00B5064A"/>
    <w:rsid w:val="00B50812"/>
    <w:rsid w:val="00B50A31"/>
    <w:rsid w:val="00B50B6E"/>
    <w:rsid w:val="00B50DB8"/>
    <w:rsid w:val="00B5178F"/>
    <w:rsid w:val="00B51988"/>
    <w:rsid w:val="00B51D05"/>
    <w:rsid w:val="00B51D8A"/>
    <w:rsid w:val="00B51E3D"/>
    <w:rsid w:val="00B5212A"/>
    <w:rsid w:val="00B52CDE"/>
    <w:rsid w:val="00B52D71"/>
    <w:rsid w:val="00B52FC9"/>
    <w:rsid w:val="00B533C1"/>
    <w:rsid w:val="00B53654"/>
    <w:rsid w:val="00B53905"/>
    <w:rsid w:val="00B53B00"/>
    <w:rsid w:val="00B53EC6"/>
    <w:rsid w:val="00B54202"/>
    <w:rsid w:val="00B546DB"/>
    <w:rsid w:val="00B54781"/>
    <w:rsid w:val="00B547CD"/>
    <w:rsid w:val="00B54929"/>
    <w:rsid w:val="00B54A32"/>
    <w:rsid w:val="00B54B5B"/>
    <w:rsid w:val="00B5500A"/>
    <w:rsid w:val="00B5546C"/>
    <w:rsid w:val="00B5562E"/>
    <w:rsid w:val="00B55862"/>
    <w:rsid w:val="00B5595F"/>
    <w:rsid w:val="00B55D65"/>
    <w:rsid w:val="00B56305"/>
    <w:rsid w:val="00B57000"/>
    <w:rsid w:val="00B5744D"/>
    <w:rsid w:val="00B574B6"/>
    <w:rsid w:val="00B57524"/>
    <w:rsid w:val="00B5784E"/>
    <w:rsid w:val="00B57A4C"/>
    <w:rsid w:val="00B60032"/>
    <w:rsid w:val="00B60939"/>
    <w:rsid w:val="00B60AFD"/>
    <w:rsid w:val="00B60EBC"/>
    <w:rsid w:val="00B6163A"/>
    <w:rsid w:val="00B61C3B"/>
    <w:rsid w:val="00B62715"/>
    <w:rsid w:val="00B62910"/>
    <w:rsid w:val="00B62A50"/>
    <w:rsid w:val="00B62BBA"/>
    <w:rsid w:val="00B63567"/>
    <w:rsid w:val="00B63724"/>
    <w:rsid w:val="00B63774"/>
    <w:rsid w:val="00B63D10"/>
    <w:rsid w:val="00B63DAC"/>
    <w:rsid w:val="00B64352"/>
    <w:rsid w:val="00B651E8"/>
    <w:rsid w:val="00B652C4"/>
    <w:rsid w:val="00B654D9"/>
    <w:rsid w:val="00B65503"/>
    <w:rsid w:val="00B65611"/>
    <w:rsid w:val="00B65E9D"/>
    <w:rsid w:val="00B65F1C"/>
    <w:rsid w:val="00B65F25"/>
    <w:rsid w:val="00B669A5"/>
    <w:rsid w:val="00B66B0C"/>
    <w:rsid w:val="00B66C1F"/>
    <w:rsid w:val="00B66FE1"/>
    <w:rsid w:val="00B67077"/>
    <w:rsid w:val="00B677DD"/>
    <w:rsid w:val="00B67E54"/>
    <w:rsid w:val="00B700FD"/>
    <w:rsid w:val="00B708F4"/>
    <w:rsid w:val="00B70DDF"/>
    <w:rsid w:val="00B70E8E"/>
    <w:rsid w:val="00B71216"/>
    <w:rsid w:val="00B717C4"/>
    <w:rsid w:val="00B71831"/>
    <w:rsid w:val="00B71ED9"/>
    <w:rsid w:val="00B71FD5"/>
    <w:rsid w:val="00B72391"/>
    <w:rsid w:val="00B7326D"/>
    <w:rsid w:val="00B736AC"/>
    <w:rsid w:val="00B73A83"/>
    <w:rsid w:val="00B73D63"/>
    <w:rsid w:val="00B741BB"/>
    <w:rsid w:val="00B742A5"/>
    <w:rsid w:val="00B74B49"/>
    <w:rsid w:val="00B76668"/>
    <w:rsid w:val="00B7688A"/>
    <w:rsid w:val="00B76C92"/>
    <w:rsid w:val="00B76CDF"/>
    <w:rsid w:val="00B77725"/>
    <w:rsid w:val="00B77BFC"/>
    <w:rsid w:val="00B8062A"/>
    <w:rsid w:val="00B809FE"/>
    <w:rsid w:val="00B80E40"/>
    <w:rsid w:val="00B80EFD"/>
    <w:rsid w:val="00B80F7D"/>
    <w:rsid w:val="00B814A3"/>
    <w:rsid w:val="00B818A4"/>
    <w:rsid w:val="00B82234"/>
    <w:rsid w:val="00B82845"/>
    <w:rsid w:val="00B82D73"/>
    <w:rsid w:val="00B83151"/>
    <w:rsid w:val="00B83739"/>
    <w:rsid w:val="00B839C1"/>
    <w:rsid w:val="00B840FB"/>
    <w:rsid w:val="00B84117"/>
    <w:rsid w:val="00B84377"/>
    <w:rsid w:val="00B84B6E"/>
    <w:rsid w:val="00B84B80"/>
    <w:rsid w:val="00B84FBA"/>
    <w:rsid w:val="00B852FA"/>
    <w:rsid w:val="00B858F0"/>
    <w:rsid w:val="00B85AA2"/>
    <w:rsid w:val="00B85BB0"/>
    <w:rsid w:val="00B8649C"/>
    <w:rsid w:val="00B8695D"/>
    <w:rsid w:val="00B87F0A"/>
    <w:rsid w:val="00B901BE"/>
    <w:rsid w:val="00B906ED"/>
    <w:rsid w:val="00B9080F"/>
    <w:rsid w:val="00B91414"/>
    <w:rsid w:val="00B91755"/>
    <w:rsid w:val="00B91AA8"/>
    <w:rsid w:val="00B92772"/>
    <w:rsid w:val="00B929AD"/>
    <w:rsid w:val="00B92D0B"/>
    <w:rsid w:val="00B9320C"/>
    <w:rsid w:val="00B941EC"/>
    <w:rsid w:val="00B94740"/>
    <w:rsid w:val="00B9476A"/>
    <w:rsid w:val="00B94862"/>
    <w:rsid w:val="00B94945"/>
    <w:rsid w:val="00B94DD6"/>
    <w:rsid w:val="00B94F03"/>
    <w:rsid w:val="00B94FC2"/>
    <w:rsid w:val="00B958AF"/>
    <w:rsid w:val="00B95AFB"/>
    <w:rsid w:val="00B96A19"/>
    <w:rsid w:val="00B96DC5"/>
    <w:rsid w:val="00B974B7"/>
    <w:rsid w:val="00B97C9B"/>
    <w:rsid w:val="00B97F53"/>
    <w:rsid w:val="00BA02A4"/>
    <w:rsid w:val="00BA05F1"/>
    <w:rsid w:val="00BA12FC"/>
    <w:rsid w:val="00BA16B4"/>
    <w:rsid w:val="00BA24C3"/>
    <w:rsid w:val="00BA285E"/>
    <w:rsid w:val="00BA2A1F"/>
    <w:rsid w:val="00BA2D5D"/>
    <w:rsid w:val="00BA322D"/>
    <w:rsid w:val="00BA32AE"/>
    <w:rsid w:val="00BA37CA"/>
    <w:rsid w:val="00BA37D7"/>
    <w:rsid w:val="00BA3DDA"/>
    <w:rsid w:val="00BA3F33"/>
    <w:rsid w:val="00BA4D3E"/>
    <w:rsid w:val="00BA4EE5"/>
    <w:rsid w:val="00BA63FA"/>
    <w:rsid w:val="00BA6565"/>
    <w:rsid w:val="00BA696D"/>
    <w:rsid w:val="00BA6D68"/>
    <w:rsid w:val="00BA770B"/>
    <w:rsid w:val="00BA7DA3"/>
    <w:rsid w:val="00BA7E23"/>
    <w:rsid w:val="00BB00B3"/>
    <w:rsid w:val="00BB0590"/>
    <w:rsid w:val="00BB0921"/>
    <w:rsid w:val="00BB0BA9"/>
    <w:rsid w:val="00BB0BDD"/>
    <w:rsid w:val="00BB10A8"/>
    <w:rsid w:val="00BB10D1"/>
    <w:rsid w:val="00BB176C"/>
    <w:rsid w:val="00BB1F5A"/>
    <w:rsid w:val="00BB20E2"/>
    <w:rsid w:val="00BB283A"/>
    <w:rsid w:val="00BB2A73"/>
    <w:rsid w:val="00BB2EFE"/>
    <w:rsid w:val="00BB3826"/>
    <w:rsid w:val="00BB3A45"/>
    <w:rsid w:val="00BB4323"/>
    <w:rsid w:val="00BB43CB"/>
    <w:rsid w:val="00BB4ACC"/>
    <w:rsid w:val="00BB57B9"/>
    <w:rsid w:val="00BB5880"/>
    <w:rsid w:val="00BB5BA7"/>
    <w:rsid w:val="00BB5C09"/>
    <w:rsid w:val="00BB5EBF"/>
    <w:rsid w:val="00BB648E"/>
    <w:rsid w:val="00BB64B5"/>
    <w:rsid w:val="00BB6B7F"/>
    <w:rsid w:val="00BB6C89"/>
    <w:rsid w:val="00BB6CC1"/>
    <w:rsid w:val="00BB6F58"/>
    <w:rsid w:val="00BB703E"/>
    <w:rsid w:val="00BB71E0"/>
    <w:rsid w:val="00BB732D"/>
    <w:rsid w:val="00BB7405"/>
    <w:rsid w:val="00BB7774"/>
    <w:rsid w:val="00BC0234"/>
    <w:rsid w:val="00BC0A02"/>
    <w:rsid w:val="00BC0ABD"/>
    <w:rsid w:val="00BC10A0"/>
    <w:rsid w:val="00BC1504"/>
    <w:rsid w:val="00BC172E"/>
    <w:rsid w:val="00BC1756"/>
    <w:rsid w:val="00BC176D"/>
    <w:rsid w:val="00BC3631"/>
    <w:rsid w:val="00BC36DB"/>
    <w:rsid w:val="00BC3A86"/>
    <w:rsid w:val="00BC3CCF"/>
    <w:rsid w:val="00BC4FE2"/>
    <w:rsid w:val="00BC5145"/>
    <w:rsid w:val="00BC5272"/>
    <w:rsid w:val="00BC591F"/>
    <w:rsid w:val="00BC5BAA"/>
    <w:rsid w:val="00BC60D9"/>
    <w:rsid w:val="00BC6998"/>
    <w:rsid w:val="00BC6A21"/>
    <w:rsid w:val="00BC7363"/>
    <w:rsid w:val="00BC76CD"/>
    <w:rsid w:val="00BC7D6D"/>
    <w:rsid w:val="00BD009B"/>
    <w:rsid w:val="00BD0150"/>
    <w:rsid w:val="00BD0941"/>
    <w:rsid w:val="00BD0988"/>
    <w:rsid w:val="00BD0B8C"/>
    <w:rsid w:val="00BD0CE5"/>
    <w:rsid w:val="00BD174D"/>
    <w:rsid w:val="00BD2108"/>
    <w:rsid w:val="00BD240C"/>
    <w:rsid w:val="00BD2E34"/>
    <w:rsid w:val="00BD2F25"/>
    <w:rsid w:val="00BD32E4"/>
    <w:rsid w:val="00BD3758"/>
    <w:rsid w:val="00BD3C09"/>
    <w:rsid w:val="00BD3D7F"/>
    <w:rsid w:val="00BD4312"/>
    <w:rsid w:val="00BD4903"/>
    <w:rsid w:val="00BD5314"/>
    <w:rsid w:val="00BD533E"/>
    <w:rsid w:val="00BD5368"/>
    <w:rsid w:val="00BD5AEA"/>
    <w:rsid w:val="00BD64A7"/>
    <w:rsid w:val="00BD66C8"/>
    <w:rsid w:val="00BD68A3"/>
    <w:rsid w:val="00BD6938"/>
    <w:rsid w:val="00BD6B75"/>
    <w:rsid w:val="00BD6BE5"/>
    <w:rsid w:val="00BD6CF3"/>
    <w:rsid w:val="00BD6EC4"/>
    <w:rsid w:val="00BD7F72"/>
    <w:rsid w:val="00BD7F8A"/>
    <w:rsid w:val="00BE0C92"/>
    <w:rsid w:val="00BE0D09"/>
    <w:rsid w:val="00BE0E13"/>
    <w:rsid w:val="00BE0ECA"/>
    <w:rsid w:val="00BE1312"/>
    <w:rsid w:val="00BE1494"/>
    <w:rsid w:val="00BE164B"/>
    <w:rsid w:val="00BE16DB"/>
    <w:rsid w:val="00BE2180"/>
    <w:rsid w:val="00BE21F2"/>
    <w:rsid w:val="00BE22F4"/>
    <w:rsid w:val="00BE284D"/>
    <w:rsid w:val="00BE2966"/>
    <w:rsid w:val="00BE2BAE"/>
    <w:rsid w:val="00BE2C40"/>
    <w:rsid w:val="00BE3947"/>
    <w:rsid w:val="00BE3D89"/>
    <w:rsid w:val="00BE3E1B"/>
    <w:rsid w:val="00BE3E4D"/>
    <w:rsid w:val="00BE4275"/>
    <w:rsid w:val="00BE5555"/>
    <w:rsid w:val="00BE6BC7"/>
    <w:rsid w:val="00BE78A2"/>
    <w:rsid w:val="00BF000E"/>
    <w:rsid w:val="00BF0398"/>
    <w:rsid w:val="00BF056B"/>
    <w:rsid w:val="00BF06AE"/>
    <w:rsid w:val="00BF071C"/>
    <w:rsid w:val="00BF091F"/>
    <w:rsid w:val="00BF0BAB"/>
    <w:rsid w:val="00BF0DCA"/>
    <w:rsid w:val="00BF0F95"/>
    <w:rsid w:val="00BF1765"/>
    <w:rsid w:val="00BF2152"/>
    <w:rsid w:val="00BF23A4"/>
    <w:rsid w:val="00BF2433"/>
    <w:rsid w:val="00BF245A"/>
    <w:rsid w:val="00BF24ED"/>
    <w:rsid w:val="00BF25E0"/>
    <w:rsid w:val="00BF2D5C"/>
    <w:rsid w:val="00BF2E6E"/>
    <w:rsid w:val="00BF2FB0"/>
    <w:rsid w:val="00BF31C8"/>
    <w:rsid w:val="00BF4B11"/>
    <w:rsid w:val="00BF52D9"/>
    <w:rsid w:val="00BF583B"/>
    <w:rsid w:val="00BF5E4A"/>
    <w:rsid w:val="00BF61C9"/>
    <w:rsid w:val="00BF62FA"/>
    <w:rsid w:val="00BF6660"/>
    <w:rsid w:val="00BF66A7"/>
    <w:rsid w:val="00BF6C94"/>
    <w:rsid w:val="00BF7953"/>
    <w:rsid w:val="00BF7D67"/>
    <w:rsid w:val="00C00424"/>
    <w:rsid w:val="00C00BB0"/>
    <w:rsid w:val="00C011FB"/>
    <w:rsid w:val="00C0120D"/>
    <w:rsid w:val="00C0188B"/>
    <w:rsid w:val="00C037F9"/>
    <w:rsid w:val="00C03A47"/>
    <w:rsid w:val="00C03C4E"/>
    <w:rsid w:val="00C03E12"/>
    <w:rsid w:val="00C04BA9"/>
    <w:rsid w:val="00C04D7D"/>
    <w:rsid w:val="00C04EC2"/>
    <w:rsid w:val="00C05D85"/>
    <w:rsid w:val="00C061CA"/>
    <w:rsid w:val="00C06A87"/>
    <w:rsid w:val="00C072AE"/>
    <w:rsid w:val="00C07A8F"/>
    <w:rsid w:val="00C106FE"/>
    <w:rsid w:val="00C10D50"/>
    <w:rsid w:val="00C10EAE"/>
    <w:rsid w:val="00C10FA4"/>
    <w:rsid w:val="00C113DC"/>
    <w:rsid w:val="00C1179F"/>
    <w:rsid w:val="00C1196F"/>
    <w:rsid w:val="00C11F63"/>
    <w:rsid w:val="00C127B9"/>
    <w:rsid w:val="00C128FA"/>
    <w:rsid w:val="00C12A15"/>
    <w:rsid w:val="00C12C14"/>
    <w:rsid w:val="00C12C19"/>
    <w:rsid w:val="00C134A8"/>
    <w:rsid w:val="00C1375B"/>
    <w:rsid w:val="00C13902"/>
    <w:rsid w:val="00C13979"/>
    <w:rsid w:val="00C13993"/>
    <w:rsid w:val="00C151EB"/>
    <w:rsid w:val="00C1529A"/>
    <w:rsid w:val="00C153A1"/>
    <w:rsid w:val="00C15F04"/>
    <w:rsid w:val="00C164DD"/>
    <w:rsid w:val="00C16ACE"/>
    <w:rsid w:val="00C179B3"/>
    <w:rsid w:val="00C17E3F"/>
    <w:rsid w:val="00C20054"/>
    <w:rsid w:val="00C200AA"/>
    <w:rsid w:val="00C20A0B"/>
    <w:rsid w:val="00C20AB7"/>
    <w:rsid w:val="00C20DCC"/>
    <w:rsid w:val="00C21BF2"/>
    <w:rsid w:val="00C22296"/>
    <w:rsid w:val="00C22627"/>
    <w:rsid w:val="00C2290F"/>
    <w:rsid w:val="00C22AC7"/>
    <w:rsid w:val="00C22BB3"/>
    <w:rsid w:val="00C22F3D"/>
    <w:rsid w:val="00C2339C"/>
    <w:rsid w:val="00C234C4"/>
    <w:rsid w:val="00C235E4"/>
    <w:rsid w:val="00C23637"/>
    <w:rsid w:val="00C237ED"/>
    <w:rsid w:val="00C24130"/>
    <w:rsid w:val="00C24632"/>
    <w:rsid w:val="00C24A50"/>
    <w:rsid w:val="00C25418"/>
    <w:rsid w:val="00C25472"/>
    <w:rsid w:val="00C25910"/>
    <w:rsid w:val="00C25D9C"/>
    <w:rsid w:val="00C27745"/>
    <w:rsid w:val="00C2778B"/>
    <w:rsid w:val="00C278C8"/>
    <w:rsid w:val="00C279D6"/>
    <w:rsid w:val="00C27B89"/>
    <w:rsid w:val="00C27DA3"/>
    <w:rsid w:val="00C300FD"/>
    <w:rsid w:val="00C3023C"/>
    <w:rsid w:val="00C31649"/>
    <w:rsid w:val="00C31835"/>
    <w:rsid w:val="00C32594"/>
    <w:rsid w:val="00C326C8"/>
    <w:rsid w:val="00C32D23"/>
    <w:rsid w:val="00C3338D"/>
    <w:rsid w:val="00C33657"/>
    <w:rsid w:val="00C33FC0"/>
    <w:rsid w:val="00C34220"/>
    <w:rsid w:val="00C3434C"/>
    <w:rsid w:val="00C34875"/>
    <w:rsid w:val="00C35661"/>
    <w:rsid w:val="00C35ED3"/>
    <w:rsid w:val="00C362B5"/>
    <w:rsid w:val="00C37152"/>
    <w:rsid w:val="00C371D6"/>
    <w:rsid w:val="00C377BE"/>
    <w:rsid w:val="00C377DD"/>
    <w:rsid w:val="00C37F45"/>
    <w:rsid w:val="00C40385"/>
    <w:rsid w:val="00C40B58"/>
    <w:rsid w:val="00C40DE9"/>
    <w:rsid w:val="00C41127"/>
    <w:rsid w:val="00C41768"/>
    <w:rsid w:val="00C42302"/>
    <w:rsid w:val="00C42783"/>
    <w:rsid w:val="00C427FC"/>
    <w:rsid w:val="00C42816"/>
    <w:rsid w:val="00C42A4C"/>
    <w:rsid w:val="00C432DC"/>
    <w:rsid w:val="00C435CE"/>
    <w:rsid w:val="00C43A70"/>
    <w:rsid w:val="00C442E1"/>
    <w:rsid w:val="00C44DFF"/>
    <w:rsid w:val="00C4502F"/>
    <w:rsid w:val="00C455F9"/>
    <w:rsid w:val="00C45644"/>
    <w:rsid w:val="00C457B5"/>
    <w:rsid w:val="00C465E8"/>
    <w:rsid w:val="00C46F7C"/>
    <w:rsid w:val="00C47574"/>
    <w:rsid w:val="00C475AA"/>
    <w:rsid w:val="00C47BB0"/>
    <w:rsid w:val="00C47DEF"/>
    <w:rsid w:val="00C47EB3"/>
    <w:rsid w:val="00C50046"/>
    <w:rsid w:val="00C500EB"/>
    <w:rsid w:val="00C5088F"/>
    <w:rsid w:val="00C50D1D"/>
    <w:rsid w:val="00C513FA"/>
    <w:rsid w:val="00C51663"/>
    <w:rsid w:val="00C51A95"/>
    <w:rsid w:val="00C51DC6"/>
    <w:rsid w:val="00C5254D"/>
    <w:rsid w:val="00C527C7"/>
    <w:rsid w:val="00C52C5F"/>
    <w:rsid w:val="00C52C7D"/>
    <w:rsid w:val="00C52DF4"/>
    <w:rsid w:val="00C53C98"/>
    <w:rsid w:val="00C557F3"/>
    <w:rsid w:val="00C55B26"/>
    <w:rsid w:val="00C55C22"/>
    <w:rsid w:val="00C55DAE"/>
    <w:rsid w:val="00C56133"/>
    <w:rsid w:val="00C56199"/>
    <w:rsid w:val="00C56370"/>
    <w:rsid w:val="00C56BE6"/>
    <w:rsid w:val="00C56CD4"/>
    <w:rsid w:val="00C56FC9"/>
    <w:rsid w:val="00C56FCF"/>
    <w:rsid w:val="00C5717F"/>
    <w:rsid w:val="00C572F6"/>
    <w:rsid w:val="00C57B6C"/>
    <w:rsid w:val="00C57FA9"/>
    <w:rsid w:val="00C60462"/>
    <w:rsid w:val="00C61127"/>
    <w:rsid w:val="00C615E7"/>
    <w:rsid w:val="00C61A59"/>
    <w:rsid w:val="00C61F48"/>
    <w:rsid w:val="00C623FD"/>
    <w:rsid w:val="00C6271C"/>
    <w:rsid w:val="00C628A6"/>
    <w:rsid w:val="00C62A49"/>
    <w:rsid w:val="00C62B50"/>
    <w:rsid w:val="00C62E50"/>
    <w:rsid w:val="00C6342A"/>
    <w:rsid w:val="00C63437"/>
    <w:rsid w:val="00C63BD8"/>
    <w:rsid w:val="00C64344"/>
    <w:rsid w:val="00C64B23"/>
    <w:rsid w:val="00C64F2F"/>
    <w:rsid w:val="00C65108"/>
    <w:rsid w:val="00C651B2"/>
    <w:rsid w:val="00C65576"/>
    <w:rsid w:val="00C65B1C"/>
    <w:rsid w:val="00C66165"/>
    <w:rsid w:val="00C6697D"/>
    <w:rsid w:val="00C70039"/>
    <w:rsid w:val="00C700BC"/>
    <w:rsid w:val="00C700E1"/>
    <w:rsid w:val="00C7037A"/>
    <w:rsid w:val="00C7060A"/>
    <w:rsid w:val="00C70670"/>
    <w:rsid w:val="00C70809"/>
    <w:rsid w:val="00C71225"/>
    <w:rsid w:val="00C7151A"/>
    <w:rsid w:val="00C715AB"/>
    <w:rsid w:val="00C717E3"/>
    <w:rsid w:val="00C71D89"/>
    <w:rsid w:val="00C71E90"/>
    <w:rsid w:val="00C71F0C"/>
    <w:rsid w:val="00C71F60"/>
    <w:rsid w:val="00C72002"/>
    <w:rsid w:val="00C72241"/>
    <w:rsid w:val="00C7258E"/>
    <w:rsid w:val="00C73A58"/>
    <w:rsid w:val="00C750C8"/>
    <w:rsid w:val="00C752E5"/>
    <w:rsid w:val="00C7560F"/>
    <w:rsid w:val="00C758C0"/>
    <w:rsid w:val="00C77429"/>
    <w:rsid w:val="00C80A0E"/>
    <w:rsid w:val="00C81813"/>
    <w:rsid w:val="00C81886"/>
    <w:rsid w:val="00C81A6A"/>
    <w:rsid w:val="00C81F05"/>
    <w:rsid w:val="00C8213F"/>
    <w:rsid w:val="00C8227D"/>
    <w:rsid w:val="00C82436"/>
    <w:rsid w:val="00C82DE9"/>
    <w:rsid w:val="00C8303F"/>
    <w:rsid w:val="00C8312A"/>
    <w:rsid w:val="00C83824"/>
    <w:rsid w:val="00C8399C"/>
    <w:rsid w:val="00C84401"/>
    <w:rsid w:val="00C84AC2"/>
    <w:rsid w:val="00C84F27"/>
    <w:rsid w:val="00C85154"/>
    <w:rsid w:val="00C8547D"/>
    <w:rsid w:val="00C85706"/>
    <w:rsid w:val="00C85918"/>
    <w:rsid w:val="00C85A1E"/>
    <w:rsid w:val="00C85A70"/>
    <w:rsid w:val="00C85C11"/>
    <w:rsid w:val="00C85E4F"/>
    <w:rsid w:val="00C86852"/>
    <w:rsid w:val="00C86C0D"/>
    <w:rsid w:val="00C86E2E"/>
    <w:rsid w:val="00C86F5C"/>
    <w:rsid w:val="00C8797A"/>
    <w:rsid w:val="00C87D4B"/>
    <w:rsid w:val="00C900B8"/>
    <w:rsid w:val="00C90197"/>
    <w:rsid w:val="00C9056B"/>
    <w:rsid w:val="00C90716"/>
    <w:rsid w:val="00C90C71"/>
    <w:rsid w:val="00C91051"/>
    <w:rsid w:val="00C915BC"/>
    <w:rsid w:val="00C917F9"/>
    <w:rsid w:val="00C91E57"/>
    <w:rsid w:val="00C91EEF"/>
    <w:rsid w:val="00C91FD1"/>
    <w:rsid w:val="00C92793"/>
    <w:rsid w:val="00C92C6F"/>
    <w:rsid w:val="00C92FD9"/>
    <w:rsid w:val="00C931CF"/>
    <w:rsid w:val="00C932C9"/>
    <w:rsid w:val="00C932E2"/>
    <w:rsid w:val="00C938CF"/>
    <w:rsid w:val="00C93A29"/>
    <w:rsid w:val="00C94053"/>
    <w:rsid w:val="00C94538"/>
    <w:rsid w:val="00C949DC"/>
    <w:rsid w:val="00C95056"/>
    <w:rsid w:val="00C9519A"/>
    <w:rsid w:val="00C9624D"/>
    <w:rsid w:val="00C962DC"/>
    <w:rsid w:val="00C963E1"/>
    <w:rsid w:val="00C969DA"/>
    <w:rsid w:val="00C96B9A"/>
    <w:rsid w:val="00C97FC3"/>
    <w:rsid w:val="00CA056A"/>
    <w:rsid w:val="00CA07CF"/>
    <w:rsid w:val="00CA0B3A"/>
    <w:rsid w:val="00CA0C3E"/>
    <w:rsid w:val="00CA0EF8"/>
    <w:rsid w:val="00CA1AF5"/>
    <w:rsid w:val="00CA1DD6"/>
    <w:rsid w:val="00CA2A77"/>
    <w:rsid w:val="00CA2C77"/>
    <w:rsid w:val="00CA2DD4"/>
    <w:rsid w:val="00CA2FC5"/>
    <w:rsid w:val="00CA389A"/>
    <w:rsid w:val="00CA3C02"/>
    <w:rsid w:val="00CA3DBC"/>
    <w:rsid w:val="00CA444F"/>
    <w:rsid w:val="00CA4917"/>
    <w:rsid w:val="00CA4BCC"/>
    <w:rsid w:val="00CA4E20"/>
    <w:rsid w:val="00CA4F67"/>
    <w:rsid w:val="00CA504C"/>
    <w:rsid w:val="00CA5245"/>
    <w:rsid w:val="00CA5333"/>
    <w:rsid w:val="00CA6CF9"/>
    <w:rsid w:val="00CA6F7A"/>
    <w:rsid w:val="00CA71F4"/>
    <w:rsid w:val="00CA74A8"/>
    <w:rsid w:val="00CA74FC"/>
    <w:rsid w:val="00CA7B09"/>
    <w:rsid w:val="00CA7DDD"/>
    <w:rsid w:val="00CB08D5"/>
    <w:rsid w:val="00CB10FC"/>
    <w:rsid w:val="00CB12A5"/>
    <w:rsid w:val="00CB1A25"/>
    <w:rsid w:val="00CB1CAC"/>
    <w:rsid w:val="00CB1EB1"/>
    <w:rsid w:val="00CB2B69"/>
    <w:rsid w:val="00CB2BF2"/>
    <w:rsid w:val="00CB2F2A"/>
    <w:rsid w:val="00CB42BF"/>
    <w:rsid w:val="00CB4361"/>
    <w:rsid w:val="00CB4367"/>
    <w:rsid w:val="00CB461C"/>
    <w:rsid w:val="00CB4807"/>
    <w:rsid w:val="00CB4C8E"/>
    <w:rsid w:val="00CB5759"/>
    <w:rsid w:val="00CB5B08"/>
    <w:rsid w:val="00CB5B1A"/>
    <w:rsid w:val="00CB5D2E"/>
    <w:rsid w:val="00CB6107"/>
    <w:rsid w:val="00CB6610"/>
    <w:rsid w:val="00CB6B22"/>
    <w:rsid w:val="00CB6D9D"/>
    <w:rsid w:val="00CB717E"/>
    <w:rsid w:val="00CB7D80"/>
    <w:rsid w:val="00CB7F5F"/>
    <w:rsid w:val="00CC013F"/>
    <w:rsid w:val="00CC01DC"/>
    <w:rsid w:val="00CC052D"/>
    <w:rsid w:val="00CC064A"/>
    <w:rsid w:val="00CC0703"/>
    <w:rsid w:val="00CC09C9"/>
    <w:rsid w:val="00CC123A"/>
    <w:rsid w:val="00CC144E"/>
    <w:rsid w:val="00CC1484"/>
    <w:rsid w:val="00CC1781"/>
    <w:rsid w:val="00CC18E6"/>
    <w:rsid w:val="00CC1B39"/>
    <w:rsid w:val="00CC1BFA"/>
    <w:rsid w:val="00CC2158"/>
    <w:rsid w:val="00CC22C3"/>
    <w:rsid w:val="00CC27A7"/>
    <w:rsid w:val="00CC2C2F"/>
    <w:rsid w:val="00CC2E9F"/>
    <w:rsid w:val="00CC307F"/>
    <w:rsid w:val="00CC35EA"/>
    <w:rsid w:val="00CC37F5"/>
    <w:rsid w:val="00CC3848"/>
    <w:rsid w:val="00CC3ACA"/>
    <w:rsid w:val="00CC3CFE"/>
    <w:rsid w:val="00CC4819"/>
    <w:rsid w:val="00CC49B7"/>
    <w:rsid w:val="00CC4B9C"/>
    <w:rsid w:val="00CC4CDE"/>
    <w:rsid w:val="00CC4E64"/>
    <w:rsid w:val="00CC52E8"/>
    <w:rsid w:val="00CC58DA"/>
    <w:rsid w:val="00CC64B3"/>
    <w:rsid w:val="00CC674E"/>
    <w:rsid w:val="00CC6D5E"/>
    <w:rsid w:val="00CC7817"/>
    <w:rsid w:val="00CD0114"/>
    <w:rsid w:val="00CD0200"/>
    <w:rsid w:val="00CD09CE"/>
    <w:rsid w:val="00CD0D3F"/>
    <w:rsid w:val="00CD0E24"/>
    <w:rsid w:val="00CD0E64"/>
    <w:rsid w:val="00CD1041"/>
    <w:rsid w:val="00CD187B"/>
    <w:rsid w:val="00CD18E7"/>
    <w:rsid w:val="00CD1FCA"/>
    <w:rsid w:val="00CD2066"/>
    <w:rsid w:val="00CD22EC"/>
    <w:rsid w:val="00CD2EEF"/>
    <w:rsid w:val="00CD3BA0"/>
    <w:rsid w:val="00CD3F77"/>
    <w:rsid w:val="00CD4865"/>
    <w:rsid w:val="00CD4A3D"/>
    <w:rsid w:val="00CD4E38"/>
    <w:rsid w:val="00CD4F25"/>
    <w:rsid w:val="00CD5BFF"/>
    <w:rsid w:val="00CD62DB"/>
    <w:rsid w:val="00CD6ADC"/>
    <w:rsid w:val="00CD7105"/>
    <w:rsid w:val="00CD7193"/>
    <w:rsid w:val="00CD7CF5"/>
    <w:rsid w:val="00CE062F"/>
    <w:rsid w:val="00CE06F9"/>
    <w:rsid w:val="00CE071A"/>
    <w:rsid w:val="00CE077D"/>
    <w:rsid w:val="00CE0A53"/>
    <w:rsid w:val="00CE0AD1"/>
    <w:rsid w:val="00CE1AF8"/>
    <w:rsid w:val="00CE2591"/>
    <w:rsid w:val="00CE2C9B"/>
    <w:rsid w:val="00CE332F"/>
    <w:rsid w:val="00CE34DF"/>
    <w:rsid w:val="00CE38C8"/>
    <w:rsid w:val="00CE3EA9"/>
    <w:rsid w:val="00CE3FD7"/>
    <w:rsid w:val="00CE430F"/>
    <w:rsid w:val="00CE46C0"/>
    <w:rsid w:val="00CE4820"/>
    <w:rsid w:val="00CE4990"/>
    <w:rsid w:val="00CE4A18"/>
    <w:rsid w:val="00CE524F"/>
    <w:rsid w:val="00CE58CC"/>
    <w:rsid w:val="00CE6274"/>
    <w:rsid w:val="00CE77B6"/>
    <w:rsid w:val="00CE7A04"/>
    <w:rsid w:val="00CF031E"/>
    <w:rsid w:val="00CF09B7"/>
    <w:rsid w:val="00CF1158"/>
    <w:rsid w:val="00CF192D"/>
    <w:rsid w:val="00CF19E5"/>
    <w:rsid w:val="00CF2B8D"/>
    <w:rsid w:val="00CF2E97"/>
    <w:rsid w:val="00CF3A12"/>
    <w:rsid w:val="00CF3A1B"/>
    <w:rsid w:val="00CF3C26"/>
    <w:rsid w:val="00CF4082"/>
    <w:rsid w:val="00CF42B0"/>
    <w:rsid w:val="00CF456B"/>
    <w:rsid w:val="00CF4D4B"/>
    <w:rsid w:val="00CF5A22"/>
    <w:rsid w:val="00CF5C2B"/>
    <w:rsid w:val="00CF6A65"/>
    <w:rsid w:val="00CF6D59"/>
    <w:rsid w:val="00CF6DCF"/>
    <w:rsid w:val="00CF75AF"/>
    <w:rsid w:val="00CF7BB3"/>
    <w:rsid w:val="00D01374"/>
    <w:rsid w:val="00D01566"/>
    <w:rsid w:val="00D01975"/>
    <w:rsid w:val="00D01C3C"/>
    <w:rsid w:val="00D01D9C"/>
    <w:rsid w:val="00D022B7"/>
    <w:rsid w:val="00D025AC"/>
    <w:rsid w:val="00D0262E"/>
    <w:rsid w:val="00D03008"/>
    <w:rsid w:val="00D03679"/>
    <w:rsid w:val="00D037E4"/>
    <w:rsid w:val="00D03D7F"/>
    <w:rsid w:val="00D04C09"/>
    <w:rsid w:val="00D05977"/>
    <w:rsid w:val="00D05DB8"/>
    <w:rsid w:val="00D05E3D"/>
    <w:rsid w:val="00D05E8C"/>
    <w:rsid w:val="00D06139"/>
    <w:rsid w:val="00D0645B"/>
    <w:rsid w:val="00D06A0C"/>
    <w:rsid w:val="00D06B89"/>
    <w:rsid w:val="00D07561"/>
    <w:rsid w:val="00D07C0D"/>
    <w:rsid w:val="00D07D5E"/>
    <w:rsid w:val="00D107A9"/>
    <w:rsid w:val="00D108AB"/>
    <w:rsid w:val="00D108EA"/>
    <w:rsid w:val="00D110BD"/>
    <w:rsid w:val="00D1129E"/>
    <w:rsid w:val="00D11302"/>
    <w:rsid w:val="00D1140F"/>
    <w:rsid w:val="00D117A8"/>
    <w:rsid w:val="00D11A42"/>
    <w:rsid w:val="00D12359"/>
    <w:rsid w:val="00D12884"/>
    <w:rsid w:val="00D12ED4"/>
    <w:rsid w:val="00D13675"/>
    <w:rsid w:val="00D13732"/>
    <w:rsid w:val="00D13809"/>
    <w:rsid w:val="00D13E8B"/>
    <w:rsid w:val="00D141CE"/>
    <w:rsid w:val="00D141E1"/>
    <w:rsid w:val="00D14259"/>
    <w:rsid w:val="00D14580"/>
    <w:rsid w:val="00D14868"/>
    <w:rsid w:val="00D14AFE"/>
    <w:rsid w:val="00D14DFF"/>
    <w:rsid w:val="00D1527F"/>
    <w:rsid w:val="00D15314"/>
    <w:rsid w:val="00D15B48"/>
    <w:rsid w:val="00D15DA3"/>
    <w:rsid w:val="00D15EED"/>
    <w:rsid w:val="00D15FEB"/>
    <w:rsid w:val="00D1659B"/>
    <w:rsid w:val="00D16BF6"/>
    <w:rsid w:val="00D17537"/>
    <w:rsid w:val="00D17D23"/>
    <w:rsid w:val="00D17D6C"/>
    <w:rsid w:val="00D20204"/>
    <w:rsid w:val="00D2029B"/>
    <w:rsid w:val="00D2069A"/>
    <w:rsid w:val="00D20D13"/>
    <w:rsid w:val="00D20E4B"/>
    <w:rsid w:val="00D20F74"/>
    <w:rsid w:val="00D2155B"/>
    <w:rsid w:val="00D21782"/>
    <w:rsid w:val="00D2216D"/>
    <w:rsid w:val="00D23267"/>
    <w:rsid w:val="00D2399B"/>
    <w:rsid w:val="00D23D11"/>
    <w:rsid w:val="00D24043"/>
    <w:rsid w:val="00D244B6"/>
    <w:rsid w:val="00D24690"/>
    <w:rsid w:val="00D24711"/>
    <w:rsid w:val="00D2473A"/>
    <w:rsid w:val="00D247F8"/>
    <w:rsid w:val="00D2524A"/>
    <w:rsid w:val="00D268F5"/>
    <w:rsid w:val="00D27213"/>
    <w:rsid w:val="00D2754D"/>
    <w:rsid w:val="00D27910"/>
    <w:rsid w:val="00D27AB4"/>
    <w:rsid w:val="00D27B27"/>
    <w:rsid w:val="00D303F3"/>
    <w:rsid w:val="00D309D3"/>
    <w:rsid w:val="00D30D5B"/>
    <w:rsid w:val="00D31BE7"/>
    <w:rsid w:val="00D320A8"/>
    <w:rsid w:val="00D32167"/>
    <w:rsid w:val="00D32CAB"/>
    <w:rsid w:val="00D32E64"/>
    <w:rsid w:val="00D337DD"/>
    <w:rsid w:val="00D33BE9"/>
    <w:rsid w:val="00D33F93"/>
    <w:rsid w:val="00D34121"/>
    <w:rsid w:val="00D34433"/>
    <w:rsid w:val="00D3485F"/>
    <w:rsid w:val="00D34CC0"/>
    <w:rsid w:val="00D35724"/>
    <w:rsid w:val="00D357FF"/>
    <w:rsid w:val="00D359E5"/>
    <w:rsid w:val="00D36418"/>
    <w:rsid w:val="00D36461"/>
    <w:rsid w:val="00D3646F"/>
    <w:rsid w:val="00D36616"/>
    <w:rsid w:val="00D367F0"/>
    <w:rsid w:val="00D36911"/>
    <w:rsid w:val="00D36E90"/>
    <w:rsid w:val="00D3740A"/>
    <w:rsid w:val="00D37545"/>
    <w:rsid w:val="00D37CDD"/>
    <w:rsid w:val="00D40659"/>
    <w:rsid w:val="00D40D31"/>
    <w:rsid w:val="00D412FE"/>
    <w:rsid w:val="00D41787"/>
    <w:rsid w:val="00D41AAC"/>
    <w:rsid w:val="00D424C7"/>
    <w:rsid w:val="00D42509"/>
    <w:rsid w:val="00D42F67"/>
    <w:rsid w:val="00D432D0"/>
    <w:rsid w:val="00D4335D"/>
    <w:rsid w:val="00D43B2A"/>
    <w:rsid w:val="00D43CF1"/>
    <w:rsid w:val="00D43D83"/>
    <w:rsid w:val="00D446B8"/>
    <w:rsid w:val="00D4487B"/>
    <w:rsid w:val="00D44DBA"/>
    <w:rsid w:val="00D44EFC"/>
    <w:rsid w:val="00D4521C"/>
    <w:rsid w:val="00D45314"/>
    <w:rsid w:val="00D45588"/>
    <w:rsid w:val="00D46854"/>
    <w:rsid w:val="00D468EF"/>
    <w:rsid w:val="00D47575"/>
    <w:rsid w:val="00D50549"/>
    <w:rsid w:val="00D5065B"/>
    <w:rsid w:val="00D50E47"/>
    <w:rsid w:val="00D510BA"/>
    <w:rsid w:val="00D512F8"/>
    <w:rsid w:val="00D515B3"/>
    <w:rsid w:val="00D5206E"/>
    <w:rsid w:val="00D52138"/>
    <w:rsid w:val="00D5243B"/>
    <w:rsid w:val="00D52FBC"/>
    <w:rsid w:val="00D533EC"/>
    <w:rsid w:val="00D53B99"/>
    <w:rsid w:val="00D53D4B"/>
    <w:rsid w:val="00D53F2D"/>
    <w:rsid w:val="00D548DE"/>
    <w:rsid w:val="00D54B97"/>
    <w:rsid w:val="00D5534B"/>
    <w:rsid w:val="00D553A7"/>
    <w:rsid w:val="00D558DD"/>
    <w:rsid w:val="00D55AC6"/>
    <w:rsid w:val="00D56480"/>
    <w:rsid w:val="00D56639"/>
    <w:rsid w:val="00D5669B"/>
    <w:rsid w:val="00D56A95"/>
    <w:rsid w:val="00D56D3C"/>
    <w:rsid w:val="00D56E88"/>
    <w:rsid w:val="00D57171"/>
    <w:rsid w:val="00D573FB"/>
    <w:rsid w:val="00D57626"/>
    <w:rsid w:val="00D57E78"/>
    <w:rsid w:val="00D6076E"/>
    <w:rsid w:val="00D60A8C"/>
    <w:rsid w:val="00D61493"/>
    <w:rsid w:val="00D61C4A"/>
    <w:rsid w:val="00D628C5"/>
    <w:rsid w:val="00D63114"/>
    <w:rsid w:val="00D6348B"/>
    <w:rsid w:val="00D63A75"/>
    <w:rsid w:val="00D63D68"/>
    <w:rsid w:val="00D6436C"/>
    <w:rsid w:val="00D64496"/>
    <w:rsid w:val="00D646F0"/>
    <w:rsid w:val="00D6584D"/>
    <w:rsid w:val="00D658BC"/>
    <w:rsid w:val="00D658BE"/>
    <w:rsid w:val="00D65CA5"/>
    <w:rsid w:val="00D65F1F"/>
    <w:rsid w:val="00D66604"/>
    <w:rsid w:val="00D6668A"/>
    <w:rsid w:val="00D6691C"/>
    <w:rsid w:val="00D673EF"/>
    <w:rsid w:val="00D676D0"/>
    <w:rsid w:val="00D700CA"/>
    <w:rsid w:val="00D703D3"/>
    <w:rsid w:val="00D70831"/>
    <w:rsid w:val="00D70F16"/>
    <w:rsid w:val="00D71032"/>
    <w:rsid w:val="00D71428"/>
    <w:rsid w:val="00D71CE3"/>
    <w:rsid w:val="00D7212F"/>
    <w:rsid w:val="00D72617"/>
    <w:rsid w:val="00D72BFE"/>
    <w:rsid w:val="00D72F57"/>
    <w:rsid w:val="00D72F6C"/>
    <w:rsid w:val="00D73A9E"/>
    <w:rsid w:val="00D741B1"/>
    <w:rsid w:val="00D743E3"/>
    <w:rsid w:val="00D75158"/>
    <w:rsid w:val="00D76057"/>
    <w:rsid w:val="00D7695B"/>
    <w:rsid w:val="00D76A44"/>
    <w:rsid w:val="00D778FE"/>
    <w:rsid w:val="00D77B2D"/>
    <w:rsid w:val="00D802FF"/>
    <w:rsid w:val="00D80C73"/>
    <w:rsid w:val="00D80F41"/>
    <w:rsid w:val="00D8106D"/>
    <w:rsid w:val="00D81582"/>
    <w:rsid w:val="00D815EF"/>
    <w:rsid w:val="00D81949"/>
    <w:rsid w:val="00D81BE4"/>
    <w:rsid w:val="00D81F26"/>
    <w:rsid w:val="00D821E5"/>
    <w:rsid w:val="00D822E2"/>
    <w:rsid w:val="00D82E92"/>
    <w:rsid w:val="00D83421"/>
    <w:rsid w:val="00D83E2D"/>
    <w:rsid w:val="00D843F2"/>
    <w:rsid w:val="00D8463C"/>
    <w:rsid w:val="00D8466D"/>
    <w:rsid w:val="00D84C31"/>
    <w:rsid w:val="00D85651"/>
    <w:rsid w:val="00D85AA8"/>
    <w:rsid w:val="00D85F04"/>
    <w:rsid w:val="00D86231"/>
    <w:rsid w:val="00D863E6"/>
    <w:rsid w:val="00D867AF"/>
    <w:rsid w:val="00D86867"/>
    <w:rsid w:val="00D86D87"/>
    <w:rsid w:val="00D870F5"/>
    <w:rsid w:val="00D871FF"/>
    <w:rsid w:val="00D872B1"/>
    <w:rsid w:val="00D87CA1"/>
    <w:rsid w:val="00D87CFB"/>
    <w:rsid w:val="00D912AB"/>
    <w:rsid w:val="00D91746"/>
    <w:rsid w:val="00D91923"/>
    <w:rsid w:val="00D92B81"/>
    <w:rsid w:val="00D92D9D"/>
    <w:rsid w:val="00D92DF0"/>
    <w:rsid w:val="00D93753"/>
    <w:rsid w:val="00D937FE"/>
    <w:rsid w:val="00D93BD9"/>
    <w:rsid w:val="00D93CC8"/>
    <w:rsid w:val="00D95B99"/>
    <w:rsid w:val="00D96326"/>
    <w:rsid w:val="00D9666B"/>
    <w:rsid w:val="00D966B4"/>
    <w:rsid w:val="00D96EDC"/>
    <w:rsid w:val="00D970DC"/>
    <w:rsid w:val="00D9726E"/>
    <w:rsid w:val="00D975C7"/>
    <w:rsid w:val="00D97B57"/>
    <w:rsid w:val="00DA0272"/>
    <w:rsid w:val="00DA0398"/>
    <w:rsid w:val="00DA08C2"/>
    <w:rsid w:val="00DA0D4D"/>
    <w:rsid w:val="00DA1480"/>
    <w:rsid w:val="00DA1DA5"/>
    <w:rsid w:val="00DA1E4D"/>
    <w:rsid w:val="00DA1F19"/>
    <w:rsid w:val="00DA2075"/>
    <w:rsid w:val="00DA287C"/>
    <w:rsid w:val="00DA29D2"/>
    <w:rsid w:val="00DA2BA0"/>
    <w:rsid w:val="00DA3167"/>
    <w:rsid w:val="00DA32C4"/>
    <w:rsid w:val="00DA32E4"/>
    <w:rsid w:val="00DA36B6"/>
    <w:rsid w:val="00DA38AC"/>
    <w:rsid w:val="00DA3A01"/>
    <w:rsid w:val="00DA3EC2"/>
    <w:rsid w:val="00DA483E"/>
    <w:rsid w:val="00DA4DC3"/>
    <w:rsid w:val="00DA4FC0"/>
    <w:rsid w:val="00DA5AB6"/>
    <w:rsid w:val="00DA5E76"/>
    <w:rsid w:val="00DA5FF2"/>
    <w:rsid w:val="00DA60E8"/>
    <w:rsid w:val="00DA653C"/>
    <w:rsid w:val="00DA6B89"/>
    <w:rsid w:val="00DA72C9"/>
    <w:rsid w:val="00DA7594"/>
    <w:rsid w:val="00DA77A5"/>
    <w:rsid w:val="00DB0E36"/>
    <w:rsid w:val="00DB19D8"/>
    <w:rsid w:val="00DB1EC2"/>
    <w:rsid w:val="00DB1F26"/>
    <w:rsid w:val="00DB20D4"/>
    <w:rsid w:val="00DB26FC"/>
    <w:rsid w:val="00DB2723"/>
    <w:rsid w:val="00DB2A0C"/>
    <w:rsid w:val="00DB2D84"/>
    <w:rsid w:val="00DB3507"/>
    <w:rsid w:val="00DB3DBF"/>
    <w:rsid w:val="00DB4071"/>
    <w:rsid w:val="00DB430A"/>
    <w:rsid w:val="00DB484F"/>
    <w:rsid w:val="00DB4C1B"/>
    <w:rsid w:val="00DB4CE5"/>
    <w:rsid w:val="00DB62F6"/>
    <w:rsid w:val="00DB633E"/>
    <w:rsid w:val="00DB67C3"/>
    <w:rsid w:val="00DB7855"/>
    <w:rsid w:val="00DB7A34"/>
    <w:rsid w:val="00DC04F6"/>
    <w:rsid w:val="00DC0690"/>
    <w:rsid w:val="00DC0C77"/>
    <w:rsid w:val="00DC1D65"/>
    <w:rsid w:val="00DC2AFD"/>
    <w:rsid w:val="00DC2E72"/>
    <w:rsid w:val="00DC3824"/>
    <w:rsid w:val="00DC39EF"/>
    <w:rsid w:val="00DC3C57"/>
    <w:rsid w:val="00DC45F0"/>
    <w:rsid w:val="00DC4EFF"/>
    <w:rsid w:val="00DC5501"/>
    <w:rsid w:val="00DC588B"/>
    <w:rsid w:val="00DC5913"/>
    <w:rsid w:val="00DC5BE3"/>
    <w:rsid w:val="00DC5D5D"/>
    <w:rsid w:val="00DC5DE4"/>
    <w:rsid w:val="00DC7154"/>
    <w:rsid w:val="00DC73B7"/>
    <w:rsid w:val="00DC7501"/>
    <w:rsid w:val="00DC7AD1"/>
    <w:rsid w:val="00DC7E8A"/>
    <w:rsid w:val="00DD0164"/>
    <w:rsid w:val="00DD09B7"/>
    <w:rsid w:val="00DD0D70"/>
    <w:rsid w:val="00DD0E5E"/>
    <w:rsid w:val="00DD0F78"/>
    <w:rsid w:val="00DD0FF1"/>
    <w:rsid w:val="00DD10CC"/>
    <w:rsid w:val="00DD1662"/>
    <w:rsid w:val="00DD1996"/>
    <w:rsid w:val="00DD1CB4"/>
    <w:rsid w:val="00DD1F6B"/>
    <w:rsid w:val="00DD21A2"/>
    <w:rsid w:val="00DD21D1"/>
    <w:rsid w:val="00DD273C"/>
    <w:rsid w:val="00DD3A0A"/>
    <w:rsid w:val="00DD3DF7"/>
    <w:rsid w:val="00DD3E30"/>
    <w:rsid w:val="00DD3F28"/>
    <w:rsid w:val="00DD4446"/>
    <w:rsid w:val="00DD4537"/>
    <w:rsid w:val="00DD4E15"/>
    <w:rsid w:val="00DD5476"/>
    <w:rsid w:val="00DD58C9"/>
    <w:rsid w:val="00DD5B1A"/>
    <w:rsid w:val="00DD61FD"/>
    <w:rsid w:val="00DD6DB9"/>
    <w:rsid w:val="00DD7615"/>
    <w:rsid w:val="00DD784C"/>
    <w:rsid w:val="00DD7F8E"/>
    <w:rsid w:val="00DE03A6"/>
    <w:rsid w:val="00DE066C"/>
    <w:rsid w:val="00DE078F"/>
    <w:rsid w:val="00DE0A2A"/>
    <w:rsid w:val="00DE0BE1"/>
    <w:rsid w:val="00DE1BDC"/>
    <w:rsid w:val="00DE2304"/>
    <w:rsid w:val="00DE24BC"/>
    <w:rsid w:val="00DE3138"/>
    <w:rsid w:val="00DE33FD"/>
    <w:rsid w:val="00DE37E5"/>
    <w:rsid w:val="00DE37F8"/>
    <w:rsid w:val="00DE3BA4"/>
    <w:rsid w:val="00DE4273"/>
    <w:rsid w:val="00DE44A7"/>
    <w:rsid w:val="00DE47CB"/>
    <w:rsid w:val="00DE4FCB"/>
    <w:rsid w:val="00DE534E"/>
    <w:rsid w:val="00DE579A"/>
    <w:rsid w:val="00DE5D07"/>
    <w:rsid w:val="00DE62C5"/>
    <w:rsid w:val="00DE6C14"/>
    <w:rsid w:val="00DE7254"/>
    <w:rsid w:val="00DE72A7"/>
    <w:rsid w:val="00DE77DE"/>
    <w:rsid w:val="00DE7832"/>
    <w:rsid w:val="00DF0027"/>
    <w:rsid w:val="00DF02F5"/>
    <w:rsid w:val="00DF06B0"/>
    <w:rsid w:val="00DF08EF"/>
    <w:rsid w:val="00DF0BBA"/>
    <w:rsid w:val="00DF1189"/>
    <w:rsid w:val="00DF1675"/>
    <w:rsid w:val="00DF18FC"/>
    <w:rsid w:val="00DF2C47"/>
    <w:rsid w:val="00DF3C3C"/>
    <w:rsid w:val="00DF421D"/>
    <w:rsid w:val="00DF4932"/>
    <w:rsid w:val="00DF54D8"/>
    <w:rsid w:val="00DF5B8D"/>
    <w:rsid w:val="00DF5D2B"/>
    <w:rsid w:val="00DF6341"/>
    <w:rsid w:val="00DF656F"/>
    <w:rsid w:val="00DF69DF"/>
    <w:rsid w:val="00DF7D84"/>
    <w:rsid w:val="00E001C6"/>
    <w:rsid w:val="00E002B6"/>
    <w:rsid w:val="00E00364"/>
    <w:rsid w:val="00E00AA6"/>
    <w:rsid w:val="00E00E38"/>
    <w:rsid w:val="00E00E8E"/>
    <w:rsid w:val="00E02273"/>
    <w:rsid w:val="00E023B8"/>
    <w:rsid w:val="00E0270B"/>
    <w:rsid w:val="00E0276E"/>
    <w:rsid w:val="00E02B52"/>
    <w:rsid w:val="00E02F2F"/>
    <w:rsid w:val="00E02FE6"/>
    <w:rsid w:val="00E034C3"/>
    <w:rsid w:val="00E03789"/>
    <w:rsid w:val="00E04157"/>
    <w:rsid w:val="00E048D5"/>
    <w:rsid w:val="00E04DFE"/>
    <w:rsid w:val="00E0509B"/>
    <w:rsid w:val="00E054AF"/>
    <w:rsid w:val="00E05630"/>
    <w:rsid w:val="00E05B05"/>
    <w:rsid w:val="00E05B30"/>
    <w:rsid w:val="00E05F64"/>
    <w:rsid w:val="00E06DBB"/>
    <w:rsid w:val="00E07183"/>
    <w:rsid w:val="00E071D5"/>
    <w:rsid w:val="00E0780C"/>
    <w:rsid w:val="00E079C4"/>
    <w:rsid w:val="00E07CAF"/>
    <w:rsid w:val="00E07CC2"/>
    <w:rsid w:val="00E07DC4"/>
    <w:rsid w:val="00E10149"/>
    <w:rsid w:val="00E1029B"/>
    <w:rsid w:val="00E10860"/>
    <w:rsid w:val="00E108B8"/>
    <w:rsid w:val="00E1117D"/>
    <w:rsid w:val="00E11340"/>
    <w:rsid w:val="00E12170"/>
    <w:rsid w:val="00E122A1"/>
    <w:rsid w:val="00E12964"/>
    <w:rsid w:val="00E1367B"/>
    <w:rsid w:val="00E13A98"/>
    <w:rsid w:val="00E140B8"/>
    <w:rsid w:val="00E142E8"/>
    <w:rsid w:val="00E145E2"/>
    <w:rsid w:val="00E14C57"/>
    <w:rsid w:val="00E14FBD"/>
    <w:rsid w:val="00E15699"/>
    <w:rsid w:val="00E16372"/>
    <w:rsid w:val="00E163C4"/>
    <w:rsid w:val="00E16664"/>
    <w:rsid w:val="00E16687"/>
    <w:rsid w:val="00E169BA"/>
    <w:rsid w:val="00E16AD8"/>
    <w:rsid w:val="00E17B78"/>
    <w:rsid w:val="00E17FFA"/>
    <w:rsid w:val="00E2043A"/>
    <w:rsid w:val="00E2057F"/>
    <w:rsid w:val="00E206E2"/>
    <w:rsid w:val="00E20B00"/>
    <w:rsid w:val="00E20B37"/>
    <w:rsid w:val="00E20D4E"/>
    <w:rsid w:val="00E20E4D"/>
    <w:rsid w:val="00E20ED6"/>
    <w:rsid w:val="00E20F32"/>
    <w:rsid w:val="00E21089"/>
    <w:rsid w:val="00E21358"/>
    <w:rsid w:val="00E21ACC"/>
    <w:rsid w:val="00E223BF"/>
    <w:rsid w:val="00E2249B"/>
    <w:rsid w:val="00E2276F"/>
    <w:rsid w:val="00E22A0D"/>
    <w:rsid w:val="00E22E05"/>
    <w:rsid w:val="00E23202"/>
    <w:rsid w:val="00E23384"/>
    <w:rsid w:val="00E23FF1"/>
    <w:rsid w:val="00E24075"/>
    <w:rsid w:val="00E24111"/>
    <w:rsid w:val="00E24192"/>
    <w:rsid w:val="00E244F6"/>
    <w:rsid w:val="00E24627"/>
    <w:rsid w:val="00E24CCC"/>
    <w:rsid w:val="00E250FD"/>
    <w:rsid w:val="00E25553"/>
    <w:rsid w:val="00E25620"/>
    <w:rsid w:val="00E25677"/>
    <w:rsid w:val="00E2586B"/>
    <w:rsid w:val="00E258DB"/>
    <w:rsid w:val="00E25BB4"/>
    <w:rsid w:val="00E25BE1"/>
    <w:rsid w:val="00E25E2C"/>
    <w:rsid w:val="00E25F4E"/>
    <w:rsid w:val="00E26701"/>
    <w:rsid w:val="00E26F84"/>
    <w:rsid w:val="00E2706B"/>
    <w:rsid w:val="00E2771E"/>
    <w:rsid w:val="00E2785C"/>
    <w:rsid w:val="00E27E7D"/>
    <w:rsid w:val="00E30A66"/>
    <w:rsid w:val="00E30EA0"/>
    <w:rsid w:val="00E311EF"/>
    <w:rsid w:val="00E31DEB"/>
    <w:rsid w:val="00E32180"/>
    <w:rsid w:val="00E32575"/>
    <w:rsid w:val="00E33127"/>
    <w:rsid w:val="00E333FD"/>
    <w:rsid w:val="00E34075"/>
    <w:rsid w:val="00E3422D"/>
    <w:rsid w:val="00E34948"/>
    <w:rsid w:val="00E34BF2"/>
    <w:rsid w:val="00E35283"/>
    <w:rsid w:val="00E35DB6"/>
    <w:rsid w:val="00E3622D"/>
    <w:rsid w:val="00E36660"/>
    <w:rsid w:val="00E37569"/>
    <w:rsid w:val="00E37581"/>
    <w:rsid w:val="00E3762A"/>
    <w:rsid w:val="00E401B2"/>
    <w:rsid w:val="00E4022B"/>
    <w:rsid w:val="00E40406"/>
    <w:rsid w:val="00E40FE9"/>
    <w:rsid w:val="00E41154"/>
    <w:rsid w:val="00E41AFF"/>
    <w:rsid w:val="00E41E30"/>
    <w:rsid w:val="00E41FD9"/>
    <w:rsid w:val="00E42186"/>
    <w:rsid w:val="00E42C7C"/>
    <w:rsid w:val="00E42D92"/>
    <w:rsid w:val="00E42F73"/>
    <w:rsid w:val="00E432EB"/>
    <w:rsid w:val="00E4342E"/>
    <w:rsid w:val="00E437B9"/>
    <w:rsid w:val="00E43D70"/>
    <w:rsid w:val="00E445B1"/>
    <w:rsid w:val="00E44BDE"/>
    <w:rsid w:val="00E457DA"/>
    <w:rsid w:val="00E459ED"/>
    <w:rsid w:val="00E46346"/>
    <w:rsid w:val="00E466F3"/>
    <w:rsid w:val="00E46979"/>
    <w:rsid w:val="00E47695"/>
    <w:rsid w:val="00E47B2C"/>
    <w:rsid w:val="00E47D88"/>
    <w:rsid w:val="00E500B4"/>
    <w:rsid w:val="00E5018A"/>
    <w:rsid w:val="00E50344"/>
    <w:rsid w:val="00E5069C"/>
    <w:rsid w:val="00E50816"/>
    <w:rsid w:val="00E50F9F"/>
    <w:rsid w:val="00E51560"/>
    <w:rsid w:val="00E51821"/>
    <w:rsid w:val="00E51FE0"/>
    <w:rsid w:val="00E52476"/>
    <w:rsid w:val="00E530E7"/>
    <w:rsid w:val="00E53831"/>
    <w:rsid w:val="00E53C3C"/>
    <w:rsid w:val="00E53FC8"/>
    <w:rsid w:val="00E54347"/>
    <w:rsid w:val="00E549F8"/>
    <w:rsid w:val="00E54A1A"/>
    <w:rsid w:val="00E55112"/>
    <w:rsid w:val="00E55424"/>
    <w:rsid w:val="00E55915"/>
    <w:rsid w:val="00E559C4"/>
    <w:rsid w:val="00E55A55"/>
    <w:rsid w:val="00E55BB5"/>
    <w:rsid w:val="00E55CD0"/>
    <w:rsid w:val="00E56C2B"/>
    <w:rsid w:val="00E577B9"/>
    <w:rsid w:val="00E57C62"/>
    <w:rsid w:val="00E57F78"/>
    <w:rsid w:val="00E57FA4"/>
    <w:rsid w:val="00E60E68"/>
    <w:rsid w:val="00E611DF"/>
    <w:rsid w:val="00E61789"/>
    <w:rsid w:val="00E6321A"/>
    <w:rsid w:val="00E6329B"/>
    <w:rsid w:val="00E63783"/>
    <w:rsid w:val="00E63D6F"/>
    <w:rsid w:val="00E64B30"/>
    <w:rsid w:val="00E64F2A"/>
    <w:rsid w:val="00E65995"/>
    <w:rsid w:val="00E659EA"/>
    <w:rsid w:val="00E65A51"/>
    <w:rsid w:val="00E65A7D"/>
    <w:rsid w:val="00E65E79"/>
    <w:rsid w:val="00E66012"/>
    <w:rsid w:val="00E66A6A"/>
    <w:rsid w:val="00E66B26"/>
    <w:rsid w:val="00E66BA2"/>
    <w:rsid w:val="00E672DF"/>
    <w:rsid w:val="00E67416"/>
    <w:rsid w:val="00E67B9B"/>
    <w:rsid w:val="00E702DD"/>
    <w:rsid w:val="00E7036E"/>
    <w:rsid w:val="00E70A5E"/>
    <w:rsid w:val="00E70B4A"/>
    <w:rsid w:val="00E718B6"/>
    <w:rsid w:val="00E71ECF"/>
    <w:rsid w:val="00E72117"/>
    <w:rsid w:val="00E723BA"/>
    <w:rsid w:val="00E7308D"/>
    <w:rsid w:val="00E73428"/>
    <w:rsid w:val="00E73581"/>
    <w:rsid w:val="00E73F3D"/>
    <w:rsid w:val="00E73F60"/>
    <w:rsid w:val="00E73F9A"/>
    <w:rsid w:val="00E740A5"/>
    <w:rsid w:val="00E742E9"/>
    <w:rsid w:val="00E744EA"/>
    <w:rsid w:val="00E744FF"/>
    <w:rsid w:val="00E74569"/>
    <w:rsid w:val="00E7468D"/>
    <w:rsid w:val="00E7532B"/>
    <w:rsid w:val="00E75EF8"/>
    <w:rsid w:val="00E75EFD"/>
    <w:rsid w:val="00E7658D"/>
    <w:rsid w:val="00E76DBD"/>
    <w:rsid w:val="00E77AFF"/>
    <w:rsid w:val="00E77E07"/>
    <w:rsid w:val="00E77EA4"/>
    <w:rsid w:val="00E80652"/>
    <w:rsid w:val="00E80B47"/>
    <w:rsid w:val="00E8155C"/>
    <w:rsid w:val="00E817D7"/>
    <w:rsid w:val="00E81DBB"/>
    <w:rsid w:val="00E82282"/>
    <w:rsid w:val="00E824B2"/>
    <w:rsid w:val="00E82A9F"/>
    <w:rsid w:val="00E833F7"/>
    <w:rsid w:val="00E83793"/>
    <w:rsid w:val="00E83895"/>
    <w:rsid w:val="00E83A42"/>
    <w:rsid w:val="00E83BDF"/>
    <w:rsid w:val="00E83D49"/>
    <w:rsid w:val="00E83D9E"/>
    <w:rsid w:val="00E842E9"/>
    <w:rsid w:val="00E84CEB"/>
    <w:rsid w:val="00E84D6A"/>
    <w:rsid w:val="00E84E5C"/>
    <w:rsid w:val="00E84E92"/>
    <w:rsid w:val="00E85E67"/>
    <w:rsid w:val="00E86D91"/>
    <w:rsid w:val="00E86FCC"/>
    <w:rsid w:val="00E87252"/>
    <w:rsid w:val="00E87A1D"/>
    <w:rsid w:val="00E87B12"/>
    <w:rsid w:val="00E906D1"/>
    <w:rsid w:val="00E9085A"/>
    <w:rsid w:val="00E9094A"/>
    <w:rsid w:val="00E91BB4"/>
    <w:rsid w:val="00E91D35"/>
    <w:rsid w:val="00E92257"/>
    <w:rsid w:val="00E926A5"/>
    <w:rsid w:val="00E92C9A"/>
    <w:rsid w:val="00E92D1E"/>
    <w:rsid w:val="00E9301D"/>
    <w:rsid w:val="00E932A0"/>
    <w:rsid w:val="00E93A71"/>
    <w:rsid w:val="00E93ABB"/>
    <w:rsid w:val="00E94040"/>
    <w:rsid w:val="00E9451C"/>
    <w:rsid w:val="00E94649"/>
    <w:rsid w:val="00E956A9"/>
    <w:rsid w:val="00E95816"/>
    <w:rsid w:val="00E95CD9"/>
    <w:rsid w:val="00E962CC"/>
    <w:rsid w:val="00E9653A"/>
    <w:rsid w:val="00E96A3F"/>
    <w:rsid w:val="00E96C3E"/>
    <w:rsid w:val="00E96D37"/>
    <w:rsid w:val="00E96DA7"/>
    <w:rsid w:val="00E9777C"/>
    <w:rsid w:val="00E9783F"/>
    <w:rsid w:val="00E97854"/>
    <w:rsid w:val="00E97BE3"/>
    <w:rsid w:val="00EA097C"/>
    <w:rsid w:val="00EA0D2C"/>
    <w:rsid w:val="00EA12D2"/>
    <w:rsid w:val="00EA17C3"/>
    <w:rsid w:val="00EA1A67"/>
    <w:rsid w:val="00EA1CF4"/>
    <w:rsid w:val="00EA1E29"/>
    <w:rsid w:val="00EA2A45"/>
    <w:rsid w:val="00EA2CAA"/>
    <w:rsid w:val="00EA2E23"/>
    <w:rsid w:val="00EA2FC6"/>
    <w:rsid w:val="00EA3790"/>
    <w:rsid w:val="00EA3864"/>
    <w:rsid w:val="00EA3B4F"/>
    <w:rsid w:val="00EA3D99"/>
    <w:rsid w:val="00EA3E6A"/>
    <w:rsid w:val="00EA414F"/>
    <w:rsid w:val="00EA43A7"/>
    <w:rsid w:val="00EA43C8"/>
    <w:rsid w:val="00EA472B"/>
    <w:rsid w:val="00EA5146"/>
    <w:rsid w:val="00EA52B2"/>
    <w:rsid w:val="00EA56C3"/>
    <w:rsid w:val="00EA66D0"/>
    <w:rsid w:val="00EA68BB"/>
    <w:rsid w:val="00EA6EDC"/>
    <w:rsid w:val="00EA7399"/>
    <w:rsid w:val="00EA7BB3"/>
    <w:rsid w:val="00EA7F1C"/>
    <w:rsid w:val="00EB01E0"/>
    <w:rsid w:val="00EB118D"/>
    <w:rsid w:val="00EB1359"/>
    <w:rsid w:val="00EB15B6"/>
    <w:rsid w:val="00EB15E1"/>
    <w:rsid w:val="00EB17CB"/>
    <w:rsid w:val="00EB1D77"/>
    <w:rsid w:val="00EB1DEA"/>
    <w:rsid w:val="00EB1E4C"/>
    <w:rsid w:val="00EB2C37"/>
    <w:rsid w:val="00EB30F7"/>
    <w:rsid w:val="00EB38F2"/>
    <w:rsid w:val="00EB3A1F"/>
    <w:rsid w:val="00EB3D06"/>
    <w:rsid w:val="00EB44C2"/>
    <w:rsid w:val="00EB4876"/>
    <w:rsid w:val="00EB4916"/>
    <w:rsid w:val="00EB4EA6"/>
    <w:rsid w:val="00EB59E9"/>
    <w:rsid w:val="00EB5A2B"/>
    <w:rsid w:val="00EB600B"/>
    <w:rsid w:val="00EB6073"/>
    <w:rsid w:val="00EB64E5"/>
    <w:rsid w:val="00EB6690"/>
    <w:rsid w:val="00EB7ADC"/>
    <w:rsid w:val="00EB7BC4"/>
    <w:rsid w:val="00EC0005"/>
    <w:rsid w:val="00EC00A4"/>
    <w:rsid w:val="00EC00C9"/>
    <w:rsid w:val="00EC0DD9"/>
    <w:rsid w:val="00EC0F02"/>
    <w:rsid w:val="00EC1067"/>
    <w:rsid w:val="00EC107A"/>
    <w:rsid w:val="00EC107C"/>
    <w:rsid w:val="00EC1194"/>
    <w:rsid w:val="00EC181D"/>
    <w:rsid w:val="00EC1A4B"/>
    <w:rsid w:val="00EC1BCE"/>
    <w:rsid w:val="00EC1EBE"/>
    <w:rsid w:val="00EC2046"/>
    <w:rsid w:val="00EC2649"/>
    <w:rsid w:val="00EC2695"/>
    <w:rsid w:val="00EC282C"/>
    <w:rsid w:val="00EC29EE"/>
    <w:rsid w:val="00EC2B0C"/>
    <w:rsid w:val="00EC31ED"/>
    <w:rsid w:val="00EC47F8"/>
    <w:rsid w:val="00EC4CD4"/>
    <w:rsid w:val="00EC4E32"/>
    <w:rsid w:val="00EC4E76"/>
    <w:rsid w:val="00EC5836"/>
    <w:rsid w:val="00EC629A"/>
    <w:rsid w:val="00EC634D"/>
    <w:rsid w:val="00EC688C"/>
    <w:rsid w:val="00EC6CD3"/>
    <w:rsid w:val="00EC7420"/>
    <w:rsid w:val="00EC7CF0"/>
    <w:rsid w:val="00ED00E3"/>
    <w:rsid w:val="00ED01A2"/>
    <w:rsid w:val="00ED039B"/>
    <w:rsid w:val="00ED0A52"/>
    <w:rsid w:val="00ED0C8B"/>
    <w:rsid w:val="00ED0CBB"/>
    <w:rsid w:val="00ED12E3"/>
    <w:rsid w:val="00ED1F27"/>
    <w:rsid w:val="00ED29BD"/>
    <w:rsid w:val="00ED3785"/>
    <w:rsid w:val="00ED37C7"/>
    <w:rsid w:val="00ED3DA9"/>
    <w:rsid w:val="00ED41E5"/>
    <w:rsid w:val="00ED4B04"/>
    <w:rsid w:val="00ED4C4B"/>
    <w:rsid w:val="00ED52EF"/>
    <w:rsid w:val="00ED5457"/>
    <w:rsid w:val="00ED57EA"/>
    <w:rsid w:val="00ED58CF"/>
    <w:rsid w:val="00ED5BD4"/>
    <w:rsid w:val="00ED5BE8"/>
    <w:rsid w:val="00ED5BF3"/>
    <w:rsid w:val="00ED603A"/>
    <w:rsid w:val="00ED65D5"/>
    <w:rsid w:val="00ED688F"/>
    <w:rsid w:val="00ED69E4"/>
    <w:rsid w:val="00ED6B26"/>
    <w:rsid w:val="00ED6B8D"/>
    <w:rsid w:val="00ED6D4A"/>
    <w:rsid w:val="00ED77DC"/>
    <w:rsid w:val="00ED77E7"/>
    <w:rsid w:val="00ED7808"/>
    <w:rsid w:val="00ED791A"/>
    <w:rsid w:val="00EE01F3"/>
    <w:rsid w:val="00EE07D3"/>
    <w:rsid w:val="00EE0A6D"/>
    <w:rsid w:val="00EE0C0B"/>
    <w:rsid w:val="00EE0C24"/>
    <w:rsid w:val="00EE1996"/>
    <w:rsid w:val="00EE1C01"/>
    <w:rsid w:val="00EE1F3A"/>
    <w:rsid w:val="00EE22AF"/>
    <w:rsid w:val="00EE2B7E"/>
    <w:rsid w:val="00EE359D"/>
    <w:rsid w:val="00EE3885"/>
    <w:rsid w:val="00EE4476"/>
    <w:rsid w:val="00EE451C"/>
    <w:rsid w:val="00EE47A5"/>
    <w:rsid w:val="00EE4D63"/>
    <w:rsid w:val="00EE56D6"/>
    <w:rsid w:val="00EE57E4"/>
    <w:rsid w:val="00EE5E90"/>
    <w:rsid w:val="00EE644E"/>
    <w:rsid w:val="00EE676A"/>
    <w:rsid w:val="00EE67D3"/>
    <w:rsid w:val="00EE6BBF"/>
    <w:rsid w:val="00EE6D58"/>
    <w:rsid w:val="00EE76A5"/>
    <w:rsid w:val="00EF0171"/>
    <w:rsid w:val="00EF0629"/>
    <w:rsid w:val="00EF1137"/>
    <w:rsid w:val="00EF14C6"/>
    <w:rsid w:val="00EF17FC"/>
    <w:rsid w:val="00EF1ABC"/>
    <w:rsid w:val="00EF1B25"/>
    <w:rsid w:val="00EF1C42"/>
    <w:rsid w:val="00EF1DA0"/>
    <w:rsid w:val="00EF225F"/>
    <w:rsid w:val="00EF233C"/>
    <w:rsid w:val="00EF25E3"/>
    <w:rsid w:val="00EF2A44"/>
    <w:rsid w:val="00EF2D4A"/>
    <w:rsid w:val="00EF334C"/>
    <w:rsid w:val="00EF4747"/>
    <w:rsid w:val="00EF4A63"/>
    <w:rsid w:val="00EF4BF8"/>
    <w:rsid w:val="00EF5932"/>
    <w:rsid w:val="00EF5C75"/>
    <w:rsid w:val="00EF66A3"/>
    <w:rsid w:val="00EF72E5"/>
    <w:rsid w:val="00EF7509"/>
    <w:rsid w:val="00EF7776"/>
    <w:rsid w:val="00EF7F51"/>
    <w:rsid w:val="00F004DD"/>
    <w:rsid w:val="00F005A8"/>
    <w:rsid w:val="00F00FC1"/>
    <w:rsid w:val="00F0104A"/>
    <w:rsid w:val="00F01F83"/>
    <w:rsid w:val="00F02102"/>
    <w:rsid w:val="00F02253"/>
    <w:rsid w:val="00F038B0"/>
    <w:rsid w:val="00F038B3"/>
    <w:rsid w:val="00F03B70"/>
    <w:rsid w:val="00F03C2E"/>
    <w:rsid w:val="00F040B0"/>
    <w:rsid w:val="00F0440F"/>
    <w:rsid w:val="00F04A66"/>
    <w:rsid w:val="00F04B4B"/>
    <w:rsid w:val="00F0516C"/>
    <w:rsid w:val="00F05D7D"/>
    <w:rsid w:val="00F0614E"/>
    <w:rsid w:val="00F0656D"/>
    <w:rsid w:val="00F067A2"/>
    <w:rsid w:val="00F068C4"/>
    <w:rsid w:val="00F06B0B"/>
    <w:rsid w:val="00F071CE"/>
    <w:rsid w:val="00F07B9E"/>
    <w:rsid w:val="00F10428"/>
    <w:rsid w:val="00F10659"/>
    <w:rsid w:val="00F1086B"/>
    <w:rsid w:val="00F109CB"/>
    <w:rsid w:val="00F10C36"/>
    <w:rsid w:val="00F10F6D"/>
    <w:rsid w:val="00F1116F"/>
    <w:rsid w:val="00F117C0"/>
    <w:rsid w:val="00F11E04"/>
    <w:rsid w:val="00F1216E"/>
    <w:rsid w:val="00F124BD"/>
    <w:rsid w:val="00F1263A"/>
    <w:rsid w:val="00F12692"/>
    <w:rsid w:val="00F12A04"/>
    <w:rsid w:val="00F12BEC"/>
    <w:rsid w:val="00F139C5"/>
    <w:rsid w:val="00F13D62"/>
    <w:rsid w:val="00F146EF"/>
    <w:rsid w:val="00F14947"/>
    <w:rsid w:val="00F1494A"/>
    <w:rsid w:val="00F14E3D"/>
    <w:rsid w:val="00F14F76"/>
    <w:rsid w:val="00F14FFE"/>
    <w:rsid w:val="00F1500B"/>
    <w:rsid w:val="00F155EA"/>
    <w:rsid w:val="00F157F0"/>
    <w:rsid w:val="00F15B77"/>
    <w:rsid w:val="00F16D7E"/>
    <w:rsid w:val="00F172ED"/>
    <w:rsid w:val="00F173AB"/>
    <w:rsid w:val="00F175BA"/>
    <w:rsid w:val="00F17A74"/>
    <w:rsid w:val="00F20726"/>
    <w:rsid w:val="00F20875"/>
    <w:rsid w:val="00F20AA0"/>
    <w:rsid w:val="00F20AEE"/>
    <w:rsid w:val="00F20B4F"/>
    <w:rsid w:val="00F21236"/>
    <w:rsid w:val="00F21941"/>
    <w:rsid w:val="00F21B23"/>
    <w:rsid w:val="00F21DB6"/>
    <w:rsid w:val="00F22203"/>
    <w:rsid w:val="00F226EF"/>
    <w:rsid w:val="00F22905"/>
    <w:rsid w:val="00F2295C"/>
    <w:rsid w:val="00F239DF"/>
    <w:rsid w:val="00F23A12"/>
    <w:rsid w:val="00F23AD8"/>
    <w:rsid w:val="00F2404D"/>
    <w:rsid w:val="00F244C6"/>
    <w:rsid w:val="00F247B7"/>
    <w:rsid w:val="00F24837"/>
    <w:rsid w:val="00F24A42"/>
    <w:rsid w:val="00F24D7B"/>
    <w:rsid w:val="00F24E3A"/>
    <w:rsid w:val="00F25659"/>
    <w:rsid w:val="00F2575F"/>
    <w:rsid w:val="00F2584A"/>
    <w:rsid w:val="00F25905"/>
    <w:rsid w:val="00F2598E"/>
    <w:rsid w:val="00F25E15"/>
    <w:rsid w:val="00F25F2B"/>
    <w:rsid w:val="00F26826"/>
    <w:rsid w:val="00F26E11"/>
    <w:rsid w:val="00F27565"/>
    <w:rsid w:val="00F27CF5"/>
    <w:rsid w:val="00F3063C"/>
    <w:rsid w:val="00F310D4"/>
    <w:rsid w:val="00F314A2"/>
    <w:rsid w:val="00F31D5A"/>
    <w:rsid w:val="00F31E8D"/>
    <w:rsid w:val="00F326CE"/>
    <w:rsid w:val="00F32A01"/>
    <w:rsid w:val="00F33616"/>
    <w:rsid w:val="00F33975"/>
    <w:rsid w:val="00F33D84"/>
    <w:rsid w:val="00F33DE9"/>
    <w:rsid w:val="00F343F4"/>
    <w:rsid w:val="00F34742"/>
    <w:rsid w:val="00F349CB"/>
    <w:rsid w:val="00F34D2D"/>
    <w:rsid w:val="00F34FEF"/>
    <w:rsid w:val="00F356E4"/>
    <w:rsid w:val="00F35BB0"/>
    <w:rsid w:val="00F35C56"/>
    <w:rsid w:val="00F35C77"/>
    <w:rsid w:val="00F35D89"/>
    <w:rsid w:val="00F35E6D"/>
    <w:rsid w:val="00F3619A"/>
    <w:rsid w:val="00F36FBD"/>
    <w:rsid w:val="00F370B4"/>
    <w:rsid w:val="00F378EF"/>
    <w:rsid w:val="00F378FA"/>
    <w:rsid w:val="00F37A90"/>
    <w:rsid w:val="00F40AAA"/>
    <w:rsid w:val="00F40BA7"/>
    <w:rsid w:val="00F40F9D"/>
    <w:rsid w:val="00F40FB8"/>
    <w:rsid w:val="00F41978"/>
    <w:rsid w:val="00F41ACD"/>
    <w:rsid w:val="00F41CC9"/>
    <w:rsid w:val="00F41D86"/>
    <w:rsid w:val="00F41ECE"/>
    <w:rsid w:val="00F42AD3"/>
    <w:rsid w:val="00F42D54"/>
    <w:rsid w:val="00F42D74"/>
    <w:rsid w:val="00F4379D"/>
    <w:rsid w:val="00F43A73"/>
    <w:rsid w:val="00F449CF"/>
    <w:rsid w:val="00F44E66"/>
    <w:rsid w:val="00F44F52"/>
    <w:rsid w:val="00F4554E"/>
    <w:rsid w:val="00F4566A"/>
    <w:rsid w:val="00F45CF3"/>
    <w:rsid w:val="00F45FB6"/>
    <w:rsid w:val="00F4673D"/>
    <w:rsid w:val="00F467E9"/>
    <w:rsid w:val="00F46CB6"/>
    <w:rsid w:val="00F46D69"/>
    <w:rsid w:val="00F4756D"/>
    <w:rsid w:val="00F4797E"/>
    <w:rsid w:val="00F47DE8"/>
    <w:rsid w:val="00F47EE6"/>
    <w:rsid w:val="00F504BB"/>
    <w:rsid w:val="00F50FA3"/>
    <w:rsid w:val="00F51567"/>
    <w:rsid w:val="00F51B1F"/>
    <w:rsid w:val="00F51ED6"/>
    <w:rsid w:val="00F529FE"/>
    <w:rsid w:val="00F52B80"/>
    <w:rsid w:val="00F53E24"/>
    <w:rsid w:val="00F542C1"/>
    <w:rsid w:val="00F550E3"/>
    <w:rsid w:val="00F5587E"/>
    <w:rsid w:val="00F559C4"/>
    <w:rsid w:val="00F55E73"/>
    <w:rsid w:val="00F55EDA"/>
    <w:rsid w:val="00F568C4"/>
    <w:rsid w:val="00F56908"/>
    <w:rsid w:val="00F56C80"/>
    <w:rsid w:val="00F56FFA"/>
    <w:rsid w:val="00F576EF"/>
    <w:rsid w:val="00F579CB"/>
    <w:rsid w:val="00F57E4B"/>
    <w:rsid w:val="00F60092"/>
    <w:rsid w:val="00F6023F"/>
    <w:rsid w:val="00F607E2"/>
    <w:rsid w:val="00F61C18"/>
    <w:rsid w:val="00F61CD7"/>
    <w:rsid w:val="00F61D21"/>
    <w:rsid w:val="00F61F99"/>
    <w:rsid w:val="00F62874"/>
    <w:rsid w:val="00F62C8A"/>
    <w:rsid w:val="00F63120"/>
    <w:rsid w:val="00F6329F"/>
    <w:rsid w:val="00F635B1"/>
    <w:rsid w:val="00F63B86"/>
    <w:rsid w:val="00F64032"/>
    <w:rsid w:val="00F645F7"/>
    <w:rsid w:val="00F6533C"/>
    <w:rsid w:val="00F6556B"/>
    <w:rsid w:val="00F658A6"/>
    <w:rsid w:val="00F65F4B"/>
    <w:rsid w:val="00F65F55"/>
    <w:rsid w:val="00F66263"/>
    <w:rsid w:val="00F6638B"/>
    <w:rsid w:val="00F668BF"/>
    <w:rsid w:val="00F6692D"/>
    <w:rsid w:val="00F66B7E"/>
    <w:rsid w:val="00F66E49"/>
    <w:rsid w:val="00F67755"/>
    <w:rsid w:val="00F67A69"/>
    <w:rsid w:val="00F7033C"/>
    <w:rsid w:val="00F708DF"/>
    <w:rsid w:val="00F70BFF"/>
    <w:rsid w:val="00F70C9D"/>
    <w:rsid w:val="00F70CA3"/>
    <w:rsid w:val="00F70E95"/>
    <w:rsid w:val="00F7122A"/>
    <w:rsid w:val="00F7160D"/>
    <w:rsid w:val="00F71A7E"/>
    <w:rsid w:val="00F71C0F"/>
    <w:rsid w:val="00F7238D"/>
    <w:rsid w:val="00F728F2"/>
    <w:rsid w:val="00F7291D"/>
    <w:rsid w:val="00F73066"/>
    <w:rsid w:val="00F73E08"/>
    <w:rsid w:val="00F743FF"/>
    <w:rsid w:val="00F744AF"/>
    <w:rsid w:val="00F74CD9"/>
    <w:rsid w:val="00F74D5C"/>
    <w:rsid w:val="00F7523C"/>
    <w:rsid w:val="00F753E9"/>
    <w:rsid w:val="00F7556B"/>
    <w:rsid w:val="00F76881"/>
    <w:rsid w:val="00F76A70"/>
    <w:rsid w:val="00F77225"/>
    <w:rsid w:val="00F779D0"/>
    <w:rsid w:val="00F77F6D"/>
    <w:rsid w:val="00F80164"/>
    <w:rsid w:val="00F80A7B"/>
    <w:rsid w:val="00F80E5D"/>
    <w:rsid w:val="00F80EA6"/>
    <w:rsid w:val="00F81156"/>
    <w:rsid w:val="00F81457"/>
    <w:rsid w:val="00F81DAE"/>
    <w:rsid w:val="00F81E78"/>
    <w:rsid w:val="00F823D6"/>
    <w:rsid w:val="00F82679"/>
    <w:rsid w:val="00F831D4"/>
    <w:rsid w:val="00F83916"/>
    <w:rsid w:val="00F84ADE"/>
    <w:rsid w:val="00F84D6F"/>
    <w:rsid w:val="00F8501A"/>
    <w:rsid w:val="00F85098"/>
    <w:rsid w:val="00F851CE"/>
    <w:rsid w:val="00F85676"/>
    <w:rsid w:val="00F8659B"/>
    <w:rsid w:val="00F86797"/>
    <w:rsid w:val="00F8682E"/>
    <w:rsid w:val="00F86B1C"/>
    <w:rsid w:val="00F872BC"/>
    <w:rsid w:val="00F872E9"/>
    <w:rsid w:val="00F8761F"/>
    <w:rsid w:val="00F8782A"/>
    <w:rsid w:val="00F87B32"/>
    <w:rsid w:val="00F902A3"/>
    <w:rsid w:val="00F90455"/>
    <w:rsid w:val="00F908A4"/>
    <w:rsid w:val="00F90C7B"/>
    <w:rsid w:val="00F91219"/>
    <w:rsid w:val="00F915BD"/>
    <w:rsid w:val="00F915EF"/>
    <w:rsid w:val="00F9176B"/>
    <w:rsid w:val="00F92293"/>
    <w:rsid w:val="00F92444"/>
    <w:rsid w:val="00F92532"/>
    <w:rsid w:val="00F9393E"/>
    <w:rsid w:val="00F93A36"/>
    <w:rsid w:val="00F940D3"/>
    <w:rsid w:val="00F948CC"/>
    <w:rsid w:val="00F94A83"/>
    <w:rsid w:val="00F94BDF"/>
    <w:rsid w:val="00F94CD7"/>
    <w:rsid w:val="00F950C7"/>
    <w:rsid w:val="00F95641"/>
    <w:rsid w:val="00F95905"/>
    <w:rsid w:val="00F95B82"/>
    <w:rsid w:val="00F962A9"/>
    <w:rsid w:val="00F96C3C"/>
    <w:rsid w:val="00F96FD0"/>
    <w:rsid w:val="00F97155"/>
    <w:rsid w:val="00F97A78"/>
    <w:rsid w:val="00FA0778"/>
    <w:rsid w:val="00FA0862"/>
    <w:rsid w:val="00FA08FB"/>
    <w:rsid w:val="00FA0B20"/>
    <w:rsid w:val="00FA0C1A"/>
    <w:rsid w:val="00FA2259"/>
    <w:rsid w:val="00FA24E7"/>
    <w:rsid w:val="00FA28CB"/>
    <w:rsid w:val="00FA2CEF"/>
    <w:rsid w:val="00FA2DF7"/>
    <w:rsid w:val="00FA2F52"/>
    <w:rsid w:val="00FA352D"/>
    <w:rsid w:val="00FA3F6D"/>
    <w:rsid w:val="00FA4960"/>
    <w:rsid w:val="00FA4A31"/>
    <w:rsid w:val="00FA5660"/>
    <w:rsid w:val="00FA5EE6"/>
    <w:rsid w:val="00FA6039"/>
    <w:rsid w:val="00FA60AE"/>
    <w:rsid w:val="00FA61F0"/>
    <w:rsid w:val="00FA6359"/>
    <w:rsid w:val="00FA7187"/>
    <w:rsid w:val="00FA71B8"/>
    <w:rsid w:val="00FA723D"/>
    <w:rsid w:val="00FA769D"/>
    <w:rsid w:val="00FA7956"/>
    <w:rsid w:val="00FA7E43"/>
    <w:rsid w:val="00FB0824"/>
    <w:rsid w:val="00FB0CDC"/>
    <w:rsid w:val="00FB17A1"/>
    <w:rsid w:val="00FB17D8"/>
    <w:rsid w:val="00FB1945"/>
    <w:rsid w:val="00FB1E82"/>
    <w:rsid w:val="00FB210E"/>
    <w:rsid w:val="00FB2FCB"/>
    <w:rsid w:val="00FB2FF2"/>
    <w:rsid w:val="00FB3E6F"/>
    <w:rsid w:val="00FB43FC"/>
    <w:rsid w:val="00FB44A1"/>
    <w:rsid w:val="00FB4C9C"/>
    <w:rsid w:val="00FB57E6"/>
    <w:rsid w:val="00FB59F8"/>
    <w:rsid w:val="00FB5BD8"/>
    <w:rsid w:val="00FB61C1"/>
    <w:rsid w:val="00FB624F"/>
    <w:rsid w:val="00FB650F"/>
    <w:rsid w:val="00FB6A2B"/>
    <w:rsid w:val="00FB73C0"/>
    <w:rsid w:val="00FB78D1"/>
    <w:rsid w:val="00FB7C55"/>
    <w:rsid w:val="00FC06C1"/>
    <w:rsid w:val="00FC1074"/>
    <w:rsid w:val="00FC1884"/>
    <w:rsid w:val="00FC1926"/>
    <w:rsid w:val="00FC19A1"/>
    <w:rsid w:val="00FC1DC8"/>
    <w:rsid w:val="00FC21DA"/>
    <w:rsid w:val="00FC2666"/>
    <w:rsid w:val="00FC32EC"/>
    <w:rsid w:val="00FC331E"/>
    <w:rsid w:val="00FC371D"/>
    <w:rsid w:val="00FC3762"/>
    <w:rsid w:val="00FC3E67"/>
    <w:rsid w:val="00FC4458"/>
    <w:rsid w:val="00FC48D4"/>
    <w:rsid w:val="00FC4DCD"/>
    <w:rsid w:val="00FC4E13"/>
    <w:rsid w:val="00FC503E"/>
    <w:rsid w:val="00FC5205"/>
    <w:rsid w:val="00FC55A4"/>
    <w:rsid w:val="00FC5999"/>
    <w:rsid w:val="00FC5B2B"/>
    <w:rsid w:val="00FC5D32"/>
    <w:rsid w:val="00FC5D9F"/>
    <w:rsid w:val="00FC5F0B"/>
    <w:rsid w:val="00FC6542"/>
    <w:rsid w:val="00FC6859"/>
    <w:rsid w:val="00FC6903"/>
    <w:rsid w:val="00FC6CFE"/>
    <w:rsid w:val="00FC6E54"/>
    <w:rsid w:val="00FC7254"/>
    <w:rsid w:val="00FC77AC"/>
    <w:rsid w:val="00FC781F"/>
    <w:rsid w:val="00FC7D57"/>
    <w:rsid w:val="00FC7DB8"/>
    <w:rsid w:val="00FD025C"/>
    <w:rsid w:val="00FD04C9"/>
    <w:rsid w:val="00FD145C"/>
    <w:rsid w:val="00FD1571"/>
    <w:rsid w:val="00FD2100"/>
    <w:rsid w:val="00FD21F7"/>
    <w:rsid w:val="00FD25CF"/>
    <w:rsid w:val="00FD26CE"/>
    <w:rsid w:val="00FD2C74"/>
    <w:rsid w:val="00FD3532"/>
    <w:rsid w:val="00FD3620"/>
    <w:rsid w:val="00FD371D"/>
    <w:rsid w:val="00FD3A87"/>
    <w:rsid w:val="00FD42B9"/>
    <w:rsid w:val="00FD436C"/>
    <w:rsid w:val="00FD446D"/>
    <w:rsid w:val="00FD45C9"/>
    <w:rsid w:val="00FD4A9C"/>
    <w:rsid w:val="00FD4F2C"/>
    <w:rsid w:val="00FD4FC1"/>
    <w:rsid w:val="00FD52C1"/>
    <w:rsid w:val="00FD5868"/>
    <w:rsid w:val="00FD61ED"/>
    <w:rsid w:val="00FD6394"/>
    <w:rsid w:val="00FD6801"/>
    <w:rsid w:val="00FD68ED"/>
    <w:rsid w:val="00FD6D49"/>
    <w:rsid w:val="00FD7326"/>
    <w:rsid w:val="00FE0077"/>
    <w:rsid w:val="00FE07B5"/>
    <w:rsid w:val="00FE0B88"/>
    <w:rsid w:val="00FE0E6C"/>
    <w:rsid w:val="00FE101E"/>
    <w:rsid w:val="00FE11C1"/>
    <w:rsid w:val="00FE14F4"/>
    <w:rsid w:val="00FE1CDC"/>
    <w:rsid w:val="00FE201C"/>
    <w:rsid w:val="00FE20C8"/>
    <w:rsid w:val="00FE266C"/>
    <w:rsid w:val="00FE2BF5"/>
    <w:rsid w:val="00FE3070"/>
    <w:rsid w:val="00FE3476"/>
    <w:rsid w:val="00FE42B6"/>
    <w:rsid w:val="00FE4DBD"/>
    <w:rsid w:val="00FE5DAA"/>
    <w:rsid w:val="00FE63A6"/>
    <w:rsid w:val="00FE70C3"/>
    <w:rsid w:val="00FE78EC"/>
    <w:rsid w:val="00FE7C9E"/>
    <w:rsid w:val="00FE7CCE"/>
    <w:rsid w:val="00FF0183"/>
    <w:rsid w:val="00FF05AF"/>
    <w:rsid w:val="00FF0646"/>
    <w:rsid w:val="00FF0738"/>
    <w:rsid w:val="00FF0C91"/>
    <w:rsid w:val="00FF0D41"/>
    <w:rsid w:val="00FF0FB8"/>
    <w:rsid w:val="00FF1A8B"/>
    <w:rsid w:val="00FF1F0A"/>
    <w:rsid w:val="00FF2950"/>
    <w:rsid w:val="00FF2AD9"/>
    <w:rsid w:val="00FF2B7F"/>
    <w:rsid w:val="00FF34C3"/>
    <w:rsid w:val="00FF359F"/>
    <w:rsid w:val="00FF3956"/>
    <w:rsid w:val="00FF3CA3"/>
    <w:rsid w:val="00FF3DCF"/>
    <w:rsid w:val="00FF3F4C"/>
    <w:rsid w:val="00FF419E"/>
    <w:rsid w:val="00FF492C"/>
    <w:rsid w:val="00FF4A21"/>
    <w:rsid w:val="00FF4F19"/>
    <w:rsid w:val="00FF4F95"/>
    <w:rsid w:val="00FF5483"/>
    <w:rsid w:val="00FF56B8"/>
    <w:rsid w:val="00FF5AA3"/>
    <w:rsid w:val="00FF5AD8"/>
    <w:rsid w:val="00FF5C1D"/>
    <w:rsid w:val="00FF661D"/>
    <w:rsid w:val="00FF7BF7"/>
    <w:rsid w:val="00FF7C3D"/>
    <w:rsid w:val="00FF7D71"/>
    <w:rsid w:val="0677C295"/>
    <w:rsid w:val="48688695"/>
    <w:rsid w:val="76B14E4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0F46"/>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 Char1,Caption Char2,Caption Char1,- H1"/>
    <w:basedOn w:val="Normal"/>
    <w:next w:val="Normal"/>
    <w:link w:val="CaptionChar"/>
    <w:unhideWhenUsed/>
    <w:qFormat/>
    <w:rsid w:val="00E16AD8"/>
    <w:pPr>
      <w:keepNext/>
      <w:keepLines/>
    </w:pPr>
    <w:rPr>
      <w:rFonts w:ascii="Arial Narrow" w:hAnsi="Arial Narrow"/>
      <w:b/>
      <w:bCs/>
      <w:sz w:val="20"/>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 H1 Char"/>
    <w:link w:val="Caption"/>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
    <w:link w:val="ListParagraphChar"/>
    <w:uiPriority w:val="34"/>
    <w:qFormat/>
    <w:rsid w:val="004C3B02"/>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MSD Table Grid,RTI AMCP Table,new style,PBAC table,Legemiddelverket 3,HTAtableplain,Table Grid nm,Dossier table,Summary Table,HealthConsult,Section 3- footnotes,Conclusion box,Header Tab"/>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link w:val="GeneralHeadingChar"/>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D92D9D"/>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5E1A1C"/>
    <w:pPr>
      <w:numPr>
        <w:ilvl w:val="1"/>
        <w:numId w:val="6"/>
      </w:numPr>
      <w:spacing w:before="6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5E1A1C"/>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link w:val="TableFigureFooterChar"/>
    <w:qFormat/>
    <w:rsid w:val="00EA5146"/>
    <w:pPr>
      <w:keepLines/>
      <w:spacing w:after="300"/>
      <w:contextualSpacing/>
    </w:pPr>
    <w:rPr>
      <w:rFonts w:ascii="Arial Narrow" w:hAnsi="Arial Narrow"/>
      <w:snapToGrid w:val="0"/>
      <w:sz w:val="18"/>
      <w:szCs w:val="22"/>
    </w:rPr>
  </w:style>
  <w:style w:type="character" w:customStyle="1" w:styleId="TableFigureFooterChar">
    <w:name w:val="Table/Figure Footer Char"/>
    <w:link w:val="TableFigureFooter"/>
    <w:rsid w:val="00EA5146"/>
    <w:rPr>
      <w:rFonts w:ascii="Arial Narrow" w:hAnsi="Arial Narrow" w:cs="Arial"/>
      <w:snapToGrid w:val="0"/>
      <w:sz w:val="18"/>
      <w:szCs w:val="22"/>
    </w:rPr>
  </w:style>
  <w:style w:type="paragraph" w:customStyle="1" w:styleId="KMC16-Tablecontent">
    <w:name w:val="KMC16 - Table content"/>
    <w:basedOn w:val="Normal"/>
    <w:link w:val="KMC16-TablecontentChar"/>
    <w:qFormat/>
    <w:rsid w:val="009211AB"/>
    <w:pPr>
      <w:spacing w:before="40" w:after="40"/>
      <w:jc w:val="left"/>
    </w:pPr>
    <w:rPr>
      <w:rFonts w:ascii="Arial Narrow" w:hAnsi="Arial Narrow"/>
      <w:color w:val="000000"/>
      <w:sz w:val="20"/>
      <w:lang w:val="en-GB" w:eastAsia="en-GB"/>
    </w:rPr>
  </w:style>
  <w:style w:type="character" w:customStyle="1" w:styleId="KMC16-TablecontentChar">
    <w:name w:val="KMC16 - Table content Char"/>
    <w:basedOn w:val="DefaultParagraphFont"/>
    <w:link w:val="KMC16-Tablecontent"/>
    <w:rsid w:val="009211AB"/>
    <w:rPr>
      <w:rFonts w:ascii="Arial Narrow" w:hAnsi="Arial Narrow" w:cs="Arial"/>
      <w:color w:val="000000"/>
      <w:szCs w:val="24"/>
      <w:lang w:val="en-GB" w:eastAsia="en-GB"/>
    </w:rPr>
  </w:style>
  <w:style w:type="paragraph" w:styleId="FootnoteText">
    <w:name w:val="footnote text"/>
    <w:basedOn w:val="Normal"/>
    <w:link w:val="FootnoteTextChar"/>
    <w:semiHidden/>
    <w:unhideWhenUsed/>
    <w:rsid w:val="00920B77"/>
    <w:rPr>
      <w:sz w:val="20"/>
      <w:szCs w:val="20"/>
    </w:rPr>
  </w:style>
  <w:style w:type="character" w:customStyle="1" w:styleId="FootnoteTextChar">
    <w:name w:val="Footnote Text Char"/>
    <w:basedOn w:val="DefaultParagraphFont"/>
    <w:link w:val="FootnoteText"/>
    <w:semiHidden/>
    <w:rsid w:val="00920B77"/>
    <w:rPr>
      <w:rFonts w:ascii="Calibri" w:hAnsi="Calibri" w:cs="Arial"/>
    </w:rPr>
  </w:style>
  <w:style w:type="character" w:styleId="FootnoteReference">
    <w:name w:val="footnote reference"/>
    <w:basedOn w:val="DefaultParagraphFont"/>
    <w:semiHidden/>
    <w:unhideWhenUsed/>
    <w:rsid w:val="00920B77"/>
    <w:rPr>
      <w:vertAlign w:val="superscript"/>
    </w:rPr>
  </w:style>
  <w:style w:type="paragraph" w:customStyle="1" w:styleId="EndNoteBibliographyTitle">
    <w:name w:val="EndNote Bibliography Title"/>
    <w:basedOn w:val="Normal"/>
    <w:link w:val="EndNoteBibliographyTitleChar"/>
    <w:rsid w:val="00385E73"/>
    <w:pPr>
      <w:jc w:val="center"/>
    </w:pPr>
    <w:rPr>
      <w:rFonts w:cs="Calibri"/>
      <w:noProof/>
    </w:rPr>
  </w:style>
  <w:style w:type="character" w:customStyle="1" w:styleId="GeneralHeadingChar">
    <w:name w:val="General Heading Char"/>
    <w:basedOn w:val="DefaultParagraphFont"/>
    <w:link w:val="GeneralHeading"/>
    <w:rsid w:val="00385E73"/>
    <w:rPr>
      <w:rFonts w:ascii="Calibri" w:hAnsi="Calibri" w:cs="Arial"/>
      <w:b/>
      <w:snapToGrid w:val="0"/>
      <w:sz w:val="28"/>
      <w:szCs w:val="22"/>
    </w:rPr>
  </w:style>
  <w:style w:type="character" w:customStyle="1" w:styleId="EndNoteBibliographyTitleChar">
    <w:name w:val="EndNote Bibliography Title Char"/>
    <w:basedOn w:val="GeneralHeadingChar"/>
    <w:link w:val="EndNoteBibliographyTitle"/>
    <w:rsid w:val="00385E73"/>
    <w:rPr>
      <w:rFonts w:ascii="Calibri" w:hAnsi="Calibri" w:cs="Calibri"/>
      <w:b w:val="0"/>
      <w:noProof/>
      <w:snapToGrid/>
      <w:sz w:val="24"/>
      <w:szCs w:val="24"/>
    </w:rPr>
  </w:style>
  <w:style w:type="paragraph" w:customStyle="1" w:styleId="EndNoteBibliography">
    <w:name w:val="EndNote Bibliography"/>
    <w:basedOn w:val="Normal"/>
    <w:link w:val="EndNoteBibliographyChar"/>
    <w:rsid w:val="00385E73"/>
    <w:rPr>
      <w:rFonts w:cs="Calibri"/>
      <w:noProof/>
    </w:rPr>
  </w:style>
  <w:style w:type="character" w:customStyle="1" w:styleId="EndNoteBibliographyChar">
    <w:name w:val="EndNote Bibliography Char"/>
    <w:basedOn w:val="GeneralHeadingChar"/>
    <w:link w:val="EndNoteBibliography"/>
    <w:rsid w:val="00385E73"/>
    <w:rPr>
      <w:rFonts w:ascii="Calibri" w:hAnsi="Calibri" w:cs="Calibri"/>
      <w:b w:val="0"/>
      <w:noProof/>
      <w:snapToGrid/>
      <w:sz w:val="24"/>
      <w:szCs w:val="24"/>
    </w:rPr>
  </w:style>
  <w:style w:type="character" w:styleId="UnresolvedMention">
    <w:name w:val="Unresolved Mention"/>
    <w:basedOn w:val="DefaultParagraphFont"/>
    <w:uiPriority w:val="99"/>
    <w:unhideWhenUsed/>
    <w:rsid w:val="004712EC"/>
    <w:rPr>
      <w:color w:val="605E5C"/>
      <w:shd w:val="clear" w:color="auto" w:fill="E1DFDD"/>
    </w:rPr>
  </w:style>
  <w:style w:type="paragraph" w:customStyle="1" w:styleId="KMC16-Text">
    <w:name w:val="KMC16 - Text"/>
    <w:basedOn w:val="Normal"/>
    <w:link w:val="KMC16-TextChar"/>
    <w:qFormat/>
    <w:rsid w:val="008965D6"/>
    <w:pPr>
      <w:spacing w:before="120" w:after="240" w:line="360" w:lineRule="auto"/>
    </w:pPr>
    <w:rPr>
      <w:rFonts w:ascii="Arial" w:hAnsi="Arial" w:cs="Times New Roman"/>
      <w:color w:val="000000" w:themeColor="text1"/>
      <w:lang w:eastAsia="en-GB"/>
    </w:rPr>
  </w:style>
  <w:style w:type="character" w:customStyle="1" w:styleId="KMC16-TextChar">
    <w:name w:val="KMC16 - Text Char"/>
    <w:basedOn w:val="DefaultParagraphFont"/>
    <w:link w:val="KMC16-Text"/>
    <w:rsid w:val="008965D6"/>
    <w:rPr>
      <w:rFonts w:ascii="Arial" w:hAnsi="Arial"/>
      <w:color w:val="000000" w:themeColor="text1"/>
      <w:sz w:val="24"/>
      <w:szCs w:val="24"/>
      <w:lang w:eastAsia="en-GB"/>
    </w:rPr>
  </w:style>
  <w:style w:type="paragraph" w:customStyle="1" w:styleId="KMC16-TableHeading">
    <w:name w:val="KMC16 - Table Heading"/>
    <w:basedOn w:val="Normal"/>
    <w:qFormat/>
    <w:rsid w:val="00865FD9"/>
    <w:pPr>
      <w:spacing w:before="40" w:after="40"/>
      <w:jc w:val="center"/>
    </w:pPr>
    <w:rPr>
      <w:rFonts w:ascii="Arial Narrow" w:hAnsi="Arial Narrow"/>
      <w:b/>
      <w:color w:val="000000"/>
      <w:sz w:val="20"/>
      <w:lang w:eastAsia="en-GB"/>
    </w:rPr>
  </w:style>
  <w:style w:type="paragraph" w:customStyle="1" w:styleId="KMC-TFNotes">
    <w:name w:val="KMC - TF Notes"/>
    <w:basedOn w:val="Normal"/>
    <w:link w:val="KMC-TFNotesChar"/>
    <w:qFormat/>
    <w:locked/>
    <w:rsid w:val="004A5683"/>
    <w:pPr>
      <w:keepNext/>
      <w:spacing w:before="45" w:after="240"/>
      <w:contextualSpacing/>
    </w:pPr>
    <w:rPr>
      <w:rFonts w:eastAsiaTheme="minorHAnsi" w:cstheme="minorBidi"/>
      <w:color w:val="000000" w:themeColor="text1"/>
      <w:sz w:val="16"/>
      <w:szCs w:val="22"/>
      <w:lang w:eastAsia="en-US"/>
    </w:rPr>
  </w:style>
  <w:style w:type="character" w:customStyle="1" w:styleId="KMC-TFNotesChar">
    <w:name w:val="KMC - TF Notes Char"/>
    <w:basedOn w:val="DefaultParagraphFont"/>
    <w:link w:val="KMC-TFNotes"/>
    <w:rsid w:val="004A5683"/>
    <w:rPr>
      <w:rFonts w:ascii="Calibri" w:eastAsiaTheme="minorHAnsi" w:hAnsi="Calibri" w:cstheme="minorBidi"/>
      <w:color w:val="000000" w:themeColor="text1"/>
      <w:sz w:val="16"/>
      <w:szCs w:val="22"/>
      <w:lang w:eastAsia="en-US"/>
    </w:rPr>
  </w:style>
  <w:style w:type="paragraph" w:customStyle="1" w:styleId="KMC16-Caption">
    <w:name w:val="KMC16 - Caption"/>
    <w:basedOn w:val="Normal"/>
    <w:qFormat/>
    <w:rsid w:val="00C20A0B"/>
    <w:pPr>
      <w:keepNext/>
      <w:tabs>
        <w:tab w:val="left" w:pos="567"/>
      </w:tabs>
      <w:spacing w:before="240" w:after="40"/>
      <w:ind w:left="992" w:hanging="992"/>
      <w:contextualSpacing/>
      <w:jc w:val="left"/>
    </w:pPr>
    <w:rPr>
      <w:rFonts w:ascii="Arial" w:hAnsi="Arial" w:cs="Times New Roman"/>
      <w:b/>
      <w:color w:val="000000"/>
      <w:sz w:val="20"/>
      <w:szCs w:val="20"/>
    </w:rPr>
  </w:style>
  <w:style w:type="paragraph" w:customStyle="1" w:styleId="pf0">
    <w:name w:val="pf0"/>
    <w:basedOn w:val="Normal"/>
    <w:rsid w:val="00EB6073"/>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EB6073"/>
    <w:rPr>
      <w:rFonts w:ascii="Segoe UI" w:hAnsi="Segoe UI" w:cs="Segoe UI" w:hint="default"/>
      <w:sz w:val="18"/>
      <w:szCs w:val="18"/>
    </w:rPr>
  </w:style>
  <w:style w:type="character" w:customStyle="1" w:styleId="normaltextrun">
    <w:name w:val="normaltextrun"/>
    <w:basedOn w:val="DefaultParagraphFont"/>
    <w:rsid w:val="00757AE9"/>
  </w:style>
  <w:style w:type="character" w:styleId="Strong">
    <w:name w:val="Strong"/>
    <w:basedOn w:val="DefaultParagraphFont"/>
    <w:uiPriority w:val="22"/>
    <w:qFormat/>
    <w:rsid w:val="00757AE9"/>
    <w:rPr>
      <w:b/>
      <w:bCs/>
    </w:rPr>
  </w:style>
  <w:style w:type="character" w:styleId="Mention">
    <w:name w:val="Mention"/>
    <w:basedOn w:val="DefaultParagraphFont"/>
    <w:uiPriority w:val="99"/>
    <w:unhideWhenUsed/>
    <w:rsid w:val="00757AE9"/>
    <w:rPr>
      <w:color w:val="2B579A"/>
      <w:shd w:val="clear" w:color="auto" w:fill="E1DFDD"/>
    </w:rPr>
  </w:style>
  <w:style w:type="character" w:customStyle="1" w:styleId="Heading1Char">
    <w:name w:val="Heading 1 Char"/>
    <w:basedOn w:val="DefaultParagraphFont"/>
    <w:link w:val="Heading1"/>
    <w:uiPriority w:val="1"/>
    <w:rsid w:val="00C037F9"/>
    <w:rPr>
      <w:rFonts w:ascii="Calibri" w:hAnsi="Calibri" w:cs="Arial"/>
      <w:b/>
      <w:caps/>
      <w:sz w:val="32"/>
      <w:szCs w:val="24"/>
    </w:rPr>
  </w:style>
  <w:style w:type="paragraph" w:customStyle="1" w:styleId="3-SubsectionHeading">
    <w:name w:val="3-Subsection Heading"/>
    <w:basedOn w:val="Heading2"/>
    <w:next w:val="Normal"/>
    <w:link w:val="3-SubsectionHeadingChar"/>
    <w:qFormat/>
    <w:rsid w:val="00D27213"/>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D27213"/>
    <w:rPr>
      <w:rFonts w:asciiTheme="minorHAnsi" w:eastAsiaTheme="majorEastAsia" w:hAnsiTheme="minorHAnsi" w:cstheme="majorBidi"/>
      <w:b/>
      <w:i/>
      <w:snapToGrid/>
      <w:spacing w:val="5"/>
      <w:kern w:val="28"/>
      <w:sz w:val="28"/>
      <w:szCs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4764">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9511893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63023537">
      <w:bodyDiv w:val="1"/>
      <w:marLeft w:val="0"/>
      <w:marRight w:val="0"/>
      <w:marTop w:val="0"/>
      <w:marBottom w:val="0"/>
      <w:divBdr>
        <w:top w:val="none" w:sz="0" w:space="0" w:color="auto"/>
        <w:left w:val="none" w:sz="0" w:space="0" w:color="auto"/>
        <w:bottom w:val="none" w:sz="0" w:space="0" w:color="auto"/>
        <w:right w:val="none" w:sz="0" w:space="0" w:color="auto"/>
      </w:divBdr>
    </w:div>
    <w:div w:id="429397661">
      <w:bodyDiv w:val="1"/>
      <w:marLeft w:val="0"/>
      <w:marRight w:val="0"/>
      <w:marTop w:val="0"/>
      <w:marBottom w:val="0"/>
      <w:divBdr>
        <w:top w:val="none" w:sz="0" w:space="0" w:color="auto"/>
        <w:left w:val="none" w:sz="0" w:space="0" w:color="auto"/>
        <w:bottom w:val="none" w:sz="0" w:space="0" w:color="auto"/>
        <w:right w:val="none" w:sz="0" w:space="0" w:color="auto"/>
      </w:divBdr>
    </w:div>
    <w:div w:id="620765344">
      <w:bodyDiv w:val="1"/>
      <w:marLeft w:val="0"/>
      <w:marRight w:val="0"/>
      <w:marTop w:val="0"/>
      <w:marBottom w:val="0"/>
      <w:divBdr>
        <w:top w:val="none" w:sz="0" w:space="0" w:color="auto"/>
        <w:left w:val="none" w:sz="0" w:space="0" w:color="auto"/>
        <w:bottom w:val="none" w:sz="0" w:space="0" w:color="auto"/>
        <w:right w:val="none" w:sz="0" w:space="0" w:color="auto"/>
      </w:divBdr>
    </w:div>
    <w:div w:id="666250777">
      <w:bodyDiv w:val="1"/>
      <w:marLeft w:val="0"/>
      <w:marRight w:val="0"/>
      <w:marTop w:val="0"/>
      <w:marBottom w:val="0"/>
      <w:divBdr>
        <w:top w:val="none" w:sz="0" w:space="0" w:color="auto"/>
        <w:left w:val="none" w:sz="0" w:space="0" w:color="auto"/>
        <w:bottom w:val="none" w:sz="0" w:space="0" w:color="auto"/>
        <w:right w:val="none" w:sz="0" w:space="0" w:color="auto"/>
      </w:divBdr>
    </w:div>
    <w:div w:id="731344080">
      <w:bodyDiv w:val="1"/>
      <w:marLeft w:val="0"/>
      <w:marRight w:val="0"/>
      <w:marTop w:val="0"/>
      <w:marBottom w:val="0"/>
      <w:divBdr>
        <w:top w:val="none" w:sz="0" w:space="0" w:color="auto"/>
        <w:left w:val="none" w:sz="0" w:space="0" w:color="auto"/>
        <w:bottom w:val="none" w:sz="0" w:space="0" w:color="auto"/>
        <w:right w:val="none" w:sz="0" w:space="0" w:color="auto"/>
      </w:divBdr>
    </w:div>
    <w:div w:id="774981651">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76378467">
      <w:bodyDiv w:val="1"/>
      <w:marLeft w:val="0"/>
      <w:marRight w:val="0"/>
      <w:marTop w:val="0"/>
      <w:marBottom w:val="0"/>
      <w:divBdr>
        <w:top w:val="none" w:sz="0" w:space="0" w:color="auto"/>
        <w:left w:val="none" w:sz="0" w:space="0" w:color="auto"/>
        <w:bottom w:val="none" w:sz="0" w:space="0" w:color="auto"/>
        <w:right w:val="none" w:sz="0" w:space="0" w:color="auto"/>
      </w:divBdr>
      <w:divsChild>
        <w:div w:id="1806580118">
          <w:marLeft w:val="360"/>
          <w:marRight w:val="0"/>
          <w:marTop w:val="200"/>
          <w:marBottom w:val="0"/>
          <w:divBdr>
            <w:top w:val="none" w:sz="0" w:space="0" w:color="auto"/>
            <w:left w:val="none" w:sz="0" w:space="0" w:color="auto"/>
            <w:bottom w:val="none" w:sz="0" w:space="0" w:color="auto"/>
            <w:right w:val="none" w:sz="0" w:space="0" w:color="auto"/>
          </w:divBdr>
        </w:div>
      </w:divsChild>
    </w:div>
    <w:div w:id="1085342172">
      <w:bodyDiv w:val="1"/>
      <w:marLeft w:val="0"/>
      <w:marRight w:val="0"/>
      <w:marTop w:val="0"/>
      <w:marBottom w:val="0"/>
      <w:divBdr>
        <w:top w:val="none" w:sz="0" w:space="0" w:color="auto"/>
        <w:left w:val="none" w:sz="0" w:space="0" w:color="auto"/>
        <w:bottom w:val="none" w:sz="0" w:space="0" w:color="auto"/>
        <w:right w:val="none" w:sz="0" w:space="0" w:color="auto"/>
      </w:divBdr>
    </w:div>
    <w:div w:id="1148786832">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85436702">
      <w:bodyDiv w:val="1"/>
      <w:marLeft w:val="0"/>
      <w:marRight w:val="0"/>
      <w:marTop w:val="0"/>
      <w:marBottom w:val="0"/>
      <w:divBdr>
        <w:top w:val="none" w:sz="0" w:space="0" w:color="auto"/>
        <w:left w:val="none" w:sz="0" w:space="0" w:color="auto"/>
        <w:bottom w:val="none" w:sz="0" w:space="0" w:color="auto"/>
        <w:right w:val="none" w:sz="0" w:space="0" w:color="auto"/>
      </w:divBdr>
    </w:div>
    <w:div w:id="1227031911">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89330169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9100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health.wa.gov.au/Articles/F_I/Falls-prevention-and-management-in-WA/Research-and-education-in-falls/Risk-factors-for-falls" TargetMode="External"/><Relationship Id="rId3" Type="http://schemas.openxmlformats.org/officeDocument/2006/relationships/hyperlink" Target="https://www.osteoporosis.foundation/facts-statistics/epidemiology-of-osteoporosis-and-fragility-fractures" TargetMode="External"/><Relationship Id="rId7" Type="http://schemas.openxmlformats.org/officeDocument/2006/relationships/hyperlink" Target="https://www.racgp.org.au/clinical-resources/clinical-guidelines/key-racgp-guidelines/view-all-racgp-guidelines/osteoporosis/risk-factors/assessment-of-absolute-fracture-risk" TargetMode="External"/><Relationship Id="rId2" Type="http://schemas.openxmlformats.org/officeDocument/2006/relationships/hyperlink" Target="https://www.aihw.gov.au/reports/chronic-musculoskeletal-conditions/osteoporosis" TargetMode="External"/><Relationship Id="rId1" Type="http://schemas.openxmlformats.org/officeDocument/2006/relationships/hyperlink" Target="https://www.ncbi.nlm.nih.gov/books/NBK559156/" TargetMode="External"/><Relationship Id="rId6" Type="http://schemas.openxmlformats.org/officeDocument/2006/relationships/hyperlink" Target="https://www.garvan.org.au/research/bone-fracture-risk-calculator" TargetMode="External"/><Relationship Id="rId5" Type="http://schemas.openxmlformats.org/officeDocument/2006/relationships/hyperlink" Target="https://fraxplus.org/" TargetMode="External"/><Relationship Id="rId4" Type="http://schemas.openxmlformats.org/officeDocument/2006/relationships/hyperlink" Target="https://www.uptodate.com/contents/clinical-manifestations-diagnosis-and-evaluation-of-osteoporosis-in-postmenopausal-women?sectionName=DIAGNOSIS&amp;topicRef=%20145467&amp;%20anchor=%20H6&amp;source=bq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e51428b0228e67eced309ab2eb588d06">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38a8809e295465d0786272f204bf628"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D0A682-A12F-4BF5-989E-72B0EE3B5910}">
  <ds:schemaRefs>
    <ds:schemaRef ds:uri="http://schemas.microsoft.com/sharepoint/v3/contenttype/forms"/>
  </ds:schemaRefs>
</ds:datastoreItem>
</file>

<file path=customXml/itemProps2.xml><?xml version="1.0" encoding="utf-8"?>
<ds:datastoreItem xmlns:ds="http://schemas.openxmlformats.org/officeDocument/2006/customXml" ds:itemID="{53570C3B-D7D1-4B15-9A8C-7FA9B750F4E5}">
  <ds:schemaRefs>
    <ds:schemaRef ds:uri="http://purl.org/dc/elements/1.1/"/>
    <ds:schemaRef ds:uri="http://schemas.openxmlformats.org/package/2006/metadata/core-properties"/>
    <ds:schemaRef ds:uri="72f95629-adac-4ec1-8738-e1cec852b92b"/>
    <ds:schemaRef ds:uri="http://purl.org/dc/dcmitype/"/>
    <ds:schemaRef ds:uri="http://schemas.microsoft.com/office/2006/documentManagement/types"/>
    <ds:schemaRef ds:uri="7f856f8d-13b3-495a-9a4b-41f8182eda4c"/>
    <ds:schemaRef ds:uri="http://purl.org/dc/terms/"/>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4.xml><?xml version="1.0" encoding="utf-8"?>
<ds:datastoreItem xmlns:ds="http://schemas.openxmlformats.org/officeDocument/2006/customXml" ds:itemID="{BD52E18F-B7A5-4463-A588-D2EBB2987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18732</Words>
  <Characters>107529</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126009</CharactersWithSpaces>
  <SharedDoc>false</SharedDoc>
  <HLinks>
    <vt:vector size="48" baseType="variant">
      <vt:variant>
        <vt:i4>4522089</vt:i4>
      </vt:variant>
      <vt:variant>
        <vt:i4>21</vt:i4>
      </vt:variant>
      <vt:variant>
        <vt:i4>0</vt:i4>
      </vt:variant>
      <vt:variant>
        <vt:i4>5</vt:i4>
      </vt:variant>
      <vt:variant>
        <vt:lpwstr>https://www.health.wa.gov.au/Articles/F_I/Falls-prevention-and-management-in-WA/Research-and-education-in-falls/Risk-factors-for-falls</vt:lpwstr>
      </vt:variant>
      <vt:variant>
        <vt:lpwstr/>
      </vt:variant>
      <vt:variant>
        <vt:i4>65630</vt:i4>
      </vt:variant>
      <vt:variant>
        <vt:i4>18</vt:i4>
      </vt:variant>
      <vt:variant>
        <vt:i4>0</vt:i4>
      </vt:variant>
      <vt:variant>
        <vt:i4>5</vt:i4>
      </vt:variant>
      <vt:variant>
        <vt:lpwstr>https://www.racgp.org.au/clinical-resources/clinical-guidelines/key-racgp-guidelines/view-all-racgp-guidelines/osteoporosis/risk-factors/assessment-of-absolute-fracture-risk</vt:lpwstr>
      </vt:variant>
      <vt:variant>
        <vt:lpwstr/>
      </vt:variant>
      <vt:variant>
        <vt:i4>589903</vt:i4>
      </vt:variant>
      <vt:variant>
        <vt:i4>15</vt:i4>
      </vt:variant>
      <vt:variant>
        <vt:i4>0</vt:i4>
      </vt:variant>
      <vt:variant>
        <vt:i4>5</vt:i4>
      </vt:variant>
      <vt:variant>
        <vt:lpwstr>https://www.garvan.org.au/research/bone-fracture-risk-calculator</vt:lpwstr>
      </vt:variant>
      <vt:variant>
        <vt:lpwstr/>
      </vt:variant>
      <vt:variant>
        <vt:i4>786462</vt:i4>
      </vt:variant>
      <vt:variant>
        <vt:i4>12</vt:i4>
      </vt:variant>
      <vt:variant>
        <vt:i4>0</vt:i4>
      </vt:variant>
      <vt:variant>
        <vt:i4>5</vt:i4>
      </vt:variant>
      <vt:variant>
        <vt:lpwstr>https://fraxplus.org/</vt:lpwstr>
      </vt:variant>
      <vt:variant>
        <vt:lpwstr/>
      </vt:variant>
      <vt:variant>
        <vt:i4>917591</vt:i4>
      </vt:variant>
      <vt:variant>
        <vt:i4>9</vt:i4>
      </vt:variant>
      <vt:variant>
        <vt:i4>0</vt:i4>
      </vt:variant>
      <vt:variant>
        <vt:i4>5</vt:i4>
      </vt:variant>
      <vt:variant>
        <vt:lpwstr>https://www.uptodate.com/contents/clinical-manifestations-diagnosis-and-evaluation-of-osteoporosis-in-postmenopausal-women?sectionName=DIAGNOSIS&amp;topicRef=%20145467&amp;%20anchor=%20H6&amp;source=bqp</vt:lpwstr>
      </vt:variant>
      <vt:variant>
        <vt:lpwstr>H6</vt:lpwstr>
      </vt:variant>
      <vt:variant>
        <vt:i4>2228287</vt:i4>
      </vt:variant>
      <vt:variant>
        <vt:i4>6</vt:i4>
      </vt:variant>
      <vt:variant>
        <vt:i4>0</vt:i4>
      </vt:variant>
      <vt:variant>
        <vt:i4>5</vt:i4>
      </vt:variant>
      <vt:variant>
        <vt:lpwstr>https://www.osteoporosis.foundation/facts-statistics/epidemiology-of-osteoporosis-and-fragility-fractures</vt:lpwstr>
      </vt:variant>
      <vt:variant>
        <vt:lpwstr>ref_bottom_2</vt:lpwstr>
      </vt:variant>
      <vt:variant>
        <vt:i4>2097276</vt:i4>
      </vt:variant>
      <vt:variant>
        <vt:i4>3</vt:i4>
      </vt:variant>
      <vt:variant>
        <vt:i4>0</vt:i4>
      </vt:variant>
      <vt:variant>
        <vt:i4>5</vt:i4>
      </vt:variant>
      <vt:variant>
        <vt:lpwstr>https://www.aihw.gov.au/reports/chronic-musculoskeletal-conditions/osteoporosis</vt:lpwstr>
      </vt:variant>
      <vt:variant>
        <vt:lpwstr/>
      </vt:variant>
      <vt:variant>
        <vt:i4>2031703</vt:i4>
      </vt:variant>
      <vt:variant>
        <vt:i4>0</vt:i4>
      </vt:variant>
      <vt:variant>
        <vt:i4>0</vt:i4>
      </vt:variant>
      <vt:variant>
        <vt:i4>5</vt:i4>
      </vt:variant>
      <vt:variant>
        <vt:lpwstr>https://www.ncbi.nlm.nih.gov/books/NBK559156/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2025-10-27T04:38:00Z</dcterms:created>
  <dcterms:modified xsi:type="dcterms:W3CDTF">2025-10-30T04:14:00Z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3e5dc0ba,1cecfb27,5cb33a6e</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38ea67fa,1ae87d64,104351ee</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2025-10-16T04:53:59Z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4f9c94b0-bf11-4851-8830-71fb0ccf5ce4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Order">
    <vt:r8>52580800</vt:r8>
  </property>
  <property fmtid="{D5CDD505-2E9C-101B-9397-08002B2CF9AE}" pid="17" name="MediaServiceImageTags">
    <vt:lpwstr/>
  </property>
  <property fmtid="{D5CDD505-2E9C-101B-9397-08002B2CF9AE}" pid="18" name="xd_ProgID">
    <vt:lpwstr/>
  </property>
  <property fmtid="{D5CDD505-2E9C-101B-9397-08002B2CF9AE}" pid="19" name="ContentTypeId">
    <vt:lpwstr>0x0101007FED174C5281F747A8037A05221D6DBD</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docLang">
    <vt:lpwstr>en</vt:lpwstr>
  </property>
  <property fmtid="{D5CDD505-2E9C-101B-9397-08002B2CF9AE}" pid="25" name="xd_Signature">
    <vt:bool>false</vt:bool>
  </property>
</Properties>
</file>