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2AE55AFE" w:rsidR="00B60939" w:rsidRPr="001310AD" w:rsidRDefault="00265350" w:rsidP="00B24F00">
      <w:pPr>
        <w:pStyle w:val="1-MainHeading"/>
      </w:pPr>
      <w:bookmarkStart w:id="0" w:name="_Toc198731688"/>
      <w:r w:rsidRPr="001310AD">
        <w:t>7</w:t>
      </w:r>
      <w:r w:rsidR="00433044" w:rsidRPr="001310AD">
        <w:t>.</w:t>
      </w:r>
      <w:r w:rsidRPr="001310AD">
        <w:t>03</w:t>
      </w:r>
      <w:r w:rsidR="00163F66" w:rsidRPr="001310AD">
        <w:tab/>
      </w:r>
      <w:r w:rsidR="00B24F00" w:rsidRPr="001310AD">
        <w:t>RESPIRATORY SYNCYTIAL VIRUS VACCINE</w:t>
      </w:r>
      <w:r w:rsidR="00163F66" w:rsidRPr="001310AD">
        <w:t>,</w:t>
      </w:r>
      <w:r w:rsidR="00163F66" w:rsidRPr="001310AD">
        <w:br/>
      </w:r>
      <w:r w:rsidR="00B24F00" w:rsidRPr="001310AD">
        <w:t>Powder and suspension for injection (0.5 mL)</w:t>
      </w:r>
      <w:r w:rsidR="00163F66" w:rsidRPr="001310AD">
        <w:t>,</w:t>
      </w:r>
      <w:r w:rsidR="00163F66" w:rsidRPr="001310AD">
        <w:br/>
      </w:r>
      <w:r w:rsidR="00B24F00" w:rsidRPr="001310AD">
        <w:t>Arexvy®</w:t>
      </w:r>
      <w:r w:rsidR="004A6040" w:rsidRPr="001310AD">
        <w:t>,</w:t>
      </w:r>
      <w:r w:rsidR="004A6040" w:rsidRPr="001310AD">
        <w:br/>
      </w:r>
      <w:r w:rsidR="00B24F00" w:rsidRPr="001310AD">
        <w:t>GLAXOSMITHKLINE AUSTRALIA PTY LTD</w:t>
      </w:r>
      <w:r w:rsidR="00B60939" w:rsidRPr="001310AD">
        <w:t>.</w:t>
      </w:r>
      <w:bookmarkEnd w:id="0"/>
    </w:p>
    <w:p w14:paraId="11C00795" w14:textId="3DFB6D23" w:rsidR="00B50DB8" w:rsidRPr="001310AD" w:rsidRDefault="00B50DB8" w:rsidP="004A6040">
      <w:pPr>
        <w:pStyle w:val="2-SectionHeading"/>
      </w:pPr>
      <w:bookmarkStart w:id="1" w:name="_Toc198731690"/>
      <w:r w:rsidRPr="001310AD">
        <w:t xml:space="preserve">Purpose of </w:t>
      </w:r>
      <w:r w:rsidR="00CD7193" w:rsidRPr="001310AD">
        <w:t>s</w:t>
      </w:r>
      <w:r w:rsidR="00BB3A45" w:rsidRPr="001310AD">
        <w:t>ubmission</w:t>
      </w:r>
      <w:bookmarkEnd w:id="1"/>
    </w:p>
    <w:p w14:paraId="33A83CFD" w14:textId="2BDE8D26" w:rsidR="00CD3DE8" w:rsidRPr="001310AD" w:rsidRDefault="00E9700D" w:rsidP="00B95E80">
      <w:pPr>
        <w:pStyle w:val="3-BodyText"/>
      </w:pPr>
      <w:r w:rsidRPr="001310AD">
        <w:t xml:space="preserve">The </w:t>
      </w:r>
      <w:r w:rsidR="00DB17B1" w:rsidRPr="001310AD">
        <w:t>standard re-entry</w:t>
      </w:r>
      <w:r w:rsidRPr="001310AD">
        <w:t xml:space="preserve"> resubmission requested National Immunisation Program (NIP) listing of a recombinant respiratory syncytial virus (RSV) pre-fusion F protein 3 older adult (RSVPreF3 OA) vaccine for the prevention of RSV-confirmed lower respiratory tract disease (LRTD) among adults aged ≥</w:t>
      </w:r>
      <w:r w:rsidR="00CD3DE8" w:rsidRPr="001310AD">
        <w:t>75</w:t>
      </w:r>
      <w:r w:rsidRPr="001310AD">
        <w:t xml:space="preserve"> years of age (YOA) </w:t>
      </w:r>
      <w:r w:rsidR="00CD3DE8" w:rsidRPr="001310AD">
        <w:t xml:space="preserve">and </w:t>
      </w:r>
      <w:r w:rsidR="00D241E2" w:rsidRPr="001310AD">
        <w:t>Aboriginal</w:t>
      </w:r>
      <w:r w:rsidR="00CD3DE8" w:rsidRPr="001310AD">
        <w:t xml:space="preserve"> and Torres Strait Islander people aged 60-74. </w:t>
      </w:r>
    </w:p>
    <w:p w14:paraId="11E4BFAB" w14:textId="716AA0CA" w:rsidR="007640B5" w:rsidRPr="001310AD" w:rsidRDefault="003D1432" w:rsidP="00B95E80">
      <w:pPr>
        <w:pStyle w:val="3-BodyText"/>
      </w:pPr>
      <w:bookmarkStart w:id="2" w:name="_Ref197525903"/>
      <w:r w:rsidRPr="001310AD">
        <w:t>T</w:t>
      </w:r>
      <w:r w:rsidR="003F4C44" w:rsidRPr="001310AD">
        <w:t>he Australian Technical Advisory Group on Immunisation (</w:t>
      </w:r>
      <w:r w:rsidR="00390323" w:rsidRPr="001310AD">
        <w:t>ATAGI</w:t>
      </w:r>
      <w:r w:rsidR="003F4C44" w:rsidRPr="001310AD">
        <w:t>)</w:t>
      </w:r>
      <w:r w:rsidR="002938DF" w:rsidRPr="001310AD">
        <w:t xml:space="preserve"> </w:t>
      </w:r>
      <w:r w:rsidRPr="001310AD">
        <w:t>(</w:t>
      </w:r>
      <w:r w:rsidR="002938DF" w:rsidRPr="001310AD">
        <w:t xml:space="preserve">at the </w:t>
      </w:r>
      <w:r w:rsidRPr="001310AD">
        <w:t xml:space="preserve">PBAC’s </w:t>
      </w:r>
      <w:r w:rsidR="002938DF" w:rsidRPr="001310AD">
        <w:t>July 2024 consideration</w:t>
      </w:r>
      <w:r w:rsidR="00D87479" w:rsidRPr="001310AD">
        <w:t xml:space="preserve"> </w:t>
      </w:r>
      <w:r w:rsidRPr="001310AD">
        <w:t xml:space="preserve">of RSVPreF3 OA) </w:t>
      </w:r>
      <w:r w:rsidR="00D87479" w:rsidRPr="001310AD">
        <w:t>and the Australian Immunisation Handbook (AIH)</w:t>
      </w:r>
      <w:r w:rsidRPr="001310AD">
        <w:t xml:space="preserve"> have supported </w:t>
      </w:r>
      <w:r w:rsidR="00BF2F52" w:rsidRPr="001310AD">
        <w:t>use</w:t>
      </w:r>
      <w:r w:rsidRPr="001310AD">
        <w:t xml:space="preserve"> of RSVPreF3 OA in three populations</w:t>
      </w:r>
      <w:r w:rsidR="00390323" w:rsidRPr="001310AD">
        <w:t xml:space="preserve">: </w:t>
      </w:r>
      <w:r w:rsidR="00390323" w:rsidRPr="001310AD">
        <w:rPr>
          <w:snapToGrid w:val="0"/>
        </w:rPr>
        <w:t xml:space="preserve">patients aged 75 years and over; </w:t>
      </w:r>
      <w:r w:rsidR="00D87479" w:rsidRPr="001310AD">
        <w:rPr>
          <w:snapToGrid w:val="0"/>
        </w:rPr>
        <w:t>Aboriginal and Torres Strait Islander</w:t>
      </w:r>
      <w:r w:rsidR="00390323" w:rsidRPr="001310AD">
        <w:rPr>
          <w:snapToGrid w:val="0"/>
        </w:rPr>
        <w:t xml:space="preserve"> people aged 60 to 74 years; and people aged 60 to 74 years with </w:t>
      </w:r>
      <w:r w:rsidR="00390323" w:rsidRPr="001310AD">
        <w:t>conditions that increase their risk of severe disease due to RSV</w:t>
      </w:r>
      <w:r w:rsidR="00563240" w:rsidRPr="001310AD">
        <w:t xml:space="preserve"> (paragraph 7.1, </w:t>
      </w:r>
      <w:r w:rsidR="00517C71" w:rsidRPr="001310AD">
        <w:t>RSV</w:t>
      </w:r>
      <w:r w:rsidR="00154796" w:rsidRPr="001310AD">
        <w:t>PreF3 OA Public Summary Document [PSD], July 2024)</w:t>
      </w:r>
      <w:r w:rsidR="00390323" w:rsidRPr="001310AD">
        <w:t>.</w:t>
      </w:r>
      <w:r w:rsidR="00AF6E84" w:rsidRPr="001310AD">
        <w:t xml:space="preserve"> </w:t>
      </w:r>
      <w:r w:rsidRPr="001310AD">
        <w:t>However, t</w:t>
      </w:r>
      <w:r w:rsidR="00AF6E84" w:rsidRPr="001310AD">
        <w:t>he resubmission requested listing for the first two groups</w:t>
      </w:r>
      <w:r w:rsidR="009F63CE" w:rsidRPr="001310AD">
        <w:t xml:space="preserve"> only</w:t>
      </w:r>
      <w:r w:rsidR="00AF6E84" w:rsidRPr="001310AD">
        <w:t>, stat</w:t>
      </w:r>
      <w:r w:rsidR="00D87479" w:rsidRPr="001310AD">
        <w:t>ing</w:t>
      </w:r>
      <w:r w:rsidR="00AF6E84" w:rsidRPr="001310AD">
        <w:t xml:space="preserve"> that </w:t>
      </w:r>
      <w:r w:rsidR="00042791" w:rsidRPr="001310AD">
        <w:t>the third group would be addressed in a subsequent</w:t>
      </w:r>
      <w:r w:rsidR="00346EB4" w:rsidRPr="001310AD">
        <w:t xml:space="preserve"> </w:t>
      </w:r>
      <w:r w:rsidR="006D4182" w:rsidRPr="001310AD">
        <w:t>re</w:t>
      </w:r>
      <w:r w:rsidR="00346EB4" w:rsidRPr="001310AD">
        <w:t>submission</w:t>
      </w:r>
      <w:r w:rsidR="002329DB" w:rsidRPr="001310AD">
        <w:t xml:space="preserve">. </w:t>
      </w:r>
      <w:bookmarkEnd w:id="2"/>
    </w:p>
    <w:p w14:paraId="4E9FBCB5" w14:textId="7FA0E8DC" w:rsidR="00C2778B" w:rsidRPr="001310AD" w:rsidRDefault="005750C5" w:rsidP="00B95E80">
      <w:pPr>
        <w:pStyle w:val="3-BodyText"/>
      </w:pPr>
      <w:r w:rsidRPr="001310AD">
        <w:t>Listing was requested on the basis of a cost-</w:t>
      </w:r>
      <w:r w:rsidR="003A5E6D" w:rsidRPr="001310AD">
        <w:t>utility</w:t>
      </w:r>
      <w:r w:rsidRPr="001310AD">
        <w:t xml:space="preserve"> analysis</w:t>
      </w:r>
      <w:r w:rsidR="00096853" w:rsidRPr="001310AD">
        <w:t xml:space="preserve"> (CUA)</w:t>
      </w:r>
      <w:r w:rsidRPr="001310AD">
        <w:t xml:space="preserve"> versus </w:t>
      </w:r>
      <w:r w:rsidR="003A5E6D" w:rsidRPr="001310AD">
        <w:t>no vaccine</w:t>
      </w:r>
      <w:r w:rsidRPr="001310AD">
        <w:t xml:space="preserve">. </w:t>
      </w:r>
      <w:r w:rsidR="00BD5D9C" w:rsidRPr="001310AD">
        <w:t xml:space="preserve">The key components of the clinical issues addressed by the </w:t>
      </w:r>
      <w:r w:rsidR="00BA75D0" w:rsidRPr="001310AD">
        <w:t>re</w:t>
      </w:r>
      <w:r w:rsidR="00BD5D9C" w:rsidRPr="001310AD">
        <w:t>submission are presented in</w:t>
      </w:r>
      <w:r w:rsidR="0040504B" w:rsidRPr="001310AD">
        <w:t xml:space="preserve"> </w:t>
      </w:r>
      <w:r w:rsidR="00EC27B6" w:rsidRPr="001310AD">
        <w:fldChar w:fldCharType="begin"/>
      </w:r>
      <w:r w:rsidR="00EC27B6" w:rsidRPr="001310AD">
        <w:instrText xml:space="preserve"> REF _Ref196920499 \h </w:instrText>
      </w:r>
      <w:r w:rsidR="00EC27B6" w:rsidRPr="001310AD">
        <w:fldChar w:fldCharType="separate"/>
      </w:r>
      <w:r w:rsidR="00044091" w:rsidRPr="001310AD">
        <w:t>Table 1</w:t>
      </w:r>
      <w:r w:rsidR="00EC27B6" w:rsidRPr="001310AD">
        <w:fldChar w:fldCharType="end"/>
      </w:r>
      <w:r w:rsidR="00EC27B6" w:rsidRPr="001310AD">
        <w:t>.</w:t>
      </w:r>
    </w:p>
    <w:p w14:paraId="1FCC57BD" w14:textId="2EBFE759" w:rsidR="008B1C6D" w:rsidRPr="001310AD" w:rsidRDefault="002C135A" w:rsidP="00044091">
      <w:pPr>
        <w:pStyle w:val="Caption"/>
        <w:keepLines w:val="0"/>
        <w:jc w:val="left"/>
      </w:pPr>
      <w:bookmarkStart w:id="3" w:name="_Ref196920499"/>
      <w:bookmarkStart w:id="4" w:name="_Ref198141963"/>
      <w:r w:rsidRPr="001310AD">
        <w:lastRenderedPageBreak/>
        <w:t xml:space="preserve">Table </w:t>
      </w:r>
      <w:fldSimple w:instr=" SEQ Table \* ARABIC ">
        <w:r w:rsidR="001F75E0" w:rsidRPr="001310AD">
          <w:t>1</w:t>
        </w:r>
      </w:fldSimple>
      <w:bookmarkEnd w:id="3"/>
      <w:r w:rsidR="00551814" w:rsidRPr="001310AD">
        <w:t>:</w:t>
      </w:r>
      <w:r w:rsidR="008B1C6D" w:rsidRPr="001310AD">
        <w:t xml:space="preserve"> Key components of the clinical issue addressed by the resubmission</w:t>
      </w:r>
      <w:bookmarkEnd w:id="4"/>
      <w:r w:rsidR="001919D7" w:rsidRPr="001310A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
      </w:tblPr>
      <w:tblGrid>
        <w:gridCol w:w="1643"/>
        <w:gridCol w:w="7374"/>
      </w:tblGrid>
      <w:tr w:rsidR="008B1C6D" w:rsidRPr="001310AD" w14:paraId="05E77F96" w14:textId="77777777" w:rsidTr="00C61CBF">
        <w:tc>
          <w:tcPr>
            <w:tcW w:w="911" w:type="pct"/>
            <w:vAlign w:val="center"/>
          </w:tcPr>
          <w:p w14:paraId="7D4EAF5E" w14:textId="77777777" w:rsidR="008B1C6D" w:rsidRPr="001310AD" w:rsidRDefault="008B1C6D" w:rsidP="00044091">
            <w:pPr>
              <w:pStyle w:val="In-tableHeading"/>
              <w:keepLines w:val="0"/>
            </w:pPr>
            <w:r w:rsidRPr="001310AD">
              <w:t>Component</w:t>
            </w:r>
          </w:p>
        </w:tc>
        <w:tc>
          <w:tcPr>
            <w:tcW w:w="4089" w:type="pct"/>
            <w:vAlign w:val="center"/>
          </w:tcPr>
          <w:p w14:paraId="4EAAB4D0" w14:textId="77777777" w:rsidR="008B1C6D" w:rsidRPr="001310AD" w:rsidRDefault="008B1C6D" w:rsidP="00044091">
            <w:pPr>
              <w:pStyle w:val="In-tableHeading"/>
              <w:keepLines w:val="0"/>
            </w:pPr>
            <w:r w:rsidRPr="001310AD">
              <w:t>Description</w:t>
            </w:r>
          </w:p>
        </w:tc>
      </w:tr>
      <w:tr w:rsidR="008B1C6D" w:rsidRPr="001310AD" w14:paraId="4002D203" w14:textId="77777777" w:rsidTr="00C61CBF">
        <w:tc>
          <w:tcPr>
            <w:tcW w:w="911" w:type="pct"/>
          </w:tcPr>
          <w:p w14:paraId="1D163FD0" w14:textId="77777777" w:rsidR="008B1C6D" w:rsidRPr="001310AD" w:rsidRDefault="008B1C6D" w:rsidP="00044091">
            <w:pPr>
              <w:pStyle w:val="TableText0"/>
              <w:keepLines w:val="0"/>
            </w:pPr>
            <w:r w:rsidRPr="001310AD">
              <w:t>Target NIP Population</w:t>
            </w:r>
          </w:p>
        </w:tc>
        <w:tc>
          <w:tcPr>
            <w:tcW w:w="4089" w:type="pct"/>
          </w:tcPr>
          <w:p w14:paraId="799AC961" w14:textId="31C9F897" w:rsidR="008B1C6D" w:rsidRPr="001310AD" w:rsidRDefault="008B1C6D" w:rsidP="00044091">
            <w:pPr>
              <w:pStyle w:val="TableText0"/>
              <w:keepLines w:val="0"/>
              <w:shd w:val="clear" w:color="auto" w:fill="B8CCE4" w:themeFill="accent1" w:themeFillTint="66"/>
              <w:ind w:left="-334" w:right="-156" w:firstLine="334"/>
            </w:pPr>
            <w:r w:rsidRPr="001310AD">
              <w:t>Adults ≥75 YOA</w:t>
            </w:r>
          </w:p>
          <w:p w14:paraId="422C7EA2" w14:textId="77777777" w:rsidR="008B1C6D" w:rsidRPr="001310AD" w:rsidRDefault="008B1C6D" w:rsidP="00044091">
            <w:pPr>
              <w:pStyle w:val="TableText0"/>
              <w:keepLines w:val="0"/>
              <w:rPr>
                <w:vertAlign w:val="superscript"/>
              </w:rPr>
            </w:pPr>
            <w:r w:rsidRPr="001310AD">
              <w:t xml:space="preserve">Aboriginal and Torres Strait Islander adults 60-74 </w:t>
            </w:r>
            <w:proofErr w:type="spellStart"/>
            <w:r w:rsidRPr="001310AD">
              <w:t>YOA</w:t>
            </w:r>
            <w:r w:rsidRPr="001310AD">
              <w:rPr>
                <w:vertAlign w:val="superscript"/>
              </w:rPr>
              <w:t>a</w:t>
            </w:r>
            <w:proofErr w:type="spellEnd"/>
          </w:p>
        </w:tc>
      </w:tr>
      <w:tr w:rsidR="008B1C6D" w:rsidRPr="001310AD" w14:paraId="3C128D18" w14:textId="77777777" w:rsidTr="00C61CBF">
        <w:tc>
          <w:tcPr>
            <w:tcW w:w="911" w:type="pct"/>
          </w:tcPr>
          <w:p w14:paraId="473F89AB" w14:textId="77777777" w:rsidR="008B1C6D" w:rsidRPr="001310AD" w:rsidRDefault="008B1C6D" w:rsidP="00044091">
            <w:pPr>
              <w:pStyle w:val="TableText0"/>
              <w:keepLines w:val="0"/>
            </w:pPr>
            <w:r w:rsidRPr="001310AD">
              <w:t>Intervention</w:t>
            </w:r>
          </w:p>
        </w:tc>
        <w:tc>
          <w:tcPr>
            <w:tcW w:w="4089" w:type="pct"/>
            <w:shd w:val="clear" w:color="auto" w:fill="B8CCE4" w:themeFill="accent1" w:themeFillTint="66"/>
          </w:tcPr>
          <w:p w14:paraId="6B913105" w14:textId="2CF9EE63" w:rsidR="008B1C6D" w:rsidRPr="001310AD" w:rsidRDefault="008B1C6D" w:rsidP="00044091">
            <w:pPr>
              <w:pStyle w:val="TableText0"/>
              <w:keepLines w:val="0"/>
              <w:ind w:hanging="51"/>
            </w:pPr>
            <w:r w:rsidRPr="001310AD">
              <w:t>RSVPreF3 OA vaccine, single dose</w:t>
            </w:r>
          </w:p>
        </w:tc>
      </w:tr>
      <w:tr w:rsidR="008B1C6D" w:rsidRPr="001310AD" w14:paraId="43F74A39" w14:textId="77777777" w:rsidTr="00C61CBF">
        <w:tc>
          <w:tcPr>
            <w:tcW w:w="911" w:type="pct"/>
          </w:tcPr>
          <w:p w14:paraId="2EBBAA5C" w14:textId="77777777" w:rsidR="008B1C6D" w:rsidRPr="001310AD" w:rsidRDefault="008B1C6D" w:rsidP="00044091">
            <w:pPr>
              <w:pStyle w:val="TableText0"/>
              <w:keepLines w:val="0"/>
            </w:pPr>
            <w:r w:rsidRPr="001310AD">
              <w:t>Comparator</w:t>
            </w:r>
          </w:p>
        </w:tc>
        <w:tc>
          <w:tcPr>
            <w:tcW w:w="4089" w:type="pct"/>
          </w:tcPr>
          <w:p w14:paraId="708360B0" w14:textId="77777777" w:rsidR="008B1C6D" w:rsidRPr="001310AD" w:rsidRDefault="008B1C6D" w:rsidP="00044091">
            <w:pPr>
              <w:pStyle w:val="TableText0"/>
              <w:keepLines w:val="0"/>
              <w:shd w:val="clear" w:color="auto" w:fill="B8CCE4" w:themeFill="accent1" w:themeFillTint="66"/>
              <w:ind w:left="-192" w:right="-156" w:firstLine="192"/>
            </w:pPr>
            <w:r w:rsidRPr="001310AD">
              <w:t xml:space="preserve">Main comparator: no vaccine </w:t>
            </w:r>
          </w:p>
          <w:p w14:paraId="7B2134E6" w14:textId="0785C540" w:rsidR="008B1C6D" w:rsidRPr="001310AD" w:rsidRDefault="008B1C6D" w:rsidP="00044091">
            <w:pPr>
              <w:pStyle w:val="TableText0"/>
              <w:keepLines w:val="0"/>
            </w:pPr>
            <w:r w:rsidRPr="001310AD">
              <w:t xml:space="preserve">Near market </w:t>
            </w:r>
            <w:r w:rsidR="00516354" w:rsidRPr="001310AD">
              <w:t>comparator</w:t>
            </w:r>
            <w:r w:rsidRPr="001310AD">
              <w:t>: RSVpreF</w:t>
            </w:r>
          </w:p>
        </w:tc>
      </w:tr>
      <w:tr w:rsidR="008B1C6D" w:rsidRPr="001310AD" w14:paraId="6B79DB14" w14:textId="77777777" w:rsidTr="00C61CBF">
        <w:tc>
          <w:tcPr>
            <w:tcW w:w="911" w:type="pct"/>
          </w:tcPr>
          <w:p w14:paraId="00E7517D" w14:textId="77777777" w:rsidR="008B1C6D" w:rsidRPr="001310AD" w:rsidRDefault="008B1C6D" w:rsidP="00044091">
            <w:pPr>
              <w:pStyle w:val="TableText0"/>
              <w:keepLines w:val="0"/>
            </w:pPr>
            <w:r w:rsidRPr="001310AD">
              <w:t>Outcomes</w:t>
            </w:r>
          </w:p>
        </w:tc>
        <w:tc>
          <w:tcPr>
            <w:tcW w:w="4089" w:type="pct"/>
          </w:tcPr>
          <w:p w14:paraId="452DE7A6" w14:textId="6AD53821" w:rsidR="008B1C6D" w:rsidRPr="001310AD" w:rsidRDefault="008B1C6D" w:rsidP="00044091">
            <w:pPr>
              <w:pStyle w:val="TableText0"/>
              <w:keepLines w:val="0"/>
              <w:shd w:val="clear" w:color="auto" w:fill="B8CCE4" w:themeFill="accent1" w:themeFillTint="66"/>
              <w:ind w:left="-192" w:right="-156" w:firstLine="192"/>
            </w:pPr>
            <w:r w:rsidRPr="001310AD">
              <w:t xml:space="preserve">Primary efficacy: single dose during first season – prevention of RSV-confirmed LRTD </w:t>
            </w:r>
          </w:p>
          <w:p w14:paraId="0D1CB0D6" w14:textId="1C76D29F" w:rsidR="008B1C6D" w:rsidRPr="001310AD" w:rsidRDefault="008B1C6D" w:rsidP="00044091">
            <w:pPr>
              <w:pStyle w:val="TableText0"/>
              <w:keepLines w:val="0"/>
            </w:pPr>
            <w:r w:rsidRPr="001310AD">
              <w:t>Secondary efficacy: cumulative efficacy of a single dose over 3 RSV seasons - prevention of RSV-confirmed LRTD</w:t>
            </w:r>
          </w:p>
          <w:p w14:paraId="20B8C568" w14:textId="034616AD" w:rsidR="008B1C6D" w:rsidRPr="001310AD" w:rsidRDefault="008B1C6D" w:rsidP="00044091">
            <w:pPr>
              <w:pStyle w:val="TableText0"/>
              <w:keepLines w:val="0"/>
              <w:shd w:val="clear" w:color="auto" w:fill="B8CCE4" w:themeFill="accent1" w:themeFillTint="66"/>
              <w:ind w:left="-192" w:right="-156" w:firstLine="192"/>
            </w:pPr>
            <w:r w:rsidRPr="00044091">
              <w:t xml:space="preserve">Secondary safety: solicited (subset) and unsolicited AEs, </w:t>
            </w:r>
            <w:r w:rsidR="00EB41FF" w:rsidRPr="00044091">
              <w:t>a</w:t>
            </w:r>
            <w:r w:rsidRPr="00044091">
              <w:t>ll SAEs and pIMDs</w:t>
            </w:r>
          </w:p>
        </w:tc>
      </w:tr>
      <w:tr w:rsidR="001919D7" w:rsidRPr="001310AD" w14:paraId="42C260FE" w14:textId="77777777" w:rsidTr="00C61CBF">
        <w:tc>
          <w:tcPr>
            <w:tcW w:w="911" w:type="pct"/>
            <w:vMerge w:val="restart"/>
          </w:tcPr>
          <w:p w14:paraId="3CD6863A" w14:textId="77777777" w:rsidR="001919D7" w:rsidRPr="001310AD" w:rsidRDefault="001919D7" w:rsidP="00044091">
            <w:pPr>
              <w:pStyle w:val="TableText0"/>
              <w:keepLines w:val="0"/>
            </w:pPr>
            <w:r w:rsidRPr="001310AD">
              <w:t>Clinical claim</w:t>
            </w:r>
          </w:p>
        </w:tc>
        <w:tc>
          <w:tcPr>
            <w:tcW w:w="4089" w:type="pct"/>
            <w:tcBorders>
              <w:bottom w:val="nil"/>
            </w:tcBorders>
            <w:shd w:val="clear" w:color="auto" w:fill="B8CCE4" w:themeFill="accent1" w:themeFillTint="66"/>
          </w:tcPr>
          <w:p w14:paraId="0CE83192" w14:textId="77777777" w:rsidR="001919D7" w:rsidRPr="001310AD" w:rsidRDefault="001919D7" w:rsidP="00044091">
            <w:pPr>
              <w:pStyle w:val="TableText0"/>
              <w:keepLines w:val="0"/>
            </w:pPr>
            <w:r w:rsidRPr="001310AD">
              <w:t>RSVPreF3 OA vs no vaccine (direct comparison): superior efficacy and a similar safety profile, despite being more reactogenic than placebo. </w:t>
            </w:r>
          </w:p>
        </w:tc>
      </w:tr>
      <w:tr w:rsidR="001919D7" w:rsidRPr="001310AD" w14:paraId="32562E99" w14:textId="77777777" w:rsidTr="00C61CBF">
        <w:tc>
          <w:tcPr>
            <w:tcW w:w="911" w:type="pct"/>
            <w:vMerge/>
          </w:tcPr>
          <w:p w14:paraId="12C320E8" w14:textId="77777777" w:rsidR="001919D7" w:rsidRPr="001310AD" w:rsidRDefault="001919D7" w:rsidP="00044091">
            <w:pPr>
              <w:pStyle w:val="TableText0"/>
              <w:keepLines w:val="0"/>
            </w:pPr>
          </w:p>
        </w:tc>
        <w:tc>
          <w:tcPr>
            <w:tcW w:w="4089" w:type="pct"/>
            <w:tcBorders>
              <w:top w:val="nil"/>
            </w:tcBorders>
          </w:tcPr>
          <w:p w14:paraId="7922E5AE" w14:textId="77777777" w:rsidR="00386638" w:rsidRPr="001310AD" w:rsidRDefault="00386638" w:rsidP="00044091">
            <w:pPr>
              <w:pStyle w:val="TableText0"/>
              <w:keepLines w:val="0"/>
            </w:pPr>
            <w:r w:rsidRPr="001310AD">
              <w:t xml:space="preserve">RSVPreF3 OA versus </w:t>
            </w:r>
            <w:r w:rsidR="001919D7" w:rsidRPr="001310AD">
              <w:t>RSV</w:t>
            </w:r>
            <w:r w:rsidRPr="001310AD">
              <w:t>P</w:t>
            </w:r>
            <w:r w:rsidR="001919D7" w:rsidRPr="001310AD">
              <w:t xml:space="preserve">reF: </w:t>
            </w:r>
          </w:p>
          <w:p w14:paraId="015BF742" w14:textId="77777777" w:rsidR="00386638" w:rsidRPr="001310AD" w:rsidRDefault="00386638">
            <w:pPr>
              <w:pStyle w:val="TableText0"/>
              <w:keepLines w:val="0"/>
              <w:numPr>
                <w:ilvl w:val="0"/>
                <w:numId w:val="15"/>
              </w:numPr>
              <w:ind w:left="351" w:hanging="284"/>
            </w:pPr>
            <w:r w:rsidRPr="001310AD">
              <w:t xml:space="preserve">RSVPreF3 OA </w:t>
            </w:r>
            <w:r w:rsidR="001919D7" w:rsidRPr="001310AD">
              <w:t>has demonstrated durable and clinically meaningful efficacy over 3 complete RSV seasons</w:t>
            </w:r>
            <w:r w:rsidRPr="001310AD">
              <w:t xml:space="preserve">; </w:t>
            </w:r>
          </w:p>
          <w:p w14:paraId="4965E334" w14:textId="77777777" w:rsidR="00386638" w:rsidRPr="001310AD" w:rsidRDefault="001919D7">
            <w:pPr>
              <w:pStyle w:val="TableText0"/>
              <w:keepLines w:val="0"/>
              <w:numPr>
                <w:ilvl w:val="0"/>
                <w:numId w:val="15"/>
              </w:numPr>
              <w:ind w:left="351" w:hanging="284"/>
            </w:pPr>
            <w:r w:rsidRPr="001310AD">
              <w:t>RSVpreF has demonstrated durable and clinically meaningful efficacy over 2 complete RSV seasons</w:t>
            </w:r>
            <w:r w:rsidR="00386638" w:rsidRPr="001310AD">
              <w:t xml:space="preserve">; </w:t>
            </w:r>
          </w:p>
          <w:p w14:paraId="62D22159" w14:textId="336F92D6" w:rsidR="001919D7" w:rsidRPr="001310AD" w:rsidRDefault="00386638">
            <w:pPr>
              <w:pStyle w:val="TableText0"/>
              <w:keepLines w:val="0"/>
              <w:numPr>
                <w:ilvl w:val="0"/>
                <w:numId w:val="15"/>
              </w:numPr>
              <w:ind w:left="351" w:hanging="284"/>
              <w:rPr>
                <w:i/>
                <w:iCs/>
              </w:rPr>
            </w:pPr>
            <w:r w:rsidRPr="001310AD">
              <w:t>similar s</w:t>
            </w:r>
            <w:r w:rsidR="001919D7" w:rsidRPr="001310AD">
              <w:t>afety profile</w:t>
            </w:r>
            <w:r w:rsidR="00524DA2" w:rsidRPr="001310AD">
              <w:t>.</w:t>
            </w:r>
          </w:p>
        </w:tc>
      </w:tr>
    </w:tbl>
    <w:p w14:paraId="360FB788" w14:textId="77777777" w:rsidR="008B1C6D" w:rsidRPr="001310AD" w:rsidRDefault="008B1C6D" w:rsidP="00044091">
      <w:pPr>
        <w:pStyle w:val="TableFigureFooter"/>
        <w:keepNext/>
        <w:keepLines w:val="0"/>
        <w:rPr>
          <w:snapToGrid/>
        </w:rPr>
      </w:pPr>
      <w:r w:rsidRPr="001310AD">
        <w:rPr>
          <w:snapToGrid/>
        </w:rPr>
        <w:t xml:space="preserve">Source: </w:t>
      </w:r>
      <w:r w:rsidRPr="001310AD">
        <w:t xml:space="preserve">Table 1-3, p27 of the resubmission. </w:t>
      </w:r>
    </w:p>
    <w:p w14:paraId="1400AC48" w14:textId="365FEEF5" w:rsidR="008B1C6D" w:rsidRPr="001310AD" w:rsidRDefault="008B1C6D" w:rsidP="00044091">
      <w:pPr>
        <w:pStyle w:val="TableFigureFooter"/>
        <w:keepNext/>
        <w:keepLines w:val="0"/>
      </w:pPr>
      <w:r w:rsidRPr="001310AD">
        <w:rPr>
          <w:snapToGrid/>
        </w:rPr>
        <w:t>AE = adverse event; LRTD = lower respiratory tract disease; pIMD = potential immune mediated disorder; RSV = respiratory syncytial virus;</w:t>
      </w:r>
      <w:r w:rsidRPr="001310AD">
        <w:t xml:space="preserve"> </w:t>
      </w:r>
      <w:r w:rsidR="00885EDC" w:rsidRPr="001310AD">
        <w:t xml:space="preserve">RSVPreF = RSV </w:t>
      </w:r>
      <w:r w:rsidR="00483BE3" w:rsidRPr="001310AD">
        <w:t>p</w:t>
      </w:r>
      <w:r w:rsidR="00885EDC" w:rsidRPr="001310AD">
        <w:t xml:space="preserve">re-fusion protein; </w:t>
      </w:r>
      <w:r w:rsidRPr="001310AD">
        <w:t xml:space="preserve">RSVPreF3 OA= RSV </w:t>
      </w:r>
      <w:r w:rsidR="00483BE3" w:rsidRPr="001310AD">
        <w:t>pre</w:t>
      </w:r>
      <w:r w:rsidRPr="001310AD">
        <w:t>-fusion protein 3 older adult; SAE = serious adverse event; YOA = years of age. </w:t>
      </w:r>
    </w:p>
    <w:p w14:paraId="78DE11C1" w14:textId="7A7458A4" w:rsidR="008B1C6D" w:rsidRPr="001310AD" w:rsidRDefault="008B1C6D" w:rsidP="00044091">
      <w:pPr>
        <w:pStyle w:val="TableFigureFooter"/>
        <w:keepNext/>
        <w:keepLines w:val="0"/>
        <w:jc w:val="both"/>
      </w:pPr>
      <w:r w:rsidRPr="001310AD">
        <w:rPr>
          <w:vertAlign w:val="superscript"/>
        </w:rPr>
        <w:t xml:space="preserve">a </w:t>
      </w:r>
      <w:r w:rsidR="00954AAC" w:rsidRPr="001310AD">
        <w:t>Listing for use in the A</w:t>
      </w:r>
      <w:r w:rsidRPr="001310AD">
        <w:t>boriginal and Torres Strait Islander population was previously considered by the PBAC, but not explicitly requested (para</w:t>
      </w:r>
      <w:r w:rsidR="008F0C97" w:rsidRPr="001310AD">
        <w:t>graph</w:t>
      </w:r>
      <w:r w:rsidRPr="001310AD">
        <w:t xml:space="preserve"> 3.1, RSVPreF3 OA PSD, July 2024)</w:t>
      </w:r>
    </w:p>
    <w:p w14:paraId="1C0C8D22" w14:textId="77777777" w:rsidR="008B1C6D" w:rsidRPr="001310AD" w:rsidRDefault="008B1C6D" w:rsidP="00044091">
      <w:pPr>
        <w:pStyle w:val="FooterTableFigure"/>
        <w:keepNext/>
        <w:rPr>
          <w:szCs w:val="18"/>
        </w:rPr>
      </w:pPr>
      <w:r w:rsidRPr="001310AD">
        <w:rPr>
          <w:rStyle w:val="CommentReference"/>
          <w:b w:val="0"/>
          <w:sz w:val="18"/>
          <w:szCs w:val="18"/>
        </w:rPr>
        <w:t>Blue shading</w:t>
      </w:r>
      <w:r w:rsidRPr="001310AD">
        <w:rPr>
          <w:szCs w:val="18"/>
        </w:rPr>
        <w:t xml:space="preserve"> indicates data previously seen by the PBAC.</w:t>
      </w:r>
    </w:p>
    <w:p w14:paraId="6B4AB6C2" w14:textId="7F01D731" w:rsidR="005C25FF" w:rsidRPr="001310AD" w:rsidRDefault="005C25FF" w:rsidP="00AA19D5">
      <w:pPr>
        <w:pStyle w:val="2-SectionHeading"/>
        <w:keepLines/>
      </w:pPr>
      <w:bookmarkStart w:id="5" w:name="_Toc198731691"/>
      <w:r w:rsidRPr="001310AD">
        <w:t>Background</w:t>
      </w:r>
      <w:bookmarkEnd w:id="5"/>
    </w:p>
    <w:p w14:paraId="2C521D6D" w14:textId="78CF03EE" w:rsidR="005C25FF" w:rsidRPr="001310AD" w:rsidRDefault="005C25FF" w:rsidP="00AA19D5">
      <w:pPr>
        <w:pStyle w:val="4-SubsectionHeading"/>
        <w:keepLines/>
      </w:pPr>
      <w:bookmarkStart w:id="6" w:name="_Toc22897638"/>
      <w:bookmarkStart w:id="7" w:name="_Toc198731692"/>
      <w:r w:rsidRPr="001310AD">
        <w:t>Registration status</w:t>
      </w:r>
      <w:bookmarkEnd w:id="6"/>
      <w:bookmarkEnd w:id="7"/>
    </w:p>
    <w:p w14:paraId="3F7345AC" w14:textId="4F891AAD" w:rsidR="002207C1" w:rsidRPr="001310AD" w:rsidRDefault="00731361" w:rsidP="00BF6C37">
      <w:pPr>
        <w:pStyle w:val="3-BodyText"/>
        <w:keepNext/>
        <w:keepLines/>
      </w:pPr>
      <w:r w:rsidRPr="001310AD">
        <w:t xml:space="preserve">RSVPreF3 OA was approved by the </w:t>
      </w:r>
      <w:r w:rsidR="00861E3C" w:rsidRPr="001310AD">
        <w:t>Therapeutic Goods Administration (</w:t>
      </w:r>
      <w:r w:rsidRPr="001310AD">
        <w:t>TGA</w:t>
      </w:r>
      <w:r w:rsidR="00861E3C" w:rsidRPr="001310AD">
        <w:t>)</w:t>
      </w:r>
      <w:r w:rsidRPr="001310AD">
        <w:t xml:space="preserve"> on 14 January 2024 for the active immunisation of individuals 60 years and older for the prevention of LRTD caused by RSV. </w:t>
      </w:r>
      <w:r w:rsidR="00E75925" w:rsidRPr="001310AD">
        <w:t xml:space="preserve">From </w:t>
      </w:r>
      <w:r w:rsidR="007168DF" w:rsidRPr="001310AD">
        <w:t>31 March 2025,</w:t>
      </w:r>
      <w:r w:rsidR="000F5584" w:rsidRPr="001310AD">
        <w:t xml:space="preserve"> the TGA-registered indication was expanded to include</w:t>
      </w:r>
      <w:r w:rsidR="007168DF" w:rsidRPr="001310AD">
        <w:t xml:space="preserve"> </w:t>
      </w:r>
      <w:r w:rsidR="000F5584" w:rsidRPr="001310AD">
        <w:t>adult</w:t>
      </w:r>
      <w:r w:rsidR="007168DF" w:rsidRPr="001310AD">
        <w:t xml:space="preserve">s aged 50-59 who are at increased risk </w:t>
      </w:r>
      <w:r w:rsidR="005A48D8" w:rsidRPr="001310AD">
        <w:t>for</w:t>
      </w:r>
      <w:r w:rsidR="007168DF" w:rsidRPr="001310AD">
        <w:t xml:space="preserve"> RSV</w:t>
      </w:r>
      <w:r w:rsidR="005A48D8" w:rsidRPr="001310AD">
        <w:t xml:space="preserve"> disease</w:t>
      </w:r>
      <w:r w:rsidR="00427F2B" w:rsidRPr="001310AD">
        <w:t>.</w:t>
      </w:r>
    </w:p>
    <w:p w14:paraId="7D0B41F2" w14:textId="3392B6AF" w:rsidR="008B4455" w:rsidRPr="001310AD" w:rsidRDefault="00E34F33" w:rsidP="008B4455">
      <w:pPr>
        <w:pStyle w:val="3-BodyText"/>
      </w:pPr>
      <w:r w:rsidRPr="001310AD">
        <w:t xml:space="preserve">The </w:t>
      </w:r>
      <w:r w:rsidR="001F3533" w:rsidRPr="001310AD">
        <w:t>pre-PBAC</w:t>
      </w:r>
      <w:r w:rsidR="00ED0BF5" w:rsidRPr="001310AD">
        <w:t xml:space="preserve"> response</w:t>
      </w:r>
      <w:r w:rsidRPr="001310AD">
        <w:t xml:space="preserve"> stated</w:t>
      </w:r>
      <w:r w:rsidR="00ED0BF5" w:rsidRPr="001310AD">
        <w:t xml:space="preserve"> </w:t>
      </w:r>
      <w:r w:rsidRPr="001310AD">
        <w:t>that n</w:t>
      </w:r>
      <w:r w:rsidR="00207080" w:rsidRPr="001310AD">
        <w:t>o submissions have been made to the TGA requesting a decision on the timing of revaccination</w:t>
      </w:r>
      <w:r w:rsidR="00ED0BF5" w:rsidRPr="001310AD">
        <w:t xml:space="preserve"> and described the</w:t>
      </w:r>
      <w:r w:rsidR="006D0300" w:rsidRPr="001310AD">
        <w:t xml:space="preserve"> relevant</w:t>
      </w:r>
      <w:r w:rsidR="00ED0BF5" w:rsidRPr="001310AD">
        <w:t xml:space="preserve"> ongoing trials</w:t>
      </w:r>
      <w:r w:rsidR="00C4590C" w:rsidRPr="001310AD">
        <w:t xml:space="preserve"> with revaccination data</w:t>
      </w:r>
      <w:r w:rsidR="006D0300" w:rsidRPr="001310AD">
        <w:t xml:space="preserve"> (see paragraph </w:t>
      </w:r>
      <w:r w:rsidR="009452CE" w:rsidRPr="001310AD">
        <w:fldChar w:fldCharType="begin"/>
      </w:r>
      <w:r w:rsidR="009452CE" w:rsidRPr="001310AD">
        <w:instrText xml:space="preserve"> REF _Ref202885355 \r \h </w:instrText>
      </w:r>
      <w:r w:rsidR="009452CE" w:rsidRPr="001310AD">
        <w:fldChar w:fldCharType="separate"/>
      </w:r>
      <w:r w:rsidR="00A763D9">
        <w:t>3.3</w:t>
      </w:r>
      <w:r w:rsidR="009452CE" w:rsidRPr="001310AD">
        <w:fldChar w:fldCharType="end"/>
      </w:r>
      <w:r w:rsidR="006D0300" w:rsidRPr="001310AD">
        <w:t xml:space="preserve"> below)</w:t>
      </w:r>
      <w:r w:rsidR="00207080" w:rsidRPr="001310AD">
        <w:t>.</w:t>
      </w:r>
    </w:p>
    <w:p w14:paraId="3E2A6EAB" w14:textId="469C8C0C" w:rsidR="005C25FF" w:rsidRPr="001310AD" w:rsidRDefault="005C25FF" w:rsidP="004B3794">
      <w:pPr>
        <w:pStyle w:val="4-SubsectionHeading"/>
        <w:keepLines/>
      </w:pPr>
      <w:bookmarkStart w:id="8" w:name="_Toc22897639"/>
      <w:bookmarkStart w:id="9" w:name="_Toc198731693"/>
      <w:r w:rsidRPr="001310AD">
        <w:t>Previous PBAC consideration</w:t>
      </w:r>
      <w:bookmarkEnd w:id="8"/>
      <w:bookmarkEnd w:id="9"/>
    </w:p>
    <w:p w14:paraId="27105E2F" w14:textId="42035EAC" w:rsidR="00594C97" w:rsidRPr="001310AD" w:rsidRDefault="007832F4" w:rsidP="00594C97">
      <w:pPr>
        <w:pStyle w:val="3-BodyText"/>
      </w:pPr>
      <w:r w:rsidRPr="001310AD">
        <w:t xml:space="preserve">A </w:t>
      </w:r>
      <w:r w:rsidR="00EF19A2" w:rsidRPr="001310AD">
        <w:t>submission for</w:t>
      </w:r>
      <w:r w:rsidRPr="001310AD">
        <w:t xml:space="preserve"> RSVPreF3 OA was considered by the PBAC </w:t>
      </w:r>
      <w:r w:rsidR="002B049C" w:rsidRPr="001310AD">
        <w:t>in July 2024</w:t>
      </w:r>
      <w:r w:rsidR="00EF19A2" w:rsidRPr="001310AD">
        <w:t xml:space="preserve"> and not recommended</w:t>
      </w:r>
      <w:r w:rsidR="002B049C" w:rsidRPr="001310AD">
        <w:t xml:space="preserve">. </w:t>
      </w:r>
      <w:r w:rsidRPr="001310AD">
        <w:t>T</w:t>
      </w:r>
      <w:r w:rsidR="006A4A1C" w:rsidRPr="001310AD">
        <w:t xml:space="preserve">he key matters of concern </w:t>
      </w:r>
      <w:r w:rsidR="00594C97" w:rsidRPr="001310AD">
        <w:t>from the July 2024 submission</w:t>
      </w:r>
      <w:r w:rsidRPr="001310AD">
        <w:t xml:space="preserve"> are summarised in </w:t>
      </w:r>
      <w:r w:rsidRPr="001310AD">
        <w:fldChar w:fldCharType="begin"/>
      </w:r>
      <w:r w:rsidRPr="001310AD">
        <w:instrText xml:space="preserve"> REF _Ref196920590 \h </w:instrText>
      </w:r>
      <w:r w:rsidRPr="001310AD">
        <w:fldChar w:fldCharType="separate"/>
      </w:r>
      <w:r w:rsidR="001F75E0" w:rsidRPr="001310AD">
        <w:t>Table 2</w:t>
      </w:r>
      <w:r w:rsidRPr="001310AD">
        <w:fldChar w:fldCharType="end"/>
      </w:r>
      <w:r w:rsidR="00594C97" w:rsidRPr="001310AD">
        <w:t>.</w:t>
      </w:r>
    </w:p>
    <w:p w14:paraId="2A23A49F" w14:textId="27CA44E7" w:rsidR="005C25FF" w:rsidRPr="001310AD" w:rsidRDefault="00FF1ECA" w:rsidP="00FF1ECA">
      <w:pPr>
        <w:pStyle w:val="Caption"/>
        <w:jc w:val="left"/>
        <w:rPr>
          <w:rStyle w:val="CommentReference"/>
          <w:b/>
          <w:szCs w:val="24"/>
        </w:rPr>
      </w:pPr>
      <w:bookmarkStart w:id="10" w:name="_Ref196920590"/>
      <w:r w:rsidRPr="001310AD">
        <w:t xml:space="preserve">Table </w:t>
      </w:r>
      <w:fldSimple w:instr=" SEQ Table \* ARABIC ">
        <w:r w:rsidR="001F75E0" w:rsidRPr="001310AD">
          <w:t>2</w:t>
        </w:r>
      </w:fldSimple>
      <w:bookmarkEnd w:id="10"/>
      <w:r w:rsidR="00696EF9" w:rsidRPr="001310AD">
        <w:t>:</w:t>
      </w:r>
      <w:r w:rsidR="005C25FF" w:rsidRPr="001310AD">
        <w:rPr>
          <w:rStyle w:val="CommentReference"/>
          <w:b/>
          <w:szCs w:val="24"/>
        </w:rPr>
        <w:t xml:space="preserve"> Summary of key matters of concern</w:t>
      </w:r>
    </w:p>
    <w:tbl>
      <w:tblPr>
        <w:tblStyle w:val="TableGrid"/>
        <w:tblW w:w="5000" w:type="pct"/>
        <w:tblCellMar>
          <w:left w:w="28" w:type="dxa"/>
          <w:right w:w="28" w:type="dxa"/>
        </w:tblCellMar>
        <w:tblLook w:val="04A0" w:firstRow="1" w:lastRow="0" w:firstColumn="1" w:lastColumn="0" w:noHBand="0" w:noVBand="1"/>
        <w:tblCaption w:val="Table 2: Summary of key matters of concern"/>
      </w:tblPr>
      <w:tblGrid>
        <w:gridCol w:w="1251"/>
        <w:gridCol w:w="3122"/>
        <w:gridCol w:w="4644"/>
      </w:tblGrid>
      <w:tr w:rsidR="00CC64C8" w:rsidRPr="001310AD" w14:paraId="578A2ED3" w14:textId="77777777" w:rsidTr="000466C8">
        <w:trPr>
          <w:trHeight w:val="20"/>
          <w:tblHeader/>
        </w:trPr>
        <w:tc>
          <w:tcPr>
            <w:tcW w:w="536" w:type="pct"/>
          </w:tcPr>
          <w:p w14:paraId="5565F129" w14:textId="5FCF925E" w:rsidR="00CC64C8" w:rsidRPr="001310AD" w:rsidRDefault="008A3DF7" w:rsidP="00CC64C8">
            <w:pPr>
              <w:pStyle w:val="Tabletext"/>
              <w:rPr>
                <w:b/>
                <w:bCs/>
              </w:rPr>
            </w:pPr>
            <w:r w:rsidRPr="001310AD">
              <w:rPr>
                <w:b/>
                <w:bCs/>
              </w:rPr>
              <w:t>Component</w:t>
            </w:r>
          </w:p>
        </w:tc>
        <w:tc>
          <w:tcPr>
            <w:tcW w:w="1810" w:type="pct"/>
          </w:tcPr>
          <w:p w14:paraId="42E1A37C" w14:textId="084ED7DE" w:rsidR="00CC64C8" w:rsidRPr="001310AD" w:rsidRDefault="00795492" w:rsidP="00CC64C8">
            <w:pPr>
              <w:pStyle w:val="Tabletext"/>
              <w:rPr>
                <w:b/>
                <w:bCs/>
              </w:rPr>
            </w:pPr>
            <w:r w:rsidRPr="001310AD">
              <w:rPr>
                <w:b/>
                <w:bCs/>
              </w:rPr>
              <w:t>RSV</w:t>
            </w:r>
            <w:r w:rsidR="00720D17" w:rsidRPr="001310AD">
              <w:rPr>
                <w:b/>
                <w:bCs/>
              </w:rPr>
              <w:t>PreF</w:t>
            </w:r>
            <w:r w:rsidR="0074775A" w:rsidRPr="001310AD">
              <w:rPr>
                <w:b/>
                <w:bCs/>
              </w:rPr>
              <w:t>3</w:t>
            </w:r>
            <w:r w:rsidR="00720D17" w:rsidRPr="001310AD">
              <w:rPr>
                <w:b/>
                <w:bCs/>
              </w:rPr>
              <w:t xml:space="preserve"> OA</w:t>
            </w:r>
            <w:r w:rsidR="00CC64C8" w:rsidRPr="001310AD">
              <w:rPr>
                <w:b/>
                <w:bCs/>
              </w:rPr>
              <w:t xml:space="preserve"> PSD: July 2024</w:t>
            </w:r>
          </w:p>
        </w:tc>
        <w:tc>
          <w:tcPr>
            <w:tcW w:w="2654" w:type="pct"/>
            <w:vAlign w:val="center"/>
          </w:tcPr>
          <w:p w14:paraId="6549B3F8" w14:textId="6B5098DE" w:rsidR="00CC64C8" w:rsidRPr="001310AD" w:rsidRDefault="00CC64C8" w:rsidP="00CC64C8">
            <w:pPr>
              <w:pStyle w:val="Tabletext"/>
              <w:rPr>
                <w:b/>
                <w:bCs/>
              </w:rPr>
            </w:pPr>
            <w:r w:rsidRPr="001310AD">
              <w:rPr>
                <w:b/>
                <w:bCs/>
              </w:rPr>
              <w:t>How the resubmission addresse</w:t>
            </w:r>
            <w:r w:rsidR="00087901" w:rsidRPr="001310AD">
              <w:rPr>
                <w:b/>
                <w:bCs/>
              </w:rPr>
              <w:t>d</w:t>
            </w:r>
            <w:r w:rsidRPr="001310AD">
              <w:rPr>
                <w:b/>
                <w:bCs/>
              </w:rPr>
              <w:t xml:space="preserve"> it</w:t>
            </w:r>
          </w:p>
        </w:tc>
      </w:tr>
      <w:tr w:rsidR="00041B9E" w:rsidRPr="001310AD" w14:paraId="5CF8C873" w14:textId="77777777" w:rsidTr="000466C8">
        <w:trPr>
          <w:trHeight w:val="20"/>
        </w:trPr>
        <w:tc>
          <w:tcPr>
            <w:tcW w:w="536" w:type="pct"/>
          </w:tcPr>
          <w:p w14:paraId="6B33268C" w14:textId="77777777" w:rsidR="00041B9E" w:rsidRPr="001310AD" w:rsidRDefault="00041B9E" w:rsidP="00CC64C8">
            <w:pPr>
              <w:pStyle w:val="Tabletext"/>
            </w:pPr>
            <w:r w:rsidRPr="001310AD">
              <w:t>Target NIP Population</w:t>
            </w:r>
          </w:p>
        </w:tc>
        <w:tc>
          <w:tcPr>
            <w:tcW w:w="1810" w:type="pct"/>
          </w:tcPr>
          <w:p w14:paraId="15B80ABB" w14:textId="3B72BF9B" w:rsidR="006B0D67" w:rsidRPr="001310AD" w:rsidRDefault="002C7D0C" w:rsidP="00CC64C8">
            <w:pPr>
              <w:pStyle w:val="Tabletext"/>
            </w:pPr>
            <w:r w:rsidRPr="001310AD">
              <w:t xml:space="preserve">Two alternative schedules were proposed: (i) </w:t>
            </w:r>
            <w:r w:rsidR="00041B9E" w:rsidRPr="001310AD">
              <w:t>≥60 YOA</w:t>
            </w:r>
            <w:r w:rsidR="00AD3578" w:rsidRPr="001310AD">
              <w:t>;</w:t>
            </w:r>
            <w:r w:rsidR="00041B9E" w:rsidRPr="001310AD">
              <w:t xml:space="preserve"> </w:t>
            </w:r>
          </w:p>
          <w:p w14:paraId="245AB728" w14:textId="3C2D8349" w:rsidR="00041B9E" w:rsidRPr="001310AD" w:rsidRDefault="002C7D0C" w:rsidP="00CC64C8">
            <w:pPr>
              <w:pStyle w:val="Tabletext"/>
            </w:pPr>
            <w:r w:rsidRPr="001310AD">
              <w:t xml:space="preserve">(ii) </w:t>
            </w:r>
            <w:r w:rsidR="00041B9E" w:rsidRPr="001310AD">
              <w:t>≥75 YOA</w:t>
            </w:r>
            <w:r w:rsidRPr="001310AD">
              <w:t>.</w:t>
            </w:r>
          </w:p>
          <w:p w14:paraId="47313B65" w14:textId="21559CE7" w:rsidR="00041B9E" w:rsidRPr="001310AD" w:rsidRDefault="00041B9E" w:rsidP="00CC64C8">
            <w:pPr>
              <w:pStyle w:val="Tabletext"/>
            </w:pPr>
            <w:r w:rsidRPr="001310AD">
              <w:lastRenderedPageBreak/>
              <w:t xml:space="preserve">The PBAC considered it was inappropriate to exclude high risk patients ≥60 with a clinical need (paragraph 7.9, </w:t>
            </w:r>
            <w:r w:rsidR="0074775A" w:rsidRPr="001310AD">
              <w:t>RSVPreF3 OA</w:t>
            </w:r>
            <w:r w:rsidRPr="001310AD">
              <w:t xml:space="preserve"> PSD, July 2024)</w:t>
            </w:r>
            <w:r w:rsidR="002429C4" w:rsidRPr="001310AD">
              <w:t>.</w:t>
            </w:r>
          </w:p>
        </w:tc>
        <w:tc>
          <w:tcPr>
            <w:tcW w:w="2654" w:type="pct"/>
          </w:tcPr>
          <w:p w14:paraId="57706534" w14:textId="45BD51F1" w:rsidR="002429C4" w:rsidRPr="001310AD" w:rsidRDefault="0028331E" w:rsidP="00CC64C8">
            <w:pPr>
              <w:pStyle w:val="Tabletext"/>
            </w:pPr>
            <w:r w:rsidRPr="001310AD">
              <w:lastRenderedPageBreak/>
              <w:t>Two populations were proposed</w:t>
            </w:r>
            <w:r w:rsidR="00B77826" w:rsidRPr="001310AD">
              <w:t>, consistent with the two populations recommended by the PBAC in November 2024 for RSVpreF</w:t>
            </w:r>
            <w:r w:rsidRPr="001310AD">
              <w:t xml:space="preserve">: </w:t>
            </w:r>
            <w:r w:rsidR="00041B9E" w:rsidRPr="001310AD">
              <w:t xml:space="preserve">≥75 YOA adults; </w:t>
            </w:r>
            <w:r w:rsidR="00394C98" w:rsidRPr="001310AD">
              <w:t xml:space="preserve">and </w:t>
            </w:r>
            <w:r w:rsidR="00041B9E" w:rsidRPr="001310AD">
              <w:t xml:space="preserve">60-74 YOA First Nations adults. </w:t>
            </w:r>
          </w:p>
          <w:p w14:paraId="629C164A" w14:textId="77777777" w:rsidR="002429C4" w:rsidRPr="001310AD" w:rsidRDefault="002429C4" w:rsidP="00CC64C8">
            <w:pPr>
              <w:pStyle w:val="Tabletext"/>
            </w:pPr>
          </w:p>
          <w:p w14:paraId="1D93D6CF" w14:textId="79153FD8" w:rsidR="00332D72" w:rsidRPr="001310AD" w:rsidRDefault="00332D72" w:rsidP="00CC64C8">
            <w:pPr>
              <w:pStyle w:val="Tabletext"/>
            </w:pPr>
            <w:r w:rsidRPr="001310AD">
              <w:t xml:space="preserve">The resubmission stated that the third group </w:t>
            </w:r>
            <w:r w:rsidR="00EF19A2" w:rsidRPr="001310AD">
              <w:t xml:space="preserve">recommended by ATAGI (high risk patients ≥60) </w:t>
            </w:r>
            <w:r w:rsidRPr="001310AD">
              <w:t>would be addressed in a subsequent resubmission.</w:t>
            </w:r>
          </w:p>
          <w:p w14:paraId="241BDE9A" w14:textId="77777777" w:rsidR="00332D72" w:rsidRPr="001310AD" w:rsidRDefault="00332D72" w:rsidP="00CC64C8">
            <w:pPr>
              <w:pStyle w:val="Tabletext"/>
            </w:pPr>
          </w:p>
          <w:p w14:paraId="46C05E91" w14:textId="1AC30031" w:rsidR="00041B9E" w:rsidRPr="001310AD" w:rsidRDefault="00041B9E" w:rsidP="00CC64C8">
            <w:pPr>
              <w:pStyle w:val="Tabletext"/>
            </w:pPr>
          </w:p>
        </w:tc>
      </w:tr>
      <w:tr w:rsidR="00041B9E" w:rsidRPr="001310AD" w14:paraId="7C9E2DCD" w14:textId="77777777" w:rsidTr="000466C8">
        <w:trPr>
          <w:trHeight w:val="20"/>
        </w:trPr>
        <w:tc>
          <w:tcPr>
            <w:tcW w:w="536" w:type="pct"/>
          </w:tcPr>
          <w:p w14:paraId="4F2ED392" w14:textId="77777777" w:rsidR="00041B9E" w:rsidRPr="001310AD" w:rsidRDefault="00041B9E" w:rsidP="00CC64C8">
            <w:pPr>
              <w:pStyle w:val="Tabletext"/>
            </w:pPr>
            <w:r w:rsidRPr="001310AD">
              <w:lastRenderedPageBreak/>
              <w:t>Clinical evaluation</w:t>
            </w:r>
          </w:p>
        </w:tc>
        <w:tc>
          <w:tcPr>
            <w:tcW w:w="1810" w:type="pct"/>
          </w:tcPr>
          <w:p w14:paraId="5277622D" w14:textId="697D8207" w:rsidR="00041B9E" w:rsidRPr="001310AD" w:rsidRDefault="00041B9E" w:rsidP="00CC64C8">
            <w:pPr>
              <w:pStyle w:val="Tabletext"/>
            </w:pPr>
            <w:r w:rsidRPr="001310AD">
              <w:t xml:space="preserve">The PBAC noted that further results from </w:t>
            </w:r>
            <w:r w:rsidR="00EF04EA" w:rsidRPr="001310AD">
              <w:t>AReSVi-006</w:t>
            </w:r>
            <w:r w:rsidR="00F7077F" w:rsidRPr="001310AD">
              <w:t xml:space="preserve"> </w:t>
            </w:r>
            <w:r w:rsidRPr="001310AD">
              <w:t xml:space="preserve">and RSV OA=ADJ-004 </w:t>
            </w:r>
            <w:r w:rsidR="00B77826" w:rsidRPr="001310AD">
              <w:t xml:space="preserve">were </w:t>
            </w:r>
            <w:r w:rsidRPr="001310AD">
              <w:t xml:space="preserve">expected in September 2024 and </w:t>
            </w:r>
            <w:r w:rsidR="00B77826" w:rsidRPr="001310AD">
              <w:t xml:space="preserve">would </w:t>
            </w:r>
            <w:r w:rsidRPr="001310AD">
              <w:t xml:space="preserve">provide further information regarding the appropriate timing of revaccination </w:t>
            </w:r>
            <w:bookmarkStart w:id="11" w:name="_Hlk204850617"/>
            <w:r w:rsidRPr="001310AD">
              <w:t xml:space="preserve">(paragraph 7.10, </w:t>
            </w:r>
            <w:r w:rsidR="0074775A" w:rsidRPr="001310AD">
              <w:t xml:space="preserve">RSVPreF3 OA </w:t>
            </w:r>
            <w:r w:rsidRPr="001310AD">
              <w:t>PSD, July 2024)</w:t>
            </w:r>
            <w:bookmarkEnd w:id="11"/>
          </w:p>
        </w:tc>
        <w:tc>
          <w:tcPr>
            <w:tcW w:w="2654" w:type="pct"/>
          </w:tcPr>
          <w:p w14:paraId="259FA47A" w14:textId="59191893" w:rsidR="00045AE3" w:rsidRPr="001310AD" w:rsidRDefault="00567FC1" w:rsidP="00CC64C8">
            <w:pPr>
              <w:pStyle w:val="Tabletext"/>
            </w:pPr>
            <w:r w:rsidRPr="001310AD">
              <w:t xml:space="preserve">Updated results from </w:t>
            </w:r>
            <w:r w:rsidR="00FC173A" w:rsidRPr="001310AD">
              <w:t xml:space="preserve">AReSVi-006 presented in the resubmission </w:t>
            </w:r>
            <w:r w:rsidR="00C0456D" w:rsidRPr="001310AD">
              <w:t>do not provide evidence for appropriate timing of revaccination.</w:t>
            </w:r>
            <w:r w:rsidR="00FC173A" w:rsidRPr="001310AD">
              <w:t xml:space="preserve"> </w:t>
            </w:r>
            <w:r w:rsidR="002C7D0C" w:rsidRPr="001310AD">
              <w:t>The resubmission d</w:t>
            </w:r>
            <w:r w:rsidR="002429C4" w:rsidRPr="001310AD">
              <w:t>id</w:t>
            </w:r>
            <w:r w:rsidR="002C7D0C" w:rsidRPr="001310AD">
              <w:t xml:space="preserve"> not include a claim for revaccination or a proposed revaccination schedule.</w:t>
            </w:r>
          </w:p>
          <w:p w14:paraId="2B322632" w14:textId="77777777" w:rsidR="002C7D0C" w:rsidRPr="001310AD" w:rsidRDefault="002C7D0C" w:rsidP="00CC64C8">
            <w:pPr>
              <w:pStyle w:val="Tabletext"/>
            </w:pPr>
          </w:p>
          <w:p w14:paraId="48FE45E5" w14:textId="1DE7B526" w:rsidR="00041B9E" w:rsidRPr="001310AD" w:rsidRDefault="00045AE3" w:rsidP="00CC64C8">
            <w:pPr>
              <w:pStyle w:val="Tabletext"/>
            </w:pPr>
            <w:r w:rsidRPr="001310AD">
              <w:t>U</w:t>
            </w:r>
            <w:r w:rsidR="00041B9E" w:rsidRPr="001310AD">
              <w:t xml:space="preserve">pdated data from the RSV OA=ADJ-004 immunogenicity trial (36/37 Month analysis) demonstrated a robust humoral and cellular immune response with a single dose of </w:t>
            </w:r>
            <w:r w:rsidRPr="001310AD">
              <w:t>RSVPreF3 OA</w:t>
            </w:r>
            <w:r w:rsidRPr="001310AD">
              <w:rPr>
                <w:b/>
                <w:bCs/>
              </w:rPr>
              <w:t xml:space="preserve"> </w:t>
            </w:r>
            <w:r w:rsidR="00041B9E" w:rsidRPr="001310AD">
              <w:t xml:space="preserve">36 months after vaccination, with a slower decline of neutralising antibody titres between 24 and 36 months compared with the first 24 months. </w:t>
            </w:r>
          </w:p>
          <w:p w14:paraId="4A2A1B9C" w14:textId="77777777" w:rsidR="00206B0E" w:rsidRPr="001310AD" w:rsidRDefault="00206B0E" w:rsidP="00CC64C8">
            <w:pPr>
              <w:pStyle w:val="Tabletext"/>
            </w:pPr>
          </w:p>
          <w:p w14:paraId="5DCC2B18" w14:textId="695ADD21" w:rsidR="00041B9E" w:rsidRPr="001310AD" w:rsidRDefault="00041B9E" w:rsidP="00CC64C8">
            <w:pPr>
              <w:pStyle w:val="Tabletext"/>
              <w:rPr>
                <w:i/>
                <w:iCs/>
              </w:rPr>
            </w:pPr>
            <w:r w:rsidRPr="001310AD">
              <w:t>In the</w:t>
            </w:r>
            <w:r w:rsidR="005647B8" w:rsidRPr="001310AD">
              <w:t xml:space="preserve"> ongoing</w:t>
            </w:r>
            <w:r w:rsidRPr="001310AD">
              <w:t xml:space="preserve"> pivotal immunogenicity trial, RSV OA=ADJ-004</w:t>
            </w:r>
            <w:r w:rsidR="00206B0E" w:rsidRPr="001310AD">
              <w:t xml:space="preserve">, and </w:t>
            </w:r>
            <w:r w:rsidRPr="001310AD">
              <w:t xml:space="preserve">a new crossover and revaccination extension of RSV OA=ADJ-006 (RSV OA=ADJ-012, </w:t>
            </w:r>
            <w:hyperlink r:id="rId8">
              <w:r w:rsidRPr="001310AD">
                <w:t>NCT06534892</w:t>
              </w:r>
            </w:hyperlink>
            <w:r w:rsidRPr="001310AD">
              <w:t xml:space="preserve">), immune persistence of a single dose of </w:t>
            </w:r>
            <w:r w:rsidR="007E1F25" w:rsidRPr="001310AD">
              <w:t>RSVPreF3 OA</w:t>
            </w:r>
            <w:r w:rsidR="007E1F25" w:rsidRPr="001310AD">
              <w:rPr>
                <w:b/>
                <w:bCs/>
              </w:rPr>
              <w:t xml:space="preserve"> </w:t>
            </w:r>
            <w:r w:rsidR="00206B0E" w:rsidRPr="001310AD">
              <w:t xml:space="preserve">and </w:t>
            </w:r>
            <w:r w:rsidRPr="001310AD">
              <w:t>alternate revaccination schedules will be assessed up to Month 60 after initial vaccination</w:t>
            </w:r>
            <w:r w:rsidR="00B77826" w:rsidRPr="001310AD">
              <w:t xml:space="preserve"> (results not yet available)</w:t>
            </w:r>
            <w:r w:rsidRPr="001310AD">
              <w:t>.</w:t>
            </w:r>
            <w:r w:rsidR="00206B0E" w:rsidRPr="001310AD">
              <w:t xml:space="preserve"> </w:t>
            </w:r>
          </w:p>
        </w:tc>
      </w:tr>
      <w:tr w:rsidR="0091171C" w:rsidRPr="001310AD" w14:paraId="615D317E" w14:textId="77777777" w:rsidTr="0091171C">
        <w:trPr>
          <w:trHeight w:val="20"/>
        </w:trPr>
        <w:tc>
          <w:tcPr>
            <w:tcW w:w="5000" w:type="pct"/>
            <w:gridSpan w:val="3"/>
          </w:tcPr>
          <w:p w14:paraId="45C994C5" w14:textId="24371A4A" w:rsidR="0091171C" w:rsidRPr="001310AD" w:rsidRDefault="0091171C" w:rsidP="000466C8">
            <w:pPr>
              <w:pStyle w:val="Tabletext"/>
              <w:rPr>
                <w:b/>
                <w:bCs/>
              </w:rPr>
            </w:pPr>
            <w:r w:rsidRPr="001310AD">
              <w:rPr>
                <w:b/>
                <w:bCs/>
              </w:rPr>
              <w:t>Economic model</w:t>
            </w:r>
          </w:p>
        </w:tc>
      </w:tr>
      <w:tr w:rsidR="00E84A96" w:rsidRPr="001310AD" w14:paraId="7D96687B" w14:textId="77777777" w:rsidTr="000466C8">
        <w:trPr>
          <w:trHeight w:val="20"/>
        </w:trPr>
        <w:tc>
          <w:tcPr>
            <w:tcW w:w="536" w:type="pct"/>
          </w:tcPr>
          <w:p w14:paraId="03CA9E98" w14:textId="79D3FAEF" w:rsidR="00E84A96" w:rsidRPr="001310AD" w:rsidRDefault="00E84A96" w:rsidP="00E84A96">
            <w:pPr>
              <w:pStyle w:val="Tabletext"/>
            </w:pPr>
            <w:r w:rsidRPr="001310AD">
              <w:rPr>
                <w:szCs w:val="20"/>
              </w:rPr>
              <w:t xml:space="preserve">Modelled populations </w:t>
            </w:r>
          </w:p>
        </w:tc>
        <w:tc>
          <w:tcPr>
            <w:tcW w:w="1810" w:type="pct"/>
          </w:tcPr>
          <w:p w14:paraId="0F32D5D5" w14:textId="4556CE0A" w:rsidR="00E84A96" w:rsidRPr="001310AD" w:rsidRDefault="00E84A96" w:rsidP="00E84A96">
            <w:pPr>
              <w:pStyle w:val="Tabletext"/>
            </w:pPr>
            <w:r w:rsidRPr="001310AD">
              <w:rPr>
                <w:szCs w:val="20"/>
              </w:rPr>
              <w:t>CEAs for use in higher risk individuals and Aboriginal and Torres Strait Islander people 60-74 YOA</w:t>
            </w:r>
            <w:r w:rsidR="00042E32" w:rsidRPr="001310AD">
              <w:rPr>
                <w:szCs w:val="20"/>
              </w:rPr>
              <w:t xml:space="preserve"> were</w:t>
            </w:r>
            <w:r w:rsidRPr="001310AD">
              <w:rPr>
                <w:szCs w:val="20"/>
              </w:rPr>
              <w:t xml:space="preserve"> not presented (para</w:t>
            </w:r>
            <w:r w:rsidR="00A70114" w:rsidRPr="001310AD">
              <w:rPr>
                <w:szCs w:val="20"/>
              </w:rPr>
              <w:t>graph</w:t>
            </w:r>
            <w:r w:rsidRPr="001310AD">
              <w:rPr>
                <w:szCs w:val="20"/>
              </w:rPr>
              <w:t xml:space="preserve"> 6.45, </w:t>
            </w:r>
            <w:r w:rsidRPr="001310AD">
              <w:rPr>
                <w:iCs/>
                <w:szCs w:val="20"/>
              </w:rPr>
              <w:t>RSVPreF3 OA</w:t>
            </w:r>
            <w:r w:rsidRPr="001310AD">
              <w:rPr>
                <w:i/>
                <w:szCs w:val="20"/>
              </w:rPr>
              <w:t xml:space="preserve"> </w:t>
            </w:r>
            <w:r w:rsidRPr="001310AD">
              <w:rPr>
                <w:szCs w:val="20"/>
              </w:rPr>
              <w:t xml:space="preserve">PSD, July 2024). </w:t>
            </w:r>
          </w:p>
        </w:tc>
        <w:tc>
          <w:tcPr>
            <w:tcW w:w="2654" w:type="pct"/>
          </w:tcPr>
          <w:p w14:paraId="2C421117" w14:textId="7A84522D" w:rsidR="00E84A96" w:rsidRPr="001310AD" w:rsidRDefault="00E84A96" w:rsidP="00E84A96">
            <w:pPr>
              <w:pStyle w:val="Tabletext"/>
            </w:pPr>
            <w:r w:rsidRPr="001310AD">
              <w:rPr>
                <w:szCs w:val="20"/>
              </w:rPr>
              <w:t xml:space="preserve">The resubmission presented a CEA for Aboriginal and Torres Strait Islander people 60-74 YOA while noting that </w:t>
            </w:r>
            <w:r w:rsidR="0074245F" w:rsidRPr="001310AD">
              <w:rPr>
                <w:szCs w:val="20"/>
              </w:rPr>
              <w:t xml:space="preserve">the </w:t>
            </w:r>
            <w:r w:rsidRPr="001310AD">
              <w:rPr>
                <w:szCs w:val="20"/>
              </w:rPr>
              <w:t xml:space="preserve">60-74 at-risk population will be submitted </w:t>
            </w:r>
            <w:r w:rsidR="00B77826" w:rsidRPr="001310AD">
              <w:rPr>
                <w:szCs w:val="20"/>
              </w:rPr>
              <w:t xml:space="preserve">for consideration at a </w:t>
            </w:r>
            <w:r w:rsidRPr="001310AD">
              <w:rPr>
                <w:szCs w:val="20"/>
              </w:rPr>
              <w:t>future</w:t>
            </w:r>
            <w:r w:rsidR="00C81658" w:rsidRPr="001310AD">
              <w:rPr>
                <w:szCs w:val="20"/>
              </w:rPr>
              <w:t xml:space="preserve"> </w:t>
            </w:r>
            <w:r w:rsidR="00B77826" w:rsidRPr="001310AD">
              <w:rPr>
                <w:szCs w:val="20"/>
              </w:rPr>
              <w:t>PBAC meeting</w:t>
            </w:r>
            <w:r w:rsidRPr="001310AD">
              <w:rPr>
                <w:szCs w:val="20"/>
              </w:rPr>
              <w:t>.</w:t>
            </w:r>
          </w:p>
        </w:tc>
      </w:tr>
      <w:tr w:rsidR="00E84A96" w:rsidRPr="001310AD" w14:paraId="2B054E71" w14:textId="77777777" w:rsidTr="000466C8">
        <w:trPr>
          <w:trHeight w:val="20"/>
        </w:trPr>
        <w:tc>
          <w:tcPr>
            <w:tcW w:w="536" w:type="pct"/>
          </w:tcPr>
          <w:p w14:paraId="7DBA8562" w14:textId="55B42643" w:rsidR="00E84A96" w:rsidRPr="001310AD" w:rsidRDefault="00E84A96" w:rsidP="00E84A96">
            <w:pPr>
              <w:pStyle w:val="Tabletext"/>
            </w:pPr>
            <w:r w:rsidRPr="001310AD">
              <w:rPr>
                <w:szCs w:val="20"/>
              </w:rPr>
              <w:t>Vaccine efficacy/duration of protection</w:t>
            </w:r>
          </w:p>
        </w:tc>
        <w:tc>
          <w:tcPr>
            <w:tcW w:w="1810" w:type="pct"/>
          </w:tcPr>
          <w:p w14:paraId="779C04FF" w14:textId="158865FA" w:rsidR="00E84A96" w:rsidRPr="001310AD" w:rsidRDefault="00E84A96" w:rsidP="00E84A96">
            <w:pPr>
              <w:pStyle w:val="Tabletext"/>
            </w:pPr>
            <w:r w:rsidRPr="001310AD">
              <w:rPr>
                <w:szCs w:val="20"/>
              </w:rPr>
              <w:t xml:space="preserve">Limited data (18-month median follow-up) were </w:t>
            </w:r>
            <w:r w:rsidR="00310458" w:rsidRPr="001310AD">
              <w:rPr>
                <w:szCs w:val="20"/>
              </w:rPr>
              <w:t xml:space="preserve">available </w:t>
            </w:r>
            <w:r w:rsidRPr="001310AD">
              <w:rPr>
                <w:szCs w:val="20"/>
              </w:rPr>
              <w:t>to estimate the duration of protection of RSVPreF3 OA over a 3-year period (para</w:t>
            </w:r>
            <w:r w:rsidR="00405BC5" w:rsidRPr="001310AD">
              <w:rPr>
                <w:szCs w:val="20"/>
              </w:rPr>
              <w:t>graph</w:t>
            </w:r>
            <w:r w:rsidRPr="001310AD">
              <w:rPr>
                <w:szCs w:val="20"/>
              </w:rPr>
              <w:t xml:space="preserve"> 6.88, </w:t>
            </w:r>
            <w:r w:rsidRPr="001310AD">
              <w:rPr>
                <w:iCs/>
                <w:szCs w:val="20"/>
              </w:rPr>
              <w:t>RSVPreF3 OA</w:t>
            </w:r>
            <w:r w:rsidRPr="001310AD">
              <w:rPr>
                <w:szCs w:val="20"/>
              </w:rPr>
              <w:t xml:space="preserve"> PSD, July 2024).</w:t>
            </w:r>
          </w:p>
        </w:tc>
        <w:tc>
          <w:tcPr>
            <w:tcW w:w="2654" w:type="pct"/>
          </w:tcPr>
          <w:p w14:paraId="7E434ECA" w14:textId="10E6CCB2" w:rsidR="00E84A96" w:rsidRPr="001310AD" w:rsidRDefault="00E84A96" w:rsidP="00E84A96">
            <w:pPr>
              <w:pStyle w:val="PBACTabletext"/>
              <w:keepNext w:val="0"/>
              <w:keepLines w:val="0"/>
              <w:widowControl w:val="0"/>
              <w:suppressLineNumbers w:val="0"/>
              <w:rPr>
                <w:rFonts w:ascii="Arial Narrow" w:hAnsi="Arial Narrow"/>
                <w:szCs w:val="20"/>
              </w:rPr>
            </w:pPr>
            <w:r w:rsidRPr="001310AD">
              <w:rPr>
                <w:rFonts w:ascii="Arial Narrow" w:hAnsi="Arial Narrow"/>
                <w:szCs w:val="20"/>
              </w:rPr>
              <w:t>The resubmission presented an updated analysis based on the end of season 3 analysis with extended median of 30.6-month follow-up.</w:t>
            </w:r>
          </w:p>
          <w:p w14:paraId="3778A957" w14:textId="77777777" w:rsidR="00E84A96" w:rsidRPr="001310AD" w:rsidRDefault="00E84A96" w:rsidP="00E84A96">
            <w:pPr>
              <w:pStyle w:val="Tabletext"/>
            </w:pPr>
          </w:p>
        </w:tc>
      </w:tr>
      <w:tr w:rsidR="00E84A96" w:rsidRPr="001310AD" w14:paraId="4D15A8D5" w14:textId="77777777" w:rsidTr="000466C8">
        <w:trPr>
          <w:trHeight w:val="20"/>
        </w:trPr>
        <w:tc>
          <w:tcPr>
            <w:tcW w:w="536" w:type="pct"/>
          </w:tcPr>
          <w:p w14:paraId="56077119" w14:textId="7732AA45" w:rsidR="00E84A96" w:rsidRPr="001310AD" w:rsidRDefault="00E84A96" w:rsidP="00E84A96">
            <w:pPr>
              <w:pStyle w:val="Tabletext"/>
            </w:pPr>
            <w:r w:rsidRPr="001310AD">
              <w:rPr>
                <w:szCs w:val="20"/>
              </w:rPr>
              <w:t>Vaccination month</w:t>
            </w:r>
          </w:p>
        </w:tc>
        <w:tc>
          <w:tcPr>
            <w:tcW w:w="1810" w:type="pct"/>
          </w:tcPr>
          <w:p w14:paraId="768AC04B" w14:textId="7C798E77" w:rsidR="00E84A96" w:rsidRPr="001310AD" w:rsidRDefault="00E84A96" w:rsidP="00E84A96">
            <w:pPr>
              <w:pStyle w:val="Tabletext"/>
            </w:pPr>
            <w:r w:rsidRPr="001310AD">
              <w:rPr>
                <w:szCs w:val="20"/>
              </w:rPr>
              <w:t>March as the vaccination month unlikely reflected in practice (para</w:t>
            </w:r>
            <w:r w:rsidR="003D6BDB" w:rsidRPr="001310AD">
              <w:rPr>
                <w:szCs w:val="20"/>
              </w:rPr>
              <w:t>graph</w:t>
            </w:r>
            <w:r w:rsidRPr="001310AD">
              <w:rPr>
                <w:szCs w:val="20"/>
              </w:rPr>
              <w:t xml:space="preserve"> 6.51, </w:t>
            </w:r>
            <w:r w:rsidRPr="001310AD">
              <w:rPr>
                <w:iCs/>
                <w:szCs w:val="20"/>
              </w:rPr>
              <w:t>RSVPreF3 OA</w:t>
            </w:r>
            <w:r w:rsidRPr="001310AD">
              <w:rPr>
                <w:szCs w:val="20"/>
              </w:rPr>
              <w:t xml:space="preserve"> PSD, July 2024).</w:t>
            </w:r>
          </w:p>
        </w:tc>
        <w:tc>
          <w:tcPr>
            <w:tcW w:w="2654" w:type="pct"/>
          </w:tcPr>
          <w:p w14:paraId="43FFF2E2" w14:textId="7D3981F1" w:rsidR="00E84A96" w:rsidRPr="001310AD" w:rsidRDefault="00E84A96" w:rsidP="00E84A96">
            <w:pPr>
              <w:pStyle w:val="Tabletext"/>
            </w:pPr>
            <w:r w:rsidRPr="001310AD">
              <w:rPr>
                <w:szCs w:val="20"/>
              </w:rPr>
              <w:t xml:space="preserve">The resubmission assumed vaccination can occur at any time during the year, reflecting the ESC and the ATAGI </w:t>
            </w:r>
            <w:r w:rsidR="00310458" w:rsidRPr="001310AD">
              <w:rPr>
                <w:szCs w:val="20"/>
              </w:rPr>
              <w:t xml:space="preserve">advice </w:t>
            </w:r>
            <w:r w:rsidRPr="001310AD">
              <w:rPr>
                <w:szCs w:val="20"/>
              </w:rPr>
              <w:t xml:space="preserve">(ATAGI advice, March 2025). </w:t>
            </w:r>
          </w:p>
        </w:tc>
      </w:tr>
      <w:tr w:rsidR="00E84A96" w:rsidRPr="001310AD" w14:paraId="2BA11111" w14:textId="77777777" w:rsidTr="000466C8">
        <w:trPr>
          <w:trHeight w:val="20"/>
        </w:trPr>
        <w:tc>
          <w:tcPr>
            <w:tcW w:w="536" w:type="pct"/>
          </w:tcPr>
          <w:p w14:paraId="54E61A0B" w14:textId="2BB7B3CC" w:rsidR="00E84A96" w:rsidRPr="001310AD" w:rsidRDefault="00E84A96" w:rsidP="00E84A96">
            <w:pPr>
              <w:pStyle w:val="Tabletext"/>
            </w:pPr>
            <w:r w:rsidRPr="001310AD">
              <w:rPr>
                <w:szCs w:val="20"/>
              </w:rPr>
              <w:t>Hospitalisation rates</w:t>
            </w:r>
          </w:p>
        </w:tc>
        <w:tc>
          <w:tcPr>
            <w:tcW w:w="1810" w:type="pct"/>
          </w:tcPr>
          <w:p w14:paraId="1A8206F8" w14:textId="2E4CE46F" w:rsidR="00E84A96" w:rsidRPr="001310AD" w:rsidRDefault="00E84A96" w:rsidP="00E84A96">
            <w:pPr>
              <w:pStyle w:val="Tabletext"/>
            </w:pPr>
            <w:r w:rsidRPr="001310AD">
              <w:rPr>
                <w:szCs w:val="20"/>
              </w:rPr>
              <w:t>Likely overestimated RSV-associated hospitalisation rate (para</w:t>
            </w:r>
            <w:r w:rsidR="00204AE3" w:rsidRPr="001310AD">
              <w:rPr>
                <w:szCs w:val="20"/>
              </w:rPr>
              <w:t>graph</w:t>
            </w:r>
            <w:r w:rsidRPr="001310AD">
              <w:rPr>
                <w:szCs w:val="20"/>
              </w:rPr>
              <w:t xml:space="preserve"> 6.55, </w:t>
            </w:r>
            <w:r w:rsidRPr="001310AD">
              <w:rPr>
                <w:iCs/>
                <w:szCs w:val="20"/>
              </w:rPr>
              <w:t>RSVPreF3 OA</w:t>
            </w:r>
            <w:r w:rsidRPr="001310AD">
              <w:rPr>
                <w:szCs w:val="20"/>
              </w:rPr>
              <w:t xml:space="preserve"> PSD, July 2024). This </w:t>
            </w:r>
            <w:r w:rsidR="00B77826" w:rsidRPr="001310AD">
              <w:rPr>
                <w:szCs w:val="20"/>
              </w:rPr>
              <w:t xml:space="preserve">was </w:t>
            </w:r>
            <w:r w:rsidRPr="001310AD">
              <w:rPr>
                <w:szCs w:val="20"/>
              </w:rPr>
              <w:t>primarily due to the overestimated unadjusted rates from Branche et al. 2021 presenting data from a densely populated area with different testing practices to the Australian setting.</w:t>
            </w:r>
          </w:p>
        </w:tc>
        <w:tc>
          <w:tcPr>
            <w:tcW w:w="2654" w:type="pct"/>
          </w:tcPr>
          <w:p w14:paraId="09520BF3" w14:textId="7BE4376F" w:rsidR="00E84A96" w:rsidRPr="001310AD" w:rsidRDefault="00310458" w:rsidP="00E84A96">
            <w:pPr>
              <w:pStyle w:val="Tabletext"/>
            </w:pPr>
            <w:r w:rsidRPr="001310AD">
              <w:rPr>
                <w:szCs w:val="20"/>
              </w:rPr>
              <w:t>N</w:t>
            </w:r>
            <w:r w:rsidR="00E84A96" w:rsidRPr="001310AD">
              <w:rPr>
                <w:szCs w:val="20"/>
              </w:rPr>
              <w:t>ot addressed</w:t>
            </w:r>
            <w:r w:rsidR="0050752E" w:rsidRPr="001310AD">
              <w:rPr>
                <w:szCs w:val="20"/>
              </w:rPr>
              <w:t xml:space="preserve"> in the resubmission</w:t>
            </w:r>
            <w:r w:rsidR="00E84A96" w:rsidRPr="001310AD">
              <w:rPr>
                <w:szCs w:val="20"/>
              </w:rPr>
              <w:t xml:space="preserve">. The revised rates </w:t>
            </w:r>
            <w:r w:rsidR="00F651EF" w:rsidRPr="001310AD">
              <w:rPr>
                <w:szCs w:val="20"/>
              </w:rPr>
              <w:t>we</w:t>
            </w:r>
            <w:r w:rsidR="00E84A96" w:rsidRPr="001310AD">
              <w:rPr>
                <w:szCs w:val="20"/>
              </w:rPr>
              <w:t>re inconsistent with the ATAGI Advice (see para</w:t>
            </w:r>
            <w:r w:rsidR="00A23128" w:rsidRPr="001310AD">
              <w:rPr>
                <w:szCs w:val="20"/>
              </w:rPr>
              <w:t>graph</w:t>
            </w:r>
            <w:r w:rsidR="0050752E" w:rsidRPr="001310AD">
              <w:rPr>
                <w:szCs w:val="20"/>
              </w:rPr>
              <w:t>s</w:t>
            </w:r>
            <w:r w:rsidR="008534FD" w:rsidRPr="001310AD">
              <w:rPr>
                <w:szCs w:val="20"/>
              </w:rPr>
              <w:t xml:space="preserve"> </w:t>
            </w:r>
            <w:r w:rsidR="008534FD" w:rsidRPr="001310AD">
              <w:rPr>
                <w:szCs w:val="20"/>
              </w:rPr>
              <w:fldChar w:fldCharType="begin"/>
            </w:r>
            <w:r w:rsidR="008534FD" w:rsidRPr="001310AD">
              <w:rPr>
                <w:szCs w:val="20"/>
              </w:rPr>
              <w:instrText xml:space="preserve"> REF _Ref197337732 \r \h </w:instrText>
            </w:r>
            <w:r w:rsidR="003719EF" w:rsidRPr="001310AD">
              <w:rPr>
                <w:szCs w:val="20"/>
              </w:rPr>
              <w:instrText xml:space="preserve"> \* MERGEFORMAT </w:instrText>
            </w:r>
            <w:r w:rsidR="008534FD" w:rsidRPr="001310AD">
              <w:rPr>
                <w:szCs w:val="20"/>
              </w:rPr>
            </w:r>
            <w:r w:rsidR="008534FD" w:rsidRPr="001310AD">
              <w:rPr>
                <w:szCs w:val="20"/>
              </w:rPr>
              <w:fldChar w:fldCharType="separate"/>
            </w:r>
            <w:r w:rsidR="00A763D9">
              <w:rPr>
                <w:szCs w:val="20"/>
              </w:rPr>
              <w:t>6.60</w:t>
            </w:r>
            <w:r w:rsidR="008534FD" w:rsidRPr="001310AD">
              <w:rPr>
                <w:szCs w:val="20"/>
              </w:rPr>
              <w:fldChar w:fldCharType="end"/>
            </w:r>
            <w:r w:rsidR="0050752E" w:rsidRPr="001310AD">
              <w:rPr>
                <w:szCs w:val="20"/>
              </w:rPr>
              <w:t xml:space="preserve"> to </w:t>
            </w:r>
            <w:r w:rsidR="0050752E" w:rsidRPr="001310AD">
              <w:rPr>
                <w:szCs w:val="20"/>
              </w:rPr>
              <w:fldChar w:fldCharType="begin"/>
            </w:r>
            <w:r w:rsidR="0050752E" w:rsidRPr="001310AD">
              <w:rPr>
                <w:szCs w:val="20"/>
              </w:rPr>
              <w:instrText xml:space="preserve"> REF _Ref200978551 \r \h </w:instrText>
            </w:r>
            <w:r w:rsidR="0050752E" w:rsidRPr="001310AD">
              <w:rPr>
                <w:szCs w:val="20"/>
              </w:rPr>
            </w:r>
            <w:r w:rsidR="0050752E" w:rsidRPr="001310AD">
              <w:rPr>
                <w:szCs w:val="20"/>
              </w:rPr>
              <w:fldChar w:fldCharType="separate"/>
            </w:r>
            <w:r w:rsidR="00A763D9">
              <w:rPr>
                <w:szCs w:val="20"/>
              </w:rPr>
              <w:t>6.64</w:t>
            </w:r>
            <w:r w:rsidR="0050752E" w:rsidRPr="001310AD">
              <w:rPr>
                <w:szCs w:val="20"/>
              </w:rPr>
              <w:fldChar w:fldCharType="end"/>
            </w:r>
            <w:r w:rsidR="00E84A96" w:rsidRPr="001310AD">
              <w:rPr>
                <w:szCs w:val="20"/>
              </w:rPr>
              <w:t>).</w:t>
            </w:r>
          </w:p>
        </w:tc>
      </w:tr>
      <w:tr w:rsidR="00E84A96" w:rsidRPr="001310AD" w14:paraId="488DB657" w14:textId="77777777" w:rsidTr="000466C8">
        <w:trPr>
          <w:trHeight w:val="20"/>
        </w:trPr>
        <w:tc>
          <w:tcPr>
            <w:tcW w:w="536" w:type="pct"/>
          </w:tcPr>
          <w:p w14:paraId="2A441015" w14:textId="41796FBB" w:rsidR="00E84A96" w:rsidRPr="001310AD" w:rsidRDefault="00E84A96" w:rsidP="00E84A96">
            <w:pPr>
              <w:pStyle w:val="Tabletext"/>
            </w:pPr>
            <w:r w:rsidRPr="001310AD">
              <w:rPr>
                <w:szCs w:val="20"/>
              </w:rPr>
              <w:t>Hospitalisation costs</w:t>
            </w:r>
          </w:p>
        </w:tc>
        <w:tc>
          <w:tcPr>
            <w:tcW w:w="1810" w:type="pct"/>
          </w:tcPr>
          <w:p w14:paraId="1029C714" w14:textId="2FCC5C55" w:rsidR="00E84A96" w:rsidRPr="001310AD" w:rsidRDefault="00E84A96" w:rsidP="00E84A96">
            <w:pPr>
              <w:pStyle w:val="Tabletext"/>
            </w:pPr>
            <w:r w:rsidRPr="001310AD">
              <w:rPr>
                <w:szCs w:val="20"/>
              </w:rPr>
              <w:t>Overestimated RSV-associated hospitalisation costs (para</w:t>
            </w:r>
            <w:r w:rsidR="006572CA" w:rsidRPr="001310AD">
              <w:rPr>
                <w:szCs w:val="20"/>
              </w:rPr>
              <w:t>graph</w:t>
            </w:r>
            <w:r w:rsidRPr="001310AD">
              <w:rPr>
                <w:szCs w:val="20"/>
              </w:rPr>
              <w:t xml:space="preserve"> 6.88, </w:t>
            </w:r>
            <w:r w:rsidRPr="001310AD">
              <w:rPr>
                <w:iCs/>
                <w:szCs w:val="20"/>
              </w:rPr>
              <w:t>RSVPreF3 OA</w:t>
            </w:r>
            <w:r w:rsidRPr="001310AD">
              <w:rPr>
                <w:szCs w:val="20"/>
              </w:rPr>
              <w:t xml:space="preserve"> PSD, July 2024), primarily due to unnecessary adjustment for LOS to the NEP cost weight (para</w:t>
            </w:r>
            <w:r w:rsidR="00E71F4E" w:rsidRPr="001310AD">
              <w:rPr>
                <w:szCs w:val="20"/>
              </w:rPr>
              <w:t>graph</w:t>
            </w:r>
            <w:r w:rsidRPr="001310AD">
              <w:rPr>
                <w:szCs w:val="20"/>
              </w:rPr>
              <w:t xml:space="preserve"> 6.65, </w:t>
            </w:r>
            <w:r w:rsidRPr="001310AD">
              <w:rPr>
                <w:iCs/>
                <w:szCs w:val="20"/>
              </w:rPr>
              <w:t>RSVPreF3 OA</w:t>
            </w:r>
            <w:r w:rsidRPr="001310AD">
              <w:rPr>
                <w:szCs w:val="20"/>
              </w:rPr>
              <w:t xml:space="preserve"> PSD, July 2024).</w:t>
            </w:r>
          </w:p>
        </w:tc>
        <w:tc>
          <w:tcPr>
            <w:tcW w:w="2654" w:type="pct"/>
          </w:tcPr>
          <w:p w14:paraId="2DC70EC0" w14:textId="4B401ABA" w:rsidR="00E84A96" w:rsidRPr="001310AD" w:rsidRDefault="00E84A96" w:rsidP="00E84A96">
            <w:pPr>
              <w:pStyle w:val="Tabletext"/>
            </w:pPr>
            <w:r w:rsidRPr="001310AD">
              <w:rPr>
                <w:szCs w:val="20"/>
              </w:rPr>
              <w:t>The resubmission presented revised RSV-associated hospitalisation costs based on an Australia</w:t>
            </w:r>
            <w:r w:rsidR="009774D7" w:rsidRPr="001310AD">
              <w:rPr>
                <w:szCs w:val="20"/>
              </w:rPr>
              <w:t>n</w:t>
            </w:r>
            <w:r w:rsidRPr="001310AD">
              <w:rPr>
                <w:szCs w:val="20"/>
              </w:rPr>
              <w:t xml:space="preserve"> study on non-</w:t>
            </w:r>
            <w:r w:rsidR="009774D7" w:rsidRPr="001310AD">
              <w:rPr>
                <w:szCs w:val="20"/>
              </w:rPr>
              <w:t>C</w:t>
            </w:r>
            <w:r w:rsidRPr="001310AD">
              <w:rPr>
                <w:szCs w:val="20"/>
              </w:rPr>
              <w:t xml:space="preserve">ovid viral pneumonia (Hitch et al. 2024). The revised costs </w:t>
            </w:r>
            <w:r w:rsidR="00B77826" w:rsidRPr="001310AD">
              <w:rPr>
                <w:szCs w:val="20"/>
              </w:rPr>
              <w:t>were</w:t>
            </w:r>
            <w:r w:rsidRPr="001310AD">
              <w:rPr>
                <w:szCs w:val="20"/>
              </w:rPr>
              <w:t xml:space="preserve"> comparable to the estimates in the previous submission </w:t>
            </w:r>
            <w:r w:rsidR="00B77826" w:rsidRPr="001310AD">
              <w:rPr>
                <w:szCs w:val="20"/>
              </w:rPr>
              <w:t xml:space="preserve">and remained higher than the costs previously considered reasonable by the PBAC </w:t>
            </w:r>
            <w:r w:rsidRPr="001310AD">
              <w:rPr>
                <w:szCs w:val="20"/>
              </w:rPr>
              <w:t>(see para</w:t>
            </w:r>
            <w:r w:rsidR="00455B5B" w:rsidRPr="001310AD">
              <w:rPr>
                <w:szCs w:val="20"/>
              </w:rPr>
              <w:t>graph</w:t>
            </w:r>
            <w:r w:rsidR="00E53128" w:rsidRPr="001310AD">
              <w:rPr>
                <w:szCs w:val="20"/>
              </w:rPr>
              <w:t xml:space="preserve"> </w:t>
            </w:r>
            <w:r w:rsidR="00E53128" w:rsidRPr="001310AD">
              <w:rPr>
                <w:rFonts w:ascii="Arial" w:hAnsi="Arial"/>
                <w:szCs w:val="20"/>
                <w:lang w:eastAsia="en-GB"/>
              </w:rPr>
              <w:fldChar w:fldCharType="begin"/>
            </w:r>
            <w:r w:rsidR="00E53128" w:rsidRPr="001310AD">
              <w:rPr>
                <w:szCs w:val="20"/>
              </w:rPr>
              <w:instrText xml:space="preserve"> REF _Ref197329342 \r \h </w:instrText>
            </w:r>
            <w:r w:rsidR="003719EF" w:rsidRPr="001310AD">
              <w:rPr>
                <w:rFonts w:ascii="Arial" w:hAnsi="Arial"/>
                <w:szCs w:val="20"/>
                <w:lang w:eastAsia="en-GB"/>
              </w:rPr>
              <w:instrText xml:space="preserve"> \* MERGEFORMAT </w:instrText>
            </w:r>
            <w:r w:rsidR="00E53128" w:rsidRPr="001310AD">
              <w:rPr>
                <w:rFonts w:ascii="Arial" w:hAnsi="Arial"/>
                <w:szCs w:val="20"/>
                <w:lang w:eastAsia="en-GB"/>
              </w:rPr>
            </w:r>
            <w:r w:rsidR="00E53128" w:rsidRPr="001310AD">
              <w:rPr>
                <w:rFonts w:ascii="Arial" w:hAnsi="Arial"/>
                <w:szCs w:val="20"/>
                <w:lang w:eastAsia="en-GB"/>
              </w:rPr>
              <w:fldChar w:fldCharType="separate"/>
            </w:r>
            <w:r w:rsidR="00A763D9">
              <w:rPr>
                <w:szCs w:val="20"/>
              </w:rPr>
              <w:t>6.66</w:t>
            </w:r>
            <w:r w:rsidR="00E53128" w:rsidRPr="001310AD">
              <w:rPr>
                <w:rFonts w:ascii="Arial" w:hAnsi="Arial"/>
                <w:szCs w:val="20"/>
                <w:lang w:eastAsia="en-GB"/>
              </w:rPr>
              <w:fldChar w:fldCharType="end"/>
            </w:r>
            <w:r w:rsidRPr="001310AD">
              <w:rPr>
                <w:szCs w:val="20"/>
              </w:rPr>
              <w:t>).</w:t>
            </w:r>
          </w:p>
        </w:tc>
      </w:tr>
      <w:tr w:rsidR="00E84A96" w:rsidRPr="001310AD" w14:paraId="3F044A28" w14:textId="77777777" w:rsidTr="000466C8">
        <w:trPr>
          <w:trHeight w:val="20"/>
        </w:trPr>
        <w:tc>
          <w:tcPr>
            <w:tcW w:w="536" w:type="pct"/>
          </w:tcPr>
          <w:p w14:paraId="0DBECFC3" w14:textId="1432EBB7" w:rsidR="00E84A96" w:rsidRPr="001310AD" w:rsidRDefault="00E84A96" w:rsidP="00E84A96">
            <w:pPr>
              <w:pStyle w:val="Tabletext"/>
            </w:pPr>
            <w:r w:rsidRPr="001310AD">
              <w:rPr>
                <w:szCs w:val="20"/>
              </w:rPr>
              <w:lastRenderedPageBreak/>
              <w:t>Administration cost</w:t>
            </w:r>
          </w:p>
        </w:tc>
        <w:tc>
          <w:tcPr>
            <w:tcW w:w="1810" w:type="pct"/>
          </w:tcPr>
          <w:p w14:paraId="6C351CD7" w14:textId="18FC796B" w:rsidR="00E84A96" w:rsidRPr="001310AD" w:rsidRDefault="00E84A96" w:rsidP="00E84A96">
            <w:pPr>
              <w:pStyle w:val="Tabletext"/>
            </w:pPr>
            <w:r w:rsidRPr="001310AD">
              <w:rPr>
                <w:szCs w:val="20"/>
              </w:rPr>
              <w:t>Administration costs not included (para</w:t>
            </w:r>
            <w:r w:rsidR="00634B08" w:rsidRPr="001310AD">
              <w:rPr>
                <w:szCs w:val="20"/>
              </w:rPr>
              <w:t>graph</w:t>
            </w:r>
            <w:r w:rsidRPr="001310AD">
              <w:rPr>
                <w:szCs w:val="20"/>
              </w:rPr>
              <w:t xml:space="preserve"> 6.88, </w:t>
            </w:r>
            <w:r w:rsidRPr="001310AD">
              <w:rPr>
                <w:iCs/>
                <w:szCs w:val="20"/>
              </w:rPr>
              <w:t>RSVPreF3 OA</w:t>
            </w:r>
            <w:r w:rsidRPr="001310AD">
              <w:rPr>
                <w:szCs w:val="20"/>
              </w:rPr>
              <w:t xml:space="preserve"> PSD, July 2024).</w:t>
            </w:r>
          </w:p>
        </w:tc>
        <w:tc>
          <w:tcPr>
            <w:tcW w:w="2654" w:type="pct"/>
          </w:tcPr>
          <w:p w14:paraId="4CA05C5D" w14:textId="56B4C188" w:rsidR="00E84A96" w:rsidRPr="001310AD" w:rsidRDefault="00E84A96" w:rsidP="009774D7">
            <w:pPr>
              <w:pStyle w:val="PBACTabletext"/>
              <w:keepNext w:val="0"/>
              <w:keepLines w:val="0"/>
              <w:widowControl w:val="0"/>
              <w:suppressLineNumbers w:val="0"/>
              <w:rPr>
                <w:rFonts w:ascii="Arial Narrow" w:hAnsi="Arial Narrow"/>
                <w:szCs w:val="20"/>
              </w:rPr>
            </w:pPr>
            <w:r w:rsidRPr="001310AD">
              <w:rPr>
                <w:rFonts w:ascii="Arial Narrow" w:hAnsi="Arial Narrow"/>
                <w:szCs w:val="20"/>
              </w:rPr>
              <w:t>The resubmission included administration cost</w:t>
            </w:r>
            <w:r w:rsidR="009774D7" w:rsidRPr="001310AD">
              <w:rPr>
                <w:rFonts w:ascii="Arial Narrow" w:hAnsi="Arial Narrow"/>
                <w:szCs w:val="20"/>
              </w:rPr>
              <w:t>s equal to</w:t>
            </w:r>
            <w:r w:rsidRPr="001310AD">
              <w:rPr>
                <w:rFonts w:ascii="Arial Narrow" w:hAnsi="Arial Narrow"/>
                <w:szCs w:val="20"/>
              </w:rPr>
              <w:t xml:space="preserve"> MBS </w:t>
            </w:r>
            <w:r w:rsidR="009774D7" w:rsidRPr="001310AD">
              <w:rPr>
                <w:rFonts w:ascii="Arial Narrow" w:hAnsi="Arial Narrow"/>
                <w:szCs w:val="20"/>
              </w:rPr>
              <w:t>I</w:t>
            </w:r>
            <w:r w:rsidRPr="001310AD">
              <w:rPr>
                <w:rFonts w:ascii="Arial Narrow" w:hAnsi="Arial Narrow"/>
                <w:szCs w:val="20"/>
              </w:rPr>
              <w:t>tem 3</w:t>
            </w:r>
            <w:r w:rsidR="009774D7" w:rsidRPr="001310AD">
              <w:rPr>
                <w:rFonts w:ascii="Arial Narrow" w:hAnsi="Arial Narrow"/>
                <w:szCs w:val="20"/>
              </w:rPr>
              <w:t>,</w:t>
            </w:r>
            <w:r w:rsidRPr="001310AD">
              <w:rPr>
                <w:rFonts w:ascii="Arial Narrow" w:hAnsi="Arial Narrow"/>
                <w:szCs w:val="20"/>
              </w:rPr>
              <w:t xml:space="preserve"> assuming 50% co-vaccination.</w:t>
            </w:r>
            <w:r w:rsidR="00B505AE" w:rsidRPr="001310AD">
              <w:rPr>
                <w:rFonts w:ascii="Arial Narrow" w:hAnsi="Arial Narrow"/>
                <w:szCs w:val="20"/>
              </w:rPr>
              <w:t xml:space="preserve"> The PSCR revised this to 36% of an MBS Item 3, consistent with the PBAC’s advice for </w:t>
            </w:r>
            <w:r w:rsidR="00EC3465" w:rsidRPr="001310AD">
              <w:rPr>
                <w:rFonts w:ascii="Arial Narrow" w:hAnsi="Arial Narrow"/>
                <w:szCs w:val="20"/>
              </w:rPr>
              <w:t>RSVpreF in November 2024</w:t>
            </w:r>
            <w:r w:rsidR="00B505AE" w:rsidRPr="001310AD">
              <w:rPr>
                <w:rFonts w:ascii="Arial Narrow" w:hAnsi="Arial Narrow"/>
                <w:szCs w:val="20"/>
              </w:rPr>
              <w:t>.</w:t>
            </w:r>
          </w:p>
        </w:tc>
      </w:tr>
      <w:tr w:rsidR="00E84A96" w:rsidRPr="001310AD" w14:paraId="76FE7DD8" w14:textId="77777777" w:rsidTr="000466C8">
        <w:trPr>
          <w:trHeight w:val="20"/>
        </w:trPr>
        <w:tc>
          <w:tcPr>
            <w:tcW w:w="536" w:type="pct"/>
          </w:tcPr>
          <w:p w14:paraId="17CD2296" w14:textId="2FC2135E" w:rsidR="00E84A96" w:rsidRPr="001310AD" w:rsidRDefault="00E84A96" w:rsidP="00E84A96">
            <w:pPr>
              <w:pStyle w:val="Tabletext"/>
            </w:pPr>
            <w:r w:rsidRPr="001310AD">
              <w:rPr>
                <w:szCs w:val="20"/>
              </w:rPr>
              <w:t>Presenting the results in age bands</w:t>
            </w:r>
          </w:p>
        </w:tc>
        <w:tc>
          <w:tcPr>
            <w:tcW w:w="1810" w:type="pct"/>
          </w:tcPr>
          <w:p w14:paraId="33B48DF7" w14:textId="324022C4" w:rsidR="00E84A96" w:rsidRPr="001310AD" w:rsidRDefault="00E84A96" w:rsidP="00E84A96">
            <w:pPr>
              <w:pStyle w:val="Tabletext"/>
            </w:pPr>
            <w:r w:rsidRPr="001310AD">
              <w:rPr>
                <w:szCs w:val="20"/>
              </w:rPr>
              <w:t>A strong age gradient for vaccine cost-effectiveness and presenting the results in age bands required (para</w:t>
            </w:r>
            <w:r w:rsidR="0028375B" w:rsidRPr="001310AD">
              <w:rPr>
                <w:szCs w:val="20"/>
              </w:rPr>
              <w:t>graph</w:t>
            </w:r>
            <w:r w:rsidRPr="001310AD">
              <w:rPr>
                <w:szCs w:val="20"/>
              </w:rPr>
              <w:t xml:space="preserve"> 6.88, </w:t>
            </w:r>
            <w:r w:rsidRPr="001310AD">
              <w:rPr>
                <w:iCs/>
                <w:szCs w:val="20"/>
              </w:rPr>
              <w:t>RSVPreF3 OA</w:t>
            </w:r>
            <w:r w:rsidRPr="001310AD">
              <w:rPr>
                <w:szCs w:val="20"/>
              </w:rPr>
              <w:t xml:space="preserve"> PSD, July 2024).</w:t>
            </w:r>
          </w:p>
        </w:tc>
        <w:tc>
          <w:tcPr>
            <w:tcW w:w="2654" w:type="pct"/>
          </w:tcPr>
          <w:p w14:paraId="30B6FC6C" w14:textId="5A7D596F" w:rsidR="00E84A96" w:rsidRPr="001310AD" w:rsidRDefault="004E0DE7" w:rsidP="004E0DE7">
            <w:pPr>
              <w:pStyle w:val="Tabletext"/>
            </w:pPr>
            <w:r w:rsidRPr="001310AD">
              <w:rPr>
                <w:szCs w:val="20"/>
              </w:rPr>
              <w:t xml:space="preserve">The submission presented results per age group (in 5 year bands) for the </w:t>
            </w:r>
            <w:r w:rsidR="00957A58" w:rsidRPr="001310AD">
              <w:rPr>
                <w:szCs w:val="20"/>
              </w:rPr>
              <w:t>economic evaluations for</w:t>
            </w:r>
            <w:r w:rsidR="00945CE0" w:rsidRPr="001310AD">
              <w:rPr>
                <w:szCs w:val="20"/>
              </w:rPr>
              <w:t xml:space="preserve"> ≥75 YOA</w:t>
            </w:r>
            <w:r w:rsidRPr="001310AD">
              <w:rPr>
                <w:szCs w:val="20"/>
              </w:rPr>
              <w:t>.</w:t>
            </w:r>
            <w:r w:rsidR="00B505AE" w:rsidRPr="001310AD">
              <w:rPr>
                <w:szCs w:val="20"/>
              </w:rPr>
              <w:t xml:space="preserve"> The ESC considered this issue was less pertinent given the submission did not request listing in the 60–74 YOA at-risk population.</w:t>
            </w:r>
          </w:p>
        </w:tc>
      </w:tr>
      <w:tr w:rsidR="00E84A96" w:rsidRPr="001310AD" w14:paraId="6B989E0D" w14:textId="77777777" w:rsidTr="000466C8">
        <w:trPr>
          <w:trHeight w:val="20"/>
        </w:trPr>
        <w:tc>
          <w:tcPr>
            <w:tcW w:w="536" w:type="pct"/>
          </w:tcPr>
          <w:p w14:paraId="596BCAA9" w14:textId="3910981E" w:rsidR="00E84A96" w:rsidRPr="001310AD" w:rsidRDefault="00E84A96" w:rsidP="00E84A96">
            <w:pPr>
              <w:pStyle w:val="Tabletext"/>
            </w:pPr>
            <w:r w:rsidRPr="001310AD">
              <w:rPr>
                <w:szCs w:val="20"/>
              </w:rPr>
              <w:t>Revaccination</w:t>
            </w:r>
          </w:p>
        </w:tc>
        <w:tc>
          <w:tcPr>
            <w:tcW w:w="1810" w:type="pct"/>
          </w:tcPr>
          <w:p w14:paraId="174AA052" w14:textId="57EEFE88" w:rsidR="00E84A96" w:rsidRPr="001310AD" w:rsidRDefault="00E84A96" w:rsidP="00E84A96">
            <w:pPr>
              <w:pStyle w:val="Tabletext"/>
            </w:pPr>
            <w:r w:rsidRPr="001310AD">
              <w:rPr>
                <w:szCs w:val="20"/>
              </w:rPr>
              <w:t>Present information available regarding the need for revaccination, and if relevant include revaccination in the economic model required (para</w:t>
            </w:r>
            <w:r w:rsidR="003D054B" w:rsidRPr="001310AD">
              <w:rPr>
                <w:szCs w:val="20"/>
              </w:rPr>
              <w:t>graph</w:t>
            </w:r>
            <w:r w:rsidRPr="001310AD">
              <w:rPr>
                <w:szCs w:val="20"/>
              </w:rPr>
              <w:t xml:space="preserve"> 6.88, 7.21, </w:t>
            </w:r>
            <w:r w:rsidRPr="001310AD">
              <w:rPr>
                <w:iCs/>
                <w:szCs w:val="20"/>
              </w:rPr>
              <w:t>RSVPreF3 OA</w:t>
            </w:r>
            <w:r w:rsidRPr="001310AD">
              <w:rPr>
                <w:szCs w:val="20"/>
              </w:rPr>
              <w:t xml:space="preserve"> PSD, July 2024).</w:t>
            </w:r>
          </w:p>
        </w:tc>
        <w:tc>
          <w:tcPr>
            <w:tcW w:w="2654" w:type="pct"/>
          </w:tcPr>
          <w:p w14:paraId="24F524FC" w14:textId="2414AAC9" w:rsidR="00E84A96" w:rsidRPr="001310AD" w:rsidRDefault="00E84A96" w:rsidP="00E84A96">
            <w:pPr>
              <w:pStyle w:val="Tabletext"/>
            </w:pPr>
            <w:r w:rsidRPr="001310AD">
              <w:rPr>
                <w:szCs w:val="20"/>
              </w:rPr>
              <w:t xml:space="preserve">The resubmission noted that the need and timing of revaccination </w:t>
            </w:r>
            <w:r w:rsidR="004B3794" w:rsidRPr="001310AD">
              <w:rPr>
                <w:szCs w:val="20"/>
              </w:rPr>
              <w:t xml:space="preserve">was </w:t>
            </w:r>
            <w:r w:rsidRPr="001310AD">
              <w:rPr>
                <w:szCs w:val="20"/>
              </w:rPr>
              <w:t xml:space="preserve">not yet established. </w:t>
            </w:r>
            <w:r w:rsidR="004B3794" w:rsidRPr="001310AD">
              <w:rPr>
                <w:szCs w:val="20"/>
              </w:rPr>
              <w:t xml:space="preserve">No </w:t>
            </w:r>
            <w:r w:rsidRPr="001310AD">
              <w:rPr>
                <w:szCs w:val="20"/>
              </w:rPr>
              <w:t xml:space="preserve">revaccination </w:t>
            </w:r>
            <w:r w:rsidR="004B3794" w:rsidRPr="001310AD">
              <w:rPr>
                <w:szCs w:val="20"/>
              </w:rPr>
              <w:t xml:space="preserve">was </w:t>
            </w:r>
            <w:r w:rsidRPr="001310AD">
              <w:rPr>
                <w:szCs w:val="20"/>
              </w:rPr>
              <w:t xml:space="preserve">proposed in the </w:t>
            </w:r>
            <w:r w:rsidR="004B3794" w:rsidRPr="001310AD">
              <w:rPr>
                <w:szCs w:val="20"/>
              </w:rPr>
              <w:t>resubmission.</w:t>
            </w:r>
          </w:p>
        </w:tc>
      </w:tr>
    </w:tbl>
    <w:p w14:paraId="7F74BECA" w14:textId="77777777" w:rsidR="001276B6" w:rsidRPr="001310AD" w:rsidRDefault="001276B6" w:rsidP="001276B6">
      <w:pPr>
        <w:pStyle w:val="FooterTableFigure"/>
        <w:rPr>
          <w:rStyle w:val="CommentReference"/>
          <w:b w:val="0"/>
          <w:sz w:val="18"/>
          <w:szCs w:val="18"/>
        </w:rPr>
      </w:pPr>
      <w:r w:rsidRPr="001310AD">
        <w:t>Source: Complied during the evaluation; Table 3-1, p166 of the resubmission.</w:t>
      </w:r>
    </w:p>
    <w:p w14:paraId="6F83D3C0" w14:textId="1785DAB0" w:rsidR="007F2868" w:rsidRPr="001310AD" w:rsidRDefault="001276B6" w:rsidP="0074775A">
      <w:pPr>
        <w:pStyle w:val="FooterTableFigure"/>
      </w:pPr>
      <w:r w:rsidRPr="001310AD">
        <w:t xml:space="preserve">ATAGI = Australian Technical Advisory Group on Immunisation; CEA = cost-effectiveness analysis; ESC = Economic Sub Committee; LOS = length of stay; </w:t>
      </w:r>
      <w:r w:rsidRPr="001310AD">
        <w:rPr>
          <w:rStyle w:val="CommentReference"/>
          <w:b w:val="0"/>
          <w:sz w:val="18"/>
          <w:szCs w:val="22"/>
        </w:rPr>
        <w:t xml:space="preserve">LRTD = lower respiratory tract disease; </w:t>
      </w:r>
      <w:r w:rsidR="00C14798" w:rsidRPr="001310AD">
        <w:t xml:space="preserve">MBS = Medicare Benefits Schedule; </w:t>
      </w:r>
      <w:r w:rsidRPr="001310AD">
        <w:t xml:space="preserve">NEP = National Efficient Price; </w:t>
      </w:r>
      <w:r w:rsidR="00354753" w:rsidRPr="001310AD">
        <w:t xml:space="preserve">OA = older adults; </w:t>
      </w:r>
      <w:r w:rsidRPr="001310AD">
        <w:t xml:space="preserve">PBAC = Pharmaceutical Benefits Advisory Committee; </w:t>
      </w:r>
      <w:r w:rsidR="001F601C" w:rsidRPr="001310AD">
        <w:t xml:space="preserve">PSCR = Pre-Sub-Committee Response; </w:t>
      </w:r>
      <w:r w:rsidRPr="001310AD">
        <w:t>PSD = Public Summary Document; RSV = respiratory syncytial virus; RSVPreF3 OA</w:t>
      </w:r>
      <w:r w:rsidRPr="001310AD">
        <w:rPr>
          <w:b/>
          <w:bCs/>
        </w:rPr>
        <w:t xml:space="preserve"> </w:t>
      </w:r>
      <w:r w:rsidRPr="001310AD">
        <w:t xml:space="preserve">= RSV </w:t>
      </w:r>
      <w:r w:rsidR="00036000" w:rsidRPr="001310AD">
        <w:t>p</w:t>
      </w:r>
      <w:r w:rsidRPr="001310AD">
        <w:t>re-fusion protein 3 older adult;</w:t>
      </w:r>
      <w:r w:rsidRPr="001310AD">
        <w:rPr>
          <w:rStyle w:val="CommentReference"/>
          <w:b w:val="0"/>
          <w:sz w:val="18"/>
          <w:szCs w:val="22"/>
        </w:rPr>
        <w:t xml:space="preserve"> TGA = </w:t>
      </w:r>
      <w:r w:rsidRPr="001310AD">
        <w:t>Therapeutic Goods Administration; VE = vaccine efficacy; YOA = years of age.</w:t>
      </w:r>
    </w:p>
    <w:p w14:paraId="451643AE" w14:textId="77777777" w:rsidR="007F2868" w:rsidRPr="001310AD" w:rsidRDefault="007F2868" w:rsidP="0074775A">
      <w:pPr>
        <w:pStyle w:val="FooterTableFigure"/>
        <w:rPr>
          <w:rStyle w:val="CommentReference"/>
          <w:b w:val="0"/>
          <w:sz w:val="18"/>
          <w:szCs w:val="22"/>
        </w:rPr>
      </w:pPr>
    </w:p>
    <w:p w14:paraId="3D73ECD1" w14:textId="05235CCB" w:rsidR="006D4041" w:rsidRPr="001310AD" w:rsidRDefault="00BB20B5" w:rsidP="00BB20B5">
      <w:pPr>
        <w:pStyle w:val="3-BodyText"/>
      </w:pPr>
      <w:bookmarkStart w:id="12" w:name="_Toc107902078"/>
      <w:bookmarkEnd w:id="12"/>
      <w:r w:rsidRPr="001310AD">
        <w:t xml:space="preserve">RSVPreF3 OA was considered and </w:t>
      </w:r>
      <w:r w:rsidR="009F6FDA" w:rsidRPr="001310AD">
        <w:t>not recommended</w:t>
      </w:r>
      <w:r w:rsidRPr="001310AD">
        <w:t xml:space="preserve"> by the PBAC at the July 2024 meeting</w:t>
      </w:r>
      <w:r w:rsidR="000555B0" w:rsidRPr="001310AD">
        <w:t xml:space="preserve"> for two alternative </w:t>
      </w:r>
      <w:r w:rsidR="00CE2E02" w:rsidRPr="001310AD">
        <w:t>populations</w:t>
      </w:r>
      <w:r w:rsidR="000555B0" w:rsidRPr="001310AD">
        <w:t xml:space="preserve"> (i) adults aged ≥60 YOA; and (ii) adults ≥75 YOA</w:t>
      </w:r>
      <w:r w:rsidRPr="001310AD">
        <w:t>.</w:t>
      </w:r>
      <w:r w:rsidR="00444363" w:rsidRPr="001310AD">
        <w:t xml:space="preserve"> </w:t>
      </w:r>
      <w:r w:rsidR="00083154" w:rsidRPr="001310AD">
        <w:t>In July 2024, the PBAC considered:</w:t>
      </w:r>
    </w:p>
    <w:p w14:paraId="00E799A8" w14:textId="480BBBD4" w:rsidR="0054577D" w:rsidRPr="001310AD" w:rsidRDefault="00BB20B5">
      <w:pPr>
        <w:pStyle w:val="3-BodyText"/>
        <w:numPr>
          <w:ilvl w:val="0"/>
          <w:numId w:val="14"/>
        </w:numPr>
      </w:pPr>
      <w:r w:rsidRPr="001310AD">
        <w:t>RSVPreF3 OA was superior in effectiveness against no vaccine</w:t>
      </w:r>
      <w:r w:rsidR="001811E2" w:rsidRPr="001310AD">
        <w:t xml:space="preserve"> </w:t>
      </w:r>
      <w:r w:rsidR="001811E2" w:rsidRPr="001310AD">
        <w:rPr>
          <w:szCs w:val="20"/>
        </w:rPr>
        <w:t>in adults ≥60 YOA</w:t>
      </w:r>
      <w:r w:rsidR="000A134D" w:rsidRPr="001310AD">
        <w:rPr>
          <w:szCs w:val="20"/>
        </w:rPr>
        <w:t xml:space="preserve"> over 2 RSV seasons</w:t>
      </w:r>
      <w:r w:rsidR="009C6B89" w:rsidRPr="001310AD">
        <w:rPr>
          <w:szCs w:val="20"/>
        </w:rPr>
        <w:t xml:space="preserve"> (</w:t>
      </w:r>
      <w:r w:rsidR="009C6B89" w:rsidRPr="001310AD">
        <w:t>paragraph</w:t>
      </w:r>
      <w:r w:rsidR="00B33A9D" w:rsidRPr="001310AD">
        <w:t>s</w:t>
      </w:r>
      <w:r w:rsidR="009C6B89" w:rsidRPr="001310AD">
        <w:t xml:space="preserve"> 7.1</w:t>
      </w:r>
      <w:r w:rsidR="00FD446E" w:rsidRPr="001310AD">
        <w:t>2</w:t>
      </w:r>
      <w:r w:rsidR="00B33A9D" w:rsidRPr="001310AD">
        <w:t xml:space="preserve"> and 7.13</w:t>
      </w:r>
      <w:r w:rsidR="009C6B89" w:rsidRPr="001310AD">
        <w:t>, RSVPreF3 OA PSD, July 2024)</w:t>
      </w:r>
      <w:r w:rsidR="00E70427" w:rsidRPr="001310AD">
        <w:t>.</w:t>
      </w:r>
      <w:r w:rsidRPr="001310AD">
        <w:t xml:space="preserve"> </w:t>
      </w:r>
    </w:p>
    <w:p w14:paraId="2FFF26C5" w14:textId="49FDA384" w:rsidR="00752D18" w:rsidRPr="001310AD" w:rsidRDefault="004F49F5">
      <w:pPr>
        <w:pStyle w:val="3-BodyText"/>
        <w:numPr>
          <w:ilvl w:val="0"/>
          <w:numId w:val="14"/>
        </w:numPr>
      </w:pPr>
      <w:r w:rsidRPr="001310AD">
        <w:t>T</w:t>
      </w:r>
      <w:r w:rsidR="00BB20B5" w:rsidRPr="001310AD">
        <w:t xml:space="preserve">he incremental cost-effectiveness ratio </w:t>
      </w:r>
      <w:r w:rsidR="00E521B6" w:rsidRPr="001310AD">
        <w:t xml:space="preserve">(ICER) </w:t>
      </w:r>
      <w:r w:rsidR="00BB20B5" w:rsidRPr="001310AD">
        <w:t>was unacceptably high</w:t>
      </w:r>
      <w:r w:rsidR="00F41F89" w:rsidRPr="001310AD">
        <w:t xml:space="preserve"> </w:t>
      </w:r>
      <w:r w:rsidR="00F41F89" w:rsidRPr="001310AD">
        <w:rPr>
          <w:snapToGrid w:val="0"/>
        </w:rPr>
        <w:t xml:space="preserve">and uncertain for </w:t>
      </w:r>
      <w:r w:rsidR="00083154" w:rsidRPr="001310AD">
        <w:t xml:space="preserve">both populations proposed by the submission at the proposed price (paragraph 7.17, RSVPreF3 OA PSD, July 2024). </w:t>
      </w:r>
      <w:r w:rsidR="0050718E" w:rsidRPr="001310AD">
        <w:t>The PBAC noted that</w:t>
      </w:r>
      <w:r w:rsidR="00134421" w:rsidRPr="001310AD">
        <w:t xml:space="preserve"> the ICER increased to over </w:t>
      </w:r>
      <w:r w:rsidR="004B590C" w:rsidRPr="004B590C">
        <w:t>$55,000 to &lt; $75,000</w:t>
      </w:r>
      <w:r w:rsidR="00134421" w:rsidRPr="001310AD">
        <w:t xml:space="preserve">/QALY for </w:t>
      </w:r>
      <w:r w:rsidR="00134421" w:rsidRPr="001310AD">
        <w:rPr>
          <w:rFonts w:cstheme="minorHAnsi"/>
        </w:rPr>
        <w:t>≥</w:t>
      </w:r>
      <w:r w:rsidR="00134421" w:rsidRPr="001310AD">
        <w:t>60</w:t>
      </w:r>
      <w:r w:rsidR="001A766A" w:rsidRPr="001310AD">
        <w:t> </w:t>
      </w:r>
      <w:r w:rsidR="00134421" w:rsidRPr="001310AD">
        <w:t xml:space="preserve">YOA and over </w:t>
      </w:r>
      <w:r w:rsidR="0043508A" w:rsidRPr="0043508A">
        <w:t>$25,000 to &lt; $35,000</w:t>
      </w:r>
      <w:r w:rsidR="00134421" w:rsidRPr="001310AD">
        <w:t xml:space="preserve">/QALY for </w:t>
      </w:r>
      <w:r w:rsidR="00134421" w:rsidRPr="001310AD">
        <w:rPr>
          <w:rFonts w:cstheme="minorHAnsi"/>
        </w:rPr>
        <w:t>≥</w:t>
      </w:r>
      <w:r w:rsidR="00134421" w:rsidRPr="001310AD">
        <w:t>75 YOA</w:t>
      </w:r>
      <w:r w:rsidR="00997205" w:rsidRPr="001310AD">
        <w:t xml:space="preserve"> (</w:t>
      </w:r>
      <w:r w:rsidR="00E57982" w:rsidRPr="001310AD">
        <w:t xml:space="preserve">paragraph </w:t>
      </w:r>
      <w:r w:rsidR="00A419EF" w:rsidRPr="001310AD">
        <w:t>7.17</w:t>
      </w:r>
      <w:r w:rsidR="00E57982" w:rsidRPr="001310AD">
        <w:t>, RSVPreF3 OA PSD, July 2024</w:t>
      </w:r>
      <w:r w:rsidR="00997205" w:rsidRPr="001310AD">
        <w:t>)</w:t>
      </w:r>
      <w:r w:rsidR="0050718E" w:rsidRPr="001310AD">
        <w:t xml:space="preserve"> </w:t>
      </w:r>
      <w:r w:rsidR="001A766A" w:rsidRPr="001310AD">
        <w:t xml:space="preserve">using </w:t>
      </w:r>
      <w:r w:rsidR="0050718E" w:rsidRPr="001310AD">
        <w:t xml:space="preserve">a multivariate sensitivity analysis </w:t>
      </w:r>
      <w:r w:rsidR="00343917" w:rsidRPr="001310AD">
        <w:t>that assumed</w:t>
      </w:r>
      <w:r w:rsidR="002D76AB" w:rsidRPr="001310AD">
        <w:t xml:space="preserve"> </w:t>
      </w:r>
      <w:r w:rsidR="009F0DB6" w:rsidRPr="001310AD">
        <w:t>vaccine efficacy (</w:t>
      </w:r>
      <w:r w:rsidR="002D76AB" w:rsidRPr="001310AD">
        <w:t>VE</w:t>
      </w:r>
      <w:r w:rsidR="009F0DB6" w:rsidRPr="001310AD">
        <w:t>)</w:t>
      </w:r>
      <w:r w:rsidR="002D76AB" w:rsidRPr="001310AD">
        <w:t xml:space="preserve"> over 2 years</w:t>
      </w:r>
      <w:r w:rsidR="00C51BD3" w:rsidRPr="001310AD">
        <w:t xml:space="preserve"> (using VE analysis 4, which corresponded to a</w:t>
      </w:r>
      <w:r w:rsidR="002D76AB" w:rsidRPr="001310AD">
        <w:t xml:space="preserve"> median follow-up of 23.3 months</w:t>
      </w:r>
      <w:r w:rsidR="00C51BD3" w:rsidRPr="001310AD">
        <w:t>)</w:t>
      </w:r>
      <w:r w:rsidR="003033D5" w:rsidRPr="001310AD">
        <w:t>,</w:t>
      </w:r>
      <w:r w:rsidR="002D76AB" w:rsidRPr="001310AD">
        <w:t xml:space="preserve"> and</w:t>
      </w:r>
      <w:r w:rsidR="00B62B47" w:rsidRPr="001310AD">
        <w:t xml:space="preserve"> a reduced hospitalisation cost (using unadjusted NHCDC cost weights hospitalisation costs</w:t>
      </w:r>
      <w:r w:rsidR="00C51BD3" w:rsidRPr="001310AD">
        <w:t>)</w:t>
      </w:r>
      <w:r w:rsidR="00B62B47" w:rsidRPr="001310AD">
        <w:t>.</w:t>
      </w:r>
      <w:r w:rsidR="0050718E" w:rsidRPr="001310AD">
        <w:t xml:space="preserve"> </w:t>
      </w:r>
    </w:p>
    <w:p w14:paraId="18E19091" w14:textId="5CE8D9EA" w:rsidR="00BB20B5" w:rsidRPr="001310AD" w:rsidRDefault="004F49F5">
      <w:pPr>
        <w:pStyle w:val="3-BodyText"/>
        <w:numPr>
          <w:ilvl w:val="0"/>
          <w:numId w:val="14"/>
        </w:numPr>
      </w:pPr>
      <w:r w:rsidRPr="001310AD">
        <w:t>T</w:t>
      </w:r>
      <w:r w:rsidR="00BB20B5" w:rsidRPr="001310AD">
        <w:t xml:space="preserve">he cost-effectiveness </w:t>
      </w:r>
      <w:r w:rsidR="007A1AF0" w:rsidRPr="001310AD">
        <w:t xml:space="preserve">of </w:t>
      </w:r>
      <w:r w:rsidR="00D35D09" w:rsidRPr="001310AD">
        <w:t>RSVPreF3</w:t>
      </w:r>
      <w:r w:rsidR="00BB20B5" w:rsidRPr="001310AD">
        <w:t xml:space="preserve"> OA in Aboriginal and Tor</w:t>
      </w:r>
      <w:r w:rsidR="0076468D" w:rsidRPr="001310AD">
        <w:t>r</w:t>
      </w:r>
      <w:r w:rsidR="00BB20B5" w:rsidRPr="001310AD">
        <w:t>es Strait Islander people aged 60-74 years</w:t>
      </w:r>
      <w:r w:rsidR="00BF2E0F" w:rsidRPr="001310AD">
        <w:t xml:space="preserve">, and </w:t>
      </w:r>
      <w:r w:rsidR="00FA22CE" w:rsidRPr="001310AD">
        <w:rPr>
          <w:snapToGrid w:val="0"/>
        </w:rPr>
        <w:t>high risk people aged 60-74 years</w:t>
      </w:r>
      <w:r w:rsidR="00DA4652" w:rsidRPr="001310AD">
        <w:rPr>
          <w:snapToGrid w:val="0"/>
        </w:rPr>
        <w:t>,</w:t>
      </w:r>
      <w:r w:rsidR="00BB20B5" w:rsidRPr="001310AD">
        <w:t xml:space="preserve"> was unknown</w:t>
      </w:r>
      <w:r w:rsidR="00616B02" w:rsidRPr="001310AD">
        <w:t xml:space="preserve"> </w:t>
      </w:r>
      <w:r w:rsidR="00616B02" w:rsidRPr="001310AD">
        <w:rPr>
          <w:snapToGrid w:val="0"/>
        </w:rPr>
        <w:t>as this was not addressed by the submission</w:t>
      </w:r>
      <w:r w:rsidR="00BB20B5" w:rsidRPr="001310AD">
        <w:t xml:space="preserve"> (para</w:t>
      </w:r>
      <w:r w:rsidR="00446741" w:rsidRPr="001310AD">
        <w:t>graph</w:t>
      </w:r>
      <w:r w:rsidR="00BB20B5" w:rsidRPr="001310AD">
        <w:t xml:space="preserve"> 7.1, RSVPreF3 OA PSD, July 2024).</w:t>
      </w:r>
    </w:p>
    <w:p w14:paraId="3A158B46" w14:textId="3541FEAC" w:rsidR="00BB20B5" w:rsidRPr="001310AD" w:rsidRDefault="00BB20B5" w:rsidP="00BB20B5">
      <w:pPr>
        <w:pStyle w:val="3-BodyText"/>
      </w:pPr>
      <w:bookmarkStart w:id="13" w:name="_Ref200614603"/>
      <w:r w:rsidRPr="001310AD">
        <w:t xml:space="preserve">The PBAC considered </w:t>
      </w:r>
      <w:r w:rsidR="00193EF0" w:rsidRPr="001310AD">
        <w:t>an</w:t>
      </w:r>
      <w:r w:rsidRPr="001310AD">
        <w:t xml:space="preserve"> </w:t>
      </w:r>
      <w:r w:rsidR="00E521B6" w:rsidRPr="001310AD">
        <w:t xml:space="preserve">application for </w:t>
      </w:r>
      <w:r w:rsidRPr="001310AD">
        <w:t>RSVPreF</w:t>
      </w:r>
      <w:r w:rsidR="00B9206D" w:rsidRPr="001310AD">
        <w:t xml:space="preserve"> (Abrysvo)</w:t>
      </w:r>
      <w:r w:rsidR="006A243B" w:rsidRPr="001310AD">
        <w:t xml:space="preserve"> in older adults</w:t>
      </w:r>
      <w:r w:rsidRPr="001310AD">
        <w:t xml:space="preserve">, </w:t>
      </w:r>
      <w:r w:rsidR="00E521B6" w:rsidRPr="001310AD">
        <w:t xml:space="preserve">the proposed near market comparator, </w:t>
      </w:r>
      <w:r w:rsidRPr="001310AD">
        <w:t xml:space="preserve">at its </w:t>
      </w:r>
      <w:r w:rsidR="00B10EF9" w:rsidRPr="001310AD">
        <w:t xml:space="preserve">November </w:t>
      </w:r>
      <w:r w:rsidRPr="001310AD">
        <w:t xml:space="preserve">2024 PBAC meeting. It recommended NIP listing for adults aged ≥75 years and for Aboriginal and Torres Strait Islander people aged 60–74 years. However, it did not support listing for adults aged 60–74 at high risk of severe RSV disease. This exclusion was due to concerns that the economic evaluation lacked a robust estimate of cost-effectiveness, with baseline </w:t>
      </w:r>
      <w:r w:rsidRPr="001310AD">
        <w:lastRenderedPageBreak/>
        <w:t>risks and benefits unclear and likely overestimated. While the PBAC acknowledged the vaccine's superiority over no vaccine in terms of effectiveness and its acceptable safety profile, it noted uncertainty around the magnitude and duration of protection in the proposed populations. The cost-effectiveness analysis was to be revised to achieve an ICER between $5,000 and &lt;$15,000 per QALY gained</w:t>
      </w:r>
      <w:r w:rsidR="003F2567" w:rsidRPr="001310AD">
        <w:t xml:space="preserve"> for both the</w:t>
      </w:r>
      <w:r w:rsidR="00236747" w:rsidRPr="001310AD">
        <w:t xml:space="preserve"> (i)</w:t>
      </w:r>
      <w:r w:rsidR="003F2567" w:rsidRPr="001310AD">
        <w:t xml:space="preserve"> ≥75 </w:t>
      </w:r>
      <w:r w:rsidR="002F2133" w:rsidRPr="001310AD">
        <w:t>YOA</w:t>
      </w:r>
      <w:r w:rsidR="00AB3D0D" w:rsidRPr="001310AD">
        <w:t>;</w:t>
      </w:r>
      <w:r w:rsidR="003F2567" w:rsidRPr="001310AD">
        <w:t xml:space="preserve"> and</w:t>
      </w:r>
      <w:r w:rsidR="00236747" w:rsidRPr="001310AD">
        <w:t xml:space="preserve"> (ii)</w:t>
      </w:r>
      <w:r w:rsidR="003F2567" w:rsidRPr="001310AD">
        <w:t xml:space="preserve"> Aboriginal and Torres Strait Islander people aged 60–74 years</w:t>
      </w:r>
      <w:r w:rsidR="00236747" w:rsidRPr="001310AD">
        <w:t xml:space="preserve"> populations</w:t>
      </w:r>
      <w:r w:rsidRPr="001310AD">
        <w:t xml:space="preserve"> (para</w:t>
      </w:r>
      <w:r w:rsidR="00CD3753" w:rsidRPr="001310AD">
        <w:t>gra</w:t>
      </w:r>
      <w:r w:rsidR="00F410CB" w:rsidRPr="001310AD">
        <w:t>ph</w:t>
      </w:r>
      <w:r w:rsidR="00664344" w:rsidRPr="001310AD">
        <w:t>s</w:t>
      </w:r>
      <w:r w:rsidRPr="001310AD">
        <w:t xml:space="preserve"> 7.1,</w:t>
      </w:r>
      <w:r w:rsidR="00664344" w:rsidRPr="001310AD">
        <w:t xml:space="preserve"> 7.17 and</w:t>
      </w:r>
      <w:r w:rsidR="0065236A" w:rsidRPr="001310AD">
        <w:t xml:space="preserve"> 7.19,</w:t>
      </w:r>
      <w:r w:rsidRPr="001310AD">
        <w:t xml:space="preserve"> RSVPreF PSD, November 2024). The PBAC noted that listing was requested for a single dose and that the need for revaccination was unknown (para</w:t>
      </w:r>
      <w:r w:rsidR="00F410CB" w:rsidRPr="001310AD">
        <w:t>graph</w:t>
      </w:r>
      <w:r w:rsidRPr="001310AD">
        <w:t xml:space="preserve"> 7.9, RSVPreF PSD, November 2024). </w:t>
      </w:r>
      <w:bookmarkEnd w:id="13"/>
    </w:p>
    <w:p w14:paraId="69551824" w14:textId="008C186A" w:rsidR="00A334C0" w:rsidRPr="001310AD" w:rsidRDefault="00A334C0" w:rsidP="00A334C0">
      <w:pPr>
        <w:pStyle w:val="3-BodyText"/>
        <w:numPr>
          <w:ilvl w:val="0"/>
          <w:numId w:val="0"/>
        </w:numPr>
        <w:ind w:left="720"/>
        <w:rPr>
          <w:i/>
        </w:rPr>
      </w:pPr>
      <w:r w:rsidRPr="001310AD">
        <w:rPr>
          <w:i/>
        </w:rPr>
        <w:t>For more detail on PBAC’s view, see section 7 PBAC outcome.</w:t>
      </w:r>
    </w:p>
    <w:p w14:paraId="65F7AC87" w14:textId="77777777" w:rsidR="003A7758" w:rsidRPr="001310AD" w:rsidRDefault="003A7758" w:rsidP="003A7758">
      <w:pPr>
        <w:pStyle w:val="4-SubsectionHeading"/>
      </w:pPr>
      <w:bookmarkStart w:id="14" w:name="_Toc177558733"/>
      <w:r w:rsidRPr="001310AD">
        <w:t>ATAGI advice</w:t>
      </w:r>
      <w:bookmarkEnd w:id="14"/>
      <w:r w:rsidRPr="001310AD">
        <w:t xml:space="preserve"> </w:t>
      </w:r>
    </w:p>
    <w:p w14:paraId="46F220A5" w14:textId="1E207560" w:rsidR="003A7758" w:rsidRPr="001310AD" w:rsidRDefault="003A7758" w:rsidP="002E025E">
      <w:pPr>
        <w:pStyle w:val="3-BodyText"/>
      </w:pPr>
      <w:bookmarkStart w:id="15" w:name="_Ref204205841"/>
      <w:r w:rsidRPr="001310AD">
        <w:t xml:space="preserve">The Australian Technical Advisory Group on Immunisation (ATAGI) provided </w:t>
      </w:r>
      <w:proofErr w:type="spellStart"/>
      <w:r w:rsidRPr="001310AD">
        <w:t>pre</w:t>
      </w:r>
      <w:r w:rsidR="0043198B" w:rsidRPr="001310AD">
        <w:noBreakHyphen/>
      </w:r>
      <w:r w:rsidRPr="001310AD">
        <w:t>submission</w:t>
      </w:r>
      <w:proofErr w:type="spellEnd"/>
      <w:r w:rsidRPr="001310AD">
        <w:t xml:space="preserve"> advice for the PBAC to consider for this resubmission, dated 7 March 2025. The ATAGI previously provided </w:t>
      </w:r>
      <w:r w:rsidR="0043198B" w:rsidRPr="001310AD">
        <w:t xml:space="preserve">advice for the </w:t>
      </w:r>
      <w:r w:rsidR="005C08C4" w:rsidRPr="001310AD">
        <w:t xml:space="preserve">RSVPreF3 OA </w:t>
      </w:r>
      <w:r w:rsidR="0043198B" w:rsidRPr="001310AD">
        <w:t xml:space="preserve">submission considered at the July 2024 PBAC meeting, including </w:t>
      </w:r>
      <w:proofErr w:type="spellStart"/>
      <w:r w:rsidR="0043198B" w:rsidRPr="001310AD">
        <w:t>pre</w:t>
      </w:r>
      <w:r w:rsidR="0043198B" w:rsidRPr="001310AD">
        <w:noBreakHyphen/>
        <w:t>submission</w:t>
      </w:r>
      <w:proofErr w:type="spellEnd"/>
      <w:r w:rsidR="0043198B" w:rsidRPr="001310AD">
        <w:t xml:space="preserve"> advice dated 21 December 2023, and post-submission advice dated 2 May 2024.</w:t>
      </w:r>
      <w:bookmarkEnd w:id="15"/>
    </w:p>
    <w:p w14:paraId="36E0D3FB" w14:textId="059404BA" w:rsidR="008E52ED" w:rsidRPr="001310AD" w:rsidRDefault="00897249" w:rsidP="00043026">
      <w:pPr>
        <w:pStyle w:val="2-SectionHeading"/>
      </w:pPr>
      <w:bookmarkStart w:id="16" w:name="_Toc198731694"/>
      <w:r w:rsidRPr="001310AD">
        <w:t>Requested listing</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969"/>
        <w:gridCol w:w="1778"/>
        <w:gridCol w:w="4270"/>
      </w:tblGrid>
      <w:tr w:rsidR="00C81658" w:rsidRPr="001310AD" w14:paraId="20541746" w14:textId="77777777" w:rsidTr="00C81658">
        <w:trPr>
          <w:cantSplit/>
          <w:trHeight w:val="20"/>
        </w:trPr>
        <w:tc>
          <w:tcPr>
            <w:tcW w:w="1646" w:type="pct"/>
            <w:vAlign w:val="center"/>
          </w:tcPr>
          <w:p w14:paraId="2D320094" w14:textId="77777777" w:rsidR="00C81658" w:rsidRPr="001310AD" w:rsidRDefault="00C81658" w:rsidP="003719EF">
            <w:pPr>
              <w:pStyle w:val="TableFigureHeading"/>
              <w:keepLines/>
            </w:pPr>
            <w:r w:rsidRPr="001310AD">
              <w:t>MEDICINAL PRODUCT</w:t>
            </w:r>
          </w:p>
        </w:tc>
        <w:tc>
          <w:tcPr>
            <w:tcW w:w="986" w:type="pct"/>
            <w:vAlign w:val="center"/>
          </w:tcPr>
          <w:p w14:paraId="724CF16C" w14:textId="77777777" w:rsidR="00C81658" w:rsidRPr="001310AD" w:rsidRDefault="00C81658" w:rsidP="003719EF">
            <w:pPr>
              <w:pStyle w:val="TableFigureHeading"/>
              <w:keepLines/>
              <w:jc w:val="center"/>
            </w:pPr>
            <w:r w:rsidRPr="001310AD">
              <w:rPr>
                <w:snapToGrid w:val="0"/>
              </w:rPr>
              <w:t>NIP price</w:t>
            </w:r>
          </w:p>
        </w:tc>
        <w:tc>
          <w:tcPr>
            <w:tcW w:w="2368" w:type="pct"/>
            <w:vAlign w:val="center"/>
          </w:tcPr>
          <w:p w14:paraId="16F717AD" w14:textId="77777777" w:rsidR="00C81658" w:rsidRPr="001310AD" w:rsidRDefault="00C81658" w:rsidP="003719EF">
            <w:pPr>
              <w:pStyle w:val="TableFigureHeading"/>
              <w:keepLines/>
              <w:jc w:val="center"/>
            </w:pPr>
            <w:r w:rsidRPr="001310AD">
              <w:t>Available brands</w:t>
            </w:r>
          </w:p>
        </w:tc>
      </w:tr>
      <w:tr w:rsidR="00C81658" w:rsidRPr="001310AD" w14:paraId="3DB95C88" w14:textId="77777777" w:rsidTr="00C81658">
        <w:trPr>
          <w:cantSplit/>
          <w:trHeight w:val="20"/>
        </w:trPr>
        <w:tc>
          <w:tcPr>
            <w:tcW w:w="1646" w:type="pct"/>
            <w:vAlign w:val="center"/>
          </w:tcPr>
          <w:p w14:paraId="550DA096" w14:textId="6A49EF22" w:rsidR="00C81658" w:rsidRPr="001310AD" w:rsidRDefault="00C81658" w:rsidP="003719EF">
            <w:pPr>
              <w:pStyle w:val="Tabletext"/>
              <w:keepNext/>
              <w:keepLines/>
            </w:pPr>
            <w:r w:rsidRPr="001310AD">
              <w:t xml:space="preserve">Recombinant Respiratory Syncytial Virus (RSV) pre-fusion F protein 3 older adult vaccine, 120 mcg powder vial and suspension </w:t>
            </w:r>
            <w:proofErr w:type="spellStart"/>
            <w:r w:rsidRPr="001310AD">
              <w:t>vial</w:t>
            </w:r>
            <w:r w:rsidRPr="001310AD">
              <w:rPr>
                <w:vertAlign w:val="superscript"/>
              </w:rPr>
              <w:t>a</w:t>
            </w:r>
            <w:proofErr w:type="spellEnd"/>
          </w:p>
        </w:tc>
        <w:tc>
          <w:tcPr>
            <w:tcW w:w="986" w:type="pct"/>
            <w:vAlign w:val="center"/>
          </w:tcPr>
          <w:p w14:paraId="51CAF50A" w14:textId="3C3C4F3E" w:rsidR="00C81658" w:rsidRPr="001310AD" w:rsidRDefault="00C81658" w:rsidP="003719EF">
            <w:pPr>
              <w:pStyle w:val="Tabletext"/>
              <w:keepNext/>
              <w:keepLines/>
              <w:jc w:val="center"/>
            </w:pPr>
            <w:r w:rsidRPr="001310AD">
              <w:t>$</w:t>
            </w:r>
            <w:r w:rsidR="000A3A2D" w:rsidRPr="000A3A2D">
              <w:rPr>
                <w:color w:val="000000"/>
                <w:spacing w:val="51"/>
                <w:shd w:val="solid" w:color="000000" w:fill="000000"/>
                <w:fitText w:val="324" w:id="-628465920"/>
                <w14:textFill>
                  <w14:solidFill>
                    <w14:srgbClr w14:val="000000">
                      <w14:alpha w14:val="100000"/>
                    </w14:srgbClr>
                  </w14:solidFill>
                </w14:textFill>
              </w:rPr>
              <w:t>|||</w:t>
            </w:r>
            <w:r w:rsidR="000A3A2D" w:rsidRPr="000A3A2D">
              <w:rPr>
                <w:color w:val="000000"/>
                <w:spacing w:val="1"/>
                <w:shd w:val="solid" w:color="000000" w:fill="000000"/>
                <w:fitText w:val="324" w:id="-628465920"/>
                <w14:textFill>
                  <w14:solidFill>
                    <w14:srgbClr w14:val="000000">
                      <w14:alpha w14:val="100000"/>
                    </w14:srgbClr>
                  </w14:solidFill>
                </w14:textFill>
              </w:rPr>
              <w:t>|</w:t>
            </w:r>
          </w:p>
          <w:p w14:paraId="371112EE" w14:textId="69342D1B" w:rsidR="00C81658" w:rsidRPr="001310AD" w:rsidRDefault="00C81658" w:rsidP="003719EF">
            <w:pPr>
              <w:pStyle w:val="Tabletext"/>
              <w:keepNext/>
              <w:keepLines/>
              <w:jc w:val="center"/>
            </w:pPr>
            <w:r w:rsidRPr="001310AD">
              <w:t>PSCR: $</w:t>
            </w:r>
            <w:r w:rsidR="000A3A2D" w:rsidRPr="000A3A2D">
              <w:rPr>
                <w:color w:val="000000"/>
                <w:spacing w:val="51"/>
                <w:shd w:val="solid" w:color="000000" w:fill="000000"/>
                <w:fitText w:val="324" w:id="-628465919"/>
                <w14:textFill>
                  <w14:solidFill>
                    <w14:srgbClr w14:val="000000">
                      <w14:alpha w14:val="100000"/>
                    </w14:srgbClr>
                  </w14:solidFill>
                </w14:textFill>
              </w:rPr>
              <w:t>|||</w:t>
            </w:r>
            <w:r w:rsidR="000A3A2D" w:rsidRPr="000A3A2D">
              <w:rPr>
                <w:color w:val="000000"/>
                <w:spacing w:val="1"/>
                <w:shd w:val="solid" w:color="000000" w:fill="000000"/>
                <w:fitText w:val="324" w:id="-628465919"/>
                <w14:textFill>
                  <w14:solidFill>
                    <w14:srgbClr w14:val="000000">
                      <w14:alpha w14:val="100000"/>
                    </w14:srgbClr>
                  </w14:solidFill>
                </w14:textFill>
              </w:rPr>
              <w:t>|</w:t>
            </w:r>
          </w:p>
          <w:p w14:paraId="06D67143" w14:textId="514AD57D" w:rsidR="00C81658" w:rsidRPr="001310AD" w:rsidRDefault="00C81658" w:rsidP="003719EF">
            <w:pPr>
              <w:pStyle w:val="Tabletext"/>
              <w:keepNext/>
              <w:keepLines/>
              <w:jc w:val="center"/>
            </w:pPr>
            <w:r w:rsidRPr="001310AD">
              <w:t>Pre-PBAC: $</w:t>
            </w:r>
            <w:r w:rsidR="000A3A2D" w:rsidRPr="000A3A2D">
              <w:rPr>
                <w:color w:val="000000"/>
                <w:spacing w:val="51"/>
                <w:shd w:val="solid" w:color="000000" w:fill="000000"/>
                <w:fitText w:val="324" w:id="-628465918"/>
                <w14:textFill>
                  <w14:solidFill>
                    <w14:srgbClr w14:val="000000">
                      <w14:alpha w14:val="100000"/>
                    </w14:srgbClr>
                  </w14:solidFill>
                </w14:textFill>
              </w:rPr>
              <w:t>|||</w:t>
            </w:r>
            <w:r w:rsidR="000A3A2D" w:rsidRPr="000A3A2D">
              <w:rPr>
                <w:color w:val="000000"/>
                <w:spacing w:val="1"/>
                <w:shd w:val="solid" w:color="000000" w:fill="000000"/>
                <w:fitText w:val="324" w:id="-628465918"/>
                <w14:textFill>
                  <w14:solidFill>
                    <w14:srgbClr w14:val="000000">
                      <w14:alpha w14:val="100000"/>
                    </w14:srgbClr>
                  </w14:solidFill>
                </w14:textFill>
              </w:rPr>
              <w:t>|</w:t>
            </w:r>
          </w:p>
        </w:tc>
        <w:tc>
          <w:tcPr>
            <w:tcW w:w="2368" w:type="pct"/>
            <w:shd w:val="clear" w:color="auto" w:fill="B8CCE4" w:themeFill="accent1" w:themeFillTint="66"/>
            <w:vAlign w:val="center"/>
          </w:tcPr>
          <w:p w14:paraId="1B94FCF7" w14:textId="77777777" w:rsidR="00C81658" w:rsidRPr="001310AD" w:rsidRDefault="00C81658" w:rsidP="003719EF">
            <w:pPr>
              <w:pStyle w:val="Tabletext"/>
              <w:keepNext/>
              <w:keepLines/>
              <w:jc w:val="center"/>
            </w:pPr>
            <w:r w:rsidRPr="001310AD">
              <w:t>Arexvy</w:t>
            </w:r>
          </w:p>
        </w:tc>
      </w:tr>
      <w:tr w:rsidR="00DC7B59" w:rsidRPr="001310AD" w14:paraId="49446F73" w14:textId="77777777" w:rsidTr="0009114D">
        <w:trPr>
          <w:cantSplit/>
          <w:trHeight w:val="20"/>
        </w:trPr>
        <w:tc>
          <w:tcPr>
            <w:tcW w:w="5000" w:type="pct"/>
            <w:gridSpan w:val="3"/>
            <w:vAlign w:val="center"/>
          </w:tcPr>
          <w:p w14:paraId="0B1FAE38" w14:textId="77777777" w:rsidR="00DC7B59" w:rsidRPr="001310AD" w:rsidRDefault="00DC7B59" w:rsidP="003719EF">
            <w:pPr>
              <w:pStyle w:val="Tabletext"/>
              <w:keepNext/>
              <w:keepLines/>
            </w:pPr>
            <w:r w:rsidRPr="001310AD">
              <w:t>National immunisation program</w:t>
            </w:r>
          </w:p>
          <w:p w14:paraId="596B4188" w14:textId="77777777" w:rsidR="00DC7B59" w:rsidRPr="001310AD" w:rsidRDefault="00DC7B59">
            <w:pPr>
              <w:pStyle w:val="Tabletext"/>
              <w:keepNext/>
              <w:keepLines/>
              <w:numPr>
                <w:ilvl w:val="0"/>
                <w:numId w:val="7"/>
              </w:numPr>
              <w:rPr>
                <w:bCs/>
              </w:rPr>
            </w:pPr>
            <w:r w:rsidRPr="001310AD">
              <w:rPr>
                <w:bCs/>
              </w:rPr>
              <w:t>≥ 75 years of age</w:t>
            </w:r>
          </w:p>
          <w:p w14:paraId="02BDD82D" w14:textId="77777777" w:rsidR="00DC7B59" w:rsidRPr="001310AD" w:rsidRDefault="00DC7B59">
            <w:pPr>
              <w:pStyle w:val="Tabletext"/>
              <w:keepNext/>
              <w:keepLines/>
              <w:numPr>
                <w:ilvl w:val="0"/>
                <w:numId w:val="7"/>
              </w:numPr>
            </w:pPr>
            <w:r w:rsidRPr="001310AD">
              <w:t xml:space="preserve">Aboriginal and Torres Strait Islander people aged 60-74 </w:t>
            </w:r>
          </w:p>
          <w:p w14:paraId="481ADAB0" w14:textId="77777777" w:rsidR="00DC7B59" w:rsidRPr="001310AD" w:rsidRDefault="00DC7B59" w:rsidP="003719EF">
            <w:pPr>
              <w:pStyle w:val="Tabletext"/>
              <w:keepNext/>
              <w:keepLines/>
            </w:pPr>
            <w:r w:rsidRPr="001310AD">
              <w:t>Duration of listing: ongoing NIP cohort</w:t>
            </w:r>
          </w:p>
        </w:tc>
      </w:tr>
    </w:tbl>
    <w:p w14:paraId="617473A1" w14:textId="77777777" w:rsidR="00DC7B59" w:rsidRPr="001310AD" w:rsidRDefault="00DC7B59" w:rsidP="003719EF">
      <w:pPr>
        <w:pStyle w:val="TableFooter"/>
        <w:keepNext/>
        <w:keepLines/>
      </w:pPr>
      <w:r w:rsidRPr="001310AD">
        <w:t xml:space="preserve">Source: Compiled during the evaluation from Tables 1-10 p40 and 3-10 p164 of the resubmission. </w:t>
      </w:r>
    </w:p>
    <w:p w14:paraId="4B84D40F" w14:textId="77777777" w:rsidR="00DC7B59" w:rsidRPr="001310AD" w:rsidRDefault="00DC7B59" w:rsidP="003719EF">
      <w:pPr>
        <w:pStyle w:val="TableFigureFooter"/>
        <w:keepNext/>
      </w:pPr>
      <w:r w:rsidRPr="001310AD">
        <w:t>NIP = National Immunisation Program; RSV = respiratory syncytial virus.</w:t>
      </w:r>
    </w:p>
    <w:p w14:paraId="76D0A5C7" w14:textId="54D22847" w:rsidR="00D43B7B" w:rsidRPr="001310AD" w:rsidRDefault="00D43B7B" w:rsidP="00D43B7B">
      <w:pPr>
        <w:pStyle w:val="TableFigureFooter"/>
        <w:keepNext/>
        <w:rPr>
          <w:rStyle w:val="CommentReference"/>
          <w:b w:val="0"/>
          <w:sz w:val="18"/>
          <w:szCs w:val="18"/>
        </w:rPr>
      </w:pPr>
      <w:r w:rsidRPr="001310AD">
        <w:rPr>
          <w:rStyle w:val="CommentReference"/>
          <w:b w:val="0"/>
          <w:sz w:val="18"/>
          <w:szCs w:val="18"/>
        </w:rPr>
        <w:t>a. The PSCR and pre-PBAC response stated that GSK intends to transition from a vial-vial formulation to vial-prefilled syringe formulation</w:t>
      </w:r>
      <w:r w:rsidR="00753896" w:rsidRPr="001310AD">
        <w:rPr>
          <w:rStyle w:val="CommentReference"/>
          <w:b w:val="0"/>
          <w:sz w:val="18"/>
          <w:szCs w:val="18"/>
        </w:rPr>
        <w:t>.</w:t>
      </w:r>
    </w:p>
    <w:p w14:paraId="363AC47E" w14:textId="3167D12E" w:rsidR="00DC7B59" w:rsidRPr="001310AD" w:rsidRDefault="00DC7B59" w:rsidP="003719EF">
      <w:pPr>
        <w:pStyle w:val="TableFigureFooter"/>
        <w:keepNext/>
      </w:pPr>
      <w:r w:rsidRPr="001310AD">
        <w:rPr>
          <w:rStyle w:val="CommentReference"/>
          <w:b w:val="0"/>
          <w:sz w:val="18"/>
          <w:szCs w:val="18"/>
        </w:rPr>
        <w:t xml:space="preserve">Blue shading indicates data information seen by the PBAC. </w:t>
      </w:r>
    </w:p>
    <w:p w14:paraId="22BAEBD6" w14:textId="77777777" w:rsidR="00046D64" w:rsidRPr="001310AD" w:rsidRDefault="00046D64" w:rsidP="004B1CB4"/>
    <w:p w14:paraId="4A5073F9" w14:textId="5D0896A8" w:rsidR="00803962" w:rsidRPr="001310AD" w:rsidRDefault="00803962" w:rsidP="00CE10EE">
      <w:pPr>
        <w:pStyle w:val="3-BodyText"/>
      </w:pPr>
      <w:r w:rsidRPr="00CE10EE">
        <w:rPr>
          <w:snapToGrid w:val="0"/>
        </w:rPr>
        <w:t>The resubmission proposed a price of $</w:t>
      </w:r>
      <w:r w:rsidR="00044091" w:rsidRPr="00044091">
        <w:rPr>
          <w:snapToGrid w:val="0"/>
          <w:sz w:val="2"/>
          <w:highlight w:val="black"/>
        </w:rPr>
        <w:t>redacted content</w:t>
      </w:r>
      <w:r w:rsidRPr="00CE10EE">
        <w:rPr>
          <w:snapToGrid w:val="0"/>
        </w:rPr>
        <w:t>, reduced from the July 2024 submission price of $</w:t>
      </w:r>
      <w:r w:rsidR="00044091" w:rsidRPr="00044091">
        <w:rPr>
          <w:snapToGrid w:val="0"/>
          <w:sz w:val="2"/>
          <w:highlight w:val="black"/>
        </w:rPr>
        <w:t>redacted content</w:t>
      </w:r>
      <w:r w:rsidRPr="00CE10EE">
        <w:rPr>
          <w:snapToGrid w:val="0"/>
        </w:rPr>
        <w:t xml:space="preserve"> per vial.</w:t>
      </w:r>
      <w:r w:rsidR="00CC411D" w:rsidRPr="00CE10EE">
        <w:rPr>
          <w:snapToGrid w:val="0"/>
        </w:rPr>
        <w:t xml:space="preserve"> The </w:t>
      </w:r>
      <w:r w:rsidR="00E77B1C" w:rsidRPr="00CE10EE">
        <w:rPr>
          <w:snapToGrid w:val="0"/>
        </w:rPr>
        <w:t>Pre-Sub-Committee Response (</w:t>
      </w:r>
      <w:r w:rsidR="00CC411D" w:rsidRPr="00CE10EE">
        <w:rPr>
          <w:snapToGrid w:val="0"/>
        </w:rPr>
        <w:t>PSCR</w:t>
      </w:r>
      <w:r w:rsidR="00E77B1C" w:rsidRPr="00CE10EE">
        <w:rPr>
          <w:snapToGrid w:val="0"/>
        </w:rPr>
        <w:t>)</w:t>
      </w:r>
      <w:r w:rsidR="00CC411D" w:rsidRPr="00CE10EE">
        <w:rPr>
          <w:snapToGrid w:val="0"/>
        </w:rPr>
        <w:t xml:space="preserve"> </w:t>
      </w:r>
      <w:r w:rsidR="00601812" w:rsidRPr="00CE10EE">
        <w:rPr>
          <w:snapToGrid w:val="0"/>
        </w:rPr>
        <w:t xml:space="preserve">and pre-PBAC response offered prices of </w:t>
      </w:r>
      <w:r w:rsidR="00A83FA7" w:rsidRPr="00CE10EE">
        <w:rPr>
          <w:snapToGrid w:val="0"/>
        </w:rPr>
        <w:t>$</w:t>
      </w:r>
      <w:r w:rsidR="00044091" w:rsidRPr="00044091">
        <w:rPr>
          <w:snapToGrid w:val="0"/>
          <w:sz w:val="2"/>
          <w:highlight w:val="black"/>
        </w:rPr>
        <w:t>redacted content</w:t>
      </w:r>
      <w:r w:rsidR="00A83FA7" w:rsidRPr="00CE10EE">
        <w:rPr>
          <w:snapToGrid w:val="0"/>
        </w:rPr>
        <w:t xml:space="preserve"> per vial</w:t>
      </w:r>
      <w:r w:rsidR="00601812" w:rsidRPr="00CE10EE">
        <w:rPr>
          <w:snapToGrid w:val="0"/>
        </w:rPr>
        <w:t>, and</w:t>
      </w:r>
      <w:r w:rsidR="00FE61AA" w:rsidRPr="00CE10EE">
        <w:rPr>
          <w:snapToGrid w:val="0"/>
        </w:rPr>
        <w:t xml:space="preserve"> </w:t>
      </w:r>
      <w:r w:rsidR="002F65D1" w:rsidRPr="00CE10EE">
        <w:rPr>
          <w:snapToGrid w:val="0"/>
        </w:rPr>
        <w:t>$</w:t>
      </w:r>
      <w:r w:rsidR="00044091" w:rsidRPr="00044091">
        <w:rPr>
          <w:snapToGrid w:val="0"/>
          <w:sz w:val="2"/>
          <w:highlight w:val="black"/>
        </w:rPr>
        <w:t>redacted content</w:t>
      </w:r>
      <w:r w:rsidR="00CC644D" w:rsidRPr="00CE10EE">
        <w:rPr>
          <w:snapToGrid w:val="0"/>
        </w:rPr>
        <w:t xml:space="preserve"> per vial</w:t>
      </w:r>
      <w:r w:rsidR="00601812" w:rsidRPr="00CE10EE">
        <w:rPr>
          <w:snapToGrid w:val="0"/>
        </w:rPr>
        <w:t>, respectively</w:t>
      </w:r>
      <w:r w:rsidR="00535AEE" w:rsidRPr="001310AD">
        <w:t>.</w:t>
      </w:r>
    </w:p>
    <w:p w14:paraId="149FCC33" w14:textId="2276EBE7" w:rsidR="00304CED" w:rsidRPr="001310AD" w:rsidRDefault="00C251D2" w:rsidP="00F9393E">
      <w:pPr>
        <w:pStyle w:val="3-BodyText"/>
        <w:rPr>
          <w:color w:val="0066FF"/>
        </w:rPr>
      </w:pPr>
      <w:r w:rsidRPr="001310AD">
        <w:t>The Australian Immuni</w:t>
      </w:r>
      <w:r w:rsidR="009E44D5" w:rsidRPr="001310AD">
        <w:t>s</w:t>
      </w:r>
      <w:r w:rsidRPr="001310AD">
        <w:t xml:space="preserve">ation Handbook (AIH) recommends that RSV vaccines may be given at any time of the year but, where possible, should be offered before the start of the RSV season. </w:t>
      </w:r>
      <w:r w:rsidR="00FB4AAE" w:rsidRPr="001310AD">
        <w:t xml:space="preserve">The </w:t>
      </w:r>
      <w:r w:rsidRPr="001310AD">
        <w:t xml:space="preserve">ATAGI stated that, ideally, vaccination would occur prior to the RSV season (if living in an area of seasonality), however, </w:t>
      </w:r>
      <w:r w:rsidR="001F0038" w:rsidRPr="001310AD">
        <w:t xml:space="preserve">it supported </w:t>
      </w:r>
      <w:r w:rsidRPr="001310AD">
        <w:t>a year-round program (ATAGI advice March 2025).</w:t>
      </w:r>
      <w:r w:rsidRPr="001310AD">
        <w:rPr>
          <w:color w:val="0066FF"/>
        </w:rPr>
        <w:t xml:space="preserve"> </w:t>
      </w:r>
    </w:p>
    <w:p w14:paraId="2BB19EF8" w14:textId="7979860E" w:rsidR="0025478A" w:rsidRPr="001310AD" w:rsidRDefault="0024007D" w:rsidP="00B2643B">
      <w:pPr>
        <w:pStyle w:val="3-BodyText"/>
        <w:rPr>
          <w:color w:val="0066FF"/>
        </w:rPr>
      </w:pPr>
      <w:bookmarkStart w:id="17" w:name="_Ref202885355"/>
      <w:r w:rsidRPr="001310AD">
        <w:t xml:space="preserve">The resubmission </w:t>
      </w:r>
      <w:r w:rsidR="003B6D9E" w:rsidRPr="001310AD">
        <w:t>requested</w:t>
      </w:r>
      <w:r w:rsidRPr="001310AD">
        <w:t xml:space="preserve"> NIP listing of a single dose of RSVPreF3 OA</w:t>
      </w:r>
      <w:r w:rsidR="001F0038" w:rsidRPr="001310AD">
        <w:t xml:space="preserve"> per lifetime, and stated that </w:t>
      </w:r>
      <w:r w:rsidR="0025478A" w:rsidRPr="001310AD">
        <w:t xml:space="preserve">the need for revaccination </w:t>
      </w:r>
      <w:r w:rsidR="001F0038" w:rsidRPr="001310AD">
        <w:t xml:space="preserve">was </w:t>
      </w:r>
      <w:r w:rsidR="0025478A" w:rsidRPr="001310AD">
        <w:t>yet to be established.</w:t>
      </w:r>
      <w:r w:rsidR="004E7FA7" w:rsidRPr="001310AD">
        <w:t xml:space="preserve"> </w:t>
      </w:r>
      <w:r w:rsidR="00CF11D4" w:rsidRPr="001310AD">
        <w:t xml:space="preserve">Optimal timing for potential revaccination </w:t>
      </w:r>
      <w:r w:rsidR="00815471" w:rsidRPr="001310AD">
        <w:t>will be informed by two trials that are ongoing</w:t>
      </w:r>
      <w:r w:rsidR="00B2643B" w:rsidRPr="001310AD">
        <w:t xml:space="preserve">: </w:t>
      </w:r>
      <w:r w:rsidR="00CF11D4" w:rsidRPr="001310AD">
        <w:t xml:space="preserve">the pivotal </w:t>
      </w:r>
      <w:r w:rsidR="00CF11D4" w:rsidRPr="001310AD">
        <w:lastRenderedPageBreak/>
        <w:t xml:space="preserve">immunogenicity trial, RSV OA=ADJ-004 </w:t>
      </w:r>
      <w:r w:rsidR="00B2643B" w:rsidRPr="001310AD">
        <w:t xml:space="preserve">and </w:t>
      </w:r>
      <w:r w:rsidR="00CF11D4" w:rsidRPr="001310AD">
        <w:t xml:space="preserve">a new crossover and revaccination extension of </w:t>
      </w:r>
      <w:r w:rsidR="00B2643B" w:rsidRPr="001310AD">
        <w:t>AreSV</w:t>
      </w:r>
      <w:r w:rsidR="005647B8" w:rsidRPr="001310AD">
        <w:t>i</w:t>
      </w:r>
      <w:r w:rsidR="00B2643B" w:rsidRPr="001310AD">
        <w:t>-006</w:t>
      </w:r>
      <w:r w:rsidR="00CF11D4" w:rsidRPr="001310AD">
        <w:t xml:space="preserve"> (RSV OA=ADJ-012, </w:t>
      </w:r>
      <w:hyperlink r:id="rId9">
        <w:r w:rsidR="00CF11D4" w:rsidRPr="001310AD">
          <w:t>NCT06534892</w:t>
        </w:r>
      </w:hyperlink>
      <w:r w:rsidR="00CF11D4" w:rsidRPr="001310AD">
        <w:t>)</w:t>
      </w:r>
      <w:r w:rsidR="005647B8" w:rsidRPr="001310AD">
        <w:t>.</w:t>
      </w:r>
      <w:r w:rsidR="00CF11D4" w:rsidRPr="001310AD">
        <w:t xml:space="preserve"> </w:t>
      </w:r>
      <w:r w:rsidR="005647B8" w:rsidRPr="001310AD">
        <w:t>I</w:t>
      </w:r>
      <w:r w:rsidR="00CF11D4" w:rsidRPr="001310AD">
        <w:t xml:space="preserve">mmune persistence of a single dose of RSVPreF3 OA </w:t>
      </w:r>
      <w:r w:rsidR="00B2643B" w:rsidRPr="001310AD">
        <w:t xml:space="preserve">and </w:t>
      </w:r>
      <w:r w:rsidR="00CF11D4" w:rsidRPr="001310AD">
        <w:t>alternate revaccination schedules will be assessed up to Month 60 after initial vaccination</w:t>
      </w:r>
      <w:r w:rsidR="00815471" w:rsidRPr="001310AD">
        <w:t xml:space="preserve">. </w:t>
      </w:r>
      <w:r w:rsidR="00432E18" w:rsidRPr="001310AD">
        <w:t xml:space="preserve">As such, there is the possibility of a request for NIP listing of a </w:t>
      </w:r>
      <w:r w:rsidR="00BC145E" w:rsidRPr="001310AD">
        <w:t xml:space="preserve">revaccination </w:t>
      </w:r>
      <w:r w:rsidR="001F0038" w:rsidRPr="001310AD">
        <w:t>in the future.</w:t>
      </w:r>
      <w:bookmarkEnd w:id="17"/>
    </w:p>
    <w:p w14:paraId="2DDF4DC2" w14:textId="6F490BE9" w:rsidR="00A334C0" w:rsidRPr="001310AD" w:rsidRDefault="00A334C0" w:rsidP="00A334C0">
      <w:pPr>
        <w:pStyle w:val="3-BodyText"/>
        <w:numPr>
          <w:ilvl w:val="0"/>
          <w:numId w:val="0"/>
        </w:numPr>
        <w:ind w:left="720"/>
        <w:rPr>
          <w:color w:val="0066FF"/>
        </w:rPr>
      </w:pPr>
      <w:r w:rsidRPr="001310AD">
        <w:rPr>
          <w:i/>
        </w:rPr>
        <w:t>For more detail on PBAC’s view, see section 7 PBAC outcome.</w:t>
      </w:r>
    </w:p>
    <w:p w14:paraId="7075B85C" w14:textId="62A47B7B" w:rsidR="00B50DB8" w:rsidRPr="001310AD" w:rsidDel="00195452" w:rsidRDefault="00203181" w:rsidP="00CC7252">
      <w:pPr>
        <w:pStyle w:val="2-SectionHeading"/>
        <w:keepNext w:val="0"/>
        <w:widowControl w:val="0"/>
      </w:pPr>
      <w:bookmarkStart w:id="18" w:name="_Toc198731695"/>
      <w:r w:rsidRPr="001310AD" w:rsidDel="00195452">
        <w:t xml:space="preserve">Population and </w:t>
      </w:r>
      <w:r w:rsidR="008E0D3C" w:rsidRPr="001310AD" w:rsidDel="00195452">
        <w:t>d</w:t>
      </w:r>
      <w:r w:rsidRPr="001310AD" w:rsidDel="00195452">
        <w:t>isease</w:t>
      </w:r>
      <w:bookmarkEnd w:id="18"/>
    </w:p>
    <w:p w14:paraId="183AC097" w14:textId="5FD7402B" w:rsidR="00C70AD3" w:rsidRPr="001310AD" w:rsidRDefault="00C70AD3" w:rsidP="00CC7252">
      <w:pPr>
        <w:pStyle w:val="3-BodyText"/>
        <w:widowControl w:val="0"/>
        <w:rPr>
          <w:sz w:val="23"/>
          <w:szCs w:val="23"/>
        </w:rPr>
      </w:pPr>
      <w:r w:rsidRPr="001310AD">
        <w:t>RSV is highly infectious and spreads via respiratory droplets. Most patients develop signs of upper respiratory tract disease (URTD)</w:t>
      </w:r>
      <w:r w:rsidR="004D1582" w:rsidRPr="001310AD">
        <w:t>,</w:t>
      </w:r>
      <w:r w:rsidRPr="001310AD">
        <w:t xml:space="preserve"> </w:t>
      </w:r>
      <w:r w:rsidR="00BC3F17" w:rsidRPr="001310AD">
        <w:t>which in some patients p</w:t>
      </w:r>
      <w:r w:rsidRPr="001310AD">
        <w:t>rogress</w:t>
      </w:r>
      <w:r w:rsidR="00BC3F17" w:rsidRPr="001310AD">
        <w:t>es</w:t>
      </w:r>
      <w:r w:rsidRPr="001310AD">
        <w:t xml:space="preserve"> to the lower respiratory tract lead</w:t>
      </w:r>
      <w:r w:rsidR="00BC3F17" w:rsidRPr="001310AD">
        <w:t>ing to</w:t>
      </w:r>
      <w:r w:rsidRPr="001310AD">
        <w:t xml:space="preserve"> symptoms such as cough, wheezing, and </w:t>
      </w:r>
      <w:r w:rsidR="00136EFF" w:rsidRPr="001310AD">
        <w:t>shortness of breath</w:t>
      </w:r>
      <w:r w:rsidRPr="001310AD">
        <w:t>. Severe RSV may require hospitalisation, including admission into intensive care units (ICU), and/or</w:t>
      </w:r>
      <w:r w:rsidR="00712EA4" w:rsidRPr="001310AD">
        <w:t xml:space="preserve"> receiving</w:t>
      </w:r>
      <w:r w:rsidRPr="001310AD">
        <w:t xml:space="preserve"> mechanical ventilation. Aboriginal and Torres Strait Islander people have a greater risk of RSV hospitalisation compared with non-Indigenous Australians.</w:t>
      </w:r>
      <w:r w:rsidRPr="001310AD">
        <w:rPr>
          <w:sz w:val="23"/>
          <w:szCs w:val="23"/>
        </w:rPr>
        <w:t xml:space="preserve"> </w:t>
      </w:r>
    </w:p>
    <w:p w14:paraId="00A3ED41" w14:textId="7B87F37C" w:rsidR="00BB744B" w:rsidRPr="001310AD" w:rsidRDefault="00BB744B" w:rsidP="0009114D">
      <w:pPr>
        <w:pStyle w:val="3-BodyText"/>
        <w:rPr>
          <w:color w:val="0066FF"/>
        </w:rPr>
      </w:pPr>
      <w:bookmarkStart w:id="19" w:name="_Ref200466853"/>
      <w:r w:rsidRPr="001310AD">
        <w:t xml:space="preserve">RSV became a notifiable disease in Australia in July 2021, and the burden in older patients is only </w:t>
      </w:r>
      <w:r w:rsidR="00173411" w:rsidRPr="001310AD">
        <w:t xml:space="preserve">recently </w:t>
      </w:r>
      <w:r w:rsidRPr="001310AD">
        <w:t>emerging.</w:t>
      </w:r>
      <w:r w:rsidR="00744323" w:rsidRPr="001310AD">
        <w:t xml:space="preserve"> The resubmission stated that </w:t>
      </w:r>
      <w:r w:rsidR="00197FA3" w:rsidRPr="001310AD">
        <w:t xml:space="preserve">diagnosis of RSV infection in Australian older adults </w:t>
      </w:r>
      <w:r w:rsidR="00007576" w:rsidRPr="001310AD">
        <w:t>has been</w:t>
      </w:r>
      <w:r w:rsidR="00197FA3" w:rsidRPr="001310AD">
        <w:t xml:space="preserve"> systematically underestimated due to low disease awareness, lack of mandatory reporting of RSV cases in many Australia jurisdictions until June 2022, low rates of routine RSV testing</w:t>
      </w:r>
      <w:r w:rsidR="0037147D" w:rsidRPr="001310AD">
        <w:t>,</w:t>
      </w:r>
      <w:r w:rsidR="00197FA3" w:rsidRPr="001310AD">
        <w:t xml:space="preserve"> and low sensitivity of the standard method</w:t>
      </w:r>
      <w:r w:rsidR="005D2476" w:rsidRPr="001310AD">
        <w:t xml:space="preserve"> used</w:t>
      </w:r>
      <w:r w:rsidR="00197FA3" w:rsidRPr="001310AD">
        <w:t xml:space="preserve"> for RSV testing.</w:t>
      </w:r>
      <w:r w:rsidRPr="001310AD">
        <w:t xml:space="preserve"> After adjusting for underestimation, the </w:t>
      </w:r>
      <w:r w:rsidR="00F52A7E" w:rsidRPr="001310AD">
        <w:t>resubmission estimated an annual incidence of</w:t>
      </w:r>
      <w:r w:rsidRPr="001310AD">
        <w:t xml:space="preserve"> 3.94 symptomatic RSV infections per 100 people and 12,769 RSV-associated hospitalisations in adults ≥75 years.</w:t>
      </w:r>
      <w:r w:rsidRPr="001310AD" w:rsidDel="00195452">
        <w:t xml:space="preserve"> </w:t>
      </w:r>
      <w:r w:rsidR="00591532" w:rsidRPr="001310AD">
        <w:t>However, t</w:t>
      </w:r>
      <w:r w:rsidR="00AA7D3A" w:rsidRPr="001310AD">
        <w:t>he</w:t>
      </w:r>
      <w:r w:rsidR="006C2DB3" w:rsidRPr="001310AD">
        <w:t xml:space="preserve"> evaluation considered that the</w:t>
      </w:r>
      <w:r w:rsidR="00E43EC2" w:rsidRPr="001310AD">
        <w:t xml:space="preserve"> resubmission</w:t>
      </w:r>
      <w:r w:rsidR="00AA7D3A" w:rsidRPr="001310AD">
        <w:t xml:space="preserve"> may</w:t>
      </w:r>
      <w:r w:rsidR="00E43EC2" w:rsidRPr="001310AD">
        <w:t xml:space="preserve"> have</w:t>
      </w:r>
      <w:r w:rsidR="00AA7D3A" w:rsidRPr="001310AD">
        <w:t xml:space="preserve"> overestimate</w:t>
      </w:r>
      <w:r w:rsidR="00E43EC2" w:rsidRPr="001310AD">
        <w:t>d</w:t>
      </w:r>
      <w:r w:rsidR="00AA7D3A" w:rsidRPr="001310AD">
        <w:t xml:space="preserve"> RSV incidence. Recent published data from Western Australia reported an incidence rate of </w:t>
      </w:r>
      <w:r w:rsidR="00DC5A55" w:rsidRPr="001310AD">
        <w:t>0.</w:t>
      </w:r>
      <w:r w:rsidR="00AA7D3A" w:rsidRPr="001310AD">
        <w:t>2 per 100 in adults aged ≥75 years</w:t>
      </w:r>
      <w:r w:rsidR="00AA7D3A" w:rsidRPr="001310AD">
        <w:rPr>
          <w:rStyle w:val="FootnoteReference"/>
        </w:rPr>
        <w:footnoteReference w:id="2"/>
      </w:r>
      <w:r w:rsidR="00AA7D3A" w:rsidRPr="001310AD">
        <w:t xml:space="preserve">. </w:t>
      </w:r>
      <w:r w:rsidR="00B32B56" w:rsidRPr="001310AD">
        <w:t>While</w:t>
      </w:r>
      <w:r w:rsidR="00AA7D3A" w:rsidRPr="001310AD">
        <w:t xml:space="preserve"> this figure may underestimate the true burden, as it covers the period from 2017 to 2023</w:t>
      </w:r>
      <w:r w:rsidR="00BA388F" w:rsidRPr="001310AD">
        <w:t xml:space="preserve"> (with mandatory RSV notification having been introduced gradually from mid-2021)</w:t>
      </w:r>
      <w:r w:rsidR="00B32B56" w:rsidRPr="001310AD">
        <w:t xml:space="preserve">, </w:t>
      </w:r>
      <w:r w:rsidR="00BA388F" w:rsidRPr="001310AD">
        <w:t xml:space="preserve">the evaluation considered </w:t>
      </w:r>
      <w:r w:rsidR="00AA7D3A" w:rsidRPr="001310AD">
        <w:t xml:space="preserve">it </w:t>
      </w:r>
      <w:r w:rsidR="00B32B56" w:rsidRPr="001310AD">
        <w:t xml:space="preserve">may not be plausible for the </w:t>
      </w:r>
      <w:r w:rsidR="00AA7D3A" w:rsidRPr="001310AD">
        <w:t xml:space="preserve">incidence </w:t>
      </w:r>
      <w:r w:rsidR="00684DF4" w:rsidRPr="001310AD">
        <w:t>rate</w:t>
      </w:r>
      <w:r w:rsidR="00AA7D3A" w:rsidRPr="001310AD">
        <w:t xml:space="preserve"> </w:t>
      </w:r>
      <w:r w:rsidR="00743777" w:rsidRPr="001310AD">
        <w:t xml:space="preserve">estimated </w:t>
      </w:r>
      <w:r w:rsidR="00684DF4" w:rsidRPr="001310AD">
        <w:t xml:space="preserve">in </w:t>
      </w:r>
      <w:r w:rsidR="00743777" w:rsidRPr="001310AD">
        <w:t xml:space="preserve">the resubmission </w:t>
      </w:r>
      <w:r w:rsidR="00AA7D3A" w:rsidRPr="001310AD">
        <w:t xml:space="preserve">(3.94%) </w:t>
      </w:r>
      <w:r w:rsidR="00B32B56" w:rsidRPr="001310AD">
        <w:t>to be</w:t>
      </w:r>
      <w:r w:rsidR="00AA7D3A" w:rsidRPr="001310AD">
        <w:t xml:space="preserve"> </w:t>
      </w:r>
      <w:r w:rsidR="0080239B" w:rsidRPr="001310AD">
        <w:t xml:space="preserve">nearly </w:t>
      </w:r>
      <w:r w:rsidR="00AA7D3A" w:rsidRPr="001310AD">
        <w:t xml:space="preserve">20 times higher than that reported in the most recent Australian study. </w:t>
      </w:r>
      <w:r w:rsidR="00FA2484" w:rsidRPr="001310AD">
        <w:t>Australian Institute of Health and Welfare (AIHW) data show that, pre-COVID-19, there was an increasing trend in hospitali</w:t>
      </w:r>
      <w:r w:rsidR="005647B8" w:rsidRPr="001310AD">
        <w:t>s</w:t>
      </w:r>
      <w:r w:rsidR="00FA2484" w:rsidRPr="001310AD">
        <w:t xml:space="preserve">ations </w:t>
      </w:r>
      <w:r w:rsidR="00CB0C8D" w:rsidRPr="001310AD">
        <w:t xml:space="preserve">resulting in </w:t>
      </w:r>
      <w:r w:rsidR="00FA2484" w:rsidRPr="001310AD">
        <w:t>a substantial burden in adults aged ≥80 years, with a lesser but still notable impact in adults ≥75 years</w:t>
      </w:r>
      <w:r w:rsidR="00B32B56" w:rsidRPr="001310AD">
        <w:t>.</w:t>
      </w:r>
      <w:r w:rsidR="00EF5964" w:rsidRPr="001310AD">
        <w:rPr>
          <w:rStyle w:val="FootnoteReference"/>
        </w:rPr>
        <w:footnoteReference w:id="3"/>
      </w:r>
      <w:bookmarkEnd w:id="19"/>
    </w:p>
    <w:p w14:paraId="6E5EC12E" w14:textId="2FB51451" w:rsidR="00712114" w:rsidRPr="001310AD" w:rsidRDefault="00712114" w:rsidP="00CC7252">
      <w:pPr>
        <w:pStyle w:val="3-BodyText"/>
        <w:widowControl w:val="0"/>
        <w:rPr>
          <w:color w:val="0066FF"/>
        </w:rPr>
      </w:pPr>
      <w:r w:rsidRPr="001310AD">
        <w:t>There are currently no vaccines funded on the NIP for RSV-related disease in older adults</w:t>
      </w:r>
      <w:r w:rsidR="00F23EDF" w:rsidRPr="001310AD">
        <w:t xml:space="preserve">, however </w:t>
      </w:r>
      <w:r w:rsidRPr="001310AD">
        <w:t>RSVPreF3 OA</w:t>
      </w:r>
      <w:r w:rsidR="00927C94" w:rsidRPr="001310AD">
        <w:t xml:space="preserve"> (Arexvy)</w:t>
      </w:r>
      <w:r w:rsidRPr="001310AD">
        <w:t xml:space="preserve"> and RSVPreF</w:t>
      </w:r>
      <w:r w:rsidR="00927C94" w:rsidRPr="001310AD">
        <w:t xml:space="preserve"> (Abrysvo)</w:t>
      </w:r>
      <w:r w:rsidRPr="001310AD">
        <w:t xml:space="preserve"> </w:t>
      </w:r>
      <w:r w:rsidR="00F23EDF" w:rsidRPr="001310AD">
        <w:t>are available</w:t>
      </w:r>
      <w:r w:rsidRPr="001310AD">
        <w:t xml:space="preserve"> via private </w:t>
      </w:r>
      <w:r w:rsidRPr="001310AD">
        <w:lastRenderedPageBreak/>
        <w:t>prescription.</w:t>
      </w:r>
      <w:r w:rsidR="00CE1756" w:rsidRPr="001310AD">
        <w:t xml:space="preserve"> </w:t>
      </w:r>
    </w:p>
    <w:p w14:paraId="19531F1A" w14:textId="05D2A263" w:rsidR="00BB42E1" w:rsidRPr="001310AD" w:rsidRDefault="00BB42E1" w:rsidP="00CC7252">
      <w:pPr>
        <w:pStyle w:val="3-BodyText"/>
        <w:widowControl w:val="0"/>
        <w:rPr>
          <w:color w:val="0066FF"/>
        </w:rPr>
      </w:pPr>
      <w:r w:rsidRPr="001310AD">
        <w:t>RSVPreF3 OA is a combination of the RSVPreF3 antigen and the AS01</w:t>
      </w:r>
      <w:r w:rsidRPr="001310AD">
        <w:rPr>
          <w:vertAlign w:val="subscript"/>
        </w:rPr>
        <w:t>E</w:t>
      </w:r>
      <w:r w:rsidRPr="001310AD">
        <w:t xml:space="preserve"> adjuvant system</w:t>
      </w:r>
      <w:r w:rsidR="0078100A" w:rsidRPr="001310AD">
        <w:t xml:space="preserve">. </w:t>
      </w:r>
      <w:r w:rsidR="00066B8B" w:rsidRPr="001310AD">
        <w:t xml:space="preserve">RSVPreF3 OA was designed to </w:t>
      </w:r>
      <w:r w:rsidRPr="001310AD">
        <w:t>induce a humoral and cellular immune response, to help protect older adults from</w:t>
      </w:r>
      <w:r w:rsidR="0078100A" w:rsidRPr="001310AD">
        <w:t xml:space="preserve"> RSV infection</w:t>
      </w:r>
      <w:r w:rsidRPr="001310AD">
        <w:t xml:space="preserve">, including those with underlying co-morbidities. </w:t>
      </w:r>
    </w:p>
    <w:p w14:paraId="4A7F398B" w14:textId="5AFFF8AF" w:rsidR="00A334C0" w:rsidRPr="001310AD" w:rsidDel="00195452" w:rsidRDefault="00A334C0" w:rsidP="00A334C0">
      <w:pPr>
        <w:pStyle w:val="3-BodyText"/>
        <w:widowControl w:val="0"/>
        <w:numPr>
          <w:ilvl w:val="0"/>
          <w:numId w:val="0"/>
        </w:numPr>
        <w:ind w:left="720"/>
        <w:rPr>
          <w:color w:val="0066FF"/>
        </w:rPr>
      </w:pPr>
      <w:r w:rsidRPr="001310AD">
        <w:rPr>
          <w:i/>
        </w:rPr>
        <w:t>For more detail on PBAC’s view, see section 7 PBAC outcome.</w:t>
      </w:r>
    </w:p>
    <w:p w14:paraId="51E5AE96" w14:textId="136A63B1" w:rsidR="00B50DB8" w:rsidRPr="001310AD" w:rsidRDefault="00B50DB8" w:rsidP="00CC7252">
      <w:pPr>
        <w:pStyle w:val="2-SectionHeading"/>
        <w:keepNext w:val="0"/>
        <w:widowControl w:val="0"/>
      </w:pPr>
      <w:bookmarkStart w:id="20" w:name="_Toc198731696"/>
      <w:r w:rsidRPr="001310AD">
        <w:t>Comparator</w:t>
      </w:r>
      <w:bookmarkEnd w:id="20"/>
    </w:p>
    <w:p w14:paraId="277129F8" w14:textId="1FBA9D84" w:rsidR="00A328A5" w:rsidRPr="001310AD" w:rsidRDefault="00A328A5" w:rsidP="00CC7252">
      <w:pPr>
        <w:pStyle w:val="3-BodyText"/>
        <w:widowControl w:val="0"/>
      </w:pPr>
      <w:r w:rsidRPr="001310AD">
        <w:t xml:space="preserve">The </w:t>
      </w:r>
      <w:r w:rsidR="00735EC6" w:rsidRPr="001310AD">
        <w:t>re</w:t>
      </w:r>
      <w:r w:rsidRPr="001310AD">
        <w:t>submission nominated ‘no vaccine’ as the main comparator. T</w:t>
      </w:r>
      <w:r w:rsidR="008E27AA" w:rsidRPr="001310AD">
        <w:t>he evaluation considered that t</w:t>
      </w:r>
      <w:r w:rsidRPr="001310AD">
        <w:t>his was reasonable</w:t>
      </w:r>
      <w:r w:rsidR="00B96006" w:rsidRPr="001310AD">
        <w:t xml:space="preserve">, and noted it was consistent with the PBAC’s previous advice </w:t>
      </w:r>
      <w:r w:rsidR="007E6690" w:rsidRPr="001310AD">
        <w:t>(para</w:t>
      </w:r>
      <w:r w:rsidR="00853374" w:rsidRPr="001310AD">
        <w:t>graph</w:t>
      </w:r>
      <w:r w:rsidR="007E6690" w:rsidRPr="001310AD">
        <w:t xml:space="preserve"> 7.11, RSVPreF3 OA PSD, July 2024). </w:t>
      </w:r>
    </w:p>
    <w:p w14:paraId="70872F23" w14:textId="1F82691F" w:rsidR="00B600E1" w:rsidRPr="001310AD" w:rsidRDefault="00A328A5" w:rsidP="00CC7252">
      <w:pPr>
        <w:pStyle w:val="3-BodyText"/>
        <w:widowControl w:val="0"/>
        <w:rPr>
          <w:i/>
          <w:iCs/>
        </w:rPr>
      </w:pPr>
      <w:r w:rsidRPr="001310AD">
        <w:t xml:space="preserve">The </w:t>
      </w:r>
      <w:r w:rsidR="001D4DA0" w:rsidRPr="001310AD">
        <w:t>re</w:t>
      </w:r>
      <w:r w:rsidRPr="001310AD">
        <w:t xml:space="preserve">submission </w:t>
      </w:r>
      <w:r w:rsidR="001D4DA0" w:rsidRPr="001310AD">
        <w:t xml:space="preserve">nominated RSVPreF </w:t>
      </w:r>
      <w:r w:rsidR="007F5C09" w:rsidRPr="001310AD">
        <w:t xml:space="preserve">(Abrysvo) </w:t>
      </w:r>
      <w:r w:rsidR="001D4DA0" w:rsidRPr="001310AD">
        <w:t>as a near market comparator.</w:t>
      </w:r>
      <w:r w:rsidR="00CE380E" w:rsidRPr="001310AD">
        <w:t xml:space="preserve"> </w:t>
      </w:r>
      <w:r w:rsidR="008F2308" w:rsidRPr="001310AD">
        <w:t>Th</w:t>
      </w:r>
      <w:r w:rsidR="00BE4BA9" w:rsidRPr="001310AD">
        <w:t>e evaluation considered that</w:t>
      </w:r>
      <w:r w:rsidR="00E5718C" w:rsidRPr="001310AD">
        <w:t xml:space="preserve"> th</w:t>
      </w:r>
      <w:r w:rsidR="008F2308" w:rsidRPr="001310AD">
        <w:t xml:space="preserve">is was </w:t>
      </w:r>
      <w:r w:rsidR="003F281D" w:rsidRPr="001310AD">
        <w:t>appropriate</w:t>
      </w:r>
      <w:r w:rsidR="008F2308" w:rsidRPr="001310AD">
        <w:t xml:space="preserve">. RSVPreF is TGA approved and was recommended by the PBAC for the same </w:t>
      </w:r>
      <w:r w:rsidR="00C56186" w:rsidRPr="001310AD">
        <w:t>two</w:t>
      </w:r>
      <w:r w:rsidR="008F2308" w:rsidRPr="001310AD">
        <w:t xml:space="preserve"> population</w:t>
      </w:r>
      <w:r w:rsidR="00C56186" w:rsidRPr="001310AD">
        <w:t>s</w:t>
      </w:r>
      <w:r w:rsidR="008F2308" w:rsidRPr="001310AD">
        <w:t xml:space="preserve"> for which RSVPreF3 OA listing is being sought (para</w:t>
      </w:r>
      <w:r w:rsidR="00BD5393" w:rsidRPr="001310AD">
        <w:t>graph</w:t>
      </w:r>
      <w:r w:rsidR="008F2308" w:rsidRPr="001310AD">
        <w:t xml:space="preserve"> 7.1, RSVPreF PSD, November 2024), however it has not yet been listed on the NIP.</w:t>
      </w:r>
      <w:r w:rsidR="009D2744" w:rsidRPr="001310AD">
        <w:t xml:space="preserve"> </w:t>
      </w:r>
    </w:p>
    <w:p w14:paraId="78893AC4" w14:textId="5CDD4153" w:rsidR="000D7FCC" w:rsidRPr="001310AD" w:rsidRDefault="009D2744" w:rsidP="00CC7252">
      <w:pPr>
        <w:pStyle w:val="3-BodyText"/>
        <w:widowControl w:val="0"/>
        <w:rPr>
          <w:i/>
          <w:iCs/>
        </w:rPr>
      </w:pPr>
      <w:r w:rsidRPr="001310AD">
        <w:t xml:space="preserve">The PBAC </w:t>
      </w:r>
      <w:r w:rsidR="008A1AF7" w:rsidRPr="001310AD">
        <w:t>considered</w:t>
      </w:r>
      <w:r w:rsidRPr="001310AD">
        <w:t xml:space="preserve"> that</w:t>
      </w:r>
      <w:r w:rsidR="00EA71D7" w:rsidRPr="001310AD">
        <w:t xml:space="preserve"> </w:t>
      </w:r>
      <w:r w:rsidR="008B1F1E" w:rsidRPr="001310AD">
        <w:t xml:space="preserve">RSVPreF </w:t>
      </w:r>
      <w:r w:rsidR="00B600E1" w:rsidRPr="001310AD">
        <w:rPr>
          <w:snapToGrid w:val="0"/>
        </w:rPr>
        <w:t>was the main</w:t>
      </w:r>
      <w:r w:rsidR="008B1F1E" w:rsidRPr="001310AD">
        <w:rPr>
          <w:snapToGrid w:val="0"/>
        </w:rPr>
        <w:t xml:space="preserve"> comparator as it was recommended for NIP listing </w:t>
      </w:r>
      <w:r w:rsidR="008B1F1E" w:rsidRPr="001310AD">
        <w:t>at the November 2024 PBAC meeting</w:t>
      </w:r>
      <w:r w:rsidR="00C53469" w:rsidRPr="001310AD">
        <w:t>.</w:t>
      </w:r>
    </w:p>
    <w:p w14:paraId="78548280" w14:textId="23A49948" w:rsidR="001D4DA0" w:rsidRPr="001310AD" w:rsidRDefault="00A334C0" w:rsidP="00A334C0">
      <w:pPr>
        <w:pStyle w:val="3-BodyText"/>
        <w:widowControl w:val="0"/>
        <w:numPr>
          <w:ilvl w:val="0"/>
          <w:numId w:val="0"/>
        </w:numPr>
        <w:ind w:left="720"/>
      </w:pPr>
      <w:r w:rsidRPr="001310AD">
        <w:rPr>
          <w:i/>
        </w:rPr>
        <w:t>For more detail on PBAC’s view, see section 7 PBAC outcome.</w:t>
      </w:r>
    </w:p>
    <w:p w14:paraId="7F9C27C8" w14:textId="77777777" w:rsidR="00223D5A" w:rsidRPr="001310AD" w:rsidRDefault="00223D5A" w:rsidP="00BA2AA4">
      <w:pPr>
        <w:pStyle w:val="2-SectionHeading"/>
        <w:keepNext w:val="0"/>
        <w:widowControl w:val="0"/>
      </w:pPr>
      <w:bookmarkStart w:id="21" w:name="_Toc198731697"/>
      <w:bookmarkStart w:id="22" w:name="_Toc22897640"/>
      <w:r w:rsidRPr="001310AD">
        <w:t>Consideration of the evidence</w:t>
      </w:r>
      <w:bookmarkEnd w:id="21"/>
    </w:p>
    <w:p w14:paraId="5054DD0C" w14:textId="77777777" w:rsidR="00F07874" w:rsidRPr="001310AD" w:rsidRDefault="00F07874" w:rsidP="00E10776">
      <w:pPr>
        <w:pStyle w:val="4-SubsectionHeading"/>
      </w:pPr>
      <w:bookmarkStart w:id="23" w:name="_Hlk76375935"/>
      <w:bookmarkStart w:id="24" w:name="_Toc198731698"/>
      <w:r w:rsidRPr="001310AD">
        <w:t>Sponsor hearing</w:t>
      </w:r>
    </w:p>
    <w:p w14:paraId="7B80ED01" w14:textId="77777777" w:rsidR="00F3291A" w:rsidRPr="00AC323D" w:rsidRDefault="00B36FA1" w:rsidP="00AC323D">
      <w:pPr>
        <w:pStyle w:val="3-BodyText"/>
        <w:widowControl w:val="0"/>
      </w:pPr>
      <w:bookmarkStart w:id="25" w:name="_Hlk76382586"/>
      <w:r w:rsidRPr="00AC323D">
        <w:t xml:space="preserve">The sponsor </w:t>
      </w:r>
      <w:r w:rsidR="001D448C" w:rsidRPr="00AC323D">
        <w:t xml:space="preserve">provided a recorded </w:t>
      </w:r>
      <w:r w:rsidRPr="00AC323D">
        <w:t>hearing for this item</w:t>
      </w:r>
      <w:r w:rsidR="00A17400" w:rsidRPr="00AC323D">
        <w:t xml:space="preserve">. </w:t>
      </w:r>
    </w:p>
    <w:p w14:paraId="19F6102B" w14:textId="1E22FD5A" w:rsidR="003154B9" w:rsidRPr="00AC323D" w:rsidRDefault="00A17400" w:rsidP="00AC323D">
      <w:pPr>
        <w:pStyle w:val="3-BodyText"/>
        <w:widowControl w:val="0"/>
      </w:pPr>
      <w:r w:rsidRPr="00AC323D">
        <w:t>The clinician</w:t>
      </w:r>
      <w:r w:rsidR="00F3291A" w:rsidRPr="00AC323D">
        <w:t xml:space="preserve">, </w:t>
      </w:r>
      <w:r w:rsidRPr="00AC323D">
        <w:t>a</w:t>
      </w:r>
      <w:r w:rsidR="00F3291A" w:rsidRPr="00AC323D">
        <w:t xml:space="preserve"> </w:t>
      </w:r>
      <w:r w:rsidRPr="00AC323D">
        <w:t xml:space="preserve">specialist in geriatric medicine with </w:t>
      </w:r>
      <w:r w:rsidR="00F3291A" w:rsidRPr="00AC323D">
        <w:t xml:space="preserve">a major interest in </w:t>
      </w:r>
      <w:r w:rsidRPr="00AC323D">
        <w:t>immunisation</w:t>
      </w:r>
      <w:r w:rsidR="00F3291A" w:rsidRPr="00AC323D">
        <w:t xml:space="preserve">, </w:t>
      </w:r>
      <w:r w:rsidR="00521240" w:rsidRPr="00AC323D">
        <w:t>discussed the clinical manifestations of RSV in older adults, highlighting</w:t>
      </w:r>
      <w:r w:rsidR="00563233" w:rsidRPr="00AC323D">
        <w:t xml:space="preserve"> serious complications associated with infection</w:t>
      </w:r>
      <w:r w:rsidR="003B4FC5" w:rsidRPr="00AC323D">
        <w:t xml:space="preserve"> including</w:t>
      </w:r>
      <w:r w:rsidR="00E6731C" w:rsidRPr="00AC323D">
        <w:t xml:space="preserve"> frailty,</w:t>
      </w:r>
      <w:r w:rsidR="003B4FC5" w:rsidRPr="00AC323D">
        <w:t xml:space="preserve"> hospitalisation, </w:t>
      </w:r>
      <w:r w:rsidR="003739B4" w:rsidRPr="00AC323D">
        <w:t>intensive care admission, loss of function, or death</w:t>
      </w:r>
      <w:r w:rsidR="002E1F0F" w:rsidRPr="00AC323D">
        <w:t>, particular</w:t>
      </w:r>
      <w:r w:rsidR="00D76C1A" w:rsidRPr="00AC323D">
        <w:t>ly</w:t>
      </w:r>
      <w:r w:rsidR="002E1F0F" w:rsidRPr="00AC323D">
        <w:t xml:space="preserve"> in people </w:t>
      </w:r>
      <w:r w:rsidR="00521240" w:rsidRPr="00AC323D">
        <w:t>aged over 60 years</w:t>
      </w:r>
      <w:r w:rsidR="00D76C1A" w:rsidRPr="00AC323D">
        <w:t xml:space="preserve">, and even more so in those </w:t>
      </w:r>
      <w:r w:rsidR="00521240" w:rsidRPr="00AC323D">
        <w:t xml:space="preserve">aged over </w:t>
      </w:r>
      <w:r w:rsidR="00D76C1A" w:rsidRPr="00AC323D">
        <w:t xml:space="preserve">75 </w:t>
      </w:r>
      <w:r w:rsidR="00521240" w:rsidRPr="00AC323D">
        <w:t>years</w:t>
      </w:r>
      <w:r w:rsidR="003739B4" w:rsidRPr="00AC323D">
        <w:t>.</w:t>
      </w:r>
      <w:r w:rsidR="003249A7" w:rsidRPr="00AC323D">
        <w:t xml:space="preserve"> </w:t>
      </w:r>
      <w:r w:rsidR="00927176" w:rsidRPr="00AC323D">
        <w:t>In addition to</w:t>
      </w:r>
      <w:r w:rsidR="003249A7" w:rsidRPr="00AC323D">
        <w:t xml:space="preserve"> a significant number of hospitalisations</w:t>
      </w:r>
      <w:r w:rsidR="00FB00DE" w:rsidRPr="00AC323D">
        <w:t xml:space="preserve"> of older Australians</w:t>
      </w:r>
      <w:r w:rsidR="003249A7" w:rsidRPr="00AC323D">
        <w:t xml:space="preserve"> each year due to RSV</w:t>
      </w:r>
      <w:r w:rsidR="00CD78EA" w:rsidRPr="00AC323D">
        <w:t xml:space="preserve"> in</w:t>
      </w:r>
      <w:r w:rsidR="002725CD" w:rsidRPr="00AC323D">
        <w:t>f</w:t>
      </w:r>
      <w:r w:rsidR="00CD78EA" w:rsidRPr="00AC323D">
        <w:t>ection</w:t>
      </w:r>
      <w:r w:rsidR="003249A7" w:rsidRPr="00AC323D">
        <w:t>,</w:t>
      </w:r>
      <w:r w:rsidR="000C5E3E" w:rsidRPr="00AC323D">
        <w:t xml:space="preserve"> the clinician described longer term effects, </w:t>
      </w:r>
      <w:r w:rsidR="002A7E8C" w:rsidRPr="00AC323D">
        <w:t>such as being unable</w:t>
      </w:r>
      <w:r w:rsidR="00F349D6" w:rsidRPr="00AC323D">
        <w:t xml:space="preserve"> to work or</w:t>
      </w:r>
      <w:r w:rsidR="002A7E8C" w:rsidRPr="00AC323D">
        <w:t xml:space="preserve"> live independently and </w:t>
      </w:r>
      <w:r w:rsidR="00521240" w:rsidRPr="00AC323D">
        <w:t>reduced quality of life</w:t>
      </w:r>
      <w:r w:rsidR="002A7E8C" w:rsidRPr="00AC323D">
        <w:t>.</w:t>
      </w:r>
      <w:r w:rsidR="003249A7" w:rsidRPr="00AC323D">
        <w:t xml:space="preserve"> </w:t>
      </w:r>
      <w:r w:rsidR="00794911" w:rsidRPr="00AC323D">
        <w:t>The clinic</w:t>
      </w:r>
      <w:r w:rsidR="00C234BF" w:rsidRPr="00AC323D">
        <w:t>ian</w:t>
      </w:r>
      <w:r w:rsidR="00794911" w:rsidRPr="00AC323D">
        <w:t xml:space="preserve"> emphasi</w:t>
      </w:r>
      <w:r w:rsidR="000C6435" w:rsidRPr="00AC323D">
        <w:t>sed the importance of a vaccination program</w:t>
      </w:r>
      <w:r w:rsidR="00C5778A" w:rsidRPr="00AC323D">
        <w:t xml:space="preserve"> via the NIP</w:t>
      </w:r>
      <w:r w:rsidR="00B242C2" w:rsidRPr="00AC323D">
        <w:t xml:space="preserve"> and </w:t>
      </w:r>
      <w:r w:rsidR="00521240" w:rsidRPr="00AC323D">
        <w:t xml:space="preserve">described </w:t>
      </w:r>
      <w:r w:rsidR="00B242C2" w:rsidRPr="00AC323D">
        <w:t xml:space="preserve">the success </w:t>
      </w:r>
      <w:r w:rsidR="00227652" w:rsidRPr="00AC323D">
        <w:t>obser</w:t>
      </w:r>
      <w:r w:rsidR="003154B9" w:rsidRPr="00AC323D">
        <w:t>v</w:t>
      </w:r>
      <w:r w:rsidR="00227652" w:rsidRPr="00AC323D">
        <w:t>ed</w:t>
      </w:r>
      <w:r w:rsidR="00D56216" w:rsidRPr="00AC323D">
        <w:t xml:space="preserve"> in the US and UK</w:t>
      </w:r>
      <w:r w:rsidR="00227652" w:rsidRPr="00AC323D">
        <w:t xml:space="preserve"> </w:t>
      </w:r>
      <w:r w:rsidR="00D56216" w:rsidRPr="00AC323D">
        <w:t>from</w:t>
      </w:r>
      <w:r w:rsidR="00227652" w:rsidRPr="00AC323D">
        <w:t xml:space="preserve"> </w:t>
      </w:r>
      <w:r w:rsidR="00521240" w:rsidRPr="00AC323D">
        <w:t>r</w:t>
      </w:r>
      <w:r w:rsidR="00227652" w:rsidRPr="00AC323D">
        <w:t xml:space="preserve">eal </w:t>
      </w:r>
      <w:r w:rsidR="00521240" w:rsidRPr="00AC323D">
        <w:t>w</w:t>
      </w:r>
      <w:r w:rsidR="00227652" w:rsidRPr="00AC323D">
        <w:t xml:space="preserve">orld </w:t>
      </w:r>
      <w:r w:rsidR="00521240" w:rsidRPr="00AC323D">
        <w:t>e</w:t>
      </w:r>
      <w:r w:rsidR="00227652" w:rsidRPr="00AC323D">
        <w:t>vidence that show</w:t>
      </w:r>
      <w:r w:rsidR="00521240" w:rsidRPr="00AC323D">
        <w:t>ed</w:t>
      </w:r>
      <w:r w:rsidR="00227652" w:rsidRPr="00AC323D">
        <w:t xml:space="preserve"> a decline in hospitalisations </w:t>
      </w:r>
      <w:r w:rsidR="003154B9" w:rsidRPr="00AC323D">
        <w:t>with RSV vaccination.</w:t>
      </w:r>
      <w:r w:rsidR="000C5E3E" w:rsidRPr="00AC323D">
        <w:t xml:space="preserve"> </w:t>
      </w:r>
      <w:r w:rsidR="00EB44FD" w:rsidRPr="00AC323D">
        <w:t xml:space="preserve">The clinician </w:t>
      </w:r>
      <w:r w:rsidR="00521240" w:rsidRPr="00AC323D">
        <w:t>discussed</w:t>
      </w:r>
      <w:r w:rsidR="00EB44FD" w:rsidRPr="00AC323D">
        <w:t xml:space="preserve"> the efficacy of the RSVPreF3 OA</w:t>
      </w:r>
      <w:r w:rsidR="00C56B51" w:rsidRPr="00AC323D">
        <w:t xml:space="preserve"> vaccine</w:t>
      </w:r>
      <w:r w:rsidR="00EB44FD" w:rsidRPr="00AC323D">
        <w:t xml:space="preserve"> over 3 seasons and </w:t>
      </w:r>
      <w:r w:rsidR="00521240" w:rsidRPr="00AC323D">
        <w:t xml:space="preserve">described a </w:t>
      </w:r>
      <w:r w:rsidR="00C56B51" w:rsidRPr="00AC323D">
        <w:t>favourable safety profile.</w:t>
      </w:r>
      <w:r w:rsidR="00061372" w:rsidRPr="00AC323D">
        <w:t xml:space="preserve"> Finally, the clinician referred to the </w:t>
      </w:r>
      <w:r w:rsidR="00BA7392" w:rsidRPr="00AC323D">
        <w:t>preference for preventing rather than treating disease, and the flow on effects in terms of reducing burden on the healthcare system.</w:t>
      </w:r>
    </w:p>
    <w:p w14:paraId="614DFE3B" w14:textId="4292EF60" w:rsidR="00F07874" w:rsidRPr="00AC323D" w:rsidRDefault="00B36FA1" w:rsidP="00AC323D">
      <w:pPr>
        <w:pStyle w:val="3-BodyText"/>
        <w:widowControl w:val="0"/>
      </w:pPr>
      <w:r w:rsidRPr="00AC323D">
        <w:t>The PBAC considered that the hearing was informative</w:t>
      </w:r>
      <w:r w:rsidR="00FE092B" w:rsidRPr="00AC323D">
        <w:t>,</w:t>
      </w:r>
      <w:r w:rsidRPr="00AC323D">
        <w:t xml:space="preserve"> as it provided a clinical perspective on</w:t>
      </w:r>
      <w:r w:rsidR="00B67EA7" w:rsidRPr="00AC323D">
        <w:t xml:space="preserve"> the benefits of</w:t>
      </w:r>
      <w:r w:rsidRPr="00AC323D">
        <w:t xml:space="preserve"> </w:t>
      </w:r>
      <w:r w:rsidR="006F1687" w:rsidRPr="00AC323D">
        <w:t>prevent</w:t>
      </w:r>
      <w:r w:rsidR="00B67EA7" w:rsidRPr="00AC323D">
        <w:t>ing</w:t>
      </w:r>
      <w:r w:rsidRPr="00AC323D">
        <w:t xml:space="preserve"> </w:t>
      </w:r>
      <w:r w:rsidR="00B67EA7" w:rsidRPr="00AC323D">
        <w:t>RSV infection</w:t>
      </w:r>
      <w:r w:rsidRPr="00AC323D">
        <w:t>.</w:t>
      </w:r>
      <w:bookmarkEnd w:id="25"/>
    </w:p>
    <w:p w14:paraId="081F171F" w14:textId="77777777" w:rsidR="00F07874" w:rsidRPr="001310AD" w:rsidRDefault="00F07874" w:rsidP="00E10776">
      <w:pPr>
        <w:pStyle w:val="4-SubsectionHeading"/>
      </w:pPr>
      <w:r w:rsidRPr="001310AD">
        <w:lastRenderedPageBreak/>
        <w:t>Consumer comments</w:t>
      </w:r>
    </w:p>
    <w:bookmarkEnd w:id="23"/>
    <w:p w14:paraId="57DC6D64" w14:textId="1A7A7F59" w:rsidR="00FD652F" w:rsidRPr="001310AD" w:rsidRDefault="00FD652F" w:rsidP="00FD652F">
      <w:pPr>
        <w:pStyle w:val="3-BodyText"/>
        <w:rPr>
          <w:snapToGrid w:val="0"/>
        </w:rPr>
      </w:pPr>
      <w:r w:rsidRPr="001310AD">
        <w:rPr>
          <w:snapToGrid w:val="0"/>
        </w:rPr>
        <w:t xml:space="preserve">The PBAC noted and welcomed the input from individuals (12), health care professionals (17) and organisations (8) via the Consumer Comments facility on the PBS website, supporting the NIP listing of RSVPreF3 OA for </w:t>
      </w:r>
      <w:r w:rsidR="004A14BF" w:rsidRPr="001310AD">
        <w:t>prevention of LRTD caused by RSV</w:t>
      </w:r>
      <w:r w:rsidR="004A14BF" w:rsidRPr="001310AD">
        <w:rPr>
          <w:snapToGrid w:val="0"/>
        </w:rPr>
        <w:t xml:space="preserve"> </w:t>
      </w:r>
      <w:r w:rsidRPr="001310AD">
        <w:rPr>
          <w:snapToGrid w:val="0"/>
        </w:rPr>
        <w:t>in older Australians.</w:t>
      </w:r>
    </w:p>
    <w:p w14:paraId="2098A0A4" w14:textId="326809E2" w:rsidR="00FD652F" w:rsidRPr="001310AD" w:rsidRDefault="00FD652F" w:rsidP="00FD652F">
      <w:pPr>
        <w:pStyle w:val="3-BodyText"/>
        <w:rPr>
          <w:snapToGrid w:val="0"/>
        </w:rPr>
      </w:pPr>
      <w:r w:rsidRPr="001310AD">
        <w:rPr>
          <w:snapToGrid w:val="0"/>
        </w:rPr>
        <w:t>Two medical organisations (the Royal Melbourne Hospital and the Australasian Society of Clinical Immunology and Allergy [ASCIA]) indicated their support for the NIP listing by describing vaccination for RSV as a critical element in preventing infectious diseases and associated hospitalisations, especially in immunocompromised patients and those with chronic medical conditions.</w:t>
      </w:r>
    </w:p>
    <w:p w14:paraId="2971EF38" w14:textId="632FE7C7" w:rsidR="00FD652F" w:rsidRPr="001310AD" w:rsidRDefault="00FD652F" w:rsidP="00FD652F">
      <w:pPr>
        <w:pStyle w:val="3-BodyText"/>
        <w:rPr>
          <w:snapToGrid w:val="0"/>
        </w:rPr>
      </w:pPr>
      <w:r w:rsidRPr="001310AD">
        <w:rPr>
          <w:snapToGrid w:val="0"/>
        </w:rPr>
        <w:t>Similarly, six consumer groups urged the PBAC to recommend listing on the NIP. Hearts4heart highlighted the burden of RSV disease in older adults, especially in patients with chronic co-morbidities, and stated that it is underestimated and under</w:t>
      </w:r>
      <w:r w:rsidR="004A14BF" w:rsidRPr="001310AD">
        <w:rPr>
          <w:snapToGrid w:val="0"/>
        </w:rPr>
        <w:noBreakHyphen/>
      </w:r>
      <w:r w:rsidRPr="001310AD">
        <w:rPr>
          <w:snapToGrid w:val="0"/>
        </w:rPr>
        <w:t>diagnosed. It noted the increasing hospitalisation rates from RSV infection with increasing age of patients. It also noted the significant impact of RSV disease on healthcare systems in terms of increased healthcare utilisation and economic burden. In addition to the above-mentioned topics, the Immunisation Foundation of Australia emphasised the requirement for equitable protection from RSV for older Australians. Cystic Fibrosis Queensland described the advantages of immunisation with RSVPreF3 OA for people with cystic fibrosis and lung transplant recipients. Asthma Australia described the negative effects of RSV infection in older Australians with asthma, noting that viral respiratory infections are the most common trigger for asthma exacerbations. Lung Foundation Australia described the strong community support for access to a vaccine for RSV on the NIP, noting the serious consequences of contracting the disease and the prohibitive cost for an older population. Kidney Health Australia described the importance of people with kidney failure having access to vaccines such as that for RSV, including First Nations Australians who are disproportionately impacted by chronic kidney disease.</w:t>
      </w:r>
    </w:p>
    <w:p w14:paraId="11C48B4D" w14:textId="1EA4318A" w:rsidR="00FD652F" w:rsidRPr="001310AD" w:rsidRDefault="00FD652F" w:rsidP="00FD652F">
      <w:pPr>
        <w:pStyle w:val="3-BodyText"/>
        <w:rPr>
          <w:snapToGrid w:val="0"/>
        </w:rPr>
      </w:pPr>
      <w:r w:rsidRPr="001310AD">
        <w:rPr>
          <w:snapToGrid w:val="0"/>
        </w:rPr>
        <w:t xml:space="preserve">As well as noting several of the topics discussed above, the health care professionals (HCPs) commented on individuals experiencing adverse effects for a long period of time following RSV infection, especially in high-risk cohorts such as older people. The HCPs described the impact of vaccination as having many benefits that would apply to the older Australian population, including reduced mortality and hospitalisation, reduced long-term morbidity/frailty, and increased independence. </w:t>
      </w:r>
    </w:p>
    <w:p w14:paraId="4AFDC8B7" w14:textId="305F7FD1" w:rsidR="00F07874" w:rsidRPr="001310AD" w:rsidRDefault="00FD652F" w:rsidP="00935BF3">
      <w:pPr>
        <w:pStyle w:val="3-BodyText"/>
        <w:rPr>
          <w:snapToGrid w:val="0"/>
        </w:rPr>
      </w:pPr>
      <w:r w:rsidRPr="001310AD">
        <w:rPr>
          <w:snapToGrid w:val="0"/>
        </w:rPr>
        <w:t xml:space="preserve">The individuals who commented comprised an individual </w:t>
      </w:r>
      <w:r w:rsidR="004A14BF" w:rsidRPr="001310AD">
        <w:rPr>
          <w:snapToGrid w:val="0"/>
        </w:rPr>
        <w:t>that had</w:t>
      </w:r>
      <w:r w:rsidRPr="001310AD">
        <w:rPr>
          <w:snapToGrid w:val="0"/>
        </w:rPr>
        <w:t xml:space="preserve"> been vaccinated with RSVPreF3 OA, those who would like to be vaccinated (6), a parent/partner of a current/potential vaccinated individual (3), and other interested individuals (2). The consumer input </w:t>
      </w:r>
      <w:r w:rsidR="004A14BF" w:rsidRPr="001310AD">
        <w:rPr>
          <w:snapToGrid w:val="0"/>
        </w:rPr>
        <w:t>described an out-of-pocket cost of more than $300 to receive RSV vaccination as difficult to afford</w:t>
      </w:r>
      <w:r w:rsidRPr="001310AD">
        <w:rPr>
          <w:snapToGrid w:val="0"/>
        </w:rPr>
        <w:t>, leaving elderly patients with underlying risk factors vulnerable to preventable health outcomes.</w:t>
      </w:r>
    </w:p>
    <w:p w14:paraId="71A9DB5A" w14:textId="7EA2C493" w:rsidR="00C1550B" w:rsidRPr="001310AD" w:rsidRDefault="00C1550B" w:rsidP="00935BF3">
      <w:pPr>
        <w:pStyle w:val="3-BodyText"/>
        <w:rPr>
          <w:snapToGrid w:val="0"/>
        </w:rPr>
      </w:pPr>
      <w:r w:rsidRPr="001310AD">
        <w:rPr>
          <w:snapToGrid w:val="0"/>
        </w:rPr>
        <w:lastRenderedPageBreak/>
        <w:t xml:space="preserve">The PBAC </w:t>
      </w:r>
      <w:r w:rsidR="007936EA" w:rsidRPr="001310AD">
        <w:rPr>
          <w:snapToGrid w:val="0"/>
        </w:rPr>
        <w:t>recalled</w:t>
      </w:r>
      <w:r w:rsidRPr="001310AD">
        <w:rPr>
          <w:snapToGrid w:val="0"/>
        </w:rPr>
        <w:t xml:space="preserve"> it had previously considered input in support of NIP listing of the vaccine as summarised in the July 2024 PSD for RSVPreF3 OA (paragraphs 6.2 to 6.6).</w:t>
      </w:r>
    </w:p>
    <w:p w14:paraId="103A88CF" w14:textId="505A1FA8" w:rsidR="003A3AA5" w:rsidRPr="001310AD" w:rsidRDefault="003A3AA5" w:rsidP="00610D58">
      <w:pPr>
        <w:pStyle w:val="3-BodyText"/>
      </w:pPr>
      <w:r w:rsidRPr="001310AD">
        <w:rPr>
          <w:rFonts w:cs="Arial"/>
          <w:bCs/>
          <w:snapToGrid w:val="0"/>
        </w:rPr>
        <w:t xml:space="preserve">The PBAC noted that the consumer comments consistently supported the proposed NIP listing </w:t>
      </w:r>
      <w:r w:rsidRPr="001310AD">
        <w:t>in adults aged ≥75 years of age and Aboriginal and Torres Strait Islander people aged 60-74.</w:t>
      </w:r>
      <w:r w:rsidR="00044091">
        <w:t xml:space="preserve"> </w:t>
      </w:r>
      <w:r w:rsidRPr="001310AD">
        <w:t xml:space="preserve">In addition, some of the comments highlighted </w:t>
      </w:r>
      <w:r w:rsidR="00AB677F" w:rsidRPr="001310AD">
        <w:t>the</w:t>
      </w:r>
      <w:r w:rsidRPr="001310AD">
        <w:t xml:space="preserve"> ATAGI </w:t>
      </w:r>
      <w:r w:rsidR="00AB677F" w:rsidRPr="001310AD">
        <w:t xml:space="preserve">advice which also </w:t>
      </w:r>
      <w:r w:rsidRPr="001310AD">
        <w:t>recommends RSV vaccine for adults ≥60 years with medical conditions that increase their risk of severe disease</w:t>
      </w:r>
      <w:r w:rsidR="00AB677F" w:rsidRPr="001310AD">
        <w:t>, and asked the PBAC to consider extending the NIP populations to include this group</w:t>
      </w:r>
      <w:r w:rsidR="002473C3" w:rsidRPr="001310AD">
        <w:t>, noting these patients have a greater risk of being hospitalised from RSV compared with those without these conditions.</w:t>
      </w:r>
    </w:p>
    <w:p w14:paraId="609C0765" w14:textId="4205A780" w:rsidR="00B60939" w:rsidRPr="001310AD" w:rsidRDefault="00B60939" w:rsidP="00E10776">
      <w:pPr>
        <w:pStyle w:val="4-SubsectionHeading"/>
        <w:keepLines/>
        <w:widowControl w:val="0"/>
      </w:pPr>
      <w:r w:rsidRPr="001310AD">
        <w:t>Clinical trials</w:t>
      </w:r>
      <w:bookmarkEnd w:id="22"/>
      <w:bookmarkEnd w:id="24"/>
    </w:p>
    <w:p w14:paraId="43990A06" w14:textId="5863B651" w:rsidR="009D62DF" w:rsidRPr="001310AD" w:rsidRDefault="00D57807" w:rsidP="00E10776">
      <w:pPr>
        <w:pStyle w:val="3-BodyText"/>
        <w:keepNext/>
        <w:keepLines/>
        <w:widowControl w:val="0"/>
      </w:pPr>
      <w:r w:rsidRPr="001310AD">
        <w:t xml:space="preserve">The resubmission was based </w:t>
      </w:r>
      <w:r w:rsidR="00413B50" w:rsidRPr="001310AD">
        <w:t xml:space="preserve">on </w:t>
      </w:r>
      <w:r w:rsidR="001B127F" w:rsidRPr="001310AD">
        <w:t xml:space="preserve">the same trial </w:t>
      </w:r>
      <w:r w:rsidR="00B26068" w:rsidRPr="001310AD">
        <w:t>for RSVPreF3</w:t>
      </w:r>
      <w:r w:rsidR="00B1160C" w:rsidRPr="001310AD">
        <w:t xml:space="preserve"> OA</w:t>
      </w:r>
      <w:r w:rsidR="00B26068" w:rsidRPr="001310AD">
        <w:t xml:space="preserve"> as </w:t>
      </w:r>
      <w:r w:rsidR="001B127F" w:rsidRPr="001310AD">
        <w:t>presented in the July 2024</w:t>
      </w:r>
      <w:r w:rsidR="00320499" w:rsidRPr="001310AD">
        <w:t xml:space="preserve"> submission</w:t>
      </w:r>
      <w:r w:rsidR="000E376A" w:rsidRPr="001310AD">
        <w:t xml:space="preserve">, AReSVi-006. </w:t>
      </w:r>
      <w:r w:rsidR="00320499" w:rsidRPr="001310AD">
        <w:t xml:space="preserve">The key </w:t>
      </w:r>
      <w:r w:rsidRPr="001310AD">
        <w:t>head-to-head randomised trial compar</w:t>
      </w:r>
      <w:r w:rsidR="000E376A" w:rsidRPr="001310AD">
        <w:t>ed</w:t>
      </w:r>
      <w:r w:rsidRPr="001310AD">
        <w:t xml:space="preserve"> RSVPreF3 OA </w:t>
      </w:r>
      <w:r w:rsidR="00CD35EF" w:rsidRPr="001310AD">
        <w:t xml:space="preserve">(N = </w:t>
      </w:r>
      <w:r w:rsidR="00EB2B47" w:rsidRPr="001310AD">
        <w:t xml:space="preserve">12,469) </w:t>
      </w:r>
      <w:r w:rsidRPr="001310AD">
        <w:t xml:space="preserve">to </w:t>
      </w:r>
      <w:r w:rsidR="000E376A" w:rsidRPr="001310AD">
        <w:t xml:space="preserve">placebo </w:t>
      </w:r>
      <w:r w:rsidR="00EB2B47" w:rsidRPr="001310AD">
        <w:t>(N</w:t>
      </w:r>
      <w:r w:rsidR="000679E0" w:rsidRPr="001310AD">
        <w:t xml:space="preserve"> </w:t>
      </w:r>
      <w:r w:rsidR="00EB2B47" w:rsidRPr="001310AD">
        <w:t xml:space="preserve">= </w:t>
      </w:r>
      <w:r w:rsidR="000679E0" w:rsidRPr="001310AD">
        <w:t>12,503)</w:t>
      </w:r>
      <w:r w:rsidR="000E376A" w:rsidRPr="001310AD">
        <w:t>.</w:t>
      </w:r>
      <w:r w:rsidR="000679E0" w:rsidRPr="001310AD">
        <w:t xml:space="preserve"> </w:t>
      </w:r>
      <w:r w:rsidR="009D62DF" w:rsidRPr="001310AD">
        <w:t xml:space="preserve">The resubmission presented updated </w:t>
      </w:r>
      <w:r w:rsidR="000679E0" w:rsidRPr="001310AD">
        <w:t xml:space="preserve">results </w:t>
      </w:r>
      <w:r w:rsidR="002170D9" w:rsidRPr="001310AD">
        <w:t xml:space="preserve">up to 30.6 months of </w:t>
      </w:r>
      <w:r w:rsidR="00A047F0" w:rsidRPr="001310AD">
        <w:t xml:space="preserve">median </w:t>
      </w:r>
      <w:r w:rsidR="002170D9" w:rsidRPr="001310AD">
        <w:t>follow-up (from 17.8 months</w:t>
      </w:r>
      <w:r w:rsidR="00206505" w:rsidRPr="001310AD">
        <w:t xml:space="preserve"> at the end of Season 2</w:t>
      </w:r>
      <w:r w:rsidR="00413B50" w:rsidRPr="001310AD">
        <w:t xml:space="preserve"> presented in the July 2024 submission</w:t>
      </w:r>
      <w:r w:rsidR="002170D9" w:rsidRPr="001310AD">
        <w:t xml:space="preserve">) </w:t>
      </w:r>
      <w:r w:rsidR="00D914D0" w:rsidRPr="001310AD">
        <w:t>corresponding to 3 complete RSV seasons in the northern hemisphere (NH)</w:t>
      </w:r>
      <w:r w:rsidR="000E376A" w:rsidRPr="001310AD">
        <w:t xml:space="preserve"> </w:t>
      </w:r>
      <w:r w:rsidR="009D62DF" w:rsidRPr="001310AD">
        <w:t>in adults ≥60 YOA, across different RSV subtypes, age groups</w:t>
      </w:r>
      <w:r w:rsidR="00B26068" w:rsidRPr="001310AD">
        <w:t xml:space="preserve"> and </w:t>
      </w:r>
      <w:r w:rsidR="009D62DF" w:rsidRPr="001310AD">
        <w:t>comorbid</w:t>
      </w:r>
      <w:r w:rsidR="00B26068" w:rsidRPr="001310AD">
        <w:t>ity</w:t>
      </w:r>
      <w:r w:rsidR="009D62DF" w:rsidRPr="001310AD">
        <w:t xml:space="preserve"> categories.</w:t>
      </w:r>
    </w:p>
    <w:p w14:paraId="43CAC2DB" w14:textId="217DF4B0" w:rsidR="00C650EC" w:rsidRPr="001310AD" w:rsidRDefault="00C650EC" w:rsidP="00CC7252">
      <w:pPr>
        <w:pStyle w:val="3-BodyText"/>
        <w:widowControl w:val="0"/>
      </w:pPr>
      <w:r w:rsidRPr="001310AD">
        <w:t xml:space="preserve">A claim of superiority was made for VE based on the results from AReSVi-006 in terms of prevention of first occurrence of </w:t>
      </w:r>
      <w:r w:rsidR="004B190F" w:rsidRPr="001310AD">
        <w:t>reverse transcription-polymerase chain reaction (</w:t>
      </w:r>
      <w:r w:rsidRPr="001310AD">
        <w:t>RT-PCR</w:t>
      </w:r>
      <w:r w:rsidR="004B190F" w:rsidRPr="001310AD">
        <w:t>)</w:t>
      </w:r>
      <w:r w:rsidRPr="001310AD">
        <w:t xml:space="preserve"> confirmed RSV-associated LRTD in adults ≥60 YOA, </w:t>
      </w:r>
      <w:r w:rsidRPr="001310AD">
        <w:rPr>
          <w:iCs/>
        </w:rPr>
        <w:t xml:space="preserve">with an acceptable safety profile relative to </w:t>
      </w:r>
      <w:r w:rsidR="00F251F4" w:rsidRPr="001310AD">
        <w:rPr>
          <w:iCs/>
        </w:rPr>
        <w:t>placebo</w:t>
      </w:r>
      <w:r w:rsidRPr="001310AD">
        <w:t xml:space="preserve">. </w:t>
      </w:r>
      <w:r w:rsidR="00510ABF" w:rsidRPr="001310AD">
        <w:t>The submission presented a pre</w:t>
      </w:r>
      <w:r w:rsidR="00FF02BC" w:rsidRPr="001310AD">
        <w:t>-</w:t>
      </w:r>
      <w:r w:rsidR="00510ABF" w:rsidRPr="001310AD">
        <w:t>specified subgroup analysis of individuals aged 70-</w:t>
      </w:r>
      <w:r w:rsidR="00D22E27" w:rsidRPr="001310AD">
        <w:t>79</w:t>
      </w:r>
      <w:r w:rsidR="00515BA6" w:rsidRPr="001310AD">
        <w:t xml:space="preserve"> to support the </w:t>
      </w:r>
      <w:r w:rsidR="00904A09" w:rsidRPr="001310AD">
        <w:t xml:space="preserve">requested </w:t>
      </w:r>
      <w:r w:rsidR="00515BA6" w:rsidRPr="001310AD">
        <w:t xml:space="preserve">listing in adults </w:t>
      </w:r>
      <w:r w:rsidR="00515BA6" w:rsidRPr="001310AD">
        <w:rPr>
          <w:rFonts w:cstheme="minorHAnsi"/>
        </w:rPr>
        <w:t>≥</w:t>
      </w:r>
      <w:r w:rsidR="00515BA6" w:rsidRPr="001310AD">
        <w:t xml:space="preserve">75 YOA. </w:t>
      </w:r>
    </w:p>
    <w:p w14:paraId="0A46CD60" w14:textId="5F606332" w:rsidR="00174D4D" w:rsidRPr="001310AD" w:rsidRDefault="00F10ADB" w:rsidP="00CC7252">
      <w:pPr>
        <w:pStyle w:val="3-BodyText"/>
        <w:widowControl w:val="0"/>
      </w:pPr>
      <w:r w:rsidRPr="001310AD">
        <w:t xml:space="preserve">No evidence for Aboriginal and Torres Strait Islander people was available from the </w:t>
      </w:r>
      <w:r w:rsidR="00B02608" w:rsidRPr="001310AD">
        <w:t>AReSVi-006 trial</w:t>
      </w:r>
      <w:r w:rsidRPr="001310AD">
        <w:t>. The submission addressed this lack of data by using multipliers in</w:t>
      </w:r>
      <w:r w:rsidR="005943CE" w:rsidRPr="001310AD">
        <w:t xml:space="preserve"> the economic analysis</w:t>
      </w:r>
      <w:r w:rsidRPr="001310AD">
        <w:t xml:space="preserve"> to account for the anticipated higher incidence of RSV among Aboriginal and Torres Strait Islander people. </w:t>
      </w:r>
    </w:p>
    <w:p w14:paraId="1CC0ECBC" w14:textId="4744B471" w:rsidR="004F5851" w:rsidRPr="001310AD" w:rsidRDefault="007F30EA" w:rsidP="00C20BE7">
      <w:pPr>
        <w:pStyle w:val="3-BodyText"/>
        <w:widowControl w:val="0"/>
      </w:pPr>
      <w:r w:rsidRPr="001310AD">
        <w:t xml:space="preserve">ATAGI stated that RSVPreF3 OA was effective in adults </w:t>
      </w:r>
      <w:r w:rsidRPr="001310AD">
        <w:rPr>
          <w:rFonts w:cs="Calibri"/>
        </w:rPr>
        <w:t>≥</w:t>
      </w:r>
      <w:r w:rsidRPr="001310AD">
        <w:t>60 YOA</w:t>
      </w:r>
      <w:r w:rsidR="002F5C33" w:rsidRPr="001310AD">
        <w:t>,</w:t>
      </w:r>
      <w:r w:rsidRPr="001310AD">
        <w:t xml:space="preserve"> inclusive of the </w:t>
      </w:r>
      <w:r w:rsidR="004C293F" w:rsidRPr="001310AD">
        <w:t>proposed NIP</w:t>
      </w:r>
      <w:r w:rsidRPr="001310AD">
        <w:t xml:space="preserve"> population</w:t>
      </w:r>
      <w:r w:rsidR="006B2703" w:rsidRPr="001310AD">
        <w:t>s</w:t>
      </w:r>
      <w:r w:rsidRPr="001310AD">
        <w:t xml:space="preserve">, Aboriginal and Torres Strait Islander people aged 60-74 and adults </w:t>
      </w:r>
      <w:r w:rsidRPr="001310AD">
        <w:rPr>
          <w:rFonts w:cs="Calibri"/>
        </w:rPr>
        <w:t>≥</w:t>
      </w:r>
      <w:r w:rsidRPr="001310AD">
        <w:t>75 years</w:t>
      </w:r>
      <w:r w:rsidR="004C293F" w:rsidRPr="001310AD">
        <w:t xml:space="preserve">, although efficacy beyond 3 seasons, and the need for further vaccination, remains unknown </w:t>
      </w:r>
      <w:r w:rsidRPr="001310AD">
        <w:t xml:space="preserve">(ATAGI advice, March 2025). </w:t>
      </w:r>
    </w:p>
    <w:p w14:paraId="5423AD78" w14:textId="304D6A71" w:rsidR="0027039F" w:rsidRPr="001310AD" w:rsidRDefault="0027039F" w:rsidP="00B91A65">
      <w:pPr>
        <w:pStyle w:val="3-BodyText"/>
        <w:widowControl w:val="0"/>
      </w:pPr>
      <w:r w:rsidRPr="001310AD">
        <w:t xml:space="preserve">The resubmission presented updated </w:t>
      </w:r>
      <w:r w:rsidR="00E37841" w:rsidRPr="001310AD">
        <w:t>immunogenicity and safety results</w:t>
      </w:r>
      <w:r w:rsidR="00465B62" w:rsidRPr="001310AD">
        <w:t xml:space="preserve"> at</w:t>
      </w:r>
      <w:r w:rsidR="009E6EDF" w:rsidRPr="001310AD">
        <w:t xml:space="preserve"> Month 36</w:t>
      </w:r>
      <w:r w:rsidR="0080361A" w:rsidRPr="001310AD">
        <w:t>/37</w:t>
      </w:r>
      <w:r w:rsidR="00E37841" w:rsidRPr="001310AD">
        <w:t xml:space="preserve"> </w:t>
      </w:r>
      <w:r w:rsidR="008C48DF" w:rsidRPr="001310AD">
        <w:t xml:space="preserve">in adults ≥60 YOA </w:t>
      </w:r>
      <w:r w:rsidR="00E37841" w:rsidRPr="001310AD">
        <w:t xml:space="preserve">from one </w:t>
      </w:r>
      <w:r w:rsidR="007E4BB3" w:rsidRPr="001310AD">
        <w:t xml:space="preserve">supportive </w:t>
      </w:r>
      <w:r w:rsidR="00506C79" w:rsidRPr="001310AD">
        <w:t>trial</w:t>
      </w:r>
      <w:r w:rsidR="00E37841" w:rsidRPr="001310AD">
        <w:t xml:space="preserve">, RSV OA=ADJ-004. </w:t>
      </w:r>
      <w:r w:rsidR="00CE1BF3" w:rsidRPr="001310AD">
        <w:t>In its July 2024 consideration</w:t>
      </w:r>
      <w:r w:rsidR="00E43C98" w:rsidRPr="001310AD">
        <w:t>,</w:t>
      </w:r>
      <w:r w:rsidR="00CE1BF3" w:rsidRPr="001310AD">
        <w:t xml:space="preserve"> the PBAC had considered immunogenicity data up to 24 months post Dose 1 (para</w:t>
      </w:r>
      <w:r w:rsidR="00E43C98" w:rsidRPr="001310AD">
        <w:t>graph</w:t>
      </w:r>
      <w:r w:rsidR="00CE1BF3" w:rsidRPr="001310AD">
        <w:t xml:space="preserve"> 6.22, RSVPre</w:t>
      </w:r>
      <w:r w:rsidR="00C81658" w:rsidRPr="001310AD">
        <w:t>F</w:t>
      </w:r>
      <w:r w:rsidR="00CE1BF3" w:rsidRPr="001310AD">
        <w:t xml:space="preserve">3 OA PSD, July 2024). </w:t>
      </w:r>
    </w:p>
    <w:p w14:paraId="0F7E467D" w14:textId="021B57A9" w:rsidR="005F74D1" w:rsidRPr="001310AD" w:rsidRDefault="00A73134" w:rsidP="00B91A65">
      <w:pPr>
        <w:pStyle w:val="3-BodyText"/>
        <w:widowControl w:val="0"/>
      </w:pPr>
      <w:r w:rsidRPr="001310AD">
        <w:t xml:space="preserve">Details of the trials presented in the </w:t>
      </w:r>
      <w:r w:rsidR="00595A08" w:rsidRPr="001310AD">
        <w:t>re</w:t>
      </w:r>
      <w:r w:rsidRPr="001310AD">
        <w:t>submission are provided in</w:t>
      </w:r>
      <w:r w:rsidR="00B91A65" w:rsidRPr="001310AD">
        <w:t xml:space="preserve"> </w:t>
      </w:r>
      <w:r w:rsidR="00B91A65" w:rsidRPr="001310AD">
        <w:rPr>
          <w:highlight w:val="yellow"/>
        </w:rPr>
        <w:fldChar w:fldCharType="begin"/>
      </w:r>
      <w:r w:rsidR="00B91A65" w:rsidRPr="001310AD">
        <w:instrText xml:space="preserve"> REF _Ref196920627 \h </w:instrText>
      </w:r>
      <w:r w:rsidR="00B91A65" w:rsidRPr="001310AD">
        <w:rPr>
          <w:highlight w:val="yellow"/>
        </w:rPr>
      </w:r>
      <w:r w:rsidR="00B91A65" w:rsidRPr="001310AD">
        <w:rPr>
          <w:highlight w:val="yellow"/>
        </w:rPr>
        <w:fldChar w:fldCharType="separate"/>
      </w:r>
      <w:r w:rsidR="001F75E0" w:rsidRPr="001310AD">
        <w:t>Table 3</w:t>
      </w:r>
      <w:r w:rsidR="00B91A65" w:rsidRPr="001310AD">
        <w:rPr>
          <w:highlight w:val="yellow"/>
        </w:rPr>
        <w:fldChar w:fldCharType="end"/>
      </w:r>
      <w:r w:rsidR="00961D0A" w:rsidRPr="001310AD">
        <w:t>.</w:t>
      </w:r>
    </w:p>
    <w:p w14:paraId="1CC6D26F" w14:textId="77777777" w:rsidR="00B91A65" w:rsidRPr="001310AD" w:rsidRDefault="00B91A65" w:rsidP="00B91A65">
      <w:pPr>
        <w:pStyle w:val="3-BodyText"/>
        <w:widowControl w:val="0"/>
        <w:numPr>
          <w:ilvl w:val="0"/>
          <w:numId w:val="0"/>
        </w:numPr>
      </w:pPr>
    </w:p>
    <w:p w14:paraId="04DC6F09" w14:textId="77777777" w:rsidR="00B91A65" w:rsidRPr="001310AD" w:rsidRDefault="00B91A65" w:rsidP="00B91A65">
      <w:pPr>
        <w:pStyle w:val="3-BodyText"/>
        <w:widowControl w:val="0"/>
        <w:numPr>
          <w:ilvl w:val="0"/>
          <w:numId w:val="0"/>
        </w:numPr>
      </w:pPr>
    </w:p>
    <w:p w14:paraId="62C1CEB3" w14:textId="77777777" w:rsidR="00B91A65" w:rsidRPr="001310AD" w:rsidRDefault="00B91A65" w:rsidP="00B91A65">
      <w:pPr>
        <w:pStyle w:val="3-BodyText"/>
        <w:widowControl w:val="0"/>
        <w:numPr>
          <w:ilvl w:val="0"/>
          <w:numId w:val="0"/>
        </w:numPr>
      </w:pPr>
    </w:p>
    <w:p w14:paraId="3171AF4C" w14:textId="446EDFE4" w:rsidR="00CC7252" w:rsidRPr="001310AD" w:rsidRDefault="001B5CAE" w:rsidP="00B91A65">
      <w:pPr>
        <w:pStyle w:val="Caption"/>
        <w:widowControl w:val="0"/>
        <w:jc w:val="left"/>
        <w:rPr>
          <w:bCs w:val="0"/>
          <w:szCs w:val="16"/>
        </w:rPr>
      </w:pPr>
      <w:bookmarkStart w:id="26" w:name="_Ref196920627"/>
      <w:bookmarkStart w:id="27" w:name="_Ref104803956"/>
      <w:r w:rsidRPr="001310AD">
        <w:lastRenderedPageBreak/>
        <w:t xml:space="preserve">Table </w:t>
      </w:r>
      <w:fldSimple w:instr=" SEQ Table \* ARABIC ">
        <w:r w:rsidR="001F75E0" w:rsidRPr="001310AD">
          <w:t>3</w:t>
        </w:r>
      </w:fldSimple>
      <w:bookmarkEnd w:id="26"/>
      <w:r w:rsidR="00EC606D" w:rsidRPr="001310AD">
        <w:t>:</w:t>
      </w:r>
      <w:r w:rsidR="00535AF4" w:rsidRPr="001310AD">
        <w:rPr>
          <w:rStyle w:val="CommentReference"/>
          <w:b/>
          <w:bCs w:val="0"/>
        </w:rPr>
        <w:t xml:space="preserve"> Trials and associated reports presented in the </w:t>
      </w:r>
      <w:r w:rsidR="00595A08" w:rsidRPr="001310AD">
        <w:rPr>
          <w:rStyle w:val="CommentReference"/>
          <w:b/>
          <w:bCs w:val="0"/>
        </w:rPr>
        <w:t>re</w:t>
      </w:r>
      <w:r w:rsidR="00535AF4" w:rsidRPr="001310AD">
        <w:rPr>
          <w:rStyle w:val="CommentReference"/>
          <w:b/>
          <w:bCs w:val="0"/>
        </w:rPr>
        <w:t>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435"/>
        <w:gridCol w:w="5459"/>
        <w:gridCol w:w="2123"/>
      </w:tblGrid>
      <w:tr w:rsidR="00535AF4" w:rsidRPr="001310AD" w14:paraId="00A833A5" w14:textId="77777777">
        <w:trPr>
          <w:tblHeader/>
        </w:trPr>
        <w:tc>
          <w:tcPr>
            <w:tcW w:w="796" w:type="pct"/>
            <w:tcBorders>
              <w:bottom w:val="single" w:sz="4" w:space="0" w:color="auto"/>
            </w:tcBorders>
            <w:vAlign w:val="center"/>
          </w:tcPr>
          <w:p w14:paraId="7F4AEA7E" w14:textId="77777777" w:rsidR="00535AF4" w:rsidRPr="001310AD" w:rsidRDefault="00535AF4" w:rsidP="00B91A65">
            <w:pPr>
              <w:pStyle w:val="TableFigureHeading"/>
              <w:keepLines/>
              <w:widowControl w:val="0"/>
            </w:pPr>
            <w:r w:rsidRPr="001310AD">
              <w:t>Trial ID</w:t>
            </w:r>
          </w:p>
        </w:tc>
        <w:tc>
          <w:tcPr>
            <w:tcW w:w="3027" w:type="pct"/>
            <w:tcBorders>
              <w:bottom w:val="single" w:sz="4" w:space="0" w:color="auto"/>
            </w:tcBorders>
            <w:vAlign w:val="center"/>
          </w:tcPr>
          <w:p w14:paraId="7812E2EC" w14:textId="77777777" w:rsidR="00535AF4" w:rsidRPr="001310AD" w:rsidRDefault="00535AF4" w:rsidP="00B91A65">
            <w:pPr>
              <w:pStyle w:val="TableFigureHeading"/>
              <w:keepLines/>
              <w:widowControl w:val="0"/>
            </w:pPr>
            <w:r w:rsidRPr="001310AD">
              <w:t>Protocol title/ Publication title</w:t>
            </w:r>
          </w:p>
        </w:tc>
        <w:tc>
          <w:tcPr>
            <w:tcW w:w="1177" w:type="pct"/>
            <w:tcBorders>
              <w:bottom w:val="single" w:sz="4" w:space="0" w:color="auto"/>
            </w:tcBorders>
            <w:vAlign w:val="center"/>
          </w:tcPr>
          <w:p w14:paraId="07988162" w14:textId="77777777" w:rsidR="00535AF4" w:rsidRPr="001310AD" w:rsidRDefault="00535AF4" w:rsidP="00B91A65">
            <w:pPr>
              <w:pStyle w:val="TableFigureHeading"/>
              <w:keepLines/>
              <w:widowControl w:val="0"/>
            </w:pPr>
            <w:r w:rsidRPr="001310AD">
              <w:t>Publication citation</w:t>
            </w:r>
          </w:p>
        </w:tc>
      </w:tr>
      <w:tr w:rsidR="00595A08" w:rsidRPr="001310AD" w14:paraId="7D64CFFB" w14:textId="77777777" w:rsidTr="00595A08">
        <w:trPr>
          <w:tblHeader/>
        </w:trPr>
        <w:tc>
          <w:tcPr>
            <w:tcW w:w="5000" w:type="pct"/>
            <w:gridSpan w:val="3"/>
            <w:tcBorders>
              <w:bottom w:val="single" w:sz="4" w:space="0" w:color="auto"/>
            </w:tcBorders>
            <w:vAlign w:val="center"/>
          </w:tcPr>
          <w:p w14:paraId="688625CB" w14:textId="24DA331D" w:rsidR="00595A08" w:rsidRPr="001310AD" w:rsidRDefault="00595A08" w:rsidP="00B91A65">
            <w:pPr>
              <w:pStyle w:val="TableFigureHeading"/>
              <w:keepLines/>
              <w:widowControl w:val="0"/>
            </w:pPr>
            <w:r w:rsidRPr="001310AD">
              <w:t>Pivotal efficacy trial</w:t>
            </w:r>
          </w:p>
        </w:tc>
      </w:tr>
      <w:tr w:rsidR="00535AF4" w:rsidRPr="001310AD" w14:paraId="68075523" w14:textId="77777777" w:rsidTr="00DF7366">
        <w:tc>
          <w:tcPr>
            <w:tcW w:w="796" w:type="pct"/>
            <w:tcBorders>
              <w:top w:val="single" w:sz="4" w:space="0" w:color="auto"/>
              <w:left w:val="single" w:sz="4" w:space="0" w:color="auto"/>
              <w:bottom w:val="nil"/>
              <w:right w:val="single" w:sz="4" w:space="0" w:color="auto"/>
            </w:tcBorders>
            <w:shd w:val="clear" w:color="auto" w:fill="B8CCE4" w:themeFill="accent1" w:themeFillTint="66"/>
            <w:vAlign w:val="center"/>
          </w:tcPr>
          <w:p w14:paraId="1F8BDE53" w14:textId="77777777" w:rsidR="00535AF4" w:rsidRPr="001310AD" w:rsidRDefault="00535AF4" w:rsidP="00B91A65">
            <w:pPr>
              <w:pStyle w:val="TableText0"/>
              <w:widowControl w:val="0"/>
            </w:pPr>
          </w:p>
        </w:tc>
        <w:tc>
          <w:tcPr>
            <w:tcW w:w="30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DCDFA8" w14:textId="77777777" w:rsidR="00535AF4" w:rsidRPr="001310AD" w:rsidRDefault="00535AF4" w:rsidP="00B91A65">
            <w:pPr>
              <w:pStyle w:val="TableText0"/>
              <w:widowControl w:val="0"/>
              <w:rPr>
                <w:szCs w:val="18"/>
              </w:rPr>
            </w:pPr>
            <w:r w:rsidRPr="001310AD">
              <w:rPr>
                <w:szCs w:val="18"/>
              </w:rPr>
              <w:t>A phase 3, randomized, placebo-controlled, observer-blind, multi-country study to demonstrate the efficacy of a single dose and annual revaccination doses of GSK’s RSVPreF3 OA investigational vaccine in adults aged 60 years and above. VE analysis 1 (Interim Season 1 Analysis)</w:t>
            </w:r>
          </w:p>
        </w:tc>
        <w:tc>
          <w:tcPr>
            <w:tcW w:w="117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7D1123" w14:textId="77777777" w:rsidR="00535AF4" w:rsidRPr="001310AD" w:rsidRDefault="00535AF4" w:rsidP="00B91A65">
            <w:pPr>
              <w:pStyle w:val="TableText0"/>
              <w:widowControl w:val="0"/>
            </w:pPr>
            <w:r w:rsidRPr="001310AD">
              <w:t>Clinical Study Report</w:t>
            </w:r>
          </w:p>
        </w:tc>
      </w:tr>
      <w:tr w:rsidR="00535AF4" w:rsidRPr="001310AD" w14:paraId="26B21640" w14:textId="77777777" w:rsidTr="00DF7366">
        <w:tc>
          <w:tcPr>
            <w:tcW w:w="796" w:type="pct"/>
            <w:tcBorders>
              <w:top w:val="nil"/>
              <w:left w:val="single" w:sz="4" w:space="0" w:color="auto"/>
              <w:bottom w:val="nil"/>
              <w:right w:val="single" w:sz="4" w:space="0" w:color="auto"/>
            </w:tcBorders>
            <w:shd w:val="clear" w:color="auto" w:fill="B8CCE4" w:themeFill="accent1" w:themeFillTint="66"/>
          </w:tcPr>
          <w:p w14:paraId="7C5A0F5B" w14:textId="77777777" w:rsidR="00535AF4" w:rsidRPr="001310AD" w:rsidRDefault="00535AF4" w:rsidP="00B91A65">
            <w:pPr>
              <w:pStyle w:val="TableText0"/>
              <w:widowControl w:val="0"/>
            </w:pPr>
            <w:r w:rsidRPr="001310AD">
              <w:t>AReSVi-006 (NCT04886596)</w:t>
            </w:r>
          </w:p>
        </w:tc>
        <w:tc>
          <w:tcPr>
            <w:tcW w:w="30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0C08A0" w14:textId="77777777" w:rsidR="00535AF4" w:rsidRPr="001310AD" w:rsidRDefault="00535AF4" w:rsidP="00B91A65">
            <w:pPr>
              <w:pStyle w:val="TableText0"/>
              <w:widowControl w:val="0"/>
              <w:rPr>
                <w:szCs w:val="18"/>
              </w:rPr>
            </w:pPr>
            <w:r w:rsidRPr="001310AD">
              <w:rPr>
                <w:szCs w:val="18"/>
              </w:rPr>
              <w:t>Papi A, Ison, MG, Langley, JM et al. Respiratory Syncytial Virus Prefusion F Protein Vaccine in Older Adults</w:t>
            </w:r>
          </w:p>
        </w:tc>
        <w:tc>
          <w:tcPr>
            <w:tcW w:w="117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B3B1A0" w14:textId="77777777" w:rsidR="00535AF4" w:rsidRPr="001310AD" w:rsidRDefault="00535AF4" w:rsidP="00B91A65">
            <w:pPr>
              <w:pStyle w:val="TableText0"/>
              <w:widowControl w:val="0"/>
              <w:rPr>
                <w:szCs w:val="18"/>
              </w:rPr>
            </w:pPr>
            <w:r w:rsidRPr="001310AD">
              <w:rPr>
                <w:szCs w:val="18"/>
              </w:rPr>
              <w:t>NEJM 2023, 388: 595-608. DOI: 10.1056/NEJMoa2209604</w:t>
            </w:r>
          </w:p>
        </w:tc>
      </w:tr>
      <w:tr w:rsidR="00535AF4" w:rsidRPr="001310AD" w14:paraId="2E3C7E0E" w14:textId="77777777" w:rsidTr="00B3551E">
        <w:tc>
          <w:tcPr>
            <w:tcW w:w="796" w:type="pct"/>
            <w:tcBorders>
              <w:top w:val="nil"/>
              <w:left w:val="single" w:sz="4" w:space="0" w:color="auto"/>
              <w:bottom w:val="nil"/>
              <w:right w:val="single" w:sz="4" w:space="0" w:color="auto"/>
            </w:tcBorders>
            <w:shd w:val="clear" w:color="auto" w:fill="B8CCE4" w:themeFill="accent1" w:themeFillTint="66"/>
            <w:vAlign w:val="center"/>
          </w:tcPr>
          <w:p w14:paraId="190C67E6" w14:textId="77777777" w:rsidR="00535AF4" w:rsidRPr="001310AD" w:rsidRDefault="00535AF4" w:rsidP="00B91A65">
            <w:pPr>
              <w:pStyle w:val="TableText0"/>
              <w:widowControl w:val="0"/>
            </w:pPr>
          </w:p>
        </w:tc>
        <w:tc>
          <w:tcPr>
            <w:tcW w:w="3027" w:type="pct"/>
            <w:tcBorders>
              <w:top w:val="single" w:sz="4" w:space="0" w:color="auto"/>
              <w:left w:val="single" w:sz="4" w:space="0" w:color="auto"/>
              <w:bottom w:val="single" w:sz="4" w:space="0" w:color="auto"/>
              <w:right w:val="single" w:sz="4" w:space="0" w:color="auto"/>
            </w:tcBorders>
            <w:vAlign w:val="center"/>
          </w:tcPr>
          <w:p w14:paraId="295D0B6E" w14:textId="61DEDA1B" w:rsidR="00CF1A4B" w:rsidRPr="001310AD" w:rsidRDefault="000852A7" w:rsidP="00B91A65">
            <w:pPr>
              <w:pStyle w:val="TableLeft"/>
              <w:keepNext/>
              <w:keepLines/>
              <w:widowControl w:val="0"/>
              <w:spacing w:after="0"/>
            </w:pPr>
            <w:r w:rsidRPr="001310AD">
              <w:t>Phase 3, randomized, placebo-controlled, observer blind, multi-country study to demonstrate the efficacy of a single dose and annual revaccination of GSK’s RSVPreF3 OA investigational vaccine in adults aged 60 years and above</w:t>
            </w:r>
            <w:r w:rsidR="00652C25" w:rsidRPr="001310AD">
              <w:t xml:space="preserve"> (End of Study CSR).</w:t>
            </w:r>
          </w:p>
        </w:tc>
        <w:tc>
          <w:tcPr>
            <w:tcW w:w="1177" w:type="pct"/>
            <w:tcBorders>
              <w:top w:val="single" w:sz="4" w:space="0" w:color="auto"/>
              <w:left w:val="single" w:sz="4" w:space="0" w:color="auto"/>
              <w:bottom w:val="single" w:sz="4" w:space="0" w:color="auto"/>
              <w:right w:val="single" w:sz="4" w:space="0" w:color="auto"/>
            </w:tcBorders>
          </w:tcPr>
          <w:p w14:paraId="718C4B95" w14:textId="1843A462" w:rsidR="00535AF4" w:rsidRPr="001310AD" w:rsidRDefault="00535AF4" w:rsidP="00B91A65">
            <w:pPr>
              <w:pStyle w:val="TableText0"/>
              <w:widowControl w:val="0"/>
              <w:rPr>
                <w:i/>
                <w:iCs/>
                <w:szCs w:val="18"/>
              </w:rPr>
            </w:pPr>
            <w:r w:rsidRPr="001310AD">
              <w:t>Clinical Study Report</w:t>
            </w:r>
            <w:r w:rsidR="00652C25" w:rsidRPr="001310AD">
              <w:t>, 9 September 2024</w:t>
            </w:r>
          </w:p>
        </w:tc>
      </w:tr>
      <w:tr w:rsidR="001A2F81" w:rsidRPr="001310AD" w14:paraId="0AF86853" w14:textId="77777777" w:rsidTr="003D1432">
        <w:tc>
          <w:tcPr>
            <w:tcW w:w="796" w:type="pct"/>
            <w:tcBorders>
              <w:top w:val="nil"/>
              <w:left w:val="single" w:sz="4" w:space="0" w:color="auto"/>
              <w:bottom w:val="nil"/>
              <w:right w:val="single" w:sz="4" w:space="0" w:color="auto"/>
            </w:tcBorders>
            <w:shd w:val="clear" w:color="auto" w:fill="B8CCE4" w:themeFill="accent1" w:themeFillTint="66"/>
            <w:vAlign w:val="center"/>
          </w:tcPr>
          <w:p w14:paraId="419846CE" w14:textId="77777777" w:rsidR="001A2F81" w:rsidRPr="001310AD" w:rsidRDefault="001A2F81" w:rsidP="00B91A65">
            <w:pPr>
              <w:pStyle w:val="TableText0"/>
              <w:widowControl w:val="0"/>
            </w:pPr>
          </w:p>
        </w:tc>
        <w:tc>
          <w:tcPr>
            <w:tcW w:w="30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E13298" w14:textId="0645A656" w:rsidR="001A2F81" w:rsidRPr="001310AD" w:rsidDel="00B31D04" w:rsidRDefault="00CB4345" w:rsidP="00B91A65">
            <w:pPr>
              <w:pStyle w:val="TableLeft"/>
              <w:keepNext/>
              <w:keepLines/>
              <w:widowControl w:val="0"/>
              <w:spacing w:after="0"/>
              <w:rPr>
                <w:i/>
                <w:iCs/>
              </w:rPr>
            </w:pPr>
            <w:r w:rsidRPr="001310AD">
              <w:rPr>
                <w:i/>
                <w:iCs/>
              </w:rPr>
              <w:t>Analysis: VE Analysis 3 (End of Season 2 Analysis) Study report number: 212494</w:t>
            </w:r>
          </w:p>
        </w:tc>
        <w:tc>
          <w:tcPr>
            <w:tcW w:w="1177"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5E97F6" w14:textId="77485228" w:rsidR="001A2F81" w:rsidRPr="001310AD" w:rsidRDefault="001A2F81" w:rsidP="00B91A65">
            <w:pPr>
              <w:pStyle w:val="TableText0"/>
              <w:widowControl w:val="0"/>
            </w:pPr>
            <w:r w:rsidRPr="001310AD">
              <w:t>Clinical Study Report</w:t>
            </w:r>
          </w:p>
        </w:tc>
      </w:tr>
      <w:tr w:rsidR="00535AF4" w:rsidRPr="001310AD" w14:paraId="750D2D7F" w14:textId="77777777" w:rsidTr="00B3551E">
        <w:tc>
          <w:tcPr>
            <w:tcW w:w="796" w:type="pct"/>
            <w:tcBorders>
              <w:top w:val="nil"/>
              <w:bottom w:val="nil"/>
            </w:tcBorders>
            <w:shd w:val="clear" w:color="auto" w:fill="B8CCE4" w:themeFill="accent1" w:themeFillTint="66"/>
            <w:vAlign w:val="center"/>
          </w:tcPr>
          <w:p w14:paraId="61BC9A5A" w14:textId="77777777" w:rsidR="00535AF4" w:rsidRPr="001310AD" w:rsidRDefault="00535AF4" w:rsidP="00B91A65">
            <w:pPr>
              <w:pStyle w:val="TableText0"/>
              <w:widowControl w:val="0"/>
            </w:pPr>
          </w:p>
        </w:tc>
        <w:tc>
          <w:tcPr>
            <w:tcW w:w="3027" w:type="pct"/>
            <w:tcBorders>
              <w:top w:val="single" w:sz="4" w:space="0" w:color="auto"/>
              <w:bottom w:val="single" w:sz="4" w:space="0" w:color="auto"/>
            </w:tcBorders>
            <w:shd w:val="clear" w:color="auto" w:fill="B8CCE4" w:themeFill="accent1" w:themeFillTint="66"/>
            <w:vAlign w:val="center"/>
          </w:tcPr>
          <w:p w14:paraId="1B7A6289" w14:textId="06FAC9B3" w:rsidR="00535AF4" w:rsidRPr="001310AD" w:rsidRDefault="00535AF4" w:rsidP="00B91A65">
            <w:pPr>
              <w:pStyle w:val="TableText0"/>
              <w:widowControl w:val="0"/>
              <w:rPr>
                <w:szCs w:val="18"/>
              </w:rPr>
            </w:pPr>
            <w:r w:rsidRPr="001310AD">
              <w:rPr>
                <w:szCs w:val="18"/>
              </w:rPr>
              <w:t>Ison MG, Papi A, Athan, E et al. Efficacy and safety of respiratory syncytial virus prefusion F protein vaccine (R</w:t>
            </w:r>
            <w:r w:rsidR="00C81658" w:rsidRPr="001310AD">
              <w:rPr>
                <w:szCs w:val="18"/>
              </w:rPr>
              <w:t>S</w:t>
            </w:r>
            <w:r w:rsidRPr="001310AD">
              <w:rPr>
                <w:szCs w:val="18"/>
              </w:rPr>
              <w:t>VPreF3 OA) in older adults over 2 RSV seasons.</w:t>
            </w:r>
          </w:p>
        </w:tc>
        <w:tc>
          <w:tcPr>
            <w:tcW w:w="1177" w:type="pct"/>
            <w:tcBorders>
              <w:top w:val="single" w:sz="4" w:space="0" w:color="auto"/>
              <w:bottom w:val="single" w:sz="4" w:space="0" w:color="auto"/>
            </w:tcBorders>
            <w:shd w:val="clear" w:color="auto" w:fill="B8CCE4" w:themeFill="accent1" w:themeFillTint="66"/>
          </w:tcPr>
          <w:p w14:paraId="4122F491" w14:textId="77777777" w:rsidR="00535AF4" w:rsidRPr="001310AD" w:rsidRDefault="00535AF4" w:rsidP="00B91A65">
            <w:pPr>
              <w:pStyle w:val="TableText0"/>
              <w:widowControl w:val="0"/>
              <w:rPr>
                <w:szCs w:val="18"/>
              </w:rPr>
            </w:pPr>
            <w:r w:rsidRPr="001310AD">
              <w:rPr>
                <w:szCs w:val="18"/>
              </w:rPr>
              <w:t>Clinical Infectious Diseases 2024, ciae010. doi: 10.1093/cid/ciae010.</w:t>
            </w:r>
          </w:p>
        </w:tc>
      </w:tr>
      <w:tr w:rsidR="00535AF4" w:rsidRPr="001310AD" w14:paraId="54474D43" w14:textId="77777777" w:rsidTr="00B3551E">
        <w:tc>
          <w:tcPr>
            <w:tcW w:w="796" w:type="pct"/>
            <w:tcBorders>
              <w:top w:val="nil"/>
              <w:bottom w:val="nil"/>
            </w:tcBorders>
            <w:shd w:val="clear" w:color="auto" w:fill="B8CCE4" w:themeFill="accent1" w:themeFillTint="66"/>
            <w:vAlign w:val="center"/>
          </w:tcPr>
          <w:p w14:paraId="159764A4" w14:textId="77777777" w:rsidR="00535AF4" w:rsidRPr="001310AD" w:rsidRDefault="00535AF4" w:rsidP="00B91A65">
            <w:pPr>
              <w:pStyle w:val="TableText0"/>
              <w:widowControl w:val="0"/>
            </w:pPr>
          </w:p>
        </w:tc>
        <w:tc>
          <w:tcPr>
            <w:tcW w:w="3027" w:type="pct"/>
            <w:tcBorders>
              <w:top w:val="single" w:sz="4" w:space="0" w:color="auto"/>
              <w:bottom w:val="single" w:sz="4" w:space="0" w:color="auto"/>
            </w:tcBorders>
            <w:shd w:val="clear" w:color="auto" w:fill="B8CCE4" w:themeFill="accent1" w:themeFillTint="66"/>
            <w:vAlign w:val="center"/>
          </w:tcPr>
          <w:p w14:paraId="6BFC92A9" w14:textId="77777777" w:rsidR="00535AF4" w:rsidRPr="001310AD" w:rsidRDefault="00535AF4" w:rsidP="00B91A65">
            <w:pPr>
              <w:pStyle w:val="TableText0"/>
              <w:widowControl w:val="0"/>
              <w:rPr>
                <w:szCs w:val="18"/>
              </w:rPr>
            </w:pPr>
            <w:r w:rsidRPr="001310AD">
              <w:rPr>
                <w:szCs w:val="18"/>
              </w:rPr>
              <w:t>Feldman, RG, Antonelli-Incalzi, R, Steenackers, K. et al. Respiratory syncytial virus prefusion F protein vaccine is efficacious in older adults with underlying medical conditions.</w:t>
            </w:r>
          </w:p>
        </w:tc>
        <w:tc>
          <w:tcPr>
            <w:tcW w:w="1177" w:type="pct"/>
            <w:tcBorders>
              <w:top w:val="single" w:sz="4" w:space="0" w:color="auto"/>
              <w:bottom w:val="single" w:sz="4" w:space="0" w:color="auto"/>
            </w:tcBorders>
            <w:shd w:val="clear" w:color="auto" w:fill="B8CCE4" w:themeFill="accent1" w:themeFillTint="66"/>
          </w:tcPr>
          <w:p w14:paraId="5393483E" w14:textId="77777777" w:rsidR="00535AF4" w:rsidRPr="001310AD" w:rsidRDefault="00535AF4" w:rsidP="00B91A65">
            <w:pPr>
              <w:pStyle w:val="TableText0"/>
              <w:widowControl w:val="0"/>
              <w:rPr>
                <w:szCs w:val="18"/>
              </w:rPr>
            </w:pPr>
            <w:r w:rsidRPr="001310AD">
              <w:rPr>
                <w:szCs w:val="18"/>
              </w:rPr>
              <w:t>Clinical Infectious Disease 2023; ciad471. DOI: 10.1093/cid/ciad471</w:t>
            </w:r>
          </w:p>
        </w:tc>
      </w:tr>
      <w:tr w:rsidR="00535AF4" w:rsidRPr="001310AD" w14:paraId="5FED2A0D" w14:textId="77777777" w:rsidTr="00B3551E">
        <w:tc>
          <w:tcPr>
            <w:tcW w:w="796" w:type="pct"/>
            <w:vMerge w:val="restart"/>
            <w:tcBorders>
              <w:top w:val="nil"/>
            </w:tcBorders>
            <w:shd w:val="clear" w:color="auto" w:fill="B8CCE4" w:themeFill="accent1" w:themeFillTint="66"/>
            <w:vAlign w:val="center"/>
          </w:tcPr>
          <w:p w14:paraId="4E6BDBE8" w14:textId="77777777" w:rsidR="00535AF4" w:rsidRPr="001310AD" w:rsidRDefault="00535AF4" w:rsidP="00B91A65">
            <w:pPr>
              <w:pStyle w:val="TableText0"/>
              <w:widowControl w:val="0"/>
            </w:pPr>
          </w:p>
        </w:tc>
        <w:tc>
          <w:tcPr>
            <w:tcW w:w="3027" w:type="pct"/>
            <w:tcBorders>
              <w:top w:val="single" w:sz="4" w:space="0" w:color="auto"/>
              <w:bottom w:val="single" w:sz="4" w:space="0" w:color="auto"/>
            </w:tcBorders>
            <w:shd w:val="clear" w:color="auto" w:fill="B8CCE4" w:themeFill="accent1" w:themeFillTint="66"/>
          </w:tcPr>
          <w:p w14:paraId="1AE02195" w14:textId="77777777" w:rsidR="00535AF4" w:rsidRPr="001310AD" w:rsidRDefault="00535AF4" w:rsidP="00B91A65">
            <w:pPr>
              <w:pStyle w:val="TableText0"/>
              <w:widowControl w:val="0"/>
              <w:rPr>
                <w:szCs w:val="18"/>
              </w:rPr>
            </w:pPr>
            <w:r w:rsidRPr="001310AD">
              <w:rPr>
                <w:szCs w:val="18"/>
              </w:rPr>
              <w:t>Curran D., Matthews S., Cabrera E.S. et al. The respiratory syncytial virus prefusion F protein vaccine attenuates the severity of respiratory syncytial virus-associated disease in breakthrough infections in adults ≥ 60 years of age.</w:t>
            </w:r>
          </w:p>
        </w:tc>
        <w:tc>
          <w:tcPr>
            <w:tcW w:w="1177" w:type="pct"/>
            <w:tcBorders>
              <w:top w:val="single" w:sz="4" w:space="0" w:color="auto"/>
              <w:bottom w:val="single" w:sz="4" w:space="0" w:color="auto"/>
            </w:tcBorders>
            <w:shd w:val="clear" w:color="auto" w:fill="B8CCE4" w:themeFill="accent1" w:themeFillTint="66"/>
          </w:tcPr>
          <w:p w14:paraId="237523DA" w14:textId="77777777" w:rsidR="00535AF4" w:rsidRPr="001310AD" w:rsidRDefault="00535AF4" w:rsidP="00B91A65">
            <w:pPr>
              <w:pStyle w:val="TableText0"/>
              <w:widowControl w:val="0"/>
              <w:rPr>
                <w:szCs w:val="18"/>
              </w:rPr>
            </w:pPr>
            <w:r w:rsidRPr="001310AD">
              <w:rPr>
                <w:szCs w:val="18"/>
              </w:rPr>
              <w:t>Influenza and Other Respiratory Viruses 18.2 (2024): e13236. DOI: 10.1111/irv.13236</w:t>
            </w:r>
          </w:p>
        </w:tc>
      </w:tr>
      <w:tr w:rsidR="00535AF4" w:rsidRPr="001310AD" w14:paraId="0B00087D" w14:textId="77777777">
        <w:tc>
          <w:tcPr>
            <w:tcW w:w="796" w:type="pct"/>
            <w:vMerge/>
            <w:tcBorders>
              <w:bottom w:val="single" w:sz="4" w:space="0" w:color="auto"/>
            </w:tcBorders>
            <w:vAlign w:val="center"/>
          </w:tcPr>
          <w:p w14:paraId="287315FB" w14:textId="77777777" w:rsidR="00535AF4" w:rsidRPr="001310AD" w:rsidRDefault="00535AF4" w:rsidP="00B91A65">
            <w:pPr>
              <w:pStyle w:val="TableText0"/>
              <w:widowControl w:val="0"/>
            </w:pPr>
          </w:p>
        </w:tc>
        <w:tc>
          <w:tcPr>
            <w:tcW w:w="3027" w:type="pct"/>
            <w:tcBorders>
              <w:top w:val="nil"/>
              <w:bottom w:val="single" w:sz="4" w:space="0" w:color="auto"/>
            </w:tcBorders>
          </w:tcPr>
          <w:p w14:paraId="621F0F2E" w14:textId="77777777" w:rsidR="00535AF4" w:rsidRPr="001310AD" w:rsidRDefault="00535AF4" w:rsidP="00B91A65">
            <w:pPr>
              <w:pStyle w:val="TableText0"/>
              <w:widowControl w:val="0"/>
            </w:pPr>
            <w:r w:rsidRPr="001310AD">
              <w:t xml:space="preserve">Ison MG, Papi A, Athan E et al. Efficacy, safety, and immunogenicity of the AS01E-adjuvanted respiratory syncytial virus 3 prefusion F protein vaccine (RSVPreF3 OA) in older adults over three RSV seasons: a randomized trial. </w:t>
            </w:r>
          </w:p>
        </w:tc>
        <w:tc>
          <w:tcPr>
            <w:tcW w:w="1177" w:type="pct"/>
            <w:tcBorders>
              <w:top w:val="nil"/>
              <w:bottom w:val="single" w:sz="4" w:space="0" w:color="auto"/>
            </w:tcBorders>
          </w:tcPr>
          <w:p w14:paraId="5C963F1C" w14:textId="77777777" w:rsidR="00535AF4" w:rsidRPr="001310AD" w:rsidRDefault="00535AF4" w:rsidP="00B91A65">
            <w:pPr>
              <w:pStyle w:val="TableText0"/>
              <w:widowControl w:val="0"/>
              <w:rPr>
                <w:szCs w:val="18"/>
              </w:rPr>
            </w:pPr>
            <w:r w:rsidRPr="001310AD">
              <w:rPr>
                <w:szCs w:val="18"/>
              </w:rPr>
              <w:t>Pre-print publication</w:t>
            </w:r>
          </w:p>
        </w:tc>
      </w:tr>
      <w:tr w:rsidR="00595A08" w:rsidRPr="001310AD" w14:paraId="0BEEAE9C" w14:textId="77777777" w:rsidTr="00595A08">
        <w:tc>
          <w:tcPr>
            <w:tcW w:w="5000" w:type="pct"/>
            <w:gridSpan w:val="3"/>
            <w:tcBorders>
              <w:top w:val="single" w:sz="4" w:space="0" w:color="auto"/>
              <w:bottom w:val="single" w:sz="4" w:space="0" w:color="auto"/>
            </w:tcBorders>
            <w:vAlign w:val="center"/>
          </w:tcPr>
          <w:p w14:paraId="04BAC39A" w14:textId="3D10373C" w:rsidR="00595A08" w:rsidRPr="001310AD" w:rsidRDefault="00595A08" w:rsidP="00B91A65">
            <w:pPr>
              <w:pStyle w:val="TableText0"/>
              <w:widowControl w:val="0"/>
              <w:rPr>
                <w:szCs w:val="18"/>
              </w:rPr>
            </w:pPr>
            <w:r w:rsidRPr="001310AD">
              <w:rPr>
                <w:b/>
              </w:rPr>
              <w:t>Immunogenicity trial</w:t>
            </w:r>
          </w:p>
        </w:tc>
      </w:tr>
      <w:tr w:rsidR="00535AF4" w:rsidRPr="001310AD" w14:paraId="554C62C7" w14:textId="77777777" w:rsidTr="00787D5C">
        <w:tc>
          <w:tcPr>
            <w:tcW w:w="796" w:type="pct"/>
            <w:tcBorders>
              <w:top w:val="single" w:sz="4" w:space="0" w:color="auto"/>
              <w:bottom w:val="nil"/>
            </w:tcBorders>
            <w:vAlign w:val="center"/>
          </w:tcPr>
          <w:p w14:paraId="7A41BD1D" w14:textId="77777777" w:rsidR="002F7EF7" w:rsidRPr="001310AD" w:rsidRDefault="002F7EF7" w:rsidP="00B91A65">
            <w:pPr>
              <w:pStyle w:val="TableText0"/>
              <w:widowControl w:val="0"/>
            </w:pPr>
            <w:r w:rsidRPr="001310AD">
              <w:t>RSV OA=ADJ-004</w:t>
            </w:r>
          </w:p>
          <w:p w14:paraId="5EAD4AF8" w14:textId="3C0A829E" w:rsidR="00535AF4" w:rsidRPr="001310AD" w:rsidRDefault="00535AF4" w:rsidP="00B91A65">
            <w:pPr>
              <w:pStyle w:val="TableText0"/>
              <w:widowControl w:val="0"/>
            </w:pPr>
            <w:r w:rsidRPr="001310AD">
              <w:t>(NCT04732871)</w:t>
            </w:r>
          </w:p>
        </w:tc>
        <w:tc>
          <w:tcPr>
            <w:tcW w:w="3027" w:type="pct"/>
            <w:tcBorders>
              <w:top w:val="single" w:sz="4" w:space="0" w:color="auto"/>
              <w:bottom w:val="single" w:sz="4" w:space="0" w:color="auto"/>
            </w:tcBorders>
            <w:vAlign w:val="center"/>
          </w:tcPr>
          <w:p w14:paraId="3922040E" w14:textId="77777777" w:rsidR="00535AF4" w:rsidRPr="001310AD" w:rsidRDefault="00535AF4" w:rsidP="00B91A65">
            <w:pPr>
              <w:pStyle w:val="TableLeft"/>
              <w:keepNext/>
              <w:keepLines/>
              <w:widowControl w:val="0"/>
              <w:spacing w:after="0"/>
            </w:pPr>
            <w:r w:rsidRPr="001310AD">
              <w:t>A phase 3, randomized, open-label, multi-country study to evaluate the immunogenicity, safety, reactogenicity and persistence of a single dose of the RSVPreF3 OA investigational vaccine and different revaccination schedules in adults aged 60 years and above</w:t>
            </w:r>
          </w:p>
          <w:p w14:paraId="69025F81" w14:textId="77777777" w:rsidR="00535AF4" w:rsidRPr="001310AD" w:rsidRDefault="00535AF4" w:rsidP="00B91A65">
            <w:pPr>
              <w:pStyle w:val="TableLeft"/>
              <w:keepNext/>
              <w:keepLines/>
              <w:widowControl w:val="0"/>
              <w:spacing w:after="0"/>
            </w:pPr>
            <w:r w:rsidRPr="001310AD">
              <w:t>Analysis: Month 37 analysis (1 month post 36-month revaccination)</w:t>
            </w:r>
          </w:p>
        </w:tc>
        <w:tc>
          <w:tcPr>
            <w:tcW w:w="1177" w:type="pct"/>
            <w:tcBorders>
              <w:top w:val="single" w:sz="4" w:space="0" w:color="auto"/>
              <w:bottom w:val="single" w:sz="4" w:space="0" w:color="auto"/>
            </w:tcBorders>
            <w:vAlign w:val="center"/>
          </w:tcPr>
          <w:p w14:paraId="1B16D093" w14:textId="77777777" w:rsidR="00535AF4" w:rsidRPr="001310AD" w:rsidRDefault="00535AF4" w:rsidP="00B91A65">
            <w:pPr>
              <w:pStyle w:val="TableText0"/>
              <w:widowControl w:val="0"/>
            </w:pPr>
            <w:r w:rsidRPr="001310AD">
              <w:rPr>
                <w:szCs w:val="18"/>
              </w:rPr>
              <w:t>Clinical Study Report</w:t>
            </w:r>
          </w:p>
        </w:tc>
      </w:tr>
      <w:tr w:rsidR="00535AF4" w:rsidRPr="001310AD" w14:paraId="1CCA561A" w14:textId="77777777" w:rsidTr="00787D5C">
        <w:tc>
          <w:tcPr>
            <w:tcW w:w="796" w:type="pct"/>
            <w:tcBorders>
              <w:top w:val="nil"/>
              <w:bottom w:val="nil"/>
            </w:tcBorders>
            <w:vAlign w:val="center"/>
          </w:tcPr>
          <w:p w14:paraId="6E766227" w14:textId="77777777" w:rsidR="00535AF4" w:rsidRPr="001310AD" w:rsidRDefault="00535AF4" w:rsidP="00B91A65">
            <w:pPr>
              <w:pStyle w:val="TableText0"/>
              <w:widowControl w:val="0"/>
            </w:pPr>
          </w:p>
        </w:tc>
        <w:tc>
          <w:tcPr>
            <w:tcW w:w="3027" w:type="pct"/>
            <w:tcBorders>
              <w:top w:val="single" w:sz="4" w:space="0" w:color="auto"/>
              <w:bottom w:val="nil"/>
            </w:tcBorders>
            <w:shd w:val="clear" w:color="auto" w:fill="B8CCE4" w:themeFill="accent1" w:themeFillTint="66"/>
            <w:vAlign w:val="center"/>
          </w:tcPr>
          <w:p w14:paraId="4EA067A8" w14:textId="77777777" w:rsidR="00535AF4" w:rsidRPr="001310AD" w:rsidRDefault="00535AF4" w:rsidP="00B91A65">
            <w:pPr>
              <w:pStyle w:val="TableText0"/>
              <w:widowControl w:val="0"/>
              <w:rPr>
                <w:szCs w:val="18"/>
              </w:rPr>
            </w:pPr>
            <w:r w:rsidRPr="001310AD">
              <w:rPr>
                <w:szCs w:val="18"/>
              </w:rPr>
              <w:t>Schwarz, TF, Hwang, SJ, Ylisastigui, P. et al. Immunogenicity and safety following one dose of AS01</w:t>
            </w:r>
            <w:r w:rsidRPr="001310AD">
              <w:rPr>
                <w:szCs w:val="18"/>
                <w:vertAlign w:val="subscript"/>
              </w:rPr>
              <w:t>E</w:t>
            </w:r>
            <w:r w:rsidRPr="001310AD">
              <w:rPr>
                <w:szCs w:val="18"/>
              </w:rPr>
              <w:t>-adjuvanted respiratory syncytial virus prefusion F protein vaccine in older adults: a phase 3 trial.</w:t>
            </w:r>
          </w:p>
        </w:tc>
        <w:tc>
          <w:tcPr>
            <w:tcW w:w="1177" w:type="pct"/>
            <w:tcBorders>
              <w:top w:val="single" w:sz="4" w:space="0" w:color="auto"/>
              <w:bottom w:val="nil"/>
            </w:tcBorders>
            <w:shd w:val="clear" w:color="auto" w:fill="B8CCE4" w:themeFill="accent1" w:themeFillTint="66"/>
            <w:vAlign w:val="center"/>
          </w:tcPr>
          <w:p w14:paraId="7AB56AAD" w14:textId="77777777" w:rsidR="00535AF4" w:rsidRPr="001310AD" w:rsidRDefault="00535AF4" w:rsidP="00B91A65">
            <w:pPr>
              <w:pStyle w:val="TableText0"/>
              <w:widowControl w:val="0"/>
            </w:pPr>
            <w:r w:rsidRPr="001310AD">
              <w:rPr>
                <w:szCs w:val="18"/>
              </w:rPr>
              <w:t>JID 2023; jiad546. DOI: 10.1093/infdis/jiad546</w:t>
            </w:r>
          </w:p>
        </w:tc>
      </w:tr>
      <w:tr w:rsidR="00535AF4" w:rsidRPr="001310AD" w14:paraId="1BC7ADD8" w14:textId="77777777">
        <w:tc>
          <w:tcPr>
            <w:tcW w:w="796" w:type="pct"/>
            <w:tcBorders>
              <w:top w:val="nil"/>
              <w:bottom w:val="single" w:sz="4" w:space="0" w:color="auto"/>
            </w:tcBorders>
            <w:vAlign w:val="center"/>
          </w:tcPr>
          <w:p w14:paraId="1955E29D" w14:textId="77777777" w:rsidR="00535AF4" w:rsidRPr="001310AD" w:rsidRDefault="00535AF4" w:rsidP="00B91A65">
            <w:pPr>
              <w:pStyle w:val="TableText0"/>
              <w:widowControl w:val="0"/>
            </w:pPr>
          </w:p>
        </w:tc>
        <w:tc>
          <w:tcPr>
            <w:tcW w:w="3027" w:type="pct"/>
            <w:tcBorders>
              <w:top w:val="nil"/>
              <w:bottom w:val="single" w:sz="4" w:space="0" w:color="auto"/>
            </w:tcBorders>
            <w:shd w:val="clear" w:color="auto" w:fill="B8CCE4" w:themeFill="accent1" w:themeFillTint="66"/>
            <w:vAlign w:val="center"/>
          </w:tcPr>
          <w:p w14:paraId="0EE3593C" w14:textId="77777777" w:rsidR="00535AF4" w:rsidRPr="001310AD" w:rsidRDefault="00535AF4" w:rsidP="00B91A65">
            <w:pPr>
              <w:pStyle w:val="TableText0"/>
              <w:widowControl w:val="0"/>
              <w:rPr>
                <w:szCs w:val="18"/>
              </w:rPr>
            </w:pPr>
            <w:r w:rsidRPr="001310AD">
              <w:rPr>
                <w:szCs w:val="18"/>
              </w:rPr>
              <w:t>Schwarz, TF, Hwang, SJ, Ylisastigui, P. et al. Immunogenicity and safety of a second dose of the respiratory syncytial virus (RSV) prefusion F protein vaccine (RSVPreF3 OA), 12 months after the first dose in adults ≥ 60 years.</w:t>
            </w:r>
          </w:p>
        </w:tc>
        <w:tc>
          <w:tcPr>
            <w:tcW w:w="1177" w:type="pct"/>
            <w:tcBorders>
              <w:top w:val="nil"/>
              <w:bottom w:val="single" w:sz="4" w:space="0" w:color="auto"/>
            </w:tcBorders>
            <w:shd w:val="clear" w:color="auto" w:fill="B8CCE4" w:themeFill="accent1" w:themeFillTint="66"/>
            <w:vAlign w:val="center"/>
          </w:tcPr>
          <w:p w14:paraId="42E30F1D" w14:textId="77777777" w:rsidR="00535AF4" w:rsidRPr="001310AD" w:rsidRDefault="00535AF4" w:rsidP="00B91A65">
            <w:pPr>
              <w:pStyle w:val="TableText0"/>
              <w:widowControl w:val="0"/>
            </w:pPr>
            <w:r w:rsidRPr="001310AD">
              <w:rPr>
                <w:szCs w:val="18"/>
              </w:rPr>
              <w:t>The Ninth ESWI Influenza Conference Valencia. Page 285-286.</w:t>
            </w:r>
          </w:p>
        </w:tc>
      </w:tr>
    </w:tbl>
    <w:p w14:paraId="5664F6EF" w14:textId="77777777" w:rsidR="00535AF4" w:rsidRPr="001310AD" w:rsidRDefault="00535AF4" w:rsidP="00B91A65">
      <w:pPr>
        <w:pStyle w:val="TableFigureFooter"/>
        <w:keepNext/>
        <w:widowControl w:val="0"/>
        <w:contextualSpacing w:val="0"/>
      </w:pPr>
      <w:r w:rsidRPr="001310AD">
        <w:t>Source: Table 2-6, p53-54 of the resubmission.</w:t>
      </w:r>
    </w:p>
    <w:p w14:paraId="7A6202E4" w14:textId="77777777" w:rsidR="00535AF4" w:rsidRPr="001310AD" w:rsidRDefault="00535AF4" w:rsidP="00B91A65">
      <w:pPr>
        <w:pStyle w:val="TableFigureFooter"/>
        <w:keepNext/>
        <w:widowControl w:val="0"/>
        <w:contextualSpacing w:val="0"/>
      </w:pPr>
      <w:r w:rsidRPr="001310AD">
        <w:t>RSVPreF3 OA = Recombinant Respiratory Syncytial Virus (RSV) pre-fusion F protein 3 older adult.</w:t>
      </w:r>
    </w:p>
    <w:p w14:paraId="1D15DD64" w14:textId="77777777" w:rsidR="00535AF4" w:rsidRPr="001310AD" w:rsidRDefault="00535AF4" w:rsidP="00B91A65">
      <w:pPr>
        <w:pStyle w:val="TableFigureFooter"/>
        <w:keepNext/>
        <w:widowControl w:val="0"/>
        <w:contextualSpacing w:val="0"/>
        <w:rPr>
          <w:rStyle w:val="CommentReference"/>
          <w:b w:val="0"/>
          <w:sz w:val="18"/>
          <w:szCs w:val="18"/>
        </w:rPr>
      </w:pPr>
      <w:r w:rsidRPr="001310AD">
        <w:rPr>
          <w:rStyle w:val="CommentReference"/>
          <w:b w:val="0"/>
          <w:sz w:val="18"/>
          <w:szCs w:val="18"/>
        </w:rPr>
        <w:t xml:space="preserve">Blue shading indicates studies previously seen by the PBAC. </w:t>
      </w:r>
    </w:p>
    <w:p w14:paraId="17D85DB8" w14:textId="77777777" w:rsidR="00CC7252" w:rsidRPr="001310AD" w:rsidRDefault="00CC7252" w:rsidP="00B91A65">
      <w:pPr>
        <w:pStyle w:val="3-BodyText"/>
        <w:widowControl w:val="0"/>
        <w:numPr>
          <w:ilvl w:val="0"/>
          <w:numId w:val="0"/>
        </w:numPr>
        <w:ind w:left="720" w:hanging="720"/>
      </w:pPr>
    </w:p>
    <w:bookmarkEnd w:id="27"/>
    <w:p w14:paraId="1DD06D7D" w14:textId="7BAA7BF8" w:rsidR="007F1017" w:rsidRPr="001310AD" w:rsidRDefault="008F120A" w:rsidP="00B91A65">
      <w:pPr>
        <w:pStyle w:val="3-BodyText"/>
        <w:widowControl w:val="0"/>
        <w:rPr>
          <w:color w:val="0066FF"/>
        </w:rPr>
      </w:pPr>
      <w:r w:rsidRPr="001310AD">
        <w:t>The key features of the direct randomised trial</w:t>
      </w:r>
      <w:r w:rsidR="00142331" w:rsidRPr="001310AD">
        <w:t xml:space="preserve"> </w:t>
      </w:r>
      <w:r w:rsidRPr="001310AD">
        <w:t>are summarised in</w:t>
      </w:r>
      <w:r w:rsidR="00A13EBB" w:rsidRPr="001310AD">
        <w:t xml:space="preserve"> </w:t>
      </w:r>
      <w:r w:rsidR="001B5CAE" w:rsidRPr="001310AD">
        <w:fldChar w:fldCharType="begin"/>
      </w:r>
      <w:r w:rsidR="001B5CAE" w:rsidRPr="001310AD">
        <w:instrText xml:space="preserve"> REF _Ref104804098 \h </w:instrText>
      </w:r>
      <w:r w:rsidR="003719EF" w:rsidRPr="001310AD">
        <w:instrText xml:space="preserve"> \* MERGEFORMAT </w:instrText>
      </w:r>
      <w:r w:rsidR="001B5CAE" w:rsidRPr="001310AD">
        <w:fldChar w:fldCharType="separate"/>
      </w:r>
      <w:r w:rsidR="001F75E0" w:rsidRPr="001310AD">
        <w:t>Table 4</w:t>
      </w:r>
      <w:r w:rsidR="001B5CAE" w:rsidRPr="001310AD">
        <w:fldChar w:fldCharType="end"/>
      </w:r>
      <w:r w:rsidRPr="001310AD">
        <w:t>.</w:t>
      </w:r>
      <w:r w:rsidR="00CC4F30" w:rsidRPr="001310AD">
        <w:t xml:space="preserve"> </w:t>
      </w:r>
    </w:p>
    <w:p w14:paraId="4CA82669" w14:textId="4630E9A1" w:rsidR="00C71ABD" w:rsidRPr="001310AD" w:rsidRDefault="00C71ABD" w:rsidP="00CC7252">
      <w:pPr>
        <w:pStyle w:val="3-BodyText"/>
        <w:widowControl w:val="0"/>
        <w:rPr>
          <w:i/>
          <w:iCs/>
          <w:color w:val="0066FF"/>
        </w:rPr>
      </w:pPr>
      <w:r w:rsidRPr="001310AD">
        <w:t>AReSVi-006 was initially designed to assess the efficacy of RSVPreF3 OA against RSV</w:t>
      </w:r>
      <w:r w:rsidR="00735E29" w:rsidRPr="001310AD">
        <w:noBreakHyphen/>
      </w:r>
      <w:r w:rsidRPr="001310AD">
        <w:t>related LRTD following different dosing schedules</w:t>
      </w:r>
      <w:r w:rsidR="00E374BE" w:rsidRPr="001310AD">
        <w:t>:</w:t>
      </w:r>
      <w:r w:rsidRPr="001310AD">
        <w:t xml:space="preserve"> a single dose of vaccine up to the end of Season 3 in the N</w:t>
      </w:r>
      <w:r w:rsidR="00FD0E16" w:rsidRPr="001310AD">
        <w:t xml:space="preserve">orthern </w:t>
      </w:r>
      <w:r w:rsidRPr="001310AD">
        <w:t>H</w:t>
      </w:r>
      <w:r w:rsidR="00FD0E16" w:rsidRPr="001310AD">
        <w:t>emisphere</w:t>
      </w:r>
      <w:r w:rsidR="00467F2F" w:rsidRPr="001310AD">
        <w:t xml:space="preserve"> (NH)</w:t>
      </w:r>
      <w:r w:rsidRPr="001310AD">
        <w:t xml:space="preserve"> or following an annual </w:t>
      </w:r>
      <w:r w:rsidRPr="001310AD">
        <w:lastRenderedPageBreak/>
        <w:t xml:space="preserve">revaccination schedule at 12- and 24-months post Dose 1 administration. However, the trial protocol was amended on 31 October 2023 to remove the Month 24 revaccination dose schedule because initial analysis of efficacy for the 12-month revaccination dose demonstrated no additional efficacy benefit for the trial population. The resubmission noted that 5,742 participants </w:t>
      </w:r>
      <w:r w:rsidR="001F4942" w:rsidRPr="001310AD">
        <w:t xml:space="preserve">(RSVPreF3 OA: 1,406 participants; placebo: 4,333 participants) </w:t>
      </w:r>
      <w:r w:rsidRPr="001310AD">
        <w:t xml:space="preserve">from the NH received their second annual revaccination dose at </w:t>
      </w:r>
      <w:r w:rsidR="00E83E23" w:rsidRPr="001310AD">
        <w:t xml:space="preserve">Month 24 </w:t>
      </w:r>
      <w:r w:rsidRPr="001310AD">
        <w:t xml:space="preserve">(Dose 3) as this occurred before the approval of </w:t>
      </w:r>
      <w:r w:rsidR="00867F44" w:rsidRPr="001310AD">
        <w:t xml:space="preserve">the </w:t>
      </w:r>
      <w:r w:rsidRPr="001310AD">
        <w:t>protocol amendment.</w:t>
      </w:r>
      <w:r w:rsidR="00700803" w:rsidRPr="001310AD">
        <w:t xml:space="preserve"> These participants were </w:t>
      </w:r>
      <w:r w:rsidR="00652C25" w:rsidRPr="001310AD">
        <w:t xml:space="preserve">included in the updated safety results and </w:t>
      </w:r>
      <w:r w:rsidR="00700803" w:rsidRPr="001310AD">
        <w:t>censored from</w:t>
      </w:r>
      <w:r w:rsidR="00444B3A" w:rsidRPr="001310AD">
        <w:t xml:space="preserve"> some of</w:t>
      </w:r>
      <w:r w:rsidR="00700803" w:rsidRPr="001310AD">
        <w:t xml:space="preserve"> the VE </w:t>
      </w:r>
      <w:r w:rsidR="00444B3A" w:rsidRPr="001310AD">
        <w:t>analyses</w:t>
      </w:r>
      <w:r w:rsidR="00743B01" w:rsidRPr="001310AD">
        <w:t>.</w:t>
      </w:r>
      <w:r w:rsidR="00B434A1" w:rsidRPr="001310AD">
        <w:t xml:space="preserve"> The</w:t>
      </w:r>
      <w:r w:rsidR="007A72FC" w:rsidRPr="001310AD">
        <w:t xml:space="preserve"> </w:t>
      </w:r>
      <w:r w:rsidR="00735E29" w:rsidRPr="001310AD">
        <w:t>trial</w:t>
      </w:r>
      <w:r w:rsidR="00644BF0" w:rsidRPr="001310AD">
        <w:t xml:space="preserve"> </w:t>
      </w:r>
      <w:r w:rsidR="00B434A1" w:rsidRPr="001310AD">
        <w:t>results present</w:t>
      </w:r>
      <w:r w:rsidR="000108BE" w:rsidRPr="001310AD">
        <w:t xml:space="preserve">ed </w:t>
      </w:r>
      <w:r w:rsidR="004559C8" w:rsidRPr="001310AD">
        <w:t>in the comparative effectiveness section</w:t>
      </w:r>
      <w:r w:rsidR="00735E29" w:rsidRPr="001310AD">
        <w:t xml:space="preserve"> reflect </w:t>
      </w:r>
      <w:r w:rsidR="00444B3A" w:rsidRPr="001310AD">
        <w:t xml:space="preserve">efficacy of </w:t>
      </w:r>
      <w:r w:rsidR="000108BE" w:rsidRPr="001310AD">
        <w:t>a single dose of RSVPreF3 OA.</w:t>
      </w:r>
      <w:r w:rsidR="000108BE" w:rsidRPr="001310AD">
        <w:rPr>
          <w:i/>
          <w:iCs/>
        </w:rPr>
        <w:t xml:space="preserve"> </w:t>
      </w:r>
    </w:p>
    <w:p w14:paraId="355E2F15" w14:textId="62DD0F85" w:rsidR="007F1017" w:rsidRPr="001310AD" w:rsidRDefault="001B5CAE" w:rsidP="00CC7252">
      <w:pPr>
        <w:pStyle w:val="Caption"/>
        <w:keepNext w:val="0"/>
        <w:keepLines w:val="0"/>
        <w:widowControl w:val="0"/>
        <w:rPr>
          <w:rStyle w:val="CommentReference"/>
          <w:rFonts w:eastAsiaTheme="majorEastAsia" w:cstheme="majorBidi"/>
          <w:b/>
          <w:szCs w:val="24"/>
        </w:rPr>
      </w:pPr>
      <w:bookmarkStart w:id="28" w:name="_Ref104804098"/>
      <w:r w:rsidRPr="001310AD">
        <w:t xml:space="preserve">Table </w:t>
      </w:r>
      <w:fldSimple w:instr=" SEQ Table \* ARABIC ">
        <w:r w:rsidR="001F75E0" w:rsidRPr="001310AD">
          <w:t>4</w:t>
        </w:r>
      </w:fldSimple>
      <w:bookmarkEnd w:id="28"/>
      <w:r w:rsidR="00D6076E" w:rsidRPr="001310AD">
        <w:rPr>
          <w:rStyle w:val="CommentReference"/>
          <w:rFonts w:eastAsiaTheme="majorEastAsia" w:cstheme="majorBidi"/>
          <w:b/>
          <w:szCs w:val="24"/>
        </w:rPr>
        <w:t xml:space="preserve">: </w:t>
      </w:r>
      <w:r w:rsidR="007F1017" w:rsidRPr="001310AD">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8"/>
        <w:gridCol w:w="709"/>
        <w:gridCol w:w="1558"/>
        <w:gridCol w:w="851"/>
        <w:gridCol w:w="1133"/>
        <w:gridCol w:w="2081"/>
        <w:gridCol w:w="1697"/>
      </w:tblGrid>
      <w:tr w:rsidR="00B55B21" w:rsidRPr="001310AD" w14:paraId="709B9238" w14:textId="77777777" w:rsidTr="00B55B21">
        <w:trPr>
          <w:cantSplit/>
          <w:tblHeader/>
        </w:trPr>
        <w:tc>
          <w:tcPr>
            <w:tcW w:w="548" w:type="pct"/>
            <w:vAlign w:val="center"/>
          </w:tcPr>
          <w:p w14:paraId="225150EF" w14:textId="77777777" w:rsidR="00B55B21" w:rsidRPr="001310AD" w:rsidRDefault="00B55B21" w:rsidP="00CC7252">
            <w:pPr>
              <w:pStyle w:val="In-tableHeading"/>
              <w:keepNext w:val="0"/>
              <w:keepLines w:val="0"/>
              <w:widowControl w:val="0"/>
            </w:pPr>
            <w:r w:rsidRPr="001310AD">
              <w:t>Trial</w:t>
            </w:r>
          </w:p>
        </w:tc>
        <w:tc>
          <w:tcPr>
            <w:tcW w:w="393" w:type="pct"/>
            <w:vAlign w:val="center"/>
          </w:tcPr>
          <w:p w14:paraId="249A938D" w14:textId="77777777" w:rsidR="00B55B21" w:rsidRPr="001310AD" w:rsidRDefault="00B55B21" w:rsidP="00CC7252">
            <w:pPr>
              <w:pStyle w:val="In-tableHeading"/>
              <w:keepNext w:val="0"/>
              <w:keepLines w:val="0"/>
              <w:widowControl w:val="0"/>
            </w:pPr>
            <w:r w:rsidRPr="001310AD">
              <w:t>N</w:t>
            </w:r>
          </w:p>
        </w:tc>
        <w:tc>
          <w:tcPr>
            <w:tcW w:w="864" w:type="pct"/>
            <w:vAlign w:val="center"/>
          </w:tcPr>
          <w:p w14:paraId="591B60F0" w14:textId="77777777" w:rsidR="00B55B21" w:rsidRPr="001310AD" w:rsidRDefault="00B55B21" w:rsidP="00CC7252">
            <w:pPr>
              <w:pStyle w:val="In-tableHeading"/>
              <w:keepNext w:val="0"/>
              <w:keepLines w:val="0"/>
              <w:widowControl w:val="0"/>
            </w:pPr>
            <w:r w:rsidRPr="001310AD">
              <w:t>Design/ duration</w:t>
            </w:r>
          </w:p>
        </w:tc>
        <w:tc>
          <w:tcPr>
            <w:tcW w:w="472" w:type="pct"/>
            <w:vAlign w:val="center"/>
          </w:tcPr>
          <w:p w14:paraId="0A62B36E" w14:textId="77777777" w:rsidR="00B55B21" w:rsidRPr="001310AD" w:rsidRDefault="00B55B21" w:rsidP="00CC7252">
            <w:pPr>
              <w:pStyle w:val="In-tableHeading"/>
              <w:keepNext w:val="0"/>
              <w:keepLines w:val="0"/>
              <w:widowControl w:val="0"/>
            </w:pPr>
            <w:r w:rsidRPr="001310AD">
              <w:t>Risk of bias</w:t>
            </w:r>
          </w:p>
        </w:tc>
        <w:tc>
          <w:tcPr>
            <w:tcW w:w="628" w:type="pct"/>
            <w:vAlign w:val="center"/>
          </w:tcPr>
          <w:p w14:paraId="078A2715" w14:textId="77777777" w:rsidR="00B55B21" w:rsidRPr="001310AD" w:rsidRDefault="00B55B21" w:rsidP="00CC7252">
            <w:pPr>
              <w:pStyle w:val="In-tableHeading"/>
              <w:keepNext w:val="0"/>
              <w:keepLines w:val="0"/>
              <w:widowControl w:val="0"/>
            </w:pPr>
            <w:r w:rsidRPr="001310AD">
              <w:t>Patient population</w:t>
            </w:r>
          </w:p>
        </w:tc>
        <w:tc>
          <w:tcPr>
            <w:tcW w:w="1154" w:type="pct"/>
            <w:vAlign w:val="center"/>
          </w:tcPr>
          <w:p w14:paraId="5A09F2DF" w14:textId="77777777" w:rsidR="00B55B21" w:rsidRPr="001310AD" w:rsidRDefault="00B55B21" w:rsidP="00CC7252">
            <w:pPr>
              <w:pStyle w:val="In-tableHeading"/>
              <w:keepNext w:val="0"/>
              <w:keepLines w:val="0"/>
              <w:widowControl w:val="0"/>
            </w:pPr>
            <w:r w:rsidRPr="001310AD">
              <w:t>Outcomes</w:t>
            </w:r>
          </w:p>
        </w:tc>
        <w:tc>
          <w:tcPr>
            <w:tcW w:w="941" w:type="pct"/>
            <w:vAlign w:val="center"/>
          </w:tcPr>
          <w:p w14:paraId="4AB72F3A" w14:textId="77777777" w:rsidR="00B55B21" w:rsidRPr="001310AD" w:rsidRDefault="00B55B21" w:rsidP="00CC7252">
            <w:pPr>
              <w:pStyle w:val="In-tableHeading"/>
              <w:keepNext w:val="0"/>
              <w:keepLines w:val="0"/>
              <w:widowControl w:val="0"/>
            </w:pPr>
            <w:r w:rsidRPr="001310AD">
              <w:t>Use in modelled evaluation</w:t>
            </w:r>
          </w:p>
        </w:tc>
      </w:tr>
      <w:tr w:rsidR="00B55B21" w:rsidRPr="001310AD" w14:paraId="4E870705" w14:textId="77777777">
        <w:trPr>
          <w:cantSplit/>
        </w:trPr>
        <w:tc>
          <w:tcPr>
            <w:tcW w:w="5000" w:type="pct"/>
            <w:gridSpan w:val="7"/>
            <w:vAlign w:val="center"/>
          </w:tcPr>
          <w:p w14:paraId="1B45597E" w14:textId="77777777" w:rsidR="00B55B21" w:rsidRPr="001310AD" w:rsidRDefault="00B55B21" w:rsidP="00CC7252">
            <w:pPr>
              <w:pStyle w:val="In-tableHeading"/>
              <w:keepNext w:val="0"/>
              <w:keepLines w:val="0"/>
              <w:widowControl w:val="0"/>
            </w:pPr>
            <w:r w:rsidRPr="001310AD">
              <w:t>RSVPreF3 OA versus placebo</w:t>
            </w:r>
          </w:p>
        </w:tc>
      </w:tr>
      <w:tr w:rsidR="00B55B21" w:rsidRPr="001310AD" w14:paraId="4559A172" w14:textId="77777777" w:rsidTr="00B55B21">
        <w:trPr>
          <w:cantSplit/>
        </w:trPr>
        <w:tc>
          <w:tcPr>
            <w:tcW w:w="548" w:type="pct"/>
            <w:shd w:val="clear" w:color="auto" w:fill="B8CCE4" w:themeFill="accent1" w:themeFillTint="66"/>
            <w:vAlign w:val="center"/>
          </w:tcPr>
          <w:p w14:paraId="2D253943" w14:textId="3CCE6BC0" w:rsidR="00B55B21" w:rsidRPr="001310AD" w:rsidRDefault="004945B2" w:rsidP="00CC7252">
            <w:pPr>
              <w:pStyle w:val="TableText0"/>
              <w:keepNext w:val="0"/>
              <w:keepLines w:val="0"/>
              <w:widowControl w:val="0"/>
            </w:pPr>
            <w:r w:rsidRPr="001310AD">
              <w:t>AReSVi-006</w:t>
            </w:r>
          </w:p>
        </w:tc>
        <w:tc>
          <w:tcPr>
            <w:tcW w:w="393" w:type="pct"/>
            <w:shd w:val="clear" w:color="auto" w:fill="B8CCE4" w:themeFill="accent1" w:themeFillTint="66"/>
            <w:vAlign w:val="center"/>
          </w:tcPr>
          <w:p w14:paraId="08128F24" w14:textId="1956AC2A" w:rsidR="00B55B21" w:rsidRPr="001310AD" w:rsidRDefault="00B55B21" w:rsidP="00CC7252">
            <w:pPr>
              <w:pStyle w:val="TableText0"/>
              <w:keepNext w:val="0"/>
              <w:keepLines w:val="0"/>
              <w:widowControl w:val="0"/>
              <w:jc w:val="center"/>
              <w:rPr>
                <w:vertAlign w:val="superscript"/>
              </w:rPr>
            </w:pPr>
            <w:r w:rsidRPr="001310AD">
              <w:t>24,966</w:t>
            </w:r>
            <w:r w:rsidR="00BC6A5B" w:rsidRPr="001310AD">
              <w:rPr>
                <w:vertAlign w:val="superscript"/>
              </w:rPr>
              <w:t>a</w:t>
            </w:r>
          </w:p>
        </w:tc>
        <w:tc>
          <w:tcPr>
            <w:tcW w:w="864" w:type="pct"/>
            <w:vAlign w:val="center"/>
          </w:tcPr>
          <w:p w14:paraId="4B0A1CB6" w14:textId="77777777" w:rsidR="00B55B21" w:rsidRPr="001310AD" w:rsidRDefault="00B55B21" w:rsidP="00CC7252">
            <w:pPr>
              <w:pStyle w:val="TableText0"/>
              <w:keepNext w:val="0"/>
              <w:keepLines w:val="0"/>
              <w:widowControl w:val="0"/>
              <w:shd w:val="clear" w:color="auto" w:fill="B8CCE4" w:themeFill="accent1" w:themeFillTint="66"/>
              <w:jc w:val="center"/>
            </w:pPr>
            <w:r w:rsidRPr="001310AD">
              <w:t>Phase 3 R, OB, PC, MC</w:t>
            </w:r>
          </w:p>
          <w:p w14:paraId="5DFC5AA4" w14:textId="77777777" w:rsidR="00B55B21" w:rsidRPr="001310AD" w:rsidRDefault="00B55B21" w:rsidP="00CC7252">
            <w:pPr>
              <w:pStyle w:val="TableText0"/>
              <w:keepNext w:val="0"/>
              <w:keepLines w:val="0"/>
              <w:widowControl w:val="0"/>
              <w:jc w:val="center"/>
            </w:pPr>
            <w:r w:rsidRPr="001310AD">
              <w:t>Completed</w:t>
            </w:r>
          </w:p>
        </w:tc>
        <w:tc>
          <w:tcPr>
            <w:tcW w:w="472" w:type="pct"/>
            <w:shd w:val="clear" w:color="auto" w:fill="B8CCE4" w:themeFill="accent1" w:themeFillTint="66"/>
            <w:vAlign w:val="center"/>
          </w:tcPr>
          <w:p w14:paraId="352E2E54" w14:textId="77777777" w:rsidR="00B55B21" w:rsidRPr="001310AD" w:rsidRDefault="00B55B21" w:rsidP="00CC7252">
            <w:pPr>
              <w:pStyle w:val="TableText0"/>
              <w:keepNext w:val="0"/>
              <w:keepLines w:val="0"/>
              <w:widowControl w:val="0"/>
              <w:jc w:val="center"/>
              <w:rPr>
                <w:iCs/>
              </w:rPr>
            </w:pPr>
            <w:r w:rsidRPr="001310AD">
              <w:rPr>
                <w:iCs/>
              </w:rPr>
              <w:t>Low</w:t>
            </w:r>
          </w:p>
        </w:tc>
        <w:tc>
          <w:tcPr>
            <w:tcW w:w="628" w:type="pct"/>
            <w:shd w:val="clear" w:color="auto" w:fill="B8CCE4" w:themeFill="accent1" w:themeFillTint="66"/>
            <w:vAlign w:val="center"/>
          </w:tcPr>
          <w:p w14:paraId="47B423CF" w14:textId="3F861BDB" w:rsidR="00B55B21" w:rsidRPr="001310AD" w:rsidRDefault="00B55B21" w:rsidP="00CC7252">
            <w:pPr>
              <w:pStyle w:val="TableText0"/>
              <w:keepNext w:val="0"/>
              <w:keepLines w:val="0"/>
              <w:widowControl w:val="0"/>
              <w:jc w:val="center"/>
            </w:pPr>
            <w:r w:rsidRPr="001310AD">
              <w:t>Adults ≥60 YOA</w:t>
            </w:r>
          </w:p>
        </w:tc>
        <w:tc>
          <w:tcPr>
            <w:tcW w:w="1154" w:type="pct"/>
            <w:shd w:val="clear" w:color="auto" w:fill="B8CCE4" w:themeFill="accent1" w:themeFillTint="66"/>
            <w:vAlign w:val="center"/>
          </w:tcPr>
          <w:p w14:paraId="64CE8720" w14:textId="77777777" w:rsidR="00B55B21" w:rsidRPr="001310AD" w:rsidRDefault="00B55B21" w:rsidP="00CC7252">
            <w:pPr>
              <w:pStyle w:val="TableText0"/>
              <w:keepNext w:val="0"/>
              <w:keepLines w:val="0"/>
              <w:widowControl w:val="0"/>
            </w:pPr>
            <w:r w:rsidRPr="001310AD">
              <w:t>Primary outcome: reduction of the risk of the first occurrence of RT-PCR confirmed RSV-LRTD</w:t>
            </w:r>
          </w:p>
          <w:p w14:paraId="6222C90A" w14:textId="77777777" w:rsidR="00B55B21" w:rsidRPr="001310AD" w:rsidRDefault="00B55B21" w:rsidP="00CC7252">
            <w:pPr>
              <w:pStyle w:val="TableText0"/>
              <w:keepNext w:val="0"/>
              <w:keepLines w:val="0"/>
              <w:widowControl w:val="0"/>
            </w:pPr>
            <w:r w:rsidRPr="001310AD">
              <w:t>Key secondary outcomes: safety, PROs</w:t>
            </w:r>
          </w:p>
        </w:tc>
        <w:tc>
          <w:tcPr>
            <w:tcW w:w="941" w:type="pct"/>
            <w:shd w:val="clear" w:color="auto" w:fill="B8CCE4" w:themeFill="accent1" w:themeFillTint="66"/>
            <w:vAlign w:val="center"/>
          </w:tcPr>
          <w:p w14:paraId="6B876C7B" w14:textId="77777777" w:rsidR="00B55B21" w:rsidRPr="001310AD" w:rsidRDefault="00B55B21" w:rsidP="00CC7252">
            <w:pPr>
              <w:pStyle w:val="TableText0"/>
              <w:keepNext w:val="0"/>
              <w:keepLines w:val="0"/>
              <w:widowControl w:val="0"/>
            </w:pPr>
            <w:r w:rsidRPr="001310AD">
              <w:t>Reduction of the risk of the first occurrence of RT-PCR confirmed RSV-LRTD, safety</w:t>
            </w:r>
          </w:p>
        </w:tc>
      </w:tr>
    </w:tbl>
    <w:p w14:paraId="1A936882" w14:textId="3329B630" w:rsidR="00B55B21" w:rsidRPr="001310AD" w:rsidRDefault="00B55B21" w:rsidP="00CC7252">
      <w:pPr>
        <w:pStyle w:val="FooterTableFigure"/>
        <w:widowControl w:val="0"/>
      </w:pPr>
      <w:r w:rsidRPr="001310AD">
        <w:t xml:space="preserve">Source: </w:t>
      </w:r>
      <w:r w:rsidR="004945B2" w:rsidRPr="001310AD">
        <w:t>C</w:t>
      </w:r>
      <w:r w:rsidRPr="001310AD">
        <w:t>ompiled during the evaluation from Table 2-7, pp66-67 and Table 2-10, p73 of the submission.</w:t>
      </w:r>
    </w:p>
    <w:p w14:paraId="241D11C1" w14:textId="77777777" w:rsidR="00B55B21" w:rsidRPr="001310AD" w:rsidRDefault="00B55B21" w:rsidP="00CC7252">
      <w:pPr>
        <w:pStyle w:val="FooterTableFigure"/>
        <w:widowControl w:val="0"/>
      </w:pPr>
      <w:r w:rsidRPr="001310AD">
        <w:t>MC = multi-centre; OB = observer blinded; PC = placebo-controlled; PRO = patient reported outcome; R = randomised; RSV-LRTD = lower respiratory tract disease respiratory syncytial virus; RT-PCR = reverse transcription-polymerase chain reaction.</w:t>
      </w:r>
    </w:p>
    <w:p w14:paraId="0A3EDA61" w14:textId="65B459B1" w:rsidR="00B55B21" w:rsidRPr="001310AD" w:rsidRDefault="00BC6A5B" w:rsidP="00CC7252">
      <w:pPr>
        <w:pStyle w:val="FooterTableFigure"/>
        <w:widowControl w:val="0"/>
      </w:pPr>
      <w:r w:rsidRPr="001310AD">
        <w:rPr>
          <w:vertAlign w:val="superscript"/>
        </w:rPr>
        <w:t>a</w:t>
      </w:r>
      <w:r w:rsidR="00B55B21" w:rsidRPr="001310AD">
        <w:t xml:space="preserve"> Population corresponds to the modified exposed set (mES) which excludes individuals who develop RSV-ARI before Day 15 post first dose (1 in the RSVPreF3 OA arm and 5 in the placebo arm). </w:t>
      </w:r>
    </w:p>
    <w:p w14:paraId="1F8E202C" w14:textId="3AF32D6D" w:rsidR="0052058F" w:rsidRPr="001310AD" w:rsidRDefault="00B55B21" w:rsidP="00CC7252">
      <w:pPr>
        <w:pStyle w:val="FooterTableFigure"/>
        <w:widowControl w:val="0"/>
        <w:rPr>
          <w:rStyle w:val="CommentReference"/>
          <w:b w:val="0"/>
          <w:bCs/>
          <w:sz w:val="18"/>
          <w:szCs w:val="18"/>
        </w:rPr>
      </w:pPr>
      <w:r w:rsidRPr="001310AD">
        <w:rPr>
          <w:rStyle w:val="CommentReference"/>
          <w:b w:val="0"/>
          <w:bCs/>
          <w:sz w:val="18"/>
          <w:szCs w:val="18"/>
        </w:rPr>
        <w:t xml:space="preserve">Blue shading indicates information previously seen by the PBAC. </w:t>
      </w:r>
    </w:p>
    <w:p w14:paraId="3B0E5BCF" w14:textId="01EB23E5" w:rsidR="00DF09DB" w:rsidRPr="001310AD" w:rsidRDefault="00DF09DB" w:rsidP="00CC7252">
      <w:pPr>
        <w:pStyle w:val="3-BodyText"/>
        <w:widowControl w:val="0"/>
      </w:pPr>
      <w:r w:rsidRPr="001310AD">
        <w:t xml:space="preserve">AReSVi-006 recruited adults </w:t>
      </w:r>
      <w:r w:rsidRPr="001310AD">
        <w:rPr>
          <w:rFonts w:cs="Calibri"/>
        </w:rPr>
        <w:t>≥</w:t>
      </w:r>
      <w:r w:rsidRPr="001310AD">
        <w:t>60 YOA at the time of first vaccination</w:t>
      </w:r>
      <w:r w:rsidR="008C710C" w:rsidRPr="001310AD">
        <w:t>,</w:t>
      </w:r>
      <w:r w:rsidRPr="001310AD">
        <w:t xml:space="preserve"> which is broader than the NIP target population proposed in the resubmission; participants aged &gt;70 YOA formed 44.2% of the full study population. </w:t>
      </w:r>
    </w:p>
    <w:p w14:paraId="597D64EA" w14:textId="0DC37B46" w:rsidR="00C76382" w:rsidRPr="001310AD" w:rsidRDefault="00D45100" w:rsidP="00CC7252">
      <w:pPr>
        <w:pStyle w:val="3-BodyText"/>
        <w:widowControl w:val="0"/>
      </w:pPr>
      <w:r w:rsidRPr="001310AD">
        <w:rPr>
          <w:color w:val="000000" w:themeColor="text1"/>
        </w:rPr>
        <w:t xml:space="preserve">The resubmission presented an unadjusted </w:t>
      </w:r>
      <w:r w:rsidR="0088007F" w:rsidRPr="001310AD">
        <w:rPr>
          <w:color w:val="000000" w:themeColor="text1"/>
        </w:rPr>
        <w:t>un</w:t>
      </w:r>
      <w:r w:rsidRPr="001310AD">
        <w:rPr>
          <w:color w:val="000000" w:themeColor="text1"/>
        </w:rPr>
        <w:t>anchored indirect comparison (hereafter,</w:t>
      </w:r>
      <w:r w:rsidRPr="001310AD">
        <w:t xml:space="preserve"> indirect treatment comparison</w:t>
      </w:r>
      <w:r w:rsidRPr="001310AD">
        <w:rPr>
          <w:color w:val="000000" w:themeColor="text1"/>
        </w:rPr>
        <w:t xml:space="preserve"> (ITC)) of RSVPreF3 OA (pivotal trial; AreSVi-006) with RSVPreF (pivotal trial; RENOIR).</w:t>
      </w:r>
    </w:p>
    <w:p w14:paraId="4A4FE085" w14:textId="1C5613CC" w:rsidR="00B60939" w:rsidRPr="001310AD" w:rsidRDefault="00B60939" w:rsidP="00EC5836">
      <w:pPr>
        <w:pStyle w:val="4-SubsectionHeading"/>
      </w:pPr>
      <w:bookmarkStart w:id="29" w:name="_Toc22897641"/>
      <w:bookmarkStart w:id="30" w:name="_Toc198731699"/>
      <w:r w:rsidRPr="001310AD">
        <w:t>Comparative effectiveness</w:t>
      </w:r>
      <w:bookmarkEnd w:id="29"/>
      <w:bookmarkEnd w:id="30"/>
    </w:p>
    <w:p w14:paraId="2BF79725" w14:textId="0FCA5CB8" w:rsidR="00590A21" w:rsidRPr="001310AD" w:rsidRDefault="00590A21" w:rsidP="00A670A6">
      <w:pPr>
        <w:pStyle w:val="5-SubsectionSubheading"/>
      </w:pPr>
      <w:bookmarkStart w:id="31" w:name="_Toc198731700"/>
      <w:r w:rsidRPr="001310AD">
        <w:t xml:space="preserve">RSVPreF3 OA </w:t>
      </w:r>
      <w:r w:rsidR="007817CC" w:rsidRPr="001310AD">
        <w:t>(Arexvy)</w:t>
      </w:r>
      <w:r w:rsidRPr="001310AD">
        <w:t xml:space="preserve"> versus placebo</w:t>
      </w:r>
      <w:bookmarkEnd w:id="31"/>
    </w:p>
    <w:p w14:paraId="4C266E96" w14:textId="4F6152D1" w:rsidR="009742AD" w:rsidRPr="001310AD" w:rsidRDefault="000250DD" w:rsidP="00DB53B6">
      <w:pPr>
        <w:pStyle w:val="3-BodyText"/>
      </w:pPr>
      <w:r w:rsidRPr="001310AD">
        <w:t xml:space="preserve">The primary VE outcome was </w:t>
      </w:r>
      <w:r w:rsidR="00863B92" w:rsidRPr="001310AD">
        <w:t>assessed</w:t>
      </w:r>
      <w:r w:rsidRPr="001310AD">
        <w:t xml:space="preserve"> </w:t>
      </w:r>
      <w:r w:rsidR="00863B92" w:rsidRPr="001310AD">
        <w:t>at the</w:t>
      </w:r>
      <w:r w:rsidRPr="001310AD">
        <w:t xml:space="preserve"> end of Season 1 (median follow-up 6.7 months) and was previously considered by the PBAC (RSVPreF3 OA PSD, July 2024). The updated follow-up </w:t>
      </w:r>
      <w:r w:rsidR="005F0CEC" w:rsidRPr="001310AD">
        <w:t>cumulative VE</w:t>
      </w:r>
      <w:r w:rsidR="00630EDE" w:rsidRPr="001310AD">
        <w:t xml:space="preserve"> </w:t>
      </w:r>
      <w:r w:rsidRPr="001310AD">
        <w:t xml:space="preserve">results for the </w:t>
      </w:r>
      <w:r w:rsidR="00630EDE" w:rsidRPr="001310AD">
        <w:t xml:space="preserve">prevention of RSV-LRTD </w:t>
      </w:r>
      <w:r w:rsidRPr="001310AD">
        <w:t xml:space="preserve">are presented in </w:t>
      </w:r>
      <w:r w:rsidR="001B5CAE" w:rsidRPr="001310AD">
        <w:fldChar w:fldCharType="begin"/>
      </w:r>
      <w:r w:rsidR="001B5CAE" w:rsidRPr="001310AD">
        <w:instrText xml:space="preserve"> REF _Ref196920684 \h </w:instrText>
      </w:r>
      <w:r w:rsidR="001B5CAE" w:rsidRPr="001310AD">
        <w:fldChar w:fldCharType="separate"/>
      </w:r>
      <w:r w:rsidR="001F75E0" w:rsidRPr="001310AD">
        <w:t>Table 5</w:t>
      </w:r>
      <w:r w:rsidR="001B5CAE" w:rsidRPr="001310AD">
        <w:fldChar w:fldCharType="end"/>
      </w:r>
      <w:r w:rsidRPr="001310AD">
        <w:t xml:space="preserve">. </w:t>
      </w:r>
      <w:r w:rsidR="00E97B37" w:rsidRPr="001310AD">
        <w:t>The resubmission stated that the</w:t>
      </w:r>
      <w:r w:rsidR="009742AD" w:rsidRPr="001310AD">
        <w:t xml:space="preserve"> VE of RSVPreF3 OA against the proposed primary and secondary outcomes was demonstrated if the lower limit of the two-sided confidence interval (CI) was above the pre-defined threshold of 20%.</w:t>
      </w:r>
      <w:r w:rsidR="00EB2461" w:rsidRPr="001310AD">
        <w:rPr>
          <w:i/>
        </w:rPr>
        <w:t xml:space="preserve"> </w:t>
      </w:r>
      <w:r w:rsidR="00EB2461" w:rsidRPr="001310AD">
        <w:t xml:space="preserve">The </w:t>
      </w:r>
      <w:r w:rsidR="00BD08F7" w:rsidRPr="001310AD">
        <w:t>E</w:t>
      </w:r>
      <w:r w:rsidR="00647CE2" w:rsidRPr="001310AD">
        <w:t xml:space="preserve">nd of </w:t>
      </w:r>
      <w:r w:rsidR="00BD08F7" w:rsidRPr="001310AD">
        <w:t xml:space="preserve">Study </w:t>
      </w:r>
      <w:r w:rsidR="00647CE2" w:rsidRPr="001310AD">
        <w:t xml:space="preserve">CSR stated that the </w:t>
      </w:r>
      <w:r w:rsidR="006A5C01" w:rsidRPr="001310AD">
        <w:t>20</w:t>
      </w:r>
      <w:r w:rsidR="00DF7DA1" w:rsidRPr="001310AD">
        <w:t>%</w:t>
      </w:r>
      <w:r w:rsidR="006A5C01" w:rsidRPr="001310AD">
        <w:t xml:space="preserve"> lower limit </w:t>
      </w:r>
      <w:r w:rsidR="00CA697F" w:rsidRPr="001310AD">
        <w:t xml:space="preserve">of the 2-sided CI </w:t>
      </w:r>
      <w:r w:rsidR="00647CE2" w:rsidRPr="001310AD">
        <w:t>applied over</w:t>
      </w:r>
      <w:r w:rsidR="009F3736" w:rsidRPr="001310AD">
        <w:t xml:space="preserve"> several seasons</w:t>
      </w:r>
      <w:r w:rsidR="00226510" w:rsidRPr="001310AD">
        <w:t xml:space="preserve">; </w:t>
      </w:r>
      <w:proofErr w:type="gramStart"/>
      <w:r w:rsidR="00226510" w:rsidRPr="001310AD">
        <w:t>therefore</w:t>
      </w:r>
      <w:proofErr w:type="gramEnd"/>
      <w:r w:rsidR="00226510" w:rsidRPr="001310AD">
        <w:t xml:space="preserve"> </w:t>
      </w:r>
      <w:r w:rsidR="004375C5" w:rsidRPr="001310AD">
        <w:t xml:space="preserve">the </w:t>
      </w:r>
      <w:r w:rsidR="00D01360" w:rsidRPr="001310AD">
        <w:t xml:space="preserve">evaluation considered that the </w:t>
      </w:r>
      <w:r w:rsidR="004375C5" w:rsidRPr="001310AD">
        <w:t xml:space="preserve">same threshold applied to the interpretation of </w:t>
      </w:r>
      <w:r w:rsidR="00E7797B" w:rsidRPr="001310AD">
        <w:t xml:space="preserve">secondary </w:t>
      </w:r>
      <w:r w:rsidR="001D748E" w:rsidRPr="001310AD">
        <w:t>endpoints</w:t>
      </w:r>
      <w:r w:rsidR="0021004E" w:rsidRPr="001310AD">
        <w:t xml:space="preserve"> (i.e., cumulative vaccine efficacy)</w:t>
      </w:r>
      <w:r w:rsidR="00E7797B" w:rsidRPr="001310AD">
        <w:t>.</w:t>
      </w:r>
    </w:p>
    <w:p w14:paraId="5E7D7DE7" w14:textId="53765A5C" w:rsidR="00094839" w:rsidRPr="001310AD" w:rsidRDefault="00094839" w:rsidP="00DB53B6">
      <w:pPr>
        <w:pStyle w:val="3-BodyText"/>
      </w:pPr>
      <w:r w:rsidRPr="001310AD">
        <w:lastRenderedPageBreak/>
        <w:t xml:space="preserve">The results </w:t>
      </w:r>
      <w:r w:rsidR="00651D35" w:rsidRPr="001310AD">
        <w:t>for A</w:t>
      </w:r>
      <w:r w:rsidR="00161B68" w:rsidRPr="001310AD">
        <w:t>R</w:t>
      </w:r>
      <w:r w:rsidR="00651D35" w:rsidRPr="001310AD">
        <w:t>eSV</w:t>
      </w:r>
      <w:r w:rsidR="001F4942" w:rsidRPr="001310AD">
        <w:t>i</w:t>
      </w:r>
      <w:r w:rsidR="00651D35" w:rsidRPr="001310AD">
        <w:t>-006 were based on the pre-specified analysis that included RSV season as a covariate to account for differences between seasons in RSV-LRTD incidence rates, efficacy, follow-up time, or group sizes.</w:t>
      </w:r>
    </w:p>
    <w:p w14:paraId="054D6607" w14:textId="55486458" w:rsidR="000250DD" w:rsidRPr="001310AD" w:rsidRDefault="001B5CAE" w:rsidP="001B5CAE">
      <w:pPr>
        <w:pStyle w:val="Caption"/>
      </w:pPr>
      <w:bookmarkStart w:id="32" w:name="_Ref196920684"/>
      <w:r w:rsidRPr="001310AD">
        <w:t xml:space="preserve">Table </w:t>
      </w:r>
      <w:fldSimple w:instr=" SEQ Table \* ARABIC ">
        <w:r w:rsidR="001F75E0" w:rsidRPr="001310AD">
          <w:t>5</w:t>
        </w:r>
      </w:fldSimple>
      <w:bookmarkEnd w:id="32"/>
      <w:r w:rsidR="00B70B74" w:rsidRPr="001310AD">
        <w:t>:</w:t>
      </w:r>
      <w:r w:rsidR="000250DD" w:rsidRPr="001310AD">
        <w:t xml:space="preserve"> </w:t>
      </w:r>
      <w:r w:rsidR="001D748E" w:rsidRPr="001310AD">
        <w:t xml:space="preserve">Cumulative </w:t>
      </w:r>
      <w:r w:rsidR="00852BD5" w:rsidRPr="001310AD">
        <w:t>VE</w:t>
      </w:r>
      <w:r w:rsidR="000250DD" w:rsidRPr="001310AD">
        <w:t xml:space="preserve"> against first occurrence of RSV-LRTD, in participants ≥ 60 YOA (single dose, mES population and with season as a covariate)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Cumulative VE against first occurrence of RSV-LRTD, in participants ≥ 60 YOA (single dose, mES population and with season as a covariate)"/>
      </w:tblPr>
      <w:tblGrid>
        <w:gridCol w:w="1979"/>
        <w:gridCol w:w="705"/>
        <w:gridCol w:w="426"/>
        <w:gridCol w:w="849"/>
        <w:gridCol w:w="711"/>
        <w:gridCol w:w="709"/>
        <w:gridCol w:w="426"/>
        <w:gridCol w:w="709"/>
        <w:gridCol w:w="851"/>
        <w:gridCol w:w="1652"/>
      </w:tblGrid>
      <w:tr w:rsidR="000250DD" w:rsidRPr="001310AD" w14:paraId="0CB22CE7" w14:textId="77777777" w:rsidTr="00FC68A0">
        <w:trPr>
          <w:trHeight w:val="170"/>
          <w:tblHeader/>
        </w:trPr>
        <w:tc>
          <w:tcPr>
            <w:tcW w:w="1098" w:type="pct"/>
            <w:vMerge w:val="restart"/>
            <w:vAlign w:val="center"/>
          </w:tcPr>
          <w:p w14:paraId="054FD36B" w14:textId="77777777" w:rsidR="000250DD" w:rsidRPr="001310AD" w:rsidRDefault="000250DD">
            <w:pPr>
              <w:jc w:val="left"/>
              <w:rPr>
                <w:rFonts w:ascii="Arial Narrow" w:hAnsi="Arial Narrow" w:cs="Calibri"/>
                <w:b/>
                <w:bCs/>
                <w:sz w:val="20"/>
                <w:szCs w:val="20"/>
              </w:rPr>
            </w:pPr>
            <w:r w:rsidRPr="001310AD">
              <w:rPr>
                <w:rFonts w:ascii="Arial Narrow" w:hAnsi="Arial Narrow" w:cs="Calibri"/>
                <w:b/>
                <w:bCs/>
                <w:sz w:val="20"/>
                <w:szCs w:val="20"/>
              </w:rPr>
              <w:t>Endpoint</w:t>
            </w:r>
          </w:p>
        </w:tc>
        <w:tc>
          <w:tcPr>
            <w:tcW w:w="1492" w:type="pct"/>
            <w:gridSpan w:val="4"/>
            <w:vAlign w:val="center"/>
            <w:hideMark/>
          </w:tcPr>
          <w:p w14:paraId="626E5E2D" w14:textId="77777777" w:rsidR="000250DD" w:rsidRPr="001310AD" w:rsidRDefault="000250DD">
            <w:pPr>
              <w:jc w:val="center"/>
              <w:rPr>
                <w:rFonts w:ascii="Arial Narrow" w:hAnsi="Arial Narrow" w:cs="Calibri"/>
                <w:b/>
                <w:bCs/>
                <w:sz w:val="20"/>
                <w:szCs w:val="20"/>
              </w:rPr>
            </w:pPr>
            <w:r w:rsidRPr="001310AD">
              <w:rPr>
                <w:rFonts w:ascii="Arial Narrow" w:hAnsi="Arial Narrow" w:cs="Calibri"/>
                <w:b/>
                <w:bCs/>
                <w:sz w:val="20"/>
                <w:szCs w:val="20"/>
              </w:rPr>
              <w:t>RSVPreF3 OA</w:t>
            </w:r>
          </w:p>
        </w:tc>
        <w:tc>
          <w:tcPr>
            <w:tcW w:w="1494" w:type="pct"/>
            <w:gridSpan w:val="4"/>
            <w:vAlign w:val="center"/>
          </w:tcPr>
          <w:p w14:paraId="3F1FC7EE"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Placebo</w:t>
            </w:r>
          </w:p>
        </w:tc>
        <w:tc>
          <w:tcPr>
            <w:tcW w:w="916" w:type="pct"/>
            <w:vMerge w:val="restart"/>
            <w:vAlign w:val="center"/>
            <w:hideMark/>
          </w:tcPr>
          <w:p w14:paraId="4145B84C" w14:textId="77777777" w:rsidR="000250DD" w:rsidRPr="001310AD" w:rsidRDefault="000250DD">
            <w:pPr>
              <w:jc w:val="center"/>
              <w:rPr>
                <w:rFonts w:ascii="Arial Narrow" w:hAnsi="Arial Narrow" w:cs="Calibri"/>
                <w:b/>
                <w:bCs/>
                <w:sz w:val="20"/>
                <w:szCs w:val="20"/>
              </w:rPr>
            </w:pPr>
            <w:r w:rsidRPr="001310AD">
              <w:rPr>
                <w:rFonts w:ascii="Arial Narrow" w:hAnsi="Arial Narrow" w:cs="Calibri"/>
                <w:b/>
                <w:bCs/>
                <w:sz w:val="20"/>
                <w:szCs w:val="20"/>
              </w:rPr>
              <w:t>VE %</w:t>
            </w:r>
          </w:p>
          <w:p w14:paraId="2ABC1659"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 CI</w:t>
            </w:r>
            <w:r w:rsidRPr="001310AD">
              <w:rPr>
                <w:vertAlign w:val="superscript"/>
              </w:rPr>
              <w:t xml:space="preserve"> a</w:t>
            </w:r>
            <w:r w:rsidRPr="001310AD">
              <w:rPr>
                <w:rFonts w:ascii="Arial Narrow" w:hAnsi="Arial Narrow" w:cs="Calibri"/>
                <w:b/>
                <w:bCs/>
                <w:sz w:val="20"/>
                <w:szCs w:val="20"/>
              </w:rPr>
              <w:t>; p-value</w:t>
            </w:r>
          </w:p>
        </w:tc>
      </w:tr>
      <w:tr w:rsidR="000250DD" w:rsidRPr="001310AD" w14:paraId="63A75D51" w14:textId="77777777" w:rsidTr="00FC68A0">
        <w:trPr>
          <w:trHeight w:val="170"/>
          <w:tblHeader/>
        </w:trPr>
        <w:tc>
          <w:tcPr>
            <w:tcW w:w="1098" w:type="pct"/>
            <w:vMerge/>
            <w:vAlign w:val="center"/>
          </w:tcPr>
          <w:p w14:paraId="2A7141DB" w14:textId="77777777" w:rsidR="000250DD" w:rsidRPr="001310AD" w:rsidRDefault="000250DD">
            <w:pPr>
              <w:jc w:val="left"/>
              <w:rPr>
                <w:rFonts w:ascii="Arial Narrow" w:hAnsi="Arial Narrow" w:cs="Calibri"/>
                <w:b/>
                <w:bCs/>
                <w:sz w:val="20"/>
                <w:szCs w:val="20"/>
              </w:rPr>
            </w:pPr>
          </w:p>
        </w:tc>
        <w:tc>
          <w:tcPr>
            <w:tcW w:w="391" w:type="pct"/>
            <w:vAlign w:val="center"/>
            <w:hideMark/>
          </w:tcPr>
          <w:p w14:paraId="55F84147"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236" w:type="pct"/>
            <w:vAlign w:val="center"/>
            <w:hideMark/>
          </w:tcPr>
          <w:p w14:paraId="2FED2F04"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471" w:type="pct"/>
            <w:vAlign w:val="center"/>
            <w:hideMark/>
          </w:tcPr>
          <w:p w14:paraId="39316759"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T (year)</w:t>
            </w:r>
          </w:p>
        </w:tc>
        <w:tc>
          <w:tcPr>
            <w:tcW w:w="393" w:type="pct"/>
            <w:vAlign w:val="center"/>
          </w:tcPr>
          <w:p w14:paraId="37569255" w14:textId="77777777" w:rsidR="000250DD" w:rsidRPr="001310AD" w:rsidRDefault="000250DD">
            <w:pPr>
              <w:jc w:val="center"/>
              <w:rPr>
                <w:rFonts w:ascii="Arial Narrow" w:hAnsi="Arial Narrow" w:cs="Calibri"/>
                <w:b/>
                <w:bCs/>
                <w:sz w:val="20"/>
                <w:szCs w:val="20"/>
              </w:rPr>
            </w:pPr>
            <w:r w:rsidRPr="001310AD">
              <w:rPr>
                <w:rFonts w:ascii="Arial Narrow" w:hAnsi="Arial Narrow" w:cs="Calibri"/>
                <w:b/>
                <w:bCs/>
                <w:sz w:val="20"/>
                <w:szCs w:val="20"/>
              </w:rPr>
              <w:t>n/T (per 1000)</w:t>
            </w:r>
          </w:p>
        </w:tc>
        <w:tc>
          <w:tcPr>
            <w:tcW w:w="393" w:type="pct"/>
            <w:vAlign w:val="center"/>
            <w:hideMark/>
          </w:tcPr>
          <w:p w14:paraId="0F3887EC"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236" w:type="pct"/>
            <w:vAlign w:val="center"/>
            <w:hideMark/>
          </w:tcPr>
          <w:p w14:paraId="06C30F54"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393" w:type="pct"/>
            <w:vAlign w:val="center"/>
          </w:tcPr>
          <w:p w14:paraId="042FAB89" w14:textId="77777777" w:rsidR="000250DD" w:rsidRPr="001310AD" w:rsidRDefault="000250DD">
            <w:pPr>
              <w:jc w:val="center"/>
              <w:rPr>
                <w:rFonts w:ascii="Arial Narrow" w:hAnsi="Arial Narrow" w:cs="Calibri"/>
                <w:b/>
                <w:bCs/>
                <w:sz w:val="20"/>
                <w:szCs w:val="20"/>
              </w:rPr>
            </w:pPr>
            <w:r w:rsidRPr="001310AD">
              <w:rPr>
                <w:rFonts w:ascii="Arial Narrow" w:hAnsi="Arial Narrow" w:cs="Calibri"/>
                <w:b/>
                <w:bCs/>
                <w:sz w:val="20"/>
                <w:szCs w:val="20"/>
              </w:rPr>
              <w:t>T (year)</w:t>
            </w:r>
          </w:p>
        </w:tc>
        <w:tc>
          <w:tcPr>
            <w:tcW w:w="472" w:type="pct"/>
            <w:vAlign w:val="center"/>
            <w:hideMark/>
          </w:tcPr>
          <w:p w14:paraId="33D46C14"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sz w:val="20"/>
                <w:szCs w:val="20"/>
              </w:rPr>
              <w:t>n/T (per 1000)</w:t>
            </w:r>
          </w:p>
        </w:tc>
        <w:tc>
          <w:tcPr>
            <w:tcW w:w="916" w:type="pct"/>
            <w:vMerge/>
            <w:vAlign w:val="center"/>
            <w:hideMark/>
          </w:tcPr>
          <w:p w14:paraId="774315C7" w14:textId="77777777" w:rsidR="000250DD" w:rsidRPr="001310AD" w:rsidRDefault="000250DD">
            <w:pPr>
              <w:jc w:val="center"/>
              <w:rPr>
                <w:rFonts w:ascii="Arial Narrow" w:hAnsi="Arial Narrow" w:cs="Calibri"/>
                <w:b/>
                <w:bCs/>
                <w:color w:val="000000"/>
                <w:sz w:val="20"/>
                <w:szCs w:val="20"/>
              </w:rPr>
            </w:pPr>
          </w:p>
        </w:tc>
      </w:tr>
      <w:tr w:rsidR="000250DD" w:rsidRPr="001310AD" w14:paraId="59EC6ED2" w14:textId="77777777">
        <w:trPr>
          <w:trHeight w:val="170"/>
        </w:trPr>
        <w:tc>
          <w:tcPr>
            <w:tcW w:w="5000" w:type="pct"/>
            <w:gridSpan w:val="10"/>
            <w:tcBorders>
              <w:top w:val="single" w:sz="4" w:space="0" w:color="auto"/>
              <w:left w:val="single" w:sz="4" w:space="0" w:color="auto"/>
              <w:right w:val="single" w:sz="4" w:space="0" w:color="auto"/>
            </w:tcBorders>
            <w:vAlign w:val="center"/>
          </w:tcPr>
          <w:p w14:paraId="26B3C72A" w14:textId="77777777" w:rsidR="000250DD" w:rsidRPr="001310AD" w:rsidRDefault="000250DD">
            <w:pPr>
              <w:jc w:val="left"/>
              <w:rPr>
                <w:rFonts w:ascii="Arial Narrow" w:hAnsi="Arial Narrow" w:cs="Calibri"/>
                <w:b/>
                <w:bCs/>
                <w:color w:val="000000"/>
                <w:sz w:val="20"/>
                <w:szCs w:val="20"/>
              </w:rPr>
            </w:pPr>
            <w:r w:rsidRPr="001310AD">
              <w:rPr>
                <w:rFonts w:ascii="Arial Narrow" w:hAnsi="Arial Narrow" w:cs="Calibri"/>
                <w:b/>
                <w:bCs/>
                <w:color w:val="000000"/>
                <w:sz w:val="20"/>
                <w:szCs w:val="20"/>
              </w:rPr>
              <w:t>VE for the prevention of RSV-LRTD</w:t>
            </w:r>
          </w:p>
        </w:tc>
      </w:tr>
      <w:tr w:rsidR="006D4AAE" w:rsidRPr="001310AD" w14:paraId="00A2AB93" w14:textId="77777777" w:rsidTr="00FC68A0">
        <w:trPr>
          <w:trHeight w:val="170"/>
        </w:trPr>
        <w:tc>
          <w:tcPr>
            <w:tcW w:w="1098" w:type="pct"/>
            <w:tcBorders>
              <w:left w:val="single" w:sz="4" w:space="0" w:color="auto"/>
              <w:right w:val="single" w:sz="4" w:space="0" w:color="auto"/>
            </w:tcBorders>
            <w:shd w:val="clear" w:color="auto" w:fill="B8CCE4" w:themeFill="accent1" w:themeFillTint="66"/>
            <w:vAlign w:val="center"/>
          </w:tcPr>
          <w:p w14:paraId="5E6462F3" w14:textId="5D18AD88" w:rsidR="000250DD" w:rsidRPr="001310AD" w:rsidRDefault="00535A4E">
            <w:pPr>
              <w:jc w:val="left"/>
              <w:rPr>
                <w:rFonts w:ascii="Arial Narrow" w:hAnsi="Arial Narrow" w:cs="Calibri"/>
                <w:color w:val="000000"/>
                <w:sz w:val="20"/>
                <w:szCs w:val="20"/>
              </w:rPr>
            </w:pPr>
            <w:r w:rsidRPr="001310AD">
              <w:rPr>
                <w:rFonts w:ascii="Arial Narrow" w:hAnsi="Arial Narrow" w:cs="Calibri"/>
                <w:color w:val="000000"/>
                <w:sz w:val="20"/>
                <w:szCs w:val="20"/>
              </w:rPr>
              <w:t>Over</w:t>
            </w:r>
            <w:r w:rsidR="008C3CBA" w:rsidRPr="001310AD">
              <w:rPr>
                <w:rFonts w:ascii="Arial Narrow" w:hAnsi="Arial Narrow" w:cs="Calibri"/>
                <w:color w:val="000000"/>
                <w:sz w:val="20"/>
                <w:szCs w:val="20"/>
              </w:rPr>
              <w:t xml:space="preserve"> Season</w:t>
            </w:r>
            <w:r w:rsidR="000250DD" w:rsidRPr="001310AD">
              <w:rPr>
                <w:rFonts w:ascii="Arial Narrow" w:hAnsi="Arial Narrow" w:cs="Calibri"/>
                <w:color w:val="000000"/>
                <w:sz w:val="20"/>
                <w:szCs w:val="20"/>
              </w:rPr>
              <w:t xml:space="preserve"> 1</w:t>
            </w:r>
            <w:r w:rsidR="000250DD" w:rsidRPr="001310AD">
              <w:rPr>
                <w:rFonts w:ascii="Arial Narrow" w:hAnsi="Arial Narrow" w:cs="Calibri"/>
                <w:color w:val="000000"/>
                <w:sz w:val="20"/>
                <w:szCs w:val="20"/>
                <w:vertAlign w:val="superscript"/>
              </w:rPr>
              <w:t>b</w:t>
            </w:r>
            <w:r w:rsidR="000250DD" w:rsidRPr="001310AD">
              <w:rPr>
                <w:rFonts w:ascii="Arial Narrow" w:hAnsi="Arial Narrow" w:cs="Calibri"/>
                <w:color w:val="000000"/>
                <w:sz w:val="20"/>
                <w:szCs w:val="20"/>
              </w:rPr>
              <w:t xml:space="preserve"> (FUP 6.7 m) – NH</w:t>
            </w:r>
          </w:p>
        </w:tc>
        <w:tc>
          <w:tcPr>
            <w:tcW w:w="391" w:type="pct"/>
            <w:tcBorders>
              <w:left w:val="single" w:sz="4" w:space="0" w:color="auto"/>
            </w:tcBorders>
            <w:shd w:val="clear" w:color="auto" w:fill="B8CCE4" w:themeFill="accent1" w:themeFillTint="66"/>
            <w:vAlign w:val="center"/>
          </w:tcPr>
          <w:p w14:paraId="4C34FD5C"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12,466</w:t>
            </w:r>
          </w:p>
        </w:tc>
        <w:tc>
          <w:tcPr>
            <w:tcW w:w="236" w:type="pct"/>
            <w:shd w:val="clear" w:color="auto" w:fill="B8CCE4" w:themeFill="accent1" w:themeFillTint="66"/>
            <w:vAlign w:val="center"/>
          </w:tcPr>
          <w:p w14:paraId="27E8A0A5"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7</w:t>
            </w:r>
          </w:p>
        </w:tc>
        <w:tc>
          <w:tcPr>
            <w:tcW w:w="471" w:type="pct"/>
            <w:shd w:val="clear" w:color="auto" w:fill="B8CCE4" w:themeFill="accent1" w:themeFillTint="66"/>
            <w:vAlign w:val="center"/>
          </w:tcPr>
          <w:p w14:paraId="226794D6"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6,865.9</w:t>
            </w:r>
          </w:p>
        </w:tc>
        <w:tc>
          <w:tcPr>
            <w:tcW w:w="393" w:type="pct"/>
            <w:shd w:val="clear" w:color="auto" w:fill="B8CCE4" w:themeFill="accent1" w:themeFillTint="66"/>
            <w:vAlign w:val="center"/>
          </w:tcPr>
          <w:p w14:paraId="7AC5A6BD"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1.0</w:t>
            </w:r>
          </w:p>
        </w:tc>
        <w:tc>
          <w:tcPr>
            <w:tcW w:w="393" w:type="pct"/>
            <w:shd w:val="clear" w:color="auto" w:fill="B8CCE4" w:themeFill="accent1" w:themeFillTint="66"/>
            <w:vAlign w:val="center"/>
          </w:tcPr>
          <w:p w14:paraId="0B9A8811"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12,494</w:t>
            </w:r>
          </w:p>
        </w:tc>
        <w:tc>
          <w:tcPr>
            <w:tcW w:w="236" w:type="pct"/>
            <w:shd w:val="clear" w:color="auto" w:fill="B8CCE4" w:themeFill="accent1" w:themeFillTint="66"/>
            <w:vAlign w:val="center"/>
          </w:tcPr>
          <w:p w14:paraId="42629AC4"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40</w:t>
            </w:r>
          </w:p>
        </w:tc>
        <w:tc>
          <w:tcPr>
            <w:tcW w:w="393" w:type="pct"/>
            <w:shd w:val="clear" w:color="auto" w:fill="B8CCE4" w:themeFill="accent1" w:themeFillTint="66"/>
            <w:vAlign w:val="center"/>
          </w:tcPr>
          <w:p w14:paraId="5BD81995"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6,857.3</w:t>
            </w:r>
          </w:p>
        </w:tc>
        <w:tc>
          <w:tcPr>
            <w:tcW w:w="472" w:type="pct"/>
            <w:shd w:val="clear" w:color="auto" w:fill="B8CCE4" w:themeFill="accent1" w:themeFillTint="66"/>
            <w:vAlign w:val="center"/>
          </w:tcPr>
          <w:p w14:paraId="0C5A54CE"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5.8</w:t>
            </w:r>
          </w:p>
        </w:tc>
        <w:tc>
          <w:tcPr>
            <w:tcW w:w="916" w:type="pct"/>
            <w:shd w:val="clear" w:color="auto" w:fill="B8CCE4" w:themeFill="accent1" w:themeFillTint="66"/>
            <w:vAlign w:val="center"/>
          </w:tcPr>
          <w:p w14:paraId="007416FE"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color w:val="000000"/>
                <w:sz w:val="20"/>
                <w:szCs w:val="20"/>
              </w:rPr>
              <w:t>82.58 (57.89, 94.08) &lt;0.0001</w:t>
            </w:r>
          </w:p>
        </w:tc>
      </w:tr>
      <w:tr w:rsidR="006D4AAE" w:rsidRPr="001310AD" w14:paraId="6BA80847" w14:textId="77777777" w:rsidTr="00FC68A0">
        <w:trPr>
          <w:trHeight w:val="170"/>
        </w:trPr>
        <w:tc>
          <w:tcPr>
            <w:tcW w:w="1098" w:type="pct"/>
            <w:tcBorders>
              <w:left w:val="single" w:sz="4" w:space="0" w:color="auto"/>
              <w:right w:val="single" w:sz="4" w:space="0" w:color="auto"/>
            </w:tcBorders>
            <w:shd w:val="clear" w:color="auto" w:fill="B8CCE4" w:themeFill="accent1" w:themeFillTint="66"/>
            <w:vAlign w:val="center"/>
          </w:tcPr>
          <w:p w14:paraId="7B9CDAB3" w14:textId="4DDD8341" w:rsidR="000250DD" w:rsidRPr="001310AD" w:rsidRDefault="00A07301">
            <w:pPr>
              <w:jc w:val="left"/>
              <w:rPr>
                <w:rFonts w:ascii="Arial Narrow" w:hAnsi="Arial Narrow" w:cs="Calibri"/>
                <w:color w:val="000000"/>
                <w:sz w:val="20"/>
                <w:szCs w:val="20"/>
              </w:rPr>
            </w:pPr>
            <w:r w:rsidRPr="001310AD">
              <w:rPr>
                <w:rFonts w:ascii="Arial Narrow" w:hAnsi="Arial Narrow" w:cs="Calibri"/>
                <w:color w:val="000000"/>
                <w:sz w:val="20"/>
                <w:szCs w:val="20"/>
              </w:rPr>
              <w:t>Over</w:t>
            </w:r>
            <w:r w:rsidR="008C3CBA" w:rsidRPr="001310AD">
              <w:rPr>
                <w:rFonts w:ascii="Arial Narrow" w:hAnsi="Arial Narrow" w:cs="Calibri"/>
                <w:color w:val="000000"/>
                <w:sz w:val="20"/>
                <w:szCs w:val="20"/>
              </w:rPr>
              <w:t xml:space="preserve"> Season</w:t>
            </w:r>
            <w:r w:rsidR="000250DD" w:rsidRPr="001310AD">
              <w:rPr>
                <w:rFonts w:ascii="Arial Narrow" w:hAnsi="Arial Narrow" w:cs="Calibri"/>
                <w:color w:val="000000"/>
                <w:sz w:val="20"/>
                <w:szCs w:val="20"/>
              </w:rPr>
              <w:t xml:space="preserve"> </w:t>
            </w:r>
            <w:r w:rsidRPr="001310AD">
              <w:rPr>
                <w:rFonts w:ascii="Arial Narrow" w:hAnsi="Arial Narrow" w:cs="Calibri"/>
                <w:color w:val="000000"/>
                <w:sz w:val="20"/>
                <w:szCs w:val="20"/>
              </w:rPr>
              <w:t xml:space="preserve">1 </w:t>
            </w:r>
            <w:r w:rsidR="003772EE"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2</w:t>
            </w:r>
            <w:r w:rsidR="000250DD" w:rsidRPr="001310AD">
              <w:rPr>
                <w:rFonts w:ascii="Arial Narrow" w:hAnsi="Arial Narrow" w:cs="Calibri"/>
                <w:color w:val="000000"/>
                <w:sz w:val="20"/>
                <w:szCs w:val="20"/>
                <w:vertAlign w:val="superscript"/>
              </w:rPr>
              <w:t>b</w:t>
            </w:r>
            <w:r w:rsidR="000250DD" w:rsidRPr="001310AD">
              <w:rPr>
                <w:rFonts w:ascii="Arial Narrow" w:hAnsi="Arial Narrow" w:cs="Calibri"/>
                <w:color w:val="000000"/>
                <w:sz w:val="20"/>
                <w:szCs w:val="20"/>
              </w:rPr>
              <w:t xml:space="preserve"> (FUP 17.8 m) – NH</w:t>
            </w:r>
          </w:p>
        </w:tc>
        <w:tc>
          <w:tcPr>
            <w:tcW w:w="391" w:type="pct"/>
            <w:tcBorders>
              <w:left w:val="single" w:sz="4" w:space="0" w:color="auto"/>
            </w:tcBorders>
            <w:shd w:val="clear" w:color="auto" w:fill="B8CCE4" w:themeFill="accent1" w:themeFillTint="66"/>
            <w:vAlign w:val="center"/>
          </w:tcPr>
          <w:p w14:paraId="4B7F087C"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12,469</w:t>
            </w:r>
          </w:p>
        </w:tc>
        <w:tc>
          <w:tcPr>
            <w:tcW w:w="236" w:type="pct"/>
            <w:shd w:val="clear" w:color="auto" w:fill="B8CCE4" w:themeFill="accent1" w:themeFillTint="66"/>
            <w:vAlign w:val="center"/>
          </w:tcPr>
          <w:p w14:paraId="63756D83"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30</w:t>
            </w:r>
          </w:p>
        </w:tc>
        <w:tc>
          <w:tcPr>
            <w:tcW w:w="471" w:type="pct"/>
            <w:shd w:val="clear" w:color="auto" w:fill="B8CCE4" w:themeFill="accent1" w:themeFillTint="66"/>
            <w:vAlign w:val="center"/>
          </w:tcPr>
          <w:p w14:paraId="2AF72D15"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14,662.6</w:t>
            </w:r>
          </w:p>
        </w:tc>
        <w:tc>
          <w:tcPr>
            <w:tcW w:w="393" w:type="pct"/>
            <w:shd w:val="clear" w:color="auto" w:fill="B8CCE4" w:themeFill="accent1" w:themeFillTint="66"/>
            <w:vAlign w:val="center"/>
          </w:tcPr>
          <w:p w14:paraId="67894715"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2.0</w:t>
            </w:r>
          </w:p>
        </w:tc>
        <w:tc>
          <w:tcPr>
            <w:tcW w:w="393" w:type="pct"/>
            <w:shd w:val="clear" w:color="auto" w:fill="B8CCE4" w:themeFill="accent1" w:themeFillTint="66"/>
            <w:vAlign w:val="center"/>
          </w:tcPr>
          <w:p w14:paraId="1878E346"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12,498</w:t>
            </w:r>
          </w:p>
        </w:tc>
        <w:tc>
          <w:tcPr>
            <w:tcW w:w="236" w:type="pct"/>
            <w:shd w:val="clear" w:color="auto" w:fill="B8CCE4" w:themeFill="accent1" w:themeFillTint="66"/>
            <w:vAlign w:val="center"/>
          </w:tcPr>
          <w:p w14:paraId="70B3A475"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139</w:t>
            </w:r>
          </w:p>
        </w:tc>
        <w:tc>
          <w:tcPr>
            <w:tcW w:w="393" w:type="pct"/>
            <w:shd w:val="clear" w:color="auto" w:fill="B8CCE4" w:themeFill="accent1" w:themeFillTint="66"/>
            <w:vAlign w:val="center"/>
          </w:tcPr>
          <w:p w14:paraId="36B906E7"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17,269.0</w:t>
            </w:r>
          </w:p>
        </w:tc>
        <w:tc>
          <w:tcPr>
            <w:tcW w:w="472" w:type="pct"/>
            <w:shd w:val="clear" w:color="auto" w:fill="B8CCE4" w:themeFill="accent1" w:themeFillTint="66"/>
            <w:vAlign w:val="center"/>
          </w:tcPr>
          <w:p w14:paraId="734AA30F"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8.0</w:t>
            </w:r>
          </w:p>
        </w:tc>
        <w:tc>
          <w:tcPr>
            <w:tcW w:w="916" w:type="pct"/>
            <w:shd w:val="clear" w:color="auto" w:fill="B8CCE4" w:themeFill="accent1" w:themeFillTint="66"/>
            <w:vAlign w:val="center"/>
          </w:tcPr>
          <w:p w14:paraId="115E59CF"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color w:val="000000"/>
                <w:sz w:val="20"/>
                <w:szCs w:val="20"/>
              </w:rPr>
              <w:t>67.18 (48.19, 80.04; &lt;0.0001)</w:t>
            </w:r>
          </w:p>
        </w:tc>
      </w:tr>
      <w:tr w:rsidR="000250DD" w:rsidRPr="001310AD" w14:paraId="498DDB2E" w14:textId="77777777" w:rsidTr="00FC68A0">
        <w:trPr>
          <w:trHeight w:val="170"/>
        </w:trPr>
        <w:tc>
          <w:tcPr>
            <w:tcW w:w="1098" w:type="pct"/>
            <w:tcBorders>
              <w:left w:val="single" w:sz="4" w:space="0" w:color="auto"/>
              <w:right w:val="single" w:sz="4" w:space="0" w:color="auto"/>
            </w:tcBorders>
            <w:vAlign w:val="center"/>
          </w:tcPr>
          <w:p w14:paraId="285280D5" w14:textId="460121CA" w:rsidR="000250DD" w:rsidRPr="001310AD" w:rsidRDefault="00A07301">
            <w:pPr>
              <w:jc w:val="left"/>
              <w:rPr>
                <w:rFonts w:ascii="Arial Narrow" w:hAnsi="Arial Narrow" w:cs="Calibri"/>
                <w:color w:val="000000"/>
                <w:sz w:val="20"/>
                <w:szCs w:val="20"/>
                <w:vertAlign w:val="superscript"/>
              </w:rPr>
            </w:pPr>
            <w:r w:rsidRPr="001310AD">
              <w:rPr>
                <w:rFonts w:ascii="Arial Narrow" w:hAnsi="Arial Narrow" w:cs="Calibri"/>
                <w:color w:val="000000"/>
                <w:sz w:val="20"/>
                <w:szCs w:val="20"/>
              </w:rPr>
              <w:t>Over Season 1</w:t>
            </w:r>
            <w:r w:rsidR="0076251D" w:rsidRPr="001310AD">
              <w:rPr>
                <w:rFonts w:ascii="Arial Narrow" w:hAnsi="Arial Narrow" w:cs="Calibri"/>
                <w:color w:val="000000"/>
                <w:sz w:val="20"/>
                <w:szCs w:val="20"/>
              </w:rPr>
              <w:t xml:space="preserve">, </w:t>
            </w:r>
            <w:r w:rsidRPr="001310AD">
              <w:rPr>
                <w:rFonts w:ascii="Arial Narrow" w:hAnsi="Arial Narrow" w:cs="Calibri"/>
                <w:color w:val="000000"/>
                <w:sz w:val="20"/>
                <w:szCs w:val="20"/>
              </w:rPr>
              <w:t>2</w:t>
            </w:r>
            <w:r w:rsidR="0076251D" w:rsidRPr="001310AD">
              <w:rPr>
                <w:rFonts w:ascii="Arial Narrow" w:hAnsi="Arial Narrow" w:cs="Calibri"/>
                <w:color w:val="000000"/>
                <w:sz w:val="20"/>
                <w:szCs w:val="20"/>
              </w:rPr>
              <w:t xml:space="preserve">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w:t>
            </w:r>
            <w:r w:rsidR="000250DD" w:rsidRPr="001310AD">
              <w:rPr>
                <w:rFonts w:ascii="Arial Narrow" w:hAnsi="Arial Narrow" w:cs="Calibri"/>
                <w:color w:val="000000"/>
                <w:sz w:val="20"/>
                <w:szCs w:val="20"/>
              </w:rPr>
              <w:t>3</w:t>
            </w:r>
            <w:r w:rsidR="000250DD" w:rsidRPr="001310AD">
              <w:rPr>
                <w:rFonts w:ascii="Arial Narrow" w:hAnsi="Arial Narrow" w:cs="Calibri"/>
                <w:color w:val="000000"/>
                <w:sz w:val="20"/>
                <w:szCs w:val="20"/>
                <w:vertAlign w:val="superscript"/>
              </w:rPr>
              <w:t>b</w:t>
            </w:r>
          </w:p>
          <w:p w14:paraId="00253ABB" w14:textId="77777777" w:rsidR="000250DD" w:rsidRPr="001310AD" w:rsidRDefault="000250DD">
            <w:pPr>
              <w:jc w:val="left"/>
              <w:rPr>
                <w:rFonts w:ascii="Arial Narrow" w:hAnsi="Arial Narrow" w:cs="Calibri"/>
                <w:color w:val="000000"/>
                <w:sz w:val="20"/>
                <w:szCs w:val="20"/>
              </w:rPr>
            </w:pPr>
            <w:r w:rsidRPr="001310AD">
              <w:rPr>
                <w:rFonts w:ascii="Arial Narrow" w:hAnsi="Arial Narrow" w:cs="Calibri"/>
                <w:color w:val="000000"/>
                <w:sz w:val="20"/>
                <w:szCs w:val="20"/>
              </w:rPr>
              <w:t xml:space="preserve">(FUP 30.6 m) – NH </w:t>
            </w:r>
          </w:p>
        </w:tc>
        <w:tc>
          <w:tcPr>
            <w:tcW w:w="391" w:type="pct"/>
            <w:tcBorders>
              <w:left w:val="single" w:sz="4" w:space="0" w:color="auto"/>
            </w:tcBorders>
            <w:vAlign w:val="center"/>
          </w:tcPr>
          <w:p w14:paraId="2F4AD91F"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12,468</w:t>
            </w:r>
          </w:p>
        </w:tc>
        <w:tc>
          <w:tcPr>
            <w:tcW w:w="236" w:type="pct"/>
            <w:vAlign w:val="center"/>
          </w:tcPr>
          <w:p w14:paraId="65785526"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48</w:t>
            </w:r>
          </w:p>
        </w:tc>
        <w:tc>
          <w:tcPr>
            <w:tcW w:w="471" w:type="pct"/>
            <w:vAlign w:val="center"/>
          </w:tcPr>
          <w:p w14:paraId="546787B1"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19,748.8</w:t>
            </w:r>
          </w:p>
        </w:tc>
        <w:tc>
          <w:tcPr>
            <w:tcW w:w="393" w:type="pct"/>
            <w:vAlign w:val="center"/>
          </w:tcPr>
          <w:p w14:paraId="22CD78EE"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2.4</w:t>
            </w:r>
          </w:p>
        </w:tc>
        <w:tc>
          <w:tcPr>
            <w:tcW w:w="393" w:type="pct"/>
            <w:vAlign w:val="center"/>
          </w:tcPr>
          <w:p w14:paraId="3FA4FDF4"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12,498</w:t>
            </w:r>
          </w:p>
        </w:tc>
        <w:tc>
          <w:tcPr>
            <w:tcW w:w="236" w:type="pct"/>
            <w:vAlign w:val="center"/>
          </w:tcPr>
          <w:p w14:paraId="37AF5C06"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215</w:t>
            </w:r>
          </w:p>
        </w:tc>
        <w:tc>
          <w:tcPr>
            <w:tcW w:w="393" w:type="pct"/>
            <w:vAlign w:val="center"/>
          </w:tcPr>
          <w:p w14:paraId="5D6A189C"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27,363.6</w:t>
            </w:r>
          </w:p>
        </w:tc>
        <w:tc>
          <w:tcPr>
            <w:tcW w:w="472" w:type="pct"/>
            <w:vAlign w:val="center"/>
          </w:tcPr>
          <w:p w14:paraId="4A3F0EFC" w14:textId="77777777" w:rsidR="000250DD" w:rsidRPr="001310AD" w:rsidRDefault="000250DD">
            <w:pPr>
              <w:jc w:val="center"/>
              <w:rPr>
                <w:rFonts w:ascii="Arial Narrow" w:hAnsi="Arial Narrow" w:cs="Calibri"/>
                <w:color w:val="000000"/>
                <w:sz w:val="20"/>
                <w:szCs w:val="20"/>
              </w:rPr>
            </w:pPr>
            <w:r w:rsidRPr="001310AD">
              <w:rPr>
                <w:rFonts w:ascii="Arial Narrow" w:hAnsi="Arial Narrow" w:cs="Calibri"/>
                <w:color w:val="000000"/>
                <w:sz w:val="20"/>
                <w:szCs w:val="20"/>
              </w:rPr>
              <w:t>7.9</w:t>
            </w:r>
          </w:p>
        </w:tc>
        <w:tc>
          <w:tcPr>
            <w:tcW w:w="916" w:type="pct"/>
            <w:vAlign w:val="center"/>
          </w:tcPr>
          <w:p w14:paraId="702EAC1E" w14:textId="77777777" w:rsidR="000250DD" w:rsidRPr="001310AD" w:rsidRDefault="000250DD">
            <w:pPr>
              <w:jc w:val="center"/>
              <w:rPr>
                <w:rFonts w:ascii="Arial Narrow" w:hAnsi="Arial Narrow" w:cs="Calibri"/>
                <w:b/>
                <w:bCs/>
                <w:color w:val="000000"/>
                <w:sz w:val="20"/>
                <w:szCs w:val="20"/>
              </w:rPr>
            </w:pPr>
            <w:r w:rsidRPr="001310AD">
              <w:rPr>
                <w:rFonts w:ascii="Arial Narrow" w:hAnsi="Arial Narrow" w:cs="Calibri"/>
                <w:b/>
                <w:bCs/>
                <w:color w:val="000000"/>
                <w:sz w:val="20"/>
                <w:szCs w:val="20"/>
              </w:rPr>
              <w:t>62.91 (46.74, 74.79; &lt;0.0001)</w:t>
            </w:r>
          </w:p>
        </w:tc>
      </w:tr>
    </w:tbl>
    <w:p w14:paraId="621E5D48" w14:textId="6DE92E54" w:rsidR="000250DD" w:rsidRPr="001310AD" w:rsidRDefault="000250DD" w:rsidP="00F0610B">
      <w:pPr>
        <w:pStyle w:val="FooterTableFigure"/>
      </w:pPr>
      <w:r w:rsidRPr="001310AD">
        <w:t xml:space="preserve">Source = Table 2-19 and Table 2-20, p90 and p92 of the resubmission. </w:t>
      </w:r>
    </w:p>
    <w:p w14:paraId="571AF37D" w14:textId="750C9144" w:rsidR="002801CE" w:rsidRPr="001310AD" w:rsidRDefault="000250DD" w:rsidP="00F0610B">
      <w:pPr>
        <w:pStyle w:val="FooterTableFigure"/>
      </w:pPr>
      <w:r w:rsidRPr="001310AD">
        <w:t xml:space="preserve">CI = confidence interval; FUP = follow up; m = months; mES = modified exposed set; N = number of participants; n = number of participants with at least one RT-PCR confirmed RSV case; n/T (per 1000) = incidence rate of participants reporting at least one event; NH = northern hemisphere; </w:t>
      </w:r>
      <w:r w:rsidR="004B73D3" w:rsidRPr="001310AD">
        <w:t xml:space="preserve">RSVPreF3 OA= RSV pre-fusion protein 3 older adult; </w:t>
      </w:r>
      <w:r w:rsidRPr="001310AD">
        <w:t>T (year) = sum of follow-up time (from Day 15 post-vaccination till first occurrence of the event or till the efficacy data lock point or till drop-out date) expressed in years; VE = vaccine efficacy (Poisson method – adjusted by age, region and season).</w:t>
      </w:r>
    </w:p>
    <w:p w14:paraId="3FFBE444" w14:textId="668FAD86" w:rsidR="002801CE" w:rsidRPr="001310AD" w:rsidRDefault="002801CE" w:rsidP="00F0610B">
      <w:pPr>
        <w:pStyle w:val="FooterTableFigure"/>
      </w:pPr>
      <w:r w:rsidRPr="001310AD">
        <w:rPr>
          <w:vertAlign w:val="superscript"/>
        </w:rPr>
        <w:t>a</w:t>
      </w:r>
      <w:r w:rsidRPr="001310AD">
        <w:t xml:space="preserve"> 96.95% CI for primary endpoint (RSV-LRTD, end of Season 1 in NH); 97.5% CI for confirmatory secondary endpoint (RSV-LRTD, season </w:t>
      </w:r>
      <w:r w:rsidR="00682B91">
        <w:t xml:space="preserve">1 + 2 and season </w:t>
      </w:r>
      <w:r w:rsidRPr="001310AD">
        <w:t>1 + 2 + 3)</w:t>
      </w:r>
    </w:p>
    <w:p w14:paraId="3D70E716" w14:textId="1FEFA6EE" w:rsidR="002801CE" w:rsidRPr="001310AD" w:rsidRDefault="002801CE" w:rsidP="00F0610B">
      <w:pPr>
        <w:pStyle w:val="FooterTableFigure"/>
      </w:pPr>
      <w:r w:rsidRPr="001310AD">
        <w:rPr>
          <w:vertAlign w:val="superscript"/>
        </w:rPr>
        <w:t>b</w:t>
      </w:r>
      <w:r w:rsidRPr="001310AD">
        <w:t xml:space="preserve"> Primary outcome</w:t>
      </w:r>
      <w:r w:rsidR="00EB0868" w:rsidRPr="001310AD">
        <w:t xml:space="preserve"> defined as reduction of the risk of the first occurrence of RT-PCR confirmed RSV-LRTD</w:t>
      </w:r>
      <w:r w:rsidR="00EA1EF4" w:rsidRPr="001310AD">
        <w:t>.</w:t>
      </w:r>
    </w:p>
    <w:p w14:paraId="43D00E8C" w14:textId="6337D5A0" w:rsidR="002801CE" w:rsidRPr="001310AD" w:rsidRDefault="002801CE" w:rsidP="00F0610B">
      <w:pPr>
        <w:pStyle w:val="FooterTableFigure"/>
        <w:rPr>
          <w:rStyle w:val="Heading2Char"/>
          <w:rFonts w:ascii="Arial Narrow" w:hAnsi="Arial Narrow"/>
          <w:b w:val="0"/>
          <w:i w:val="0"/>
          <w:snapToGrid w:val="0"/>
          <w:sz w:val="18"/>
          <w:lang w:eastAsia="en-AU"/>
        </w:rPr>
      </w:pPr>
      <w:r w:rsidRPr="001310AD">
        <w:t>Bold text indicates statistically significant result.</w:t>
      </w:r>
    </w:p>
    <w:p w14:paraId="498945B4" w14:textId="6C633981" w:rsidR="00DB53B6" w:rsidRPr="001310AD" w:rsidRDefault="00DB53B6" w:rsidP="00F0610B">
      <w:pPr>
        <w:pStyle w:val="FooterTableFigure"/>
        <w:rPr>
          <w:rStyle w:val="CommentReference"/>
          <w:b w:val="0"/>
          <w:sz w:val="18"/>
          <w:szCs w:val="18"/>
        </w:rPr>
      </w:pPr>
      <w:r w:rsidRPr="001310AD">
        <w:rPr>
          <w:rStyle w:val="CommentReference"/>
          <w:b w:val="0"/>
          <w:sz w:val="18"/>
          <w:szCs w:val="18"/>
        </w:rPr>
        <w:t xml:space="preserve">Blue shading indicates information previously seen by the PBAC. </w:t>
      </w:r>
    </w:p>
    <w:p w14:paraId="396818B6" w14:textId="31CB1D61" w:rsidR="007D1C9F" w:rsidRPr="001310AD" w:rsidRDefault="00095A4C" w:rsidP="00CE18DC">
      <w:pPr>
        <w:pStyle w:val="3-BodyText"/>
      </w:pPr>
      <w:r w:rsidRPr="001310AD">
        <w:t>Over 3 RSV seasons, the cumulative VE of a single dose of RSVPre</w:t>
      </w:r>
      <w:r w:rsidR="00C81658" w:rsidRPr="001310AD">
        <w:t>F</w:t>
      </w:r>
      <w:r w:rsidRPr="001310AD">
        <w:t xml:space="preserve">3 OA against first occurrence of RT-PCR-confirmed RSV-LRTD was 62.91% (97.5% CI: 46.74, 74.79). As the lower bound of the CI was &gt;20%, the predefined success criteria for </w:t>
      </w:r>
      <w:r w:rsidR="00F650DF" w:rsidRPr="001310AD">
        <w:t>the prevention of LRTD-RSV over several seasons</w:t>
      </w:r>
      <w:r w:rsidRPr="001310AD">
        <w:t>, the confirmatory secondary objective was demonstrated (</w:t>
      </w:r>
      <w:r w:rsidR="00214A85" w:rsidRPr="001310AD">
        <w:fldChar w:fldCharType="begin"/>
      </w:r>
      <w:r w:rsidR="00214A85" w:rsidRPr="001310AD">
        <w:instrText xml:space="preserve"> REF _Ref196920684 \h </w:instrText>
      </w:r>
      <w:r w:rsidR="00214A85" w:rsidRPr="001310AD">
        <w:fldChar w:fldCharType="separate"/>
      </w:r>
      <w:r w:rsidR="001F75E0" w:rsidRPr="001310AD">
        <w:t>Table 5</w:t>
      </w:r>
      <w:r w:rsidR="00214A85" w:rsidRPr="001310AD">
        <w:fldChar w:fldCharType="end"/>
      </w:r>
      <w:r w:rsidRPr="001310AD">
        <w:t>).</w:t>
      </w:r>
      <w:r w:rsidRPr="001310AD">
        <w:rPr>
          <w:i/>
          <w:iCs/>
        </w:rPr>
        <w:t xml:space="preserve"> </w:t>
      </w:r>
      <w:r w:rsidR="00544C00" w:rsidRPr="001310AD">
        <w:t xml:space="preserve">Based on the updated </w:t>
      </w:r>
      <w:r w:rsidR="00EF0076" w:rsidRPr="001310AD">
        <w:t xml:space="preserve">clinical </w:t>
      </w:r>
      <w:r w:rsidR="00544C00" w:rsidRPr="001310AD">
        <w:t xml:space="preserve">evidence, </w:t>
      </w:r>
      <w:r w:rsidR="00203817" w:rsidRPr="001310AD">
        <w:t xml:space="preserve">ATAGI </w:t>
      </w:r>
      <w:r w:rsidR="00345D56" w:rsidRPr="001310AD">
        <w:t xml:space="preserve">stated </w:t>
      </w:r>
      <w:r w:rsidR="00A418D2" w:rsidRPr="001310AD">
        <w:t>that</w:t>
      </w:r>
      <w:r w:rsidR="00203817" w:rsidRPr="001310AD">
        <w:t xml:space="preserve"> RSVPreF3 OA provides effective prevention for RSV for at least 3 RSV seasons in adults ≥60 YOA</w:t>
      </w:r>
      <w:r w:rsidR="002B14EC" w:rsidRPr="001310AD">
        <w:t>,</w:t>
      </w:r>
      <w:r w:rsidR="00203817" w:rsidRPr="001310AD">
        <w:t xml:space="preserve"> inclusive of the nominated target populations (adults ≥75 YOA; adults with at least one risk factor ≥60 YOA; Aboriginal and Torres Strait Islander people ≥60 YOA). </w:t>
      </w:r>
      <w:r w:rsidR="009B2868" w:rsidRPr="001310AD">
        <w:t>Th</w:t>
      </w:r>
      <w:r w:rsidR="006F1B16" w:rsidRPr="001310AD">
        <w:t>e evaluation</w:t>
      </w:r>
      <w:r w:rsidR="006F1B16" w:rsidRPr="001310AD">
        <w:rPr>
          <w:i/>
          <w:iCs/>
        </w:rPr>
        <w:t xml:space="preserve"> </w:t>
      </w:r>
      <w:r w:rsidR="004E40D9" w:rsidRPr="001310AD">
        <w:t>not</w:t>
      </w:r>
      <w:r w:rsidR="001B1D55" w:rsidRPr="001310AD">
        <w:t>ed</w:t>
      </w:r>
      <w:r w:rsidR="004E40D9" w:rsidRPr="001310AD">
        <w:t xml:space="preserve"> </w:t>
      </w:r>
      <w:r w:rsidRPr="001310AD">
        <w:t>th</w:t>
      </w:r>
      <w:r w:rsidR="00235019" w:rsidRPr="001310AD">
        <w:t>at th</w:t>
      </w:r>
      <w:r w:rsidRPr="001310AD">
        <w:t xml:space="preserve">e cumulative VE estimates </w:t>
      </w:r>
      <w:r w:rsidR="003F4529" w:rsidRPr="001310AD">
        <w:t>over a period of 3 RSV seasons</w:t>
      </w:r>
      <w:r w:rsidRPr="001310AD">
        <w:t xml:space="preserve"> were lower than those reported in Season 1 and </w:t>
      </w:r>
      <w:r w:rsidR="00F07150" w:rsidRPr="001310AD">
        <w:t xml:space="preserve">over </w:t>
      </w:r>
      <w:r w:rsidRPr="001310AD">
        <w:t>2</w:t>
      </w:r>
      <w:r w:rsidR="00F07150" w:rsidRPr="001310AD">
        <w:t xml:space="preserve"> seasons</w:t>
      </w:r>
      <w:r w:rsidRPr="001310AD">
        <w:t xml:space="preserve">. The PBAC </w:t>
      </w:r>
      <w:r w:rsidR="00926946" w:rsidRPr="001310AD">
        <w:t xml:space="preserve">previously </w:t>
      </w:r>
      <w:r w:rsidRPr="001310AD">
        <w:t>considered that RSVPreF3 OA was effective and superior compared to placebo in adults ≥60 YOA, inclusive of those ≥75 YOA. However, it noted uncertainty around the magnitude and duration of benefit given that VE waned as the duration of follow up increased (para</w:t>
      </w:r>
      <w:r w:rsidR="006E28DB" w:rsidRPr="001310AD">
        <w:t>graph</w:t>
      </w:r>
      <w:r w:rsidRPr="001310AD">
        <w:t xml:space="preserve"> 6.42, RSVPreF3 OA PSD, July 2024). </w:t>
      </w:r>
      <w:r w:rsidR="004D38E0" w:rsidRPr="001310AD">
        <w:t xml:space="preserve">VE waning </w:t>
      </w:r>
      <w:r w:rsidRPr="001310AD">
        <w:t>was confirmed in the updated results</w:t>
      </w:r>
      <w:r w:rsidR="008E4BFB" w:rsidRPr="001310AD">
        <w:t>,</w:t>
      </w:r>
      <w:r w:rsidRPr="001310AD">
        <w:t xml:space="preserve"> where </w:t>
      </w:r>
      <w:r w:rsidR="007472C9" w:rsidRPr="001310AD">
        <w:t>cumulative</w:t>
      </w:r>
      <w:r w:rsidRPr="001310AD">
        <w:t xml:space="preserve"> VE </w:t>
      </w:r>
      <w:r w:rsidR="0027341B" w:rsidRPr="001310AD">
        <w:t>fell</w:t>
      </w:r>
      <w:r w:rsidRPr="001310AD">
        <w:t xml:space="preserve"> from 67.</w:t>
      </w:r>
      <w:r w:rsidR="00926946" w:rsidRPr="001310AD">
        <w:t>18</w:t>
      </w:r>
      <w:r w:rsidRPr="001310AD">
        <w:t>% (</w:t>
      </w:r>
      <w:r w:rsidR="00F07150" w:rsidRPr="001310AD">
        <w:t>over</w:t>
      </w:r>
      <w:r w:rsidR="007916BB" w:rsidRPr="001310AD">
        <w:t xml:space="preserve"> </w:t>
      </w:r>
      <w:r w:rsidRPr="001310AD">
        <w:t>2</w:t>
      </w:r>
      <w:r w:rsidR="00C6340A" w:rsidRPr="001310AD">
        <w:t xml:space="preserve"> seasons</w:t>
      </w:r>
      <w:r w:rsidRPr="001310AD">
        <w:t>) to 62.9</w:t>
      </w:r>
      <w:r w:rsidR="00926946" w:rsidRPr="001310AD">
        <w:t>1</w:t>
      </w:r>
      <w:r w:rsidRPr="001310AD">
        <w:t>% (</w:t>
      </w:r>
      <w:r w:rsidR="00C6340A" w:rsidRPr="001310AD">
        <w:t>over 3 seasons</w:t>
      </w:r>
      <w:r w:rsidRPr="001310AD">
        <w:t xml:space="preserve">). Efficacy beyond 3 seasons, and the </w:t>
      </w:r>
      <w:r w:rsidR="00FC1C58" w:rsidRPr="001310AD">
        <w:t xml:space="preserve">timing </w:t>
      </w:r>
      <w:r w:rsidRPr="001310AD">
        <w:t>for further vaccination, remains unknown (ATAGI advice, March 2025).</w:t>
      </w:r>
    </w:p>
    <w:p w14:paraId="763D4E7B" w14:textId="038E493A" w:rsidR="00684124" w:rsidRPr="001310AD" w:rsidRDefault="00017772" w:rsidP="00684124">
      <w:pPr>
        <w:pStyle w:val="3-BodyText"/>
      </w:pPr>
      <w:r w:rsidRPr="001310AD">
        <w:t>C</w:t>
      </w:r>
      <w:r w:rsidR="00684124" w:rsidRPr="001310AD">
        <w:t>umulative VE by RSV subtype and against severe RSV and RSV-ARI for end of Season</w:t>
      </w:r>
      <w:r w:rsidR="00D6477B" w:rsidRPr="001310AD">
        <w:t> </w:t>
      </w:r>
      <w:r w:rsidR="00684124" w:rsidRPr="001310AD">
        <w:t>3 is presented in</w:t>
      </w:r>
      <w:r w:rsidR="00A13EBB" w:rsidRPr="001310AD">
        <w:t xml:space="preserve"> </w:t>
      </w:r>
      <w:r w:rsidR="001B5CAE" w:rsidRPr="001310AD">
        <w:fldChar w:fldCharType="begin"/>
      </w:r>
      <w:r w:rsidR="001B5CAE" w:rsidRPr="001310AD">
        <w:instrText xml:space="preserve"> REF _Ref196920707 \h </w:instrText>
      </w:r>
      <w:r w:rsidR="001B5CAE" w:rsidRPr="001310AD">
        <w:fldChar w:fldCharType="separate"/>
      </w:r>
      <w:r w:rsidR="001F75E0" w:rsidRPr="001310AD">
        <w:t>Table 6</w:t>
      </w:r>
      <w:r w:rsidR="001B5CAE" w:rsidRPr="001310AD">
        <w:fldChar w:fldCharType="end"/>
      </w:r>
      <w:r w:rsidR="00684124" w:rsidRPr="001310AD">
        <w:t>.</w:t>
      </w:r>
    </w:p>
    <w:p w14:paraId="6AFE86FB" w14:textId="76C8A3BC" w:rsidR="000E4A94" w:rsidRPr="00C539AF" w:rsidRDefault="001B5CAE" w:rsidP="00926946">
      <w:pPr>
        <w:pStyle w:val="Caption"/>
        <w:rPr>
          <w:lang w:val="en"/>
        </w:rPr>
      </w:pPr>
      <w:bookmarkStart w:id="33" w:name="_Ref196920707"/>
      <w:r w:rsidRPr="001310AD">
        <w:lastRenderedPageBreak/>
        <w:t xml:space="preserve">Table </w:t>
      </w:r>
      <w:fldSimple w:instr=" SEQ Table \* ARABIC ">
        <w:r w:rsidR="001F75E0" w:rsidRPr="001310AD">
          <w:t>6</w:t>
        </w:r>
      </w:fldSimple>
      <w:bookmarkEnd w:id="33"/>
      <w:r w:rsidR="00202491" w:rsidRPr="001310AD">
        <w:t>:</w:t>
      </w:r>
      <w:r w:rsidR="000E4A94" w:rsidRPr="001310AD">
        <w:t xml:space="preserve"> </w:t>
      </w:r>
      <w:r w:rsidR="00DD0D4A" w:rsidRPr="00DD0D4A">
        <w:rPr>
          <w:lang w:val="en"/>
        </w:rPr>
        <w:t>Cumulative VE against the first occurrence of RSV-LRTD by RSV type, severe RSV-LRTD, and RSV-ARI, in participants ≥60 YOA (single dose, mES population, with season as a covariate)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Cumulative VE against the first occurrence of RSV-LRTD by RSV type, severe RSV-LRTD, and RSV-ARI, in participants ≥60 YOA (single dose, mES population, with season as a covariate)"/>
      </w:tblPr>
      <w:tblGrid>
        <w:gridCol w:w="1837"/>
        <w:gridCol w:w="849"/>
        <w:gridCol w:w="426"/>
        <w:gridCol w:w="849"/>
        <w:gridCol w:w="709"/>
        <w:gridCol w:w="709"/>
        <w:gridCol w:w="426"/>
        <w:gridCol w:w="709"/>
        <w:gridCol w:w="851"/>
        <w:gridCol w:w="1652"/>
      </w:tblGrid>
      <w:tr w:rsidR="000E4A94" w:rsidRPr="001310AD" w14:paraId="5047229A" w14:textId="77777777">
        <w:trPr>
          <w:trHeight w:val="170"/>
          <w:tblHeader/>
        </w:trPr>
        <w:tc>
          <w:tcPr>
            <w:tcW w:w="1019" w:type="pct"/>
            <w:vMerge w:val="restart"/>
            <w:vAlign w:val="center"/>
          </w:tcPr>
          <w:p w14:paraId="418D470A" w14:textId="77777777" w:rsidR="000E4A94" w:rsidRPr="001310AD" w:rsidRDefault="000E4A94" w:rsidP="00926946">
            <w:pPr>
              <w:keepNext/>
              <w:jc w:val="left"/>
              <w:rPr>
                <w:rFonts w:ascii="Arial Narrow" w:hAnsi="Arial Narrow" w:cs="Calibri"/>
                <w:b/>
                <w:bCs/>
                <w:sz w:val="20"/>
                <w:szCs w:val="20"/>
              </w:rPr>
            </w:pPr>
            <w:r w:rsidRPr="001310AD">
              <w:rPr>
                <w:rFonts w:ascii="Arial Narrow" w:hAnsi="Arial Narrow" w:cs="Calibri"/>
                <w:b/>
                <w:bCs/>
                <w:sz w:val="20"/>
                <w:szCs w:val="20"/>
              </w:rPr>
              <w:t>Endpoint</w:t>
            </w:r>
          </w:p>
        </w:tc>
        <w:tc>
          <w:tcPr>
            <w:tcW w:w="1571" w:type="pct"/>
            <w:gridSpan w:val="4"/>
            <w:vAlign w:val="center"/>
            <w:hideMark/>
          </w:tcPr>
          <w:p w14:paraId="63EB2E36"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sz w:val="20"/>
                <w:szCs w:val="20"/>
              </w:rPr>
              <w:t>RSVPreF3 OA</w:t>
            </w:r>
          </w:p>
        </w:tc>
        <w:tc>
          <w:tcPr>
            <w:tcW w:w="1494" w:type="pct"/>
            <w:gridSpan w:val="4"/>
            <w:vAlign w:val="center"/>
          </w:tcPr>
          <w:p w14:paraId="5058B6D1"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Placebo</w:t>
            </w:r>
          </w:p>
        </w:tc>
        <w:tc>
          <w:tcPr>
            <w:tcW w:w="916" w:type="pct"/>
            <w:vMerge w:val="restart"/>
            <w:vAlign w:val="center"/>
            <w:hideMark/>
          </w:tcPr>
          <w:p w14:paraId="766A4AA9"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sz w:val="20"/>
                <w:szCs w:val="20"/>
              </w:rPr>
              <w:t>VE %</w:t>
            </w:r>
          </w:p>
          <w:p w14:paraId="66BF3452" w14:textId="246CD95F" w:rsidR="000E4A94" w:rsidRPr="001310AD" w:rsidRDefault="00D95875"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w:t>
            </w:r>
            <w:r w:rsidR="000E4A94" w:rsidRPr="001310AD">
              <w:rPr>
                <w:rFonts w:ascii="Arial Narrow" w:hAnsi="Arial Narrow" w:cs="Calibri"/>
                <w:b/>
                <w:bCs/>
                <w:sz w:val="20"/>
                <w:szCs w:val="20"/>
              </w:rPr>
              <w:t>95% CI</w:t>
            </w:r>
            <w:r w:rsidRPr="001310AD">
              <w:rPr>
                <w:rFonts w:ascii="Arial Narrow" w:hAnsi="Arial Narrow" w:cs="Calibri"/>
                <w:b/>
                <w:bCs/>
                <w:sz w:val="20"/>
                <w:szCs w:val="20"/>
              </w:rPr>
              <w:t>)</w:t>
            </w:r>
            <w:r w:rsidR="000E4A94" w:rsidRPr="001310AD">
              <w:rPr>
                <w:rFonts w:ascii="Arial Narrow" w:hAnsi="Arial Narrow" w:cs="Calibri"/>
                <w:b/>
                <w:bCs/>
                <w:sz w:val="20"/>
                <w:szCs w:val="20"/>
              </w:rPr>
              <w:t>; p-value</w:t>
            </w:r>
          </w:p>
        </w:tc>
      </w:tr>
      <w:tr w:rsidR="000E4A94" w:rsidRPr="001310AD" w14:paraId="0E9B28F3" w14:textId="77777777">
        <w:trPr>
          <w:trHeight w:val="170"/>
          <w:tblHeader/>
        </w:trPr>
        <w:tc>
          <w:tcPr>
            <w:tcW w:w="1019" w:type="pct"/>
            <w:vMerge/>
            <w:vAlign w:val="center"/>
          </w:tcPr>
          <w:p w14:paraId="54074E9A" w14:textId="77777777" w:rsidR="000E4A94" w:rsidRPr="001310AD" w:rsidRDefault="000E4A94" w:rsidP="00926946">
            <w:pPr>
              <w:keepNext/>
              <w:jc w:val="left"/>
              <w:rPr>
                <w:rFonts w:ascii="Arial Narrow" w:hAnsi="Arial Narrow" w:cs="Calibri"/>
                <w:b/>
                <w:bCs/>
                <w:sz w:val="20"/>
                <w:szCs w:val="20"/>
              </w:rPr>
            </w:pPr>
          </w:p>
        </w:tc>
        <w:tc>
          <w:tcPr>
            <w:tcW w:w="471" w:type="pct"/>
            <w:vAlign w:val="center"/>
            <w:hideMark/>
          </w:tcPr>
          <w:p w14:paraId="375F4FEC"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236" w:type="pct"/>
            <w:vAlign w:val="center"/>
            <w:hideMark/>
          </w:tcPr>
          <w:p w14:paraId="5E89F2BD"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471" w:type="pct"/>
            <w:vAlign w:val="center"/>
            <w:hideMark/>
          </w:tcPr>
          <w:p w14:paraId="6D322CFA"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T (year)</w:t>
            </w:r>
          </w:p>
        </w:tc>
        <w:tc>
          <w:tcPr>
            <w:tcW w:w="393" w:type="pct"/>
            <w:vAlign w:val="center"/>
          </w:tcPr>
          <w:p w14:paraId="38F45760"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sz w:val="20"/>
                <w:szCs w:val="20"/>
              </w:rPr>
              <w:t>n/T (per 1000)</w:t>
            </w:r>
          </w:p>
        </w:tc>
        <w:tc>
          <w:tcPr>
            <w:tcW w:w="393" w:type="pct"/>
            <w:vAlign w:val="center"/>
            <w:hideMark/>
          </w:tcPr>
          <w:p w14:paraId="10C8CEBA"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236" w:type="pct"/>
            <w:vAlign w:val="center"/>
            <w:hideMark/>
          </w:tcPr>
          <w:p w14:paraId="02AF68AD"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393" w:type="pct"/>
            <w:vAlign w:val="center"/>
          </w:tcPr>
          <w:p w14:paraId="1E4F63AE"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sz w:val="20"/>
                <w:szCs w:val="20"/>
              </w:rPr>
              <w:t>T (year)</w:t>
            </w:r>
          </w:p>
        </w:tc>
        <w:tc>
          <w:tcPr>
            <w:tcW w:w="472" w:type="pct"/>
            <w:vAlign w:val="center"/>
            <w:hideMark/>
          </w:tcPr>
          <w:p w14:paraId="66AFD1D8"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n/T (per 1000)</w:t>
            </w:r>
          </w:p>
        </w:tc>
        <w:tc>
          <w:tcPr>
            <w:tcW w:w="916" w:type="pct"/>
            <w:vMerge/>
            <w:vAlign w:val="center"/>
            <w:hideMark/>
          </w:tcPr>
          <w:p w14:paraId="02122ED4" w14:textId="77777777" w:rsidR="000E4A94" w:rsidRPr="001310AD" w:rsidRDefault="000E4A94" w:rsidP="00926946">
            <w:pPr>
              <w:keepNext/>
              <w:jc w:val="center"/>
              <w:rPr>
                <w:rFonts w:ascii="Arial Narrow" w:hAnsi="Arial Narrow" w:cs="Calibri"/>
                <w:b/>
                <w:bCs/>
                <w:color w:val="000000"/>
                <w:sz w:val="20"/>
                <w:szCs w:val="20"/>
              </w:rPr>
            </w:pPr>
          </w:p>
        </w:tc>
      </w:tr>
      <w:tr w:rsidR="000E4A94" w:rsidRPr="001310AD" w14:paraId="24A68EE6" w14:textId="77777777">
        <w:trPr>
          <w:trHeight w:val="170"/>
        </w:trPr>
        <w:tc>
          <w:tcPr>
            <w:tcW w:w="5000" w:type="pct"/>
            <w:gridSpan w:val="10"/>
            <w:tcBorders>
              <w:left w:val="single" w:sz="4" w:space="0" w:color="auto"/>
            </w:tcBorders>
            <w:vAlign w:val="center"/>
          </w:tcPr>
          <w:p w14:paraId="717EB304" w14:textId="77777777" w:rsidR="000E4A94" w:rsidRPr="001310AD" w:rsidRDefault="000E4A94" w:rsidP="00926946">
            <w:pPr>
              <w:keepNext/>
              <w:rPr>
                <w:rFonts w:ascii="Arial Narrow" w:hAnsi="Arial Narrow" w:cs="Calibri"/>
                <w:color w:val="000000"/>
                <w:sz w:val="20"/>
                <w:szCs w:val="20"/>
              </w:rPr>
            </w:pPr>
            <w:r w:rsidRPr="001310AD">
              <w:rPr>
                <w:rFonts w:ascii="Arial Narrow" w:hAnsi="Arial Narrow" w:cs="Calibri"/>
                <w:b/>
                <w:bCs/>
                <w:color w:val="000000"/>
                <w:sz w:val="20"/>
                <w:szCs w:val="20"/>
              </w:rPr>
              <w:t>VE for the prevention of RSV-LRTD by RSV type</w:t>
            </w:r>
          </w:p>
        </w:tc>
      </w:tr>
      <w:tr w:rsidR="000E4A94" w:rsidRPr="001310AD" w14:paraId="5EA18611" w14:textId="77777777">
        <w:trPr>
          <w:trHeight w:val="170"/>
        </w:trPr>
        <w:tc>
          <w:tcPr>
            <w:tcW w:w="1019" w:type="pct"/>
            <w:tcBorders>
              <w:left w:val="single" w:sz="4" w:space="0" w:color="auto"/>
              <w:right w:val="single" w:sz="4" w:space="0" w:color="auto"/>
            </w:tcBorders>
            <w:shd w:val="clear" w:color="auto" w:fill="B8CCE4" w:themeFill="accent1" w:themeFillTint="66"/>
            <w:vAlign w:val="center"/>
          </w:tcPr>
          <w:p w14:paraId="2F727070" w14:textId="3B786443" w:rsidR="000E4A94" w:rsidRPr="001310AD" w:rsidRDefault="00007560" w:rsidP="00926946">
            <w:pPr>
              <w:keepNext/>
              <w:jc w:val="left"/>
              <w:rPr>
                <w:rFonts w:ascii="Arial Narrow" w:hAnsi="Arial Narrow" w:cs="Calibri"/>
                <w:color w:val="000000"/>
                <w:sz w:val="20"/>
                <w:szCs w:val="20"/>
              </w:rPr>
            </w:pPr>
            <w:r w:rsidRPr="001310AD">
              <w:rPr>
                <w:rFonts w:ascii="Arial Narrow" w:hAnsi="Arial Narrow" w:cs="Calibri"/>
                <w:color w:val="000000"/>
                <w:sz w:val="20"/>
                <w:szCs w:val="20"/>
              </w:rPr>
              <w:t xml:space="preserve">Over Season 1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2</w:t>
            </w:r>
            <w:r w:rsidR="00224751" w:rsidRPr="001310AD">
              <w:rPr>
                <w:rFonts w:ascii="Arial Narrow" w:hAnsi="Arial Narrow" w:cs="Calibri"/>
                <w:color w:val="000000"/>
                <w:sz w:val="20"/>
                <w:szCs w:val="20"/>
              </w:rPr>
              <w:t xml:space="preserve"> </w:t>
            </w:r>
            <w:r w:rsidR="000E4A94" w:rsidRPr="001310AD">
              <w:rPr>
                <w:rFonts w:ascii="Arial Narrow" w:hAnsi="Arial Narrow" w:cs="Calibri"/>
                <w:color w:val="000000"/>
                <w:sz w:val="20"/>
                <w:szCs w:val="20"/>
              </w:rPr>
              <w:t>RSV-A</w:t>
            </w:r>
            <w:r w:rsidR="00224751" w:rsidRPr="001310AD">
              <w:rPr>
                <w:rFonts w:ascii="Arial Narrow" w:hAnsi="Arial Narrow" w:cs="Calibri"/>
                <w:color w:val="000000"/>
                <w:sz w:val="20"/>
                <w:szCs w:val="20"/>
              </w:rPr>
              <w:t xml:space="preserve"> </w:t>
            </w:r>
            <w:r w:rsidR="000E4A94" w:rsidRPr="001310AD">
              <w:rPr>
                <w:rFonts w:ascii="Arial Narrow" w:hAnsi="Arial Narrow" w:cs="Calibri"/>
                <w:color w:val="000000"/>
                <w:sz w:val="20"/>
                <w:szCs w:val="20"/>
              </w:rPr>
              <w:t>(FUP 17.8 m)</w:t>
            </w:r>
          </w:p>
        </w:tc>
        <w:tc>
          <w:tcPr>
            <w:tcW w:w="471" w:type="pct"/>
            <w:tcBorders>
              <w:left w:val="single" w:sz="4" w:space="0" w:color="auto"/>
            </w:tcBorders>
            <w:shd w:val="clear" w:color="auto" w:fill="B8CCE4" w:themeFill="accent1" w:themeFillTint="66"/>
            <w:vAlign w:val="center"/>
          </w:tcPr>
          <w:p w14:paraId="5450329B"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12,469</w:t>
            </w:r>
          </w:p>
        </w:tc>
        <w:tc>
          <w:tcPr>
            <w:tcW w:w="236" w:type="pct"/>
            <w:shd w:val="clear" w:color="auto" w:fill="B8CCE4" w:themeFill="accent1" w:themeFillTint="66"/>
            <w:vAlign w:val="center"/>
          </w:tcPr>
          <w:p w14:paraId="23B24DCF"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6</w:t>
            </w:r>
          </w:p>
        </w:tc>
        <w:tc>
          <w:tcPr>
            <w:tcW w:w="471" w:type="pct"/>
            <w:shd w:val="clear" w:color="auto" w:fill="B8CCE4" w:themeFill="accent1" w:themeFillTint="66"/>
            <w:vAlign w:val="center"/>
          </w:tcPr>
          <w:p w14:paraId="0A5FCE73"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14,673.7</w:t>
            </w:r>
          </w:p>
        </w:tc>
        <w:tc>
          <w:tcPr>
            <w:tcW w:w="393" w:type="pct"/>
            <w:shd w:val="clear" w:color="auto" w:fill="B8CCE4" w:themeFill="accent1" w:themeFillTint="66"/>
            <w:vAlign w:val="center"/>
          </w:tcPr>
          <w:p w14:paraId="187FD9DC"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0.4</w:t>
            </w:r>
          </w:p>
        </w:tc>
        <w:tc>
          <w:tcPr>
            <w:tcW w:w="393" w:type="pct"/>
            <w:shd w:val="clear" w:color="auto" w:fill="B8CCE4" w:themeFill="accent1" w:themeFillTint="66"/>
            <w:vAlign w:val="center"/>
          </w:tcPr>
          <w:p w14:paraId="7BD59CB8"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12,498</w:t>
            </w:r>
          </w:p>
        </w:tc>
        <w:tc>
          <w:tcPr>
            <w:tcW w:w="236" w:type="pct"/>
            <w:shd w:val="clear" w:color="auto" w:fill="B8CCE4" w:themeFill="accent1" w:themeFillTint="66"/>
            <w:vAlign w:val="center"/>
          </w:tcPr>
          <w:p w14:paraId="4CEA29D7"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48</w:t>
            </w:r>
          </w:p>
        </w:tc>
        <w:tc>
          <w:tcPr>
            <w:tcW w:w="393" w:type="pct"/>
            <w:shd w:val="clear" w:color="auto" w:fill="B8CCE4" w:themeFill="accent1" w:themeFillTint="66"/>
            <w:vAlign w:val="center"/>
          </w:tcPr>
          <w:p w14:paraId="4E5405A1"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17,323.5</w:t>
            </w:r>
          </w:p>
        </w:tc>
        <w:tc>
          <w:tcPr>
            <w:tcW w:w="472" w:type="pct"/>
            <w:shd w:val="clear" w:color="auto" w:fill="B8CCE4" w:themeFill="accent1" w:themeFillTint="66"/>
            <w:vAlign w:val="center"/>
          </w:tcPr>
          <w:p w14:paraId="0868DA3E"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2.8</w:t>
            </w:r>
          </w:p>
        </w:tc>
        <w:tc>
          <w:tcPr>
            <w:tcW w:w="916" w:type="pct"/>
            <w:shd w:val="clear" w:color="auto" w:fill="B8CCE4" w:themeFill="accent1" w:themeFillTint="66"/>
            <w:vAlign w:val="center"/>
          </w:tcPr>
          <w:p w14:paraId="39892D74" w14:textId="5276D4AE"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color w:val="000000" w:themeColor="text1"/>
                <w:sz w:val="20"/>
                <w:szCs w:val="20"/>
              </w:rPr>
              <w:t>80.46 (53.95, 93.20</w:t>
            </w:r>
            <w:r w:rsidR="00D95875" w:rsidRPr="001310AD">
              <w:rPr>
                <w:rFonts w:ascii="Arial Narrow" w:hAnsi="Arial Narrow" w:cs="Calibri"/>
                <w:b/>
                <w:bCs/>
                <w:color w:val="000000" w:themeColor="text1"/>
                <w:sz w:val="20"/>
                <w:szCs w:val="20"/>
              </w:rPr>
              <w:t>)</w:t>
            </w:r>
            <w:r w:rsidRPr="001310AD">
              <w:rPr>
                <w:rFonts w:ascii="Arial Narrow" w:hAnsi="Arial Narrow" w:cs="Calibri"/>
                <w:b/>
                <w:bCs/>
                <w:color w:val="000000" w:themeColor="text1"/>
                <w:sz w:val="20"/>
                <w:szCs w:val="20"/>
              </w:rPr>
              <w:t>; &lt;0.0001</w:t>
            </w:r>
          </w:p>
        </w:tc>
      </w:tr>
      <w:tr w:rsidR="000E4A94" w:rsidRPr="001310AD" w14:paraId="30044442" w14:textId="77777777">
        <w:trPr>
          <w:trHeight w:val="170"/>
        </w:trPr>
        <w:tc>
          <w:tcPr>
            <w:tcW w:w="1019" w:type="pct"/>
            <w:tcBorders>
              <w:left w:val="single" w:sz="4" w:space="0" w:color="auto"/>
              <w:right w:val="single" w:sz="4" w:space="0" w:color="auto"/>
            </w:tcBorders>
            <w:shd w:val="clear" w:color="auto" w:fill="B8CCE4" w:themeFill="accent1" w:themeFillTint="66"/>
            <w:vAlign w:val="center"/>
          </w:tcPr>
          <w:p w14:paraId="433884B5" w14:textId="3588391C" w:rsidR="000E4A94" w:rsidRPr="001310AD" w:rsidRDefault="00007560" w:rsidP="00926946">
            <w:pPr>
              <w:keepNext/>
              <w:jc w:val="left"/>
              <w:rPr>
                <w:rFonts w:ascii="Arial Narrow" w:hAnsi="Arial Narrow" w:cs="Calibri"/>
                <w:color w:val="000000"/>
                <w:sz w:val="20"/>
                <w:szCs w:val="20"/>
              </w:rPr>
            </w:pPr>
            <w:r w:rsidRPr="001310AD">
              <w:rPr>
                <w:rFonts w:ascii="Arial Narrow" w:hAnsi="Arial Narrow" w:cs="Calibri"/>
                <w:color w:val="000000"/>
                <w:sz w:val="20"/>
                <w:szCs w:val="20"/>
              </w:rPr>
              <w:t xml:space="preserve">Over Season 1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2</w:t>
            </w:r>
            <w:r w:rsidR="00224751" w:rsidRPr="001310AD">
              <w:rPr>
                <w:rFonts w:ascii="Arial Narrow" w:hAnsi="Arial Narrow" w:cs="Calibri"/>
                <w:color w:val="000000"/>
                <w:sz w:val="20"/>
                <w:szCs w:val="20"/>
              </w:rPr>
              <w:t xml:space="preserve"> </w:t>
            </w:r>
            <w:r w:rsidR="000E4A94" w:rsidRPr="001310AD">
              <w:rPr>
                <w:rFonts w:ascii="Arial Narrow" w:hAnsi="Arial Narrow" w:cs="Calibri"/>
                <w:color w:val="000000"/>
                <w:sz w:val="20"/>
                <w:szCs w:val="20"/>
              </w:rPr>
              <w:t>RSV-B</w:t>
            </w:r>
            <w:r w:rsidR="00224751" w:rsidRPr="001310AD">
              <w:rPr>
                <w:rFonts w:ascii="Arial Narrow" w:hAnsi="Arial Narrow" w:cs="Calibri"/>
                <w:color w:val="000000"/>
                <w:sz w:val="20"/>
                <w:szCs w:val="20"/>
              </w:rPr>
              <w:t xml:space="preserve"> </w:t>
            </w:r>
            <w:r w:rsidR="000E4A94" w:rsidRPr="001310AD">
              <w:rPr>
                <w:rFonts w:ascii="Arial Narrow" w:hAnsi="Arial Narrow" w:cs="Calibri"/>
                <w:color w:val="000000"/>
                <w:sz w:val="20"/>
                <w:szCs w:val="20"/>
              </w:rPr>
              <w:t>(FUP 17.8 m)</w:t>
            </w:r>
          </w:p>
        </w:tc>
        <w:tc>
          <w:tcPr>
            <w:tcW w:w="471" w:type="pct"/>
            <w:tcBorders>
              <w:left w:val="single" w:sz="4" w:space="0" w:color="auto"/>
            </w:tcBorders>
            <w:shd w:val="clear" w:color="auto" w:fill="B8CCE4" w:themeFill="accent1" w:themeFillTint="66"/>
            <w:vAlign w:val="center"/>
          </w:tcPr>
          <w:p w14:paraId="6A47E44D"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12,469</w:t>
            </w:r>
          </w:p>
        </w:tc>
        <w:tc>
          <w:tcPr>
            <w:tcW w:w="236" w:type="pct"/>
            <w:shd w:val="clear" w:color="auto" w:fill="B8CCE4" w:themeFill="accent1" w:themeFillTint="66"/>
            <w:vAlign w:val="center"/>
          </w:tcPr>
          <w:p w14:paraId="630E41ED"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24</w:t>
            </w:r>
          </w:p>
        </w:tc>
        <w:tc>
          <w:tcPr>
            <w:tcW w:w="471" w:type="pct"/>
            <w:shd w:val="clear" w:color="auto" w:fill="B8CCE4" w:themeFill="accent1" w:themeFillTint="66"/>
            <w:vAlign w:val="center"/>
          </w:tcPr>
          <w:p w14:paraId="350406C7"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14,665.5</w:t>
            </w:r>
          </w:p>
        </w:tc>
        <w:tc>
          <w:tcPr>
            <w:tcW w:w="393" w:type="pct"/>
            <w:shd w:val="clear" w:color="auto" w:fill="B8CCE4" w:themeFill="accent1" w:themeFillTint="66"/>
            <w:vAlign w:val="center"/>
          </w:tcPr>
          <w:p w14:paraId="7684C66C"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1.6</w:t>
            </w:r>
          </w:p>
        </w:tc>
        <w:tc>
          <w:tcPr>
            <w:tcW w:w="393" w:type="pct"/>
            <w:shd w:val="clear" w:color="auto" w:fill="B8CCE4" w:themeFill="accent1" w:themeFillTint="66"/>
            <w:vAlign w:val="center"/>
          </w:tcPr>
          <w:p w14:paraId="5EBD1E09"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12,498</w:t>
            </w:r>
          </w:p>
        </w:tc>
        <w:tc>
          <w:tcPr>
            <w:tcW w:w="236" w:type="pct"/>
            <w:shd w:val="clear" w:color="auto" w:fill="B8CCE4" w:themeFill="accent1" w:themeFillTint="66"/>
            <w:vAlign w:val="center"/>
          </w:tcPr>
          <w:p w14:paraId="18362267"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90</w:t>
            </w:r>
          </w:p>
        </w:tc>
        <w:tc>
          <w:tcPr>
            <w:tcW w:w="393" w:type="pct"/>
            <w:shd w:val="clear" w:color="auto" w:fill="B8CCE4" w:themeFill="accent1" w:themeFillTint="66"/>
            <w:vAlign w:val="center"/>
          </w:tcPr>
          <w:p w14:paraId="6FD288CE"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17,297.6</w:t>
            </w:r>
          </w:p>
        </w:tc>
        <w:tc>
          <w:tcPr>
            <w:tcW w:w="472" w:type="pct"/>
            <w:shd w:val="clear" w:color="auto" w:fill="B8CCE4" w:themeFill="accent1" w:themeFillTint="66"/>
            <w:vAlign w:val="center"/>
          </w:tcPr>
          <w:p w14:paraId="7AD73A4C"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themeColor="text1"/>
                <w:sz w:val="20"/>
                <w:szCs w:val="20"/>
              </w:rPr>
              <w:t>5.2</w:t>
            </w:r>
          </w:p>
        </w:tc>
        <w:tc>
          <w:tcPr>
            <w:tcW w:w="916" w:type="pct"/>
            <w:shd w:val="clear" w:color="auto" w:fill="B8CCE4" w:themeFill="accent1" w:themeFillTint="66"/>
            <w:vAlign w:val="center"/>
          </w:tcPr>
          <w:p w14:paraId="2DE4725E" w14:textId="290D793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color w:val="000000" w:themeColor="text1"/>
                <w:sz w:val="20"/>
                <w:szCs w:val="20"/>
              </w:rPr>
              <w:t>59.66 (35.80, 75.54</w:t>
            </w:r>
            <w:r w:rsidR="00D95875" w:rsidRPr="001310AD">
              <w:rPr>
                <w:rFonts w:ascii="Arial Narrow" w:hAnsi="Arial Narrow" w:cs="Calibri"/>
                <w:b/>
                <w:bCs/>
                <w:color w:val="000000" w:themeColor="text1"/>
                <w:sz w:val="20"/>
                <w:szCs w:val="20"/>
              </w:rPr>
              <w:t>)</w:t>
            </w:r>
            <w:r w:rsidRPr="001310AD">
              <w:rPr>
                <w:rFonts w:ascii="Arial Narrow" w:hAnsi="Arial Narrow" w:cs="Calibri"/>
                <w:b/>
                <w:bCs/>
                <w:color w:val="000000" w:themeColor="text1"/>
                <w:sz w:val="20"/>
                <w:szCs w:val="20"/>
              </w:rPr>
              <w:t>; &lt;0.0001</w:t>
            </w:r>
          </w:p>
        </w:tc>
      </w:tr>
      <w:tr w:rsidR="000E4A94" w:rsidRPr="001310AD" w14:paraId="549EC190" w14:textId="77777777">
        <w:trPr>
          <w:trHeight w:val="170"/>
        </w:trPr>
        <w:tc>
          <w:tcPr>
            <w:tcW w:w="1019" w:type="pct"/>
            <w:tcBorders>
              <w:left w:val="single" w:sz="4" w:space="0" w:color="auto"/>
              <w:right w:val="single" w:sz="4" w:space="0" w:color="auto"/>
            </w:tcBorders>
            <w:vAlign w:val="center"/>
          </w:tcPr>
          <w:p w14:paraId="68AE0939" w14:textId="18376DA3" w:rsidR="000E4A94" w:rsidRPr="001310AD" w:rsidRDefault="00007560" w:rsidP="00926946">
            <w:pPr>
              <w:keepNext/>
              <w:jc w:val="left"/>
              <w:rPr>
                <w:rFonts w:ascii="Arial Narrow" w:hAnsi="Arial Narrow" w:cs="Calibri"/>
                <w:b/>
                <w:bCs/>
                <w:color w:val="000000"/>
                <w:sz w:val="20"/>
                <w:szCs w:val="20"/>
              </w:rPr>
            </w:pPr>
            <w:r w:rsidRPr="001310AD">
              <w:rPr>
                <w:rFonts w:ascii="Arial Narrow" w:hAnsi="Arial Narrow" w:cs="Calibri"/>
                <w:color w:val="000000"/>
                <w:sz w:val="20"/>
                <w:szCs w:val="20"/>
              </w:rPr>
              <w:t>Over Season 1</w:t>
            </w:r>
            <w:r w:rsidR="0076251D" w:rsidRPr="001310AD">
              <w:rPr>
                <w:rFonts w:ascii="Arial Narrow" w:hAnsi="Arial Narrow" w:cs="Calibri"/>
                <w:color w:val="000000"/>
                <w:sz w:val="20"/>
                <w:szCs w:val="20"/>
              </w:rPr>
              <w:t xml:space="preserve">, </w:t>
            </w:r>
            <w:r w:rsidRPr="001310AD">
              <w:rPr>
                <w:rFonts w:ascii="Arial Narrow" w:hAnsi="Arial Narrow" w:cs="Calibri"/>
                <w:color w:val="000000"/>
                <w:sz w:val="20"/>
                <w:szCs w:val="20"/>
              </w:rPr>
              <w:t>2</w:t>
            </w:r>
            <w:r w:rsidR="0076251D" w:rsidRPr="001310AD">
              <w:rPr>
                <w:rFonts w:ascii="Arial Narrow" w:hAnsi="Arial Narrow" w:cs="Calibri"/>
                <w:color w:val="000000"/>
                <w:sz w:val="20"/>
                <w:szCs w:val="20"/>
              </w:rPr>
              <w:t xml:space="preserve"> </w:t>
            </w:r>
            <w:r w:rsidR="00B40A53" w:rsidRPr="001310AD">
              <w:rPr>
                <w:rFonts w:ascii="Arial Narrow" w:hAnsi="Arial Narrow" w:cs="Calibri"/>
                <w:color w:val="000000"/>
                <w:sz w:val="20"/>
                <w:szCs w:val="20"/>
              </w:rPr>
              <w:t>&amp;</w:t>
            </w:r>
            <w:r w:rsidR="0076251D" w:rsidRPr="001310AD">
              <w:rPr>
                <w:rFonts w:ascii="Arial Narrow" w:hAnsi="Arial Narrow" w:cs="Calibri"/>
                <w:color w:val="000000"/>
                <w:sz w:val="20"/>
                <w:szCs w:val="20"/>
              </w:rPr>
              <w:t xml:space="preserve"> 3</w:t>
            </w:r>
            <w:r w:rsidR="00224751" w:rsidRPr="001310AD">
              <w:rPr>
                <w:rFonts w:ascii="Arial Narrow" w:hAnsi="Arial Narrow" w:cs="Calibri"/>
                <w:color w:val="000000"/>
                <w:sz w:val="20"/>
                <w:szCs w:val="20"/>
              </w:rPr>
              <w:t xml:space="preserve"> </w:t>
            </w:r>
            <w:r w:rsidR="000E4A94" w:rsidRPr="001310AD">
              <w:rPr>
                <w:rFonts w:ascii="Arial Narrow" w:hAnsi="Arial Narrow" w:cs="Calibri"/>
                <w:color w:val="000000"/>
                <w:sz w:val="20"/>
                <w:szCs w:val="20"/>
              </w:rPr>
              <w:t>RSV-A</w:t>
            </w:r>
            <w:r w:rsidR="00224751" w:rsidRPr="001310AD">
              <w:rPr>
                <w:rFonts w:ascii="Arial Narrow" w:hAnsi="Arial Narrow" w:cs="Calibri"/>
                <w:color w:val="000000"/>
                <w:sz w:val="20"/>
                <w:szCs w:val="20"/>
              </w:rPr>
              <w:t xml:space="preserve"> </w:t>
            </w:r>
            <w:r w:rsidR="000E4A94" w:rsidRPr="001310AD">
              <w:rPr>
                <w:rFonts w:ascii="Arial Narrow" w:hAnsi="Arial Narrow" w:cs="Calibri"/>
                <w:color w:val="000000"/>
                <w:sz w:val="20"/>
                <w:szCs w:val="20"/>
              </w:rPr>
              <w:t>(FUP 30.6 m)</w:t>
            </w:r>
          </w:p>
        </w:tc>
        <w:tc>
          <w:tcPr>
            <w:tcW w:w="471" w:type="pct"/>
            <w:tcBorders>
              <w:left w:val="single" w:sz="4" w:space="0" w:color="auto"/>
            </w:tcBorders>
            <w:vAlign w:val="center"/>
          </w:tcPr>
          <w:p w14:paraId="77A4CABC"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12,468</w:t>
            </w:r>
          </w:p>
        </w:tc>
        <w:tc>
          <w:tcPr>
            <w:tcW w:w="236" w:type="pct"/>
            <w:vAlign w:val="center"/>
          </w:tcPr>
          <w:p w14:paraId="0802983E"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14</w:t>
            </w:r>
          </w:p>
        </w:tc>
        <w:tc>
          <w:tcPr>
            <w:tcW w:w="471" w:type="pct"/>
            <w:vAlign w:val="center"/>
          </w:tcPr>
          <w:p w14:paraId="6697456F"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19,780.8</w:t>
            </w:r>
          </w:p>
        </w:tc>
        <w:tc>
          <w:tcPr>
            <w:tcW w:w="393" w:type="pct"/>
            <w:vAlign w:val="center"/>
          </w:tcPr>
          <w:p w14:paraId="544F9508"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0.7</w:t>
            </w:r>
          </w:p>
        </w:tc>
        <w:tc>
          <w:tcPr>
            <w:tcW w:w="393" w:type="pct"/>
            <w:vAlign w:val="center"/>
          </w:tcPr>
          <w:p w14:paraId="0C15285B"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12,498</w:t>
            </w:r>
          </w:p>
        </w:tc>
        <w:tc>
          <w:tcPr>
            <w:tcW w:w="236" w:type="pct"/>
            <w:vAlign w:val="center"/>
          </w:tcPr>
          <w:p w14:paraId="22B9D35F"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80</w:t>
            </w:r>
          </w:p>
        </w:tc>
        <w:tc>
          <w:tcPr>
            <w:tcW w:w="393" w:type="pct"/>
            <w:vAlign w:val="center"/>
          </w:tcPr>
          <w:p w14:paraId="4DEEB2B6"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27,524.6</w:t>
            </w:r>
          </w:p>
        </w:tc>
        <w:tc>
          <w:tcPr>
            <w:tcW w:w="472" w:type="pct"/>
            <w:vAlign w:val="center"/>
          </w:tcPr>
          <w:p w14:paraId="594AC9BB"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2.9</w:t>
            </w:r>
          </w:p>
        </w:tc>
        <w:tc>
          <w:tcPr>
            <w:tcW w:w="916" w:type="pct"/>
            <w:vAlign w:val="center"/>
          </w:tcPr>
          <w:p w14:paraId="2529EE11" w14:textId="04EFF9A4" w:rsidR="000E4A94" w:rsidRPr="001310AD" w:rsidRDefault="000E4A94" w:rsidP="00926946">
            <w:pPr>
              <w:keepNext/>
              <w:jc w:val="center"/>
              <w:rPr>
                <w:rFonts w:ascii="Arial Narrow" w:hAnsi="Arial Narrow" w:cs="Calibri"/>
                <w:b/>
                <w:bCs/>
                <w:color w:val="000000" w:themeColor="text1"/>
                <w:sz w:val="20"/>
                <w:szCs w:val="20"/>
              </w:rPr>
            </w:pPr>
            <w:r w:rsidRPr="001310AD">
              <w:rPr>
                <w:rFonts w:ascii="Arial Narrow" w:hAnsi="Arial Narrow" w:cs="Calibri"/>
                <w:b/>
                <w:bCs/>
                <w:color w:val="000000"/>
                <w:sz w:val="20"/>
                <w:szCs w:val="20"/>
              </w:rPr>
              <w:t>69.83 (42.18, 85.72</w:t>
            </w:r>
            <w:r w:rsidR="00595256" w:rsidRPr="001310AD">
              <w:rPr>
                <w:rFonts w:ascii="Arial Narrow" w:hAnsi="Arial Narrow" w:cs="Calibri"/>
                <w:b/>
                <w:bCs/>
                <w:color w:val="000000"/>
                <w:sz w:val="20"/>
                <w:szCs w:val="20"/>
              </w:rPr>
              <w:t>)</w:t>
            </w:r>
            <w:r w:rsidRPr="001310AD">
              <w:rPr>
                <w:rFonts w:ascii="Arial Narrow" w:hAnsi="Arial Narrow" w:cs="Calibri"/>
                <w:b/>
                <w:bCs/>
                <w:color w:val="000000"/>
                <w:sz w:val="20"/>
                <w:szCs w:val="20"/>
              </w:rPr>
              <w:t>; &lt;0.0001</w:t>
            </w:r>
          </w:p>
        </w:tc>
      </w:tr>
      <w:tr w:rsidR="000E4A94" w:rsidRPr="001310AD" w14:paraId="7CAB27E5" w14:textId="77777777">
        <w:trPr>
          <w:trHeight w:val="170"/>
        </w:trPr>
        <w:tc>
          <w:tcPr>
            <w:tcW w:w="1019" w:type="pct"/>
            <w:tcBorders>
              <w:left w:val="single" w:sz="4" w:space="0" w:color="auto"/>
              <w:right w:val="single" w:sz="4" w:space="0" w:color="auto"/>
            </w:tcBorders>
            <w:vAlign w:val="center"/>
          </w:tcPr>
          <w:p w14:paraId="3AE23C9C" w14:textId="40A7021B" w:rsidR="000E4A94" w:rsidRPr="001310AD" w:rsidRDefault="0076251D" w:rsidP="00926946">
            <w:pPr>
              <w:keepNext/>
              <w:jc w:val="left"/>
              <w:rPr>
                <w:rFonts w:ascii="Arial Narrow" w:hAnsi="Arial Narrow" w:cs="Calibri"/>
                <w:b/>
                <w:bCs/>
                <w:color w:val="000000"/>
                <w:sz w:val="20"/>
                <w:szCs w:val="20"/>
              </w:rPr>
            </w:pPr>
            <w:r w:rsidRPr="001310AD">
              <w:rPr>
                <w:rFonts w:ascii="Arial Narrow" w:hAnsi="Arial Narrow" w:cs="Calibri"/>
                <w:color w:val="000000"/>
                <w:sz w:val="20"/>
                <w:szCs w:val="20"/>
              </w:rPr>
              <w:t>Over Season 1, 2</w:t>
            </w:r>
            <w:r w:rsidR="00224751" w:rsidRPr="001310AD">
              <w:rPr>
                <w:rFonts w:ascii="Arial Narrow" w:hAnsi="Arial Narrow" w:cs="Calibri"/>
                <w:color w:val="000000"/>
                <w:sz w:val="20"/>
                <w:szCs w:val="20"/>
              </w:rPr>
              <w:t xml:space="preserve">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3 </w:t>
            </w:r>
            <w:r w:rsidR="000E4A94" w:rsidRPr="001310AD">
              <w:rPr>
                <w:rFonts w:ascii="Arial Narrow" w:hAnsi="Arial Narrow" w:cs="Calibri"/>
                <w:color w:val="000000"/>
                <w:sz w:val="20"/>
                <w:szCs w:val="20"/>
              </w:rPr>
              <w:t>RSV-B</w:t>
            </w:r>
            <w:r w:rsidR="00224751" w:rsidRPr="001310AD">
              <w:rPr>
                <w:rFonts w:ascii="Arial Narrow" w:hAnsi="Arial Narrow" w:cs="Calibri"/>
                <w:color w:val="000000"/>
                <w:sz w:val="20"/>
                <w:szCs w:val="20"/>
              </w:rPr>
              <w:t xml:space="preserve"> </w:t>
            </w:r>
            <w:r w:rsidR="000E4A94" w:rsidRPr="001310AD">
              <w:rPr>
                <w:rFonts w:ascii="Arial Narrow" w:hAnsi="Arial Narrow" w:cs="Calibri"/>
                <w:color w:val="000000"/>
                <w:sz w:val="20"/>
                <w:szCs w:val="20"/>
              </w:rPr>
              <w:t>(FUP 30.6 m)</w:t>
            </w:r>
          </w:p>
        </w:tc>
        <w:tc>
          <w:tcPr>
            <w:tcW w:w="471" w:type="pct"/>
            <w:tcBorders>
              <w:left w:val="single" w:sz="4" w:space="0" w:color="auto"/>
            </w:tcBorders>
            <w:vAlign w:val="center"/>
          </w:tcPr>
          <w:p w14:paraId="143C101B"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12,468</w:t>
            </w:r>
          </w:p>
        </w:tc>
        <w:tc>
          <w:tcPr>
            <w:tcW w:w="236" w:type="pct"/>
            <w:vAlign w:val="center"/>
          </w:tcPr>
          <w:p w14:paraId="5F4290B5"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34</w:t>
            </w:r>
          </w:p>
        </w:tc>
        <w:tc>
          <w:tcPr>
            <w:tcW w:w="471" w:type="pct"/>
            <w:vAlign w:val="center"/>
          </w:tcPr>
          <w:p w14:paraId="17B652BD"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19,760.3</w:t>
            </w:r>
          </w:p>
        </w:tc>
        <w:tc>
          <w:tcPr>
            <w:tcW w:w="393" w:type="pct"/>
            <w:vAlign w:val="center"/>
          </w:tcPr>
          <w:p w14:paraId="4890CE1D"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1.7</w:t>
            </w:r>
          </w:p>
        </w:tc>
        <w:tc>
          <w:tcPr>
            <w:tcW w:w="393" w:type="pct"/>
            <w:vAlign w:val="center"/>
          </w:tcPr>
          <w:p w14:paraId="764003E0"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12,498</w:t>
            </w:r>
          </w:p>
        </w:tc>
        <w:tc>
          <w:tcPr>
            <w:tcW w:w="236" w:type="pct"/>
            <w:vAlign w:val="center"/>
          </w:tcPr>
          <w:p w14:paraId="10E1A44F"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135</w:t>
            </w:r>
          </w:p>
        </w:tc>
        <w:tc>
          <w:tcPr>
            <w:tcW w:w="393" w:type="pct"/>
            <w:vAlign w:val="center"/>
          </w:tcPr>
          <w:p w14:paraId="3B692EF6"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27,454.0</w:t>
            </w:r>
          </w:p>
        </w:tc>
        <w:tc>
          <w:tcPr>
            <w:tcW w:w="472" w:type="pct"/>
            <w:vAlign w:val="center"/>
          </w:tcPr>
          <w:p w14:paraId="4D3B590D" w14:textId="77777777" w:rsidR="000E4A94" w:rsidRPr="001310AD" w:rsidRDefault="000E4A94" w:rsidP="00926946">
            <w:pPr>
              <w:keepNext/>
              <w:jc w:val="center"/>
              <w:rPr>
                <w:rFonts w:ascii="Arial Narrow" w:hAnsi="Arial Narrow" w:cs="Calibri"/>
                <w:color w:val="000000" w:themeColor="text1"/>
                <w:sz w:val="20"/>
                <w:szCs w:val="20"/>
              </w:rPr>
            </w:pPr>
            <w:r w:rsidRPr="001310AD">
              <w:rPr>
                <w:rFonts w:ascii="Arial Narrow" w:hAnsi="Arial Narrow" w:cs="Calibri"/>
                <w:color w:val="000000"/>
                <w:sz w:val="20"/>
                <w:szCs w:val="20"/>
              </w:rPr>
              <w:t>4.9</w:t>
            </w:r>
          </w:p>
        </w:tc>
        <w:tc>
          <w:tcPr>
            <w:tcW w:w="916" w:type="pct"/>
            <w:vAlign w:val="center"/>
          </w:tcPr>
          <w:p w14:paraId="78D41EB6" w14:textId="5409C3BF" w:rsidR="000E4A94" w:rsidRPr="001310AD" w:rsidRDefault="000E4A94" w:rsidP="00926946">
            <w:pPr>
              <w:keepNext/>
              <w:jc w:val="center"/>
              <w:rPr>
                <w:rFonts w:ascii="Arial Narrow" w:hAnsi="Arial Narrow" w:cs="Calibri"/>
                <w:b/>
                <w:bCs/>
                <w:color w:val="000000" w:themeColor="text1"/>
                <w:sz w:val="20"/>
                <w:szCs w:val="20"/>
              </w:rPr>
            </w:pPr>
            <w:r w:rsidRPr="001310AD">
              <w:rPr>
                <w:rFonts w:ascii="Arial Narrow" w:hAnsi="Arial Narrow" w:cs="Calibri"/>
                <w:b/>
                <w:bCs/>
                <w:color w:val="000000"/>
                <w:sz w:val="20"/>
                <w:szCs w:val="20"/>
              </w:rPr>
              <w:t>58.57 (35.90, 74.11</w:t>
            </w:r>
            <w:r w:rsidR="00595256" w:rsidRPr="001310AD">
              <w:rPr>
                <w:rFonts w:ascii="Arial Narrow" w:hAnsi="Arial Narrow" w:cs="Calibri"/>
                <w:b/>
                <w:bCs/>
                <w:color w:val="000000"/>
                <w:sz w:val="20"/>
                <w:szCs w:val="20"/>
              </w:rPr>
              <w:t>)</w:t>
            </w:r>
            <w:r w:rsidRPr="001310AD">
              <w:rPr>
                <w:rFonts w:ascii="Arial Narrow" w:hAnsi="Arial Narrow" w:cs="Calibri"/>
                <w:b/>
                <w:bCs/>
                <w:color w:val="000000"/>
                <w:sz w:val="20"/>
                <w:szCs w:val="20"/>
              </w:rPr>
              <w:t>; &lt;0.0001</w:t>
            </w:r>
          </w:p>
        </w:tc>
      </w:tr>
      <w:tr w:rsidR="000E4A94" w:rsidRPr="001310AD" w14:paraId="58E67BC8" w14:textId="77777777">
        <w:trPr>
          <w:trHeight w:val="170"/>
        </w:trPr>
        <w:tc>
          <w:tcPr>
            <w:tcW w:w="5000" w:type="pct"/>
            <w:gridSpan w:val="10"/>
            <w:tcBorders>
              <w:left w:val="single" w:sz="4" w:space="0" w:color="auto"/>
            </w:tcBorders>
            <w:vAlign w:val="center"/>
          </w:tcPr>
          <w:p w14:paraId="4D267F17" w14:textId="2491DCE1" w:rsidR="000E4A94" w:rsidRPr="001310AD" w:rsidRDefault="000E4A94" w:rsidP="00926946">
            <w:pPr>
              <w:keepNext/>
              <w:rPr>
                <w:rFonts w:ascii="Arial Narrow" w:hAnsi="Arial Narrow" w:cs="Calibri"/>
                <w:color w:val="000000"/>
                <w:sz w:val="20"/>
                <w:szCs w:val="20"/>
              </w:rPr>
            </w:pPr>
            <w:r w:rsidRPr="001310AD">
              <w:rPr>
                <w:rFonts w:ascii="Arial Narrow" w:hAnsi="Arial Narrow" w:cs="Calibri"/>
                <w:b/>
                <w:bCs/>
                <w:color w:val="000000"/>
                <w:sz w:val="20"/>
                <w:szCs w:val="20"/>
              </w:rPr>
              <w:t>VE for the prevention of severe-RSV LRTD</w:t>
            </w:r>
            <w:r w:rsidR="00224751" w:rsidRPr="001310AD">
              <w:rPr>
                <w:rFonts w:ascii="Arial Narrow" w:hAnsi="Arial Narrow" w:cs="Calibri"/>
                <w:b/>
                <w:bCs/>
                <w:color w:val="000000"/>
                <w:sz w:val="20"/>
                <w:szCs w:val="20"/>
              </w:rPr>
              <w:t xml:space="preserve"> (any ‘severe’ definition)</w:t>
            </w:r>
            <w:r w:rsidR="00224751" w:rsidRPr="001310AD">
              <w:rPr>
                <w:rFonts w:ascii="Arial Narrow" w:hAnsi="Arial Narrow" w:cs="Calibri"/>
                <w:color w:val="000000"/>
                <w:sz w:val="20"/>
                <w:szCs w:val="20"/>
                <w:vertAlign w:val="superscript"/>
              </w:rPr>
              <w:t xml:space="preserve"> a</w:t>
            </w:r>
          </w:p>
        </w:tc>
      </w:tr>
      <w:tr w:rsidR="000E4A94" w:rsidRPr="001310AD" w14:paraId="0E9532EF" w14:textId="77777777">
        <w:trPr>
          <w:trHeight w:val="170"/>
        </w:trPr>
        <w:tc>
          <w:tcPr>
            <w:tcW w:w="1019" w:type="pct"/>
            <w:tcBorders>
              <w:left w:val="single" w:sz="4" w:space="0" w:color="auto"/>
              <w:right w:val="single" w:sz="4" w:space="0" w:color="auto"/>
            </w:tcBorders>
            <w:shd w:val="clear" w:color="auto" w:fill="B8CCE4" w:themeFill="accent1" w:themeFillTint="66"/>
            <w:vAlign w:val="center"/>
          </w:tcPr>
          <w:p w14:paraId="71B82F8F" w14:textId="4D92E819" w:rsidR="00224751" w:rsidRPr="001310AD" w:rsidRDefault="00224751" w:rsidP="00926946">
            <w:pPr>
              <w:keepNext/>
              <w:jc w:val="left"/>
              <w:rPr>
                <w:rFonts w:ascii="Arial Narrow" w:hAnsi="Arial Narrow" w:cs="Calibri"/>
                <w:color w:val="000000"/>
                <w:sz w:val="20"/>
                <w:szCs w:val="20"/>
              </w:rPr>
            </w:pPr>
            <w:r w:rsidRPr="001310AD">
              <w:rPr>
                <w:rFonts w:ascii="Arial Narrow" w:hAnsi="Arial Narrow" w:cs="Calibri"/>
                <w:color w:val="000000"/>
                <w:sz w:val="20"/>
                <w:szCs w:val="20"/>
              </w:rPr>
              <w:t>Over Season 1</w:t>
            </w:r>
          </w:p>
          <w:p w14:paraId="1D278D1D" w14:textId="39888C71" w:rsidR="000E4A94" w:rsidRPr="001310AD" w:rsidRDefault="000E4A94" w:rsidP="00926946">
            <w:pPr>
              <w:keepNext/>
              <w:jc w:val="left"/>
              <w:rPr>
                <w:rFonts w:ascii="Arial Narrow" w:hAnsi="Arial Narrow" w:cs="Calibri"/>
                <w:color w:val="000000"/>
                <w:sz w:val="20"/>
                <w:szCs w:val="20"/>
              </w:rPr>
            </w:pPr>
            <w:r w:rsidRPr="001310AD">
              <w:rPr>
                <w:rFonts w:ascii="Arial Narrow" w:hAnsi="Arial Narrow" w:cs="Calibri"/>
                <w:color w:val="000000"/>
                <w:sz w:val="20"/>
                <w:szCs w:val="20"/>
              </w:rPr>
              <w:t>(FUP 6.7 m)</w:t>
            </w:r>
          </w:p>
        </w:tc>
        <w:tc>
          <w:tcPr>
            <w:tcW w:w="471" w:type="pct"/>
            <w:tcBorders>
              <w:left w:val="single" w:sz="4" w:space="0" w:color="auto"/>
            </w:tcBorders>
            <w:shd w:val="clear" w:color="auto" w:fill="B8CCE4" w:themeFill="accent1" w:themeFillTint="66"/>
            <w:vAlign w:val="center"/>
          </w:tcPr>
          <w:p w14:paraId="115D42C4"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12,466</w:t>
            </w:r>
          </w:p>
        </w:tc>
        <w:tc>
          <w:tcPr>
            <w:tcW w:w="236" w:type="pct"/>
            <w:shd w:val="clear" w:color="auto" w:fill="B8CCE4" w:themeFill="accent1" w:themeFillTint="66"/>
            <w:vAlign w:val="center"/>
          </w:tcPr>
          <w:p w14:paraId="41D719A4"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w:t>
            </w:r>
          </w:p>
        </w:tc>
        <w:tc>
          <w:tcPr>
            <w:tcW w:w="471" w:type="pct"/>
            <w:shd w:val="clear" w:color="auto" w:fill="B8CCE4" w:themeFill="accent1" w:themeFillTint="66"/>
            <w:vAlign w:val="center"/>
          </w:tcPr>
          <w:p w14:paraId="73FF8A82"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6,867.9</w:t>
            </w:r>
          </w:p>
        </w:tc>
        <w:tc>
          <w:tcPr>
            <w:tcW w:w="393" w:type="pct"/>
            <w:shd w:val="clear" w:color="auto" w:fill="B8CCE4" w:themeFill="accent1" w:themeFillTint="66"/>
            <w:vAlign w:val="center"/>
          </w:tcPr>
          <w:p w14:paraId="2D718694"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0.1</w:t>
            </w:r>
          </w:p>
        </w:tc>
        <w:tc>
          <w:tcPr>
            <w:tcW w:w="393" w:type="pct"/>
            <w:shd w:val="clear" w:color="auto" w:fill="B8CCE4" w:themeFill="accent1" w:themeFillTint="66"/>
            <w:vAlign w:val="center"/>
          </w:tcPr>
          <w:p w14:paraId="77449E39"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12,494</w:t>
            </w:r>
          </w:p>
        </w:tc>
        <w:tc>
          <w:tcPr>
            <w:tcW w:w="236" w:type="pct"/>
            <w:shd w:val="clear" w:color="auto" w:fill="B8CCE4" w:themeFill="accent1" w:themeFillTint="66"/>
            <w:vAlign w:val="center"/>
          </w:tcPr>
          <w:p w14:paraId="1E76F555"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17</w:t>
            </w:r>
          </w:p>
        </w:tc>
        <w:tc>
          <w:tcPr>
            <w:tcW w:w="393" w:type="pct"/>
            <w:shd w:val="clear" w:color="auto" w:fill="B8CCE4" w:themeFill="accent1" w:themeFillTint="66"/>
            <w:vAlign w:val="center"/>
          </w:tcPr>
          <w:p w14:paraId="54AE84D6"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6,867.7</w:t>
            </w:r>
          </w:p>
        </w:tc>
        <w:tc>
          <w:tcPr>
            <w:tcW w:w="472" w:type="pct"/>
            <w:shd w:val="clear" w:color="auto" w:fill="B8CCE4" w:themeFill="accent1" w:themeFillTint="66"/>
            <w:vAlign w:val="center"/>
          </w:tcPr>
          <w:p w14:paraId="462AE01B"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color w:val="000000"/>
                <w:sz w:val="20"/>
                <w:szCs w:val="20"/>
              </w:rPr>
              <w:t>2.5</w:t>
            </w:r>
          </w:p>
        </w:tc>
        <w:tc>
          <w:tcPr>
            <w:tcW w:w="916" w:type="pct"/>
            <w:shd w:val="clear" w:color="auto" w:fill="B8CCE4" w:themeFill="accent1" w:themeFillTint="66"/>
            <w:vAlign w:val="center"/>
          </w:tcPr>
          <w:p w14:paraId="75E447E4" w14:textId="4FDFE5AE"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color w:val="000000"/>
                <w:sz w:val="20"/>
                <w:szCs w:val="20"/>
              </w:rPr>
              <w:t>94.10 (62.37, 99.86)</w:t>
            </w:r>
            <w:r w:rsidR="00595256" w:rsidRPr="001310AD">
              <w:rPr>
                <w:rFonts w:ascii="Arial Narrow" w:hAnsi="Arial Narrow" w:cs="Calibri"/>
                <w:b/>
                <w:bCs/>
                <w:color w:val="000000"/>
                <w:sz w:val="20"/>
                <w:szCs w:val="20"/>
              </w:rPr>
              <w:t>;</w:t>
            </w:r>
          </w:p>
          <w:p w14:paraId="51A6FF19" w14:textId="15A757CC"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color w:val="000000"/>
                <w:sz w:val="20"/>
                <w:szCs w:val="20"/>
              </w:rPr>
              <w:t>0.0001</w:t>
            </w:r>
          </w:p>
        </w:tc>
      </w:tr>
      <w:tr w:rsidR="000E4A94" w:rsidRPr="001310AD" w14:paraId="5B328D30" w14:textId="77777777">
        <w:trPr>
          <w:trHeight w:val="170"/>
        </w:trPr>
        <w:tc>
          <w:tcPr>
            <w:tcW w:w="1019" w:type="pct"/>
            <w:tcBorders>
              <w:left w:val="single" w:sz="4" w:space="0" w:color="auto"/>
              <w:right w:val="single" w:sz="4" w:space="0" w:color="auto"/>
            </w:tcBorders>
            <w:shd w:val="clear" w:color="auto" w:fill="B8CCE4" w:themeFill="accent1" w:themeFillTint="66"/>
            <w:vAlign w:val="center"/>
          </w:tcPr>
          <w:p w14:paraId="0CCFADEE" w14:textId="38BA7315" w:rsidR="000E4A94" w:rsidRPr="001310AD" w:rsidRDefault="00224751" w:rsidP="00926946">
            <w:pPr>
              <w:keepNext/>
              <w:jc w:val="left"/>
              <w:rPr>
                <w:rFonts w:ascii="Arial Narrow" w:hAnsi="Arial Narrow" w:cs="Calibri"/>
                <w:sz w:val="20"/>
                <w:szCs w:val="20"/>
              </w:rPr>
            </w:pPr>
            <w:r w:rsidRPr="001310AD">
              <w:rPr>
                <w:rFonts w:ascii="Arial Narrow" w:hAnsi="Arial Narrow" w:cs="Calibri"/>
                <w:color w:val="000000"/>
                <w:sz w:val="20"/>
                <w:szCs w:val="20"/>
              </w:rPr>
              <w:t xml:space="preserve">Over Season 1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2</w:t>
            </w:r>
            <w:r w:rsidRPr="001310AD">
              <w:rPr>
                <w:rFonts w:ascii="Arial Narrow" w:hAnsi="Arial Narrow" w:cs="Calibri"/>
                <w:sz w:val="20"/>
                <w:szCs w:val="20"/>
              </w:rPr>
              <w:t xml:space="preserve"> </w:t>
            </w:r>
            <w:r w:rsidR="000E4A94" w:rsidRPr="001310AD">
              <w:rPr>
                <w:rFonts w:ascii="Arial Narrow" w:hAnsi="Arial Narrow" w:cs="Calibri"/>
                <w:color w:val="000000"/>
                <w:sz w:val="20"/>
                <w:szCs w:val="20"/>
              </w:rPr>
              <w:t>(FUP 17.8 m)</w:t>
            </w:r>
          </w:p>
        </w:tc>
        <w:tc>
          <w:tcPr>
            <w:tcW w:w="471" w:type="pct"/>
            <w:tcBorders>
              <w:left w:val="single" w:sz="4" w:space="0" w:color="auto"/>
            </w:tcBorders>
            <w:shd w:val="clear" w:color="auto" w:fill="B8CCE4" w:themeFill="accent1" w:themeFillTint="66"/>
            <w:vAlign w:val="center"/>
          </w:tcPr>
          <w:p w14:paraId="1650324B"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12,469</w:t>
            </w:r>
          </w:p>
        </w:tc>
        <w:tc>
          <w:tcPr>
            <w:tcW w:w="236" w:type="pct"/>
            <w:shd w:val="clear" w:color="auto" w:fill="B8CCE4" w:themeFill="accent1" w:themeFillTint="66"/>
            <w:vAlign w:val="center"/>
          </w:tcPr>
          <w:p w14:paraId="1DA62EE1"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7</w:t>
            </w:r>
          </w:p>
        </w:tc>
        <w:tc>
          <w:tcPr>
            <w:tcW w:w="471" w:type="pct"/>
            <w:shd w:val="clear" w:color="auto" w:fill="B8CCE4" w:themeFill="accent1" w:themeFillTint="66"/>
            <w:vAlign w:val="center"/>
          </w:tcPr>
          <w:p w14:paraId="0B613A18"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14,672.6</w:t>
            </w:r>
          </w:p>
        </w:tc>
        <w:tc>
          <w:tcPr>
            <w:tcW w:w="393" w:type="pct"/>
            <w:shd w:val="clear" w:color="auto" w:fill="B8CCE4" w:themeFill="accent1" w:themeFillTint="66"/>
            <w:vAlign w:val="center"/>
          </w:tcPr>
          <w:p w14:paraId="2BFE61B8"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0.5</w:t>
            </w:r>
          </w:p>
        </w:tc>
        <w:tc>
          <w:tcPr>
            <w:tcW w:w="393" w:type="pct"/>
            <w:shd w:val="clear" w:color="auto" w:fill="B8CCE4" w:themeFill="accent1" w:themeFillTint="66"/>
            <w:vAlign w:val="center"/>
          </w:tcPr>
          <w:p w14:paraId="58F78FC2"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12,498</w:t>
            </w:r>
          </w:p>
        </w:tc>
        <w:tc>
          <w:tcPr>
            <w:tcW w:w="236" w:type="pct"/>
            <w:shd w:val="clear" w:color="auto" w:fill="B8CCE4" w:themeFill="accent1" w:themeFillTint="66"/>
            <w:vAlign w:val="center"/>
          </w:tcPr>
          <w:p w14:paraId="2C52DCFF"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48</w:t>
            </w:r>
          </w:p>
        </w:tc>
        <w:tc>
          <w:tcPr>
            <w:tcW w:w="393" w:type="pct"/>
            <w:shd w:val="clear" w:color="auto" w:fill="B8CCE4" w:themeFill="accent1" w:themeFillTint="66"/>
            <w:vAlign w:val="center"/>
          </w:tcPr>
          <w:p w14:paraId="01F4DC1C"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17,320.6</w:t>
            </w:r>
          </w:p>
        </w:tc>
        <w:tc>
          <w:tcPr>
            <w:tcW w:w="472" w:type="pct"/>
            <w:shd w:val="clear" w:color="auto" w:fill="B8CCE4" w:themeFill="accent1" w:themeFillTint="66"/>
            <w:vAlign w:val="center"/>
          </w:tcPr>
          <w:p w14:paraId="29ACDDDD"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sz w:val="20"/>
                <w:szCs w:val="20"/>
              </w:rPr>
              <w:t>2.8</w:t>
            </w:r>
          </w:p>
        </w:tc>
        <w:tc>
          <w:tcPr>
            <w:tcW w:w="916" w:type="pct"/>
            <w:shd w:val="clear" w:color="auto" w:fill="B8CCE4" w:themeFill="accent1" w:themeFillTint="66"/>
            <w:vAlign w:val="center"/>
          </w:tcPr>
          <w:p w14:paraId="67C829E6" w14:textId="1F1C5E40"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sz w:val="20"/>
                <w:szCs w:val="20"/>
              </w:rPr>
              <w:t>78.83 (52.59, 91.96)</w:t>
            </w:r>
            <w:r w:rsidR="00C54628" w:rsidRPr="001310AD">
              <w:rPr>
                <w:rFonts w:ascii="Arial Narrow" w:hAnsi="Arial Narrow" w:cs="Calibri"/>
                <w:b/>
                <w:bCs/>
                <w:sz w:val="20"/>
                <w:szCs w:val="20"/>
              </w:rPr>
              <w:t>;</w:t>
            </w:r>
          </w:p>
          <w:p w14:paraId="04FC3965"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sz w:val="20"/>
                <w:szCs w:val="20"/>
              </w:rPr>
              <w:t>&lt;0.0001</w:t>
            </w:r>
          </w:p>
        </w:tc>
      </w:tr>
      <w:tr w:rsidR="000E4A94" w:rsidRPr="001310AD" w14:paraId="29CD78ED" w14:textId="77777777">
        <w:trPr>
          <w:trHeight w:val="170"/>
        </w:trPr>
        <w:tc>
          <w:tcPr>
            <w:tcW w:w="1019" w:type="pct"/>
            <w:tcBorders>
              <w:left w:val="single" w:sz="4" w:space="0" w:color="auto"/>
              <w:right w:val="single" w:sz="4" w:space="0" w:color="auto"/>
            </w:tcBorders>
            <w:vAlign w:val="center"/>
          </w:tcPr>
          <w:p w14:paraId="3D5F5ECD" w14:textId="42F93B79" w:rsidR="000E4A94" w:rsidRPr="001310AD" w:rsidRDefault="00224751" w:rsidP="00926946">
            <w:pPr>
              <w:keepNext/>
              <w:jc w:val="left"/>
              <w:rPr>
                <w:rFonts w:ascii="Arial Narrow" w:hAnsi="Arial Narrow" w:cs="Calibri"/>
                <w:color w:val="000000"/>
                <w:sz w:val="20"/>
                <w:szCs w:val="20"/>
              </w:rPr>
            </w:pPr>
            <w:r w:rsidRPr="001310AD">
              <w:rPr>
                <w:rFonts w:ascii="Arial Narrow" w:hAnsi="Arial Narrow" w:cs="Calibri"/>
                <w:color w:val="000000"/>
                <w:sz w:val="20"/>
                <w:szCs w:val="20"/>
              </w:rPr>
              <w:t xml:space="preserve">Over Season 1, 2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3</w:t>
            </w:r>
            <w:r w:rsidR="00044091">
              <w:rPr>
                <w:rFonts w:ascii="Arial Narrow" w:hAnsi="Arial Narrow" w:cs="Calibri"/>
                <w:color w:val="000000"/>
                <w:sz w:val="20"/>
                <w:szCs w:val="20"/>
              </w:rPr>
              <w:t xml:space="preserve"> </w:t>
            </w:r>
            <w:r w:rsidR="000E4A94" w:rsidRPr="001310AD">
              <w:rPr>
                <w:rFonts w:ascii="Arial Narrow" w:hAnsi="Arial Narrow" w:cs="Calibri"/>
                <w:sz w:val="20"/>
                <w:szCs w:val="20"/>
              </w:rPr>
              <w:t>(FUP 30.6 m)</w:t>
            </w:r>
          </w:p>
        </w:tc>
        <w:tc>
          <w:tcPr>
            <w:tcW w:w="471" w:type="pct"/>
            <w:tcBorders>
              <w:left w:val="single" w:sz="4" w:space="0" w:color="auto"/>
            </w:tcBorders>
            <w:vAlign w:val="center"/>
          </w:tcPr>
          <w:p w14:paraId="0EC4BBB0"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12,468</w:t>
            </w:r>
          </w:p>
        </w:tc>
        <w:tc>
          <w:tcPr>
            <w:tcW w:w="236" w:type="pct"/>
            <w:vAlign w:val="center"/>
          </w:tcPr>
          <w:p w14:paraId="2C6100EB"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15</w:t>
            </w:r>
          </w:p>
        </w:tc>
        <w:tc>
          <w:tcPr>
            <w:tcW w:w="471" w:type="pct"/>
            <w:vAlign w:val="center"/>
          </w:tcPr>
          <w:p w14:paraId="206CF0C5"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19,778.4</w:t>
            </w:r>
          </w:p>
        </w:tc>
        <w:tc>
          <w:tcPr>
            <w:tcW w:w="393" w:type="pct"/>
            <w:vAlign w:val="center"/>
          </w:tcPr>
          <w:p w14:paraId="0E5D6E4A"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0.8</w:t>
            </w:r>
          </w:p>
        </w:tc>
        <w:tc>
          <w:tcPr>
            <w:tcW w:w="393" w:type="pct"/>
            <w:vAlign w:val="center"/>
          </w:tcPr>
          <w:p w14:paraId="315CD39E"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12,498</w:t>
            </w:r>
          </w:p>
        </w:tc>
        <w:tc>
          <w:tcPr>
            <w:tcW w:w="236" w:type="pct"/>
            <w:vAlign w:val="center"/>
          </w:tcPr>
          <w:p w14:paraId="512F19DB"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75</w:t>
            </w:r>
          </w:p>
        </w:tc>
        <w:tc>
          <w:tcPr>
            <w:tcW w:w="393" w:type="pct"/>
            <w:vAlign w:val="center"/>
          </w:tcPr>
          <w:p w14:paraId="16FFCF03"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27,526.4</w:t>
            </w:r>
          </w:p>
        </w:tc>
        <w:tc>
          <w:tcPr>
            <w:tcW w:w="472" w:type="pct"/>
            <w:vAlign w:val="center"/>
          </w:tcPr>
          <w:p w14:paraId="6EB56181" w14:textId="77777777" w:rsidR="000E4A94" w:rsidRPr="001310AD" w:rsidRDefault="000E4A94" w:rsidP="00926946">
            <w:pPr>
              <w:keepNext/>
              <w:jc w:val="center"/>
              <w:rPr>
                <w:rFonts w:ascii="Arial Narrow" w:hAnsi="Arial Narrow" w:cs="Calibri"/>
                <w:color w:val="000000"/>
                <w:sz w:val="20"/>
                <w:szCs w:val="20"/>
              </w:rPr>
            </w:pPr>
            <w:r w:rsidRPr="001310AD">
              <w:rPr>
                <w:rFonts w:ascii="Arial Narrow" w:hAnsi="Arial Narrow" w:cs="Calibri"/>
                <w:sz w:val="20"/>
                <w:szCs w:val="20"/>
              </w:rPr>
              <w:t>2.7</w:t>
            </w:r>
          </w:p>
        </w:tc>
        <w:tc>
          <w:tcPr>
            <w:tcW w:w="916" w:type="pct"/>
            <w:vAlign w:val="center"/>
          </w:tcPr>
          <w:p w14:paraId="3F6A93A4" w14:textId="1E586EC8"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sz w:val="20"/>
                <w:szCs w:val="20"/>
              </w:rPr>
              <w:t>67.38 (42.43, 82.68)</w:t>
            </w:r>
            <w:r w:rsidR="00C54628" w:rsidRPr="001310AD">
              <w:rPr>
                <w:rFonts w:ascii="Arial Narrow" w:hAnsi="Arial Narrow" w:cs="Calibri"/>
                <w:b/>
                <w:bCs/>
                <w:sz w:val="20"/>
                <w:szCs w:val="20"/>
              </w:rPr>
              <w:t>;</w:t>
            </w:r>
          </w:p>
          <w:p w14:paraId="76AEC521" w14:textId="77777777"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sz w:val="20"/>
                <w:szCs w:val="20"/>
              </w:rPr>
              <w:t>&lt;0.0001</w:t>
            </w:r>
          </w:p>
        </w:tc>
      </w:tr>
      <w:tr w:rsidR="000E4A94" w:rsidRPr="001310AD" w14:paraId="34F1D011" w14:textId="77777777">
        <w:trPr>
          <w:trHeight w:val="170"/>
        </w:trPr>
        <w:tc>
          <w:tcPr>
            <w:tcW w:w="5000" w:type="pct"/>
            <w:gridSpan w:val="10"/>
            <w:tcBorders>
              <w:left w:val="single" w:sz="4" w:space="0" w:color="auto"/>
            </w:tcBorders>
            <w:vAlign w:val="center"/>
          </w:tcPr>
          <w:p w14:paraId="4AA4F257" w14:textId="77777777" w:rsidR="000E4A94" w:rsidRPr="001310AD" w:rsidRDefault="000E4A94" w:rsidP="00926946">
            <w:pPr>
              <w:keepNext/>
              <w:rPr>
                <w:rFonts w:ascii="Arial Narrow" w:hAnsi="Arial Narrow" w:cs="Calibri"/>
                <w:sz w:val="20"/>
                <w:szCs w:val="20"/>
              </w:rPr>
            </w:pPr>
            <w:r w:rsidRPr="001310AD">
              <w:rPr>
                <w:rFonts w:ascii="Arial Narrow" w:hAnsi="Arial Narrow" w:cs="Calibri"/>
                <w:b/>
                <w:bCs/>
                <w:color w:val="000000"/>
                <w:sz w:val="20"/>
                <w:szCs w:val="20"/>
              </w:rPr>
              <w:t>VE for the prevention of RSV-ARI</w:t>
            </w:r>
          </w:p>
        </w:tc>
      </w:tr>
      <w:tr w:rsidR="000E4A94" w:rsidRPr="001310AD" w14:paraId="464A11B5" w14:textId="77777777">
        <w:trPr>
          <w:trHeight w:val="170"/>
        </w:trPr>
        <w:tc>
          <w:tcPr>
            <w:tcW w:w="1019" w:type="pct"/>
            <w:tcBorders>
              <w:left w:val="single" w:sz="4" w:space="0" w:color="auto"/>
              <w:right w:val="single" w:sz="4" w:space="0" w:color="auto"/>
            </w:tcBorders>
            <w:shd w:val="clear" w:color="auto" w:fill="B8CCE4" w:themeFill="accent1" w:themeFillTint="66"/>
            <w:vAlign w:val="center"/>
          </w:tcPr>
          <w:p w14:paraId="0E4ADB3F" w14:textId="77777777" w:rsidR="001D0F5B" w:rsidRPr="001310AD" w:rsidRDefault="001D0F5B" w:rsidP="00926946">
            <w:pPr>
              <w:keepNext/>
              <w:jc w:val="left"/>
              <w:rPr>
                <w:rFonts w:ascii="Arial Narrow" w:hAnsi="Arial Narrow" w:cs="Calibri"/>
                <w:color w:val="000000"/>
                <w:sz w:val="20"/>
                <w:szCs w:val="20"/>
              </w:rPr>
            </w:pPr>
            <w:r w:rsidRPr="001310AD">
              <w:rPr>
                <w:rFonts w:ascii="Arial Narrow" w:hAnsi="Arial Narrow" w:cs="Calibri"/>
                <w:color w:val="000000"/>
                <w:sz w:val="20"/>
                <w:szCs w:val="20"/>
              </w:rPr>
              <w:t>Over Season 1</w:t>
            </w:r>
          </w:p>
          <w:p w14:paraId="3BC7FB8F" w14:textId="7D40D33C" w:rsidR="000E4A94" w:rsidRPr="001310AD" w:rsidRDefault="000E4A94" w:rsidP="00926946">
            <w:pPr>
              <w:keepNext/>
              <w:jc w:val="left"/>
              <w:rPr>
                <w:rFonts w:ascii="Arial Narrow" w:hAnsi="Arial Narrow" w:cs="Calibri"/>
                <w:sz w:val="20"/>
                <w:szCs w:val="20"/>
              </w:rPr>
            </w:pPr>
            <w:r w:rsidRPr="001310AD">
              <w:rPr>
                <w:rFonts w:ascii="Arial Narrow" w:hAnsi="Arial Narrow" w:cs="Calibri"/>
                <w:color w:val="000000"/>
                <w:sz w:val="20"/>
                <w:szCs w:val="20"/>
              </w:rPr>
              <w:t>(FUP 6.7 m)</w:t>
            </w:r>
          </w:p>
        </w:tc>
        <w:tc>
          <w:tcPr>
            <w:tcW w:w="471" w:type="pct"/>
            <w:tcBorders>
              <w:left w:val="single" w:sz="4" w:space="0" w:color="auto"/>
            </w:tcBorders>
            <w:shd w:val="clear" w:color="auto" w:fill="B8CCE4" w:themeFill="accent1" w:themeFillTint="66"/>
            <w:vAlign w:val="center"/>
          </w:tcPr>
          <w:p w14:paraId="020A7F8F"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12,466</w:t>
            </w:r>
          </w:p>
        </w:tc>
        <w:tc>
          <w:tcPr>
            <w:tcW w:w="236" w:type="pct"/>
            <w:shd w:val="clear" w:color="auto" w:fill="B8CCE4" w:themeFill="accent1" w:themeFillTint="66"/>
            <w:vAlign w:val="center"/>
          </w:tcPr>
          <w:p w14:paraId="67CC45EC"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27</w:t>
            </w:r>
          </w:p>
        </w:tc>
        <w:tc>
          <w:tcPr>
            <w:tcW w:w="471" w:type="pct"/>
            <w:shd w:val="clear" w:color="auto" w:fill="B8CCE4" w:themeFill="accent1" w:themeFillTint="66"/>
            <w:vAlign w:val="center"/>
          </w:tcPr>
          <w:p w14:paraId="22A358B0"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6,858.7</w:t>
            </w:r>
          </w:p>
        </w:tc>
        <w:tc>
          <w:tcPr>
            <w:tcW w:w="393" w:type="pct"/>
            <w:shd w:val="clear" w:color="auto" w:fill="B8CCE4" w:themeFill="accent1" w:themeFillTint="66"/>
            <w:vAlign w:val="center"/>
          </w:tcPr>
          <w:p w14:paraId="6F8E1C45"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3.9</w:t>
            </w:r>
          </w:p>
        </w:tc>
        <w:tc>
          <w:tcPr>
            <w:tcW w:w="393" w:type="pct"/>
            <w:shd w:val="clear" w:color="auto" w:fill="B8CCE4" w:themeFill="accent1" w:themeFillTint="66"/>
            <w:vAlign w:val="center"/>
          </w:tcPr>
          <w:p w14:paraId="39DF7615"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12,494</w:t>
            </w:r>
          </w:p>
        </w:tc>
        <w:tc>
          <w:tcPr>
            <w:tcW w:w="236" w:type="pct"/>
            <w:shd w:val="clear" w:color="auto" w:fill="B8CCE4" w:themeFill="accent1" w:themeFillTint="66"/>
            <w:vAlign w:val="center"/>
          </w:tcPr>
          <w:p w14:paraId="4CC1D693"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95</w:t>
            </w:r>
          </w:p>
        </w:tc>
        <w:tc>
          <w:tcPr>
            <w:tcW w:w="393" w:type="pct"/>
            <w:shd w:val="clear" w:color="auto" w:fill="B8CCE4" w:themeFill="accent1" w:themeFillTint="66"/>
            <w:vAlign w:val="center"/>
          </w:tcPr>
          <w:p w14:paraId="4351A22A"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6,837.8</w:t>
            </w:r>
          </w:p>
        </w:tc>
        <w:tc>
          <w:tcPr>
            <w:tcW w:w="472" w:type="pct"/>
            <w:shd w:val="clear" w:color="auto" w:fill="B8CCE4" w:themeFill="accent1" w:themeFillTint="66"/>
            <w:vAlign w:val="center"/>
          </w:tcPr>
          <w:p w14:paraId="2DC6FA27"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13.9</w:t>
            </w:r>
          </w:p>
        </w:tc>
        <w:tc>
          <w:tcPr>
            <w:tcW w:w="916" w:type="pct"/>
            <w:shd w:val="clear" w:color="auto" w:fill="B8CCE4" w:themeFill="accent1" w:themeFillTint="66"/>
            <w:vAlign w:val="center"/>
          </w:tcPr>
          <w:p w14:paraId="45777C4A" w14:textId="419EA49B"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color w:val="000000"/>
                <w:sz w:val="20"/>
                <w:szCs w:val="20"/>
              </w:rPr>
              <w:t>71.71 (56.23, 82.27)</w:t>
            </w:r>
            <w:r w:rsidR="00C54628" w:rsidRPr="001310AD">
              <w:rPr>
                <w:rFonts w:ascii="Arial Narrow" w:hAnsi="Arial Narrow" w:cs="Calibri"/>
                <w:b/>
                <w:bCs/>
                <w:color w:val="000000"/>
                <w:sz w:val="20"/>
                <w:szCs w:val="20"/>
              </w:rPr>
              <w:t>;</w:t>
            </w:r>
            <w:r w:rsidRPr="001310AD">
              <w:rPr>
                <w:rFonts w:ascii="Arial Narrow" w:hAnsi="Arial Narrow" w:cs="Calibri"/>
                <w:b/>
                <w:bCs/>
                <w:color w:val="000000"/>
                <w:sz w:val="20"/>
                <w:szCs w:val="20"/>
              </w:rPr>
              <w:t xml:space="preserve"> </w:t>
            </w:r>
          </w:p>
          <w:p w14:paraId="13E7FFB9"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color w:val="000000"/>
                <w:sz w:val="20"/>
                <w:szCs w:val="20"/>
              </w:rPr>
              <w:t>&lt;0.0001</w:t>
            </w:r>
          </w:p>
        </w:tc>
      </w:tr>
      <w:tr w:rsidR="000E4A94" w:rsidRPr="001310AD" w14:paraId="5F488742" w14:textId="77777777">
        <w:trPr>
          <w:trHeight w:val="170"/>
        </w:trPr>
        <w:tc>
          <w:tcPr>
            <w:tcW w:w="1019" w:type="pct"/>
            <w:tcBorders>
              <w:left w:val="single" w:sz="4" w:space="0" w:color="auto"/>
              <w:right w:val="single" w:sz="4" w:space="0" w:color="auto"/>
            </w:tcBorders>
            <w:shd w:val="clear" w:color="auto" w:fill="B8CCE4" w:themeFill="accent1" w:themeFillTint="66"/>
            <w:vAlign w:val="center"/>
          </w:tcPr>
          <w:p w14:paraId="738D3B52" w14:textId="5E36EB77" w:rsidR="000E4A94" w:rsidRPr="001310AD" w:rsidRDefault="001D0F5B" w:rsidP="00926946">
            <w:pPr>
              <w:keepNext/>
              <w:jc w:val="left"/>
              <w:rPr>
                <w:rFonts w:ascii="Arial Narrow" w:hAnsi="Arial Narrow" w:cs="Calibri"/>
                <w:sz w:val="20"/>
                <w:szCs w:val="20"/>
              </w:rPr>
            </w:pPr>
            <w:r w:rsidRPr="001310AD">
              <w:rPr>
                <w:rFonts w:ascii="Arial Narrow" w:hAnsi="Arial Narrow" w:cs="Calibri"/>
                <w:color w:val="000000"/>
                <w:sz w:val="20"/>
                <w:szCs w:val="20"/>
              </w:rPr>
              <w:t xml:space="preserve">Over Season 1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2</w:t>
            </w:r>
            <w:r w:rsidRPr="001310AD">
              <w:rPr>
                <w:rFonts w:ascii="Arial Narrow" w:hAnsi="Arial Narrow" w:cs="Calibri"/>
                <w:sz w:val="20"/>
                <w:szCs w:val="20"/>
              </w:rPr>
              <w:t xml:space="preserve"> </w:t>
            </w:r>
            <w:r w:rsidR="000E4A94" w:rsidRPr="001310AD">
              <w:rPr>
                <w:rFonts w:ascii="Arial Narrow" w:hAnsi="Arial Narrow" w:cs="Calibri"/>
                <w:color w:val="000000"/>
                <w:sz w:val="20"/>
                <w:szCs w:val="20"/>
              </w:rPr>
              <w:t>(FUP 17.8 m)</w:t>
            </w:r>
          </w:p>
        </w:tc>
        <w:tc>
          <w:tcPr>
            <w:tcW w:w="471" w:type="pct"/>
            <w:tcBorders>
              <w:left w:val="single" w:sz="4" w:space="0" w:color="auto"/>
            </w:tcBorders>
            <w:shd w:val="clear" w:color="auto" w:fill="B8CCE4" w:themeFill="accent1" w:themeFillTint="66"/>
            <w:vAlign w:val="center"/>
          </w:tcPr>
          <w:p w14:paraId="0C29B77F"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w:t>
            </w:r>
            <w:r w:rsidRPr="001310AD">
              <w:rPr>
                <w:rFonts w:ascii="Arial Narrow" w:hAnsi="Arial Narrow"/>
                <w:sz w:val="20"/>
                <w:szCs w:val="20"/>
              </w:rPr>
              <w:t>2,469</w:t>
            </w:r>
          </w:p>
        </w:tc>
        <w:tc>
          <w:tcPr>
            <w:tcW w:w="236" w:type="pct"/>
            <w:shd w:val="clear" w:color="auto" w:fill="B8CCE4" w:themeFill="accent1" w:themeFillTint="66"/>
            <w:vAlign w:val="center"/>
          </w:tcPr>
          <w:p w14:paraId="37713C9C"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94</w:t>
            </w:r>
          </w:p>
        </w:tc>
        <w:tc>
          <w:tcPr>
            <w:tcW w:w="471" w:type="pct"/>
            <w:shd w:val="clear" w:color="auto" w:fill="B8CCE4" w:themeFill="accent1" w:themeFillTint="66"/>
            <w:vAlign w:val="center"/>
          </w:tcPr>
          <w:p w14:paraId="0E2EEC5D"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14,626.4</w:t>
            </w:r>
          </w:p>
        </w:tc>
        <w:tc>
          <w:tcPr>
            <w:tcW w:w="393" w:type="pct"/>
            <w:shd w:val="clear" w:color="auto" w:fill="B8CCE4" w:themeFill="accent1" w:themeFillTint="66"/>
            <w:vAlign w:val="center"/>
          </w:tcPr>
          <w:p w14:paraId="392E6E66"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6.4</w:t>
            </w:r>
          </w:p>
        </w:tc>
        <w:tc>
          <w:tcPr>
            <w:tcW w:w="393" w:type="pct"/>
            <w:shd w:val="clear" w:color="auto" w:fill="B8CCE4" w:themeFill="accent1" w:themeFillTint="66"/>
            <w:vAlign w:val="center"/>
          </w:tcPr>
          <w:p w14:paraId="454E04E3"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12,498</w:t>
            </w:r>
          </w:p>
        </w:tc>
        <w:tc>
          <w:tcPr>
            <w:tcW w:w="236" w:type="pct"/>
            <w:shd w:val="clear" w:color="auto" w:fill="B8CCE4" w:themeFill="accent1" w:themeFillTint="66"/>
            <w:vAlign w:val="center"/>
          </w:tcPr>
          <w:p w14:paraId="5D1E5D64"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292</w:t>
            </w:r>
          </w:p>
        </w:tc>
        <w:tc>
          <w:tcPr>
            <w:tcW w:w="393" w:type="pct"/>
            <w:shd w:val="clear" w:color="auto" w:fill="B8CCE4" w:themeFill="accent1" w:themeFillTint="66"/>
            <w:vAlign w:val="center"/>
          </w:tcPr>
          <w:p w14:paraId="70F1B8DD"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17,167.0</w:t>
            </w:r>
          </w:p>
        </w:tc>
        <w:tc>
          <w:tcPr>
            <w:tcW w:w="472" w:type="pct"/>
            <w:shd w:val="clear" w:color="auto" w:fill="B8CCE4" w:themeFill="accent1" w:themeFillTint="66"/>
            <w:vAlign w:val="center"/>
          </w:tcPr>
          <w:p w14:paraId="044DF9F0"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17.0</w:t>
            </w:r>
          </w:p>
        </w:tc>
        <w:tc>
          <w:tcPr>
            <w:tcW w:w="916" w:type="pct"/>
            <w:shd w:val="clear" w:color="auto" w:fill="B8CCE4" w:themeFill="accent1" w:themeFillTint="66"/>
            <w:vAlign w:val="center"/>
          </w:tcPr>
          <w:p w14:paraId="3E7A2535" w14:textId="7E1D9FC1"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color w:val="000000"/>
                <w:sz w:val="20"/>
                <w:szCs w:val="20"/>
              </w:rPr>
              <w:t>52.74 (40.01, 63.04)</w:t>
            </w:r>
            <w:r w:rsidR="00C54628" w:rsidRPr="001310AD">
              <w:rPr>
                <w:rFonts w:ascii="Arial Narrow" w:hAnsi="Arial Narrow" w:cs="Calibri"/>
                <w:b/>
                <w:bCs/>
                <w:color w:val="000000"/>
                <w:sz w:val="20"/>
                <w:szCs w:val="20"/>
              </w:rPr>
              <w:t>;</w:t>
            </w:r>
          </w:p>
          <w:p w14:paraId="6EF244DB"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color w:val="000000"/>
                <w:sz w:val="20"/>
                <w:szCs w:val="20"/>
              </w:rPr>
              <w:t>&lt;0.0001</w:t>
            </w:r>
          </w:p>
        </w:tc>
      </w:tr>
      <w:tr w:rsidR="000E4A94" w:rsidRPr="001310AD" w14:paraId="4EBFD241" w14:textId="77777777">
        <w:trPr>
          <w:trHeight w:val="170"/>
        </w:trPr>
        <w:tc>
          <w:tcPr>
            <w:tcW w:w="1019" w:type="pct"/>
            <w:tcBorders>
              <w:left w:val="single" w:sz="4" w:space="0" w:color="auto"/>
              <w:right w:val="single" w:sz="4" w:space="0" w:color="auto"/>
            </w:tcBorders>
            <w:vAlign w:val="center"/>
          </w:tcPr>
          <w:p w14:paraId="7C79D8FF" w14:textId="29BC07FB" w:rsidR="000E4A94" w:rsidRPr="001310AD" w:rsidRDefault="00D702F0" w:rsidP="00926946">
            <w:pPr>
              <w:keepNext/>
              <w:jc w:val="left"/>
              <w:rPr>
                <w:rFonts w:ascii="Arial Narrow" w:hAnsi="Arial Narrow" w:cs="Calibri"/>
                <w:sz w:val="20"/>
                <w:szCs w:val="20"/>
              </w:rPr>
            </w:pPr>
            <w:r w:rsidRPr="001310AD">
              <w:rPr>
                <w:rFonts w:ascii="Arial Narrow" w:hAnsi="Arial Narrow" w:cs="Calibri"/>
                <w:color w:val="000000"/>
                <w:sz w:val="20"/>
                <w:szCs w:val="20"/>
              </w:rPr>
              <w:t xml:space="preserve">Over Season 1, 2 </w:t>
            </w:r>
            <w:r w:rsidR="00B40A53" w:rsidRPr="001310AD">
              <w:rPr>
                <w:rFonts w:ascii="Arial Narrow" w:hAnsi="Arial Narrow" w:cs="Calibri"/>
                <w:color w:val="000000"/>
                <w:sz w:val="20"/>
                <w:szCs w:val="20"/>
              </w:rPr>
              <w:t>&amp;</w:t>
            </w:r>
            <w:r w:rsidRPr="001310AD">
              <w:rPr>
                <w:rFonts w:ascii="Arial Narrow" w:hAnsi="Arial Narrow" w:cs="Calibri"/>
                <w:color w:val="000000"/>
                <w:sz w:val="20"/>
                <w:szCs w:val="20"/>
              </w:rPr>
              <w:t xml:space="preserve"> 3</w:t>
            </w:r>
            <w:r w:rsidR="00044091">
              <w:rPr>
                <w:rFonts w:ascii="Arial Narrow" w:hAnsi="Arial Narrow" w:cs="Calibri"/>
                <w:color w:val="000000"/>
                <w:sz w:val="20"/>
                <w:szCs w:val="20"/>
              </w:rPr>
              <w:t xml:space="preserve"> </w:t>
            </w:r>
            <w:r w:rsidR="000E4A94" w:rsidRPr="001310AD">
              <w:rPr>
                <w:rFonts w:ascii="Arial Narrow" w:hAnsi="Arial Narrow" w:cs="Calibri"/>
                <w:sz w:val="20"/>
                <w:szCs w:val="20"/>
              </w:rPr>
              <w:t>(FUP 30.6 m)</w:t>
            </w:r>
          </w:p>
        </w:tc>
        <w:tc>
          <w:tcPr>
            <w:tcW w:w="471" w:type="pct"/>
            <w:tcBorders>
              <w:left w:val="single" w:sz="4" w:space="0" w:color="auto"/>
            </w:tcBorders>
            <w:vAlign w:val="center"/>
          </w:tcPr>
          <w:p w14:paraId="6986AFA9"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w:t>
            </w:r>
            <w:r w:rsidRPr="001310AD">
              <w:rPr>
                <w:rFonts w:ascii="Arial Narrow" w:hAnsi="Arial Narrow"/>
                <w:sz w:val="20"/>
                <w:szCs w:val="20"/>
              </w:rPr>
              <w:t>2,468</w:t>
            </w:r>
          </w:p>
        </w:tc>
        <w:tc>
          <w:tcPr>
            <w:tcW w:w="236" w:type="pct"/>
            <w:vAlign w:val="center"/>
          </w:tcPr>
          <w:p w14:paraId="6F0DDE81"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131</w:t>
            </w:r>
          </w:p>
        </w:tc>
        <w:tc>
          <w:tcPr>
            <w:tcW w:w="471" w:type="pct"/>
            <w:vAlign w:val="center"/>
          </w:tcPr>
          <w:p w14:paraId="021DDB3A"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19,654.5</w:t>
            </w:r>
          </w:p>
        </w:tc>
        <w:tc>
          <w:tcPr>
            <w:tcW w:w="393" w:type="pct"/>
            <w:vAlign w:val="center"/>
          </w:tcPr>
          <w:p w14:paraId="4E6FE3F6"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6.7</w:t>
            </w:r>
          </w:p>
        </w:tc>
        <w:tc>
          <w:tcPr>
            <w:tcW w:w="393" w:type="pct"/>
            <w:vAlign w:val="center"/>
          </w:tcPr>
          <w:p w14:paraId="35892E6F"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12,498</w:t>
            </w:r>
          </w:p>
        </w:tc>
        <w:tc>
          <w:tcPr>
            <w:tcW w:w="236" w:type="pct"/>
            <w:vAlign w:val="center"/>
          </w:tcPr>
          <w:p w14:paraId="6AC72F8A"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428</w:t>
            </w:r>
          </w:p>
        </w:tc>
        <w:tc>
          <w:tcPr>
            <w:tcW w:w="393" w:type="pct"/>
            <w:vAlign w:val="center"/>
          </w:tcPr>
          <w:p w14:paraId="7677AB74"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27,086.0</w:t>
            </w:r>
          </w:p>
        </w:tc>
        <w:tc>
          <w:tcPr>
            <w:tcW w:w="472" w:type="pct"/>
            <w:vAlign w:val="center"/>
          </w:tcPr>
          <w:p w14:paraId="67F977C0" w14:textId="77777777" w:rsidR="000E4A94" w:rsidRPr="001310AD" w:rsidRDefault="000E4A94" w:rsidP="00926946">
            <w:pPr>
              <w:keepNext/>
              <w:jc w:val="center"/>
              <w:rPr>
                <w:rFonts w:ascii="Arial Narrow" w:hAnsi="Arial Narrow" w:cs="Calibri"/>
                <w:sz w:val="20"/>
                <w:szCs w:val="20"/>
              </w:rPr>
            </w:pPr>
            <w:r w:rsidRPr="001310AD">
              <w:rPr>
                <w:rFonts w:ascii="Arial Narrow" w:hAnsi="Arial Narrow" w:cs="Calibri"/>
                <w:color w:val="000000"/>
                <w:sz w:val="20"/>
                <w:szCs w:val="20"/>
              </w:rPr>
              <w:t>15.8</w:t>
            </w:r>
          </w:p>
        </w:tc>
        <w:tc>
          <w:tcPr>
            <w:tcW w:w="916" w:type="pct"/>
            <w:vAlign w:val="center"/>
          </w:tcPr>
          <w:p w14:paraId="6873EF44" w14:textId="518699F6" w:rsidR="000E4A94" w:rsidRPr="001310AD" w:rsidRDefault="000E4A94" w:rsidP="00926946">
            <w:pPr>
              <w:keepNext/>
              <w:jc w:val="center"/>
              <w:rPr>
                <w:rFonts w:ascii="Arial Narrow" w:hAnsi="Arial Narrow" w:cs="Calibri"/>
                <w:b/>
                <w:bCs/>
                <w:color w:val="000000"/>
                <w:sz w:val="20"/>
                <w:szCs w:val="20"/>
              </w:rPr>
            </w:pPr>
            <w:r w:rsidRPr="001310AD">
              <w:rPr>
                <w:rFonts w:ascii="Arial Narrow" w:hAnsi="Arial Narrow" w:cs="Calibri"/>
                <w:b/>
                <w:bCs/>
                <w:color w:val="000000"/>
                <w:sz w:val="20"/>
                <w:szCs w:val="20"/>
              </w:rPr>
              <w:t>51.13 (40.31, 60.21)</w:t>
            </w:r>
            <w:r w:rsidR="00C54628" w:rsidRPr="001310AD">
              <w:rPr>
                <w:rFonts w:ascii="Arial Narrow" w:hAnsi="Arial Narrow" w:cs="Calibri"/>
                <w:b/>
                <w:bCs/>
                <w:color w:val="000000"/>
                <w:sz w:val="20"/>
                <w:szCs w:val="20"/>
              </w:rPr>
              <w:t>;</w:t>
            </w:r>
          </w:p>
          <w:p w14:paraId="42AF00D5" w14:textId="77777777" w:rsidR="000E4A94" w:rsidRPr="001310AD" w:rsidRDefault="000E4A94" w:rsidP="00926946">
            <w:pPr>
              <w:keepNext/>
              <w:jc w:val="center"/>
              <w:rPr>
                <w:rFonts w:ascii="Arial Narrow" w:hAnsi="Arial Narrow" w:cs="Calibri"/>
                <w:b/>
                <w:bCs/>
                <w:sz w:val="20"/>
                <w:szCs w:val="20"/>
              </w:rPr>
            </w:pPr>
            <w:r w:rsidRPr="001310AD">
              <w:rPr>
                <w:rFonts w:ascii="Arial Narrow" w:hAnsi="Arial Narrow" w:cs="Calibri"/>
                <w:b/>
                <w:bCs/>
                <w:color w:val="000000"/>
                <w:sz w:val="20"/>
                <w:szCs w:val="20"/>
              </w:rPr>
              <w:t>&lt;0.0001</w:t>
            </w:r>
          </w:p>
        </w:tc>
      </w:tr>
    </w:tbl>
    <w:p w14:paraId="2FF1F084" w14:textId="77777777" w:rsidR="000E4A94" w:rsidRPr="001310AD" w:rsidRDefault="000E4A94" w:rsidP="00926946">
      <w:pPr>
        <w:pStyle w:val="FooterTableFigure"/>
        <w:keepNext/>
      </w:pPr>
      <w:r w:rsidRPr="001310AD">
        <w:t xml:space="preserve">Source: Table 2-21, 93 and Tables 2-23, 2-24, 2-25, p96-98 of the resubmission. </w:t>
      </w:r>
    </w:p>
    <w:p w14:paraId="6FA4B6D1" w14:textId="0AA61E3A" w:rsidR="000E4A94" w:rsidRPr="001310AD" w:rsidRDefault="000E4A94" w:rsidP="00926946">
      <w:pPr>
        <w:pStyle w:val="FooterTableFigure"/>
        <w:keepNext/>
      </w:pPr>
      <w:r w:rsidRPr="001310AD">
        <w:t xml:space="preserve">CI = confidence interval; FUP = follow up; m = months; mES = modified exposed set; N = number of participants; n = number of participants with at least one RT-PCR confirmed RSV case; n/T (per 1000) = incidence rate of participants reporting at least one event; </w:t>
      </w:r>
      <w:r w:rsidR="003142EA" w:rsidRPr="001310AD">
        <w:t xml:space="preserve">RSVPreF3 OA= RSV pre-fusion protein 3 older adult; </w:t>
      </w:r>
      <w:r w:rsidRPr="001310AD">
        <w:t>T (year) = sum of follow-up time (from Day 15 post-vaccination till first occurrence of the event or till the efficacy data lock point or till drop-out date) expressed in years; VE = vaccine efficacy (Poisson method – adjusted by age, region and season).</w:t>
      </w:r>
    </w:p>
    <w:p w14:paraId="17903BC6" w14:textId="4C5F49FC" w:rsidR="000E4A94" w:rsidRPr="001310AD" w:rsidRDefault="000E4A94" w:rsidP="00926946">
      <w:pPr>
        <w:pStyle w:val="FooterTableFigure"/>
        <w:keepNext/>
      </w:pPr>
      <w:r w:rsidRPr="001310AD">
        <w:rPr>
          <w:vertAlign w:val="superscript"/>
        </w:rPr>
        <w:t>a</w:t>
      </w:r>
      <w:r w:rsidRPr="001310AD">
        <w:t xml:space="preserve"> Results for severity include those that apply to any of the two severity definitions used in AReSVi-006.</w:t>
      </w:r>
    </w:p>
    <w:p w14:paraId="1351E350" w14:textId="77777777" w:rsidR="000E4A94" w:rsidRPr="001310AD" w:rsidRDefault="000E4A94" w:rsidP="00926946">
      <w:pPr>
        <w:pStyle w:val="FooterTableFigure"/>
        <w:keepNext/>
      </w:pPr>
      <w:r w:rsidRPr="001310AD">
        <w:t xml:space="preserve">Bold text indicates statistically significant result. </w:t>
      </w:r>
    </w:p>
    <w:p w14:paraId="41ED90BC" w14:textId="478A395F" w:rsidR="000250DD" w:rsidRPr="001310AD" w:rsidRDefault="000E4A94" w:rsidP="00926946">
      <w:pPr>
        <w:pStyle w:val="FooterTableFigure"/>
        <w:keepNext/>
      </w:pPr>
      <w:r w:rsidRPr="001310AD">
        <w:rPr>
          <w:rStyle w:val="CommentReference"/>
          <w:b w:val="0"/>
          <w:sz w:val="18"/>
          <w:szCs w:val="18"/>
        </w:rPr>
        <w:t>Blue shading indicates results previously seen by the PBAC.</w:t>
      </w:r>
    </w:p>
    <w:p w14:paraId="4113E6FB" w14:textId="54D9FCEC" w:rsidR="00CD179E" w:rsidRDefault="0031287E" w:rsidP="003B7D4B">
      <w:pPr>
        <w:pStyle w:val="3-BodyText"/>
      </w:pPr>
      <w:r w:rsidRPr="0031287E">
        <w:t xml:space="preserve">Given the lower bound of the 95% CI exceeded 20%, the cumulative VE was demonstrated over 3 RSV seasons for the prevention of severe RSV-LRTD (67.38%; 95% CI: 42.43, 82.68), and RSV-ARI (51.13%; 95% CI: 40.31, 60.21). The cumulative VE was also demonstrated over 3 RSV seasons with respect to RSV sub-types A and B (69.83%; 97.5% CI: 42.18, 85.72 and 58.57%; 97.5% CI: 35.90, 74.11, respectively), given the lower bound of the 97.5% CI exceeded 0%. </w:t>
      </w:r>
    </w:p>
    <w:p w14:paraId="137F643E" w14:textId="5801FE30" w:rsidR="004B0978" w:rsidRPr="001310AD" w:rsidRDefault="004B0978" w:rsidP="00CD179E">
      <w:pPr>
        <w:pStyle w:val="3-BodyText"/>
        <w:numPr>
          <w:ilvl w:val="0"/>
          <w:numId w:val="0"/>
        </w:numPr>
        <w:ind w:left="720"/>
      </w:pPr>
    </w:p>
    <w:p w14:paraId="17620C78" w14:textId="1C690AF0" w:rsidR="005774D6" w:rsidRPr="001310AD" w:rsidRDefault="005774D6" w:rsidP="003B7D4B">
      <w:pPr>
        <w:pStyle w:val="3-BodyText"/>
      </w:pPr>
      <w:r w:rsidRPr="001310AD">
        <w:t xml:space="preserve">The resubmission presented </w:t>
      </w:r>
      <w:r w:rsidR="00961D0A" w:rsidRPr="001310AD">
        <w:t>e</w:t>
      </w:r>
      <w:r w:rsidRPr="001310AD">
        <w:t>xploratory analys</w:t>
      </w:r>
      <w:r w:rsidR="002A66FC" w:rsidRPr="001310AD">
        <w:t>e</w:t>
      </w:r>
      <w:r w:rsidRPr="001310AD">
        <w:t>s</w:t>
      </w:r>
      <w:r w:rsidR="00F717D3" w:rsidRPr="001310AD">
        <w:t xml:space="preserve"> (</w:t>
      </w:r>
      <w:r w:rsidR="00F717D3" w:rsidRPr="001310AD">
        <w:fldChar w:fldCharType="begin"/>
      </w:r>
      <w:r w:rsidR="00F717D3" w:rsidRPr="001310AD">
        <w:instrText xml:space="preserve"> REF _Ref196920731 \h </w:instrText>
      </w:r>
      <w:r w:rsidR="00F717D3" w:rsidRPr="001310AD">
        <w:fldChar w:fldCharType="separate"/>
      </w:r>
      <w:r w:rsidR="001F75E0" w:rsidRPr="001310AD">
        <w:t>Table 7</w:t>
      </w:r>
      <w:r w:rsidR="00F717D3" w:rsidRPr="001310AD">
        <w:fldChar w:fldCharType="end"/>
      </w:r>
      <w:r w:rsidR="00F717D3" w:rsidRPr="001310AD">
        <w:t>)</w:t>
      </w:r>
      <w:r w:rsidRPr="001310AD">
        <w:t xml:space="preserve"> of VE by individual season</w:t>
      </w:r>
      <w:r w:rsidR="00172B82" w:rsidRPr="001310AD">
        <w:t xml:space="preserve"> (as opposed to cumulative seasons</w:t>
      </w:r>
      <w:r w:rsidR="00311CEF" w:rsidRPr="001310AD">
        <w:t xml:space="preserve"> shown in </w:t>
      </w:r>
      <w:r w:rsidR="00311CEF" w:rsidRPr="001310AD">
        <w:fldChar w:fldCharType="begin"/>
      </w:r>
      <w:r w:rsidR="00311CEF" w:rsidRPr="001310AD">
        <w:instrText xml:space="preserve"> REF _Ref196920684 \h </w:instrText>
      </w:r>
      <w:r w:rsidR="00311CEF" w:rsidRPr="001310AD">
        <w:fldChar w:fldCharType="separate"/>
      </w:r>
      <w:r w:rsidR="001F75E0" w:rsidRPr="001310AD">
        <w:t>Table 5</w:t>
      </w:r>
      <w:r w:rsidR="00311CEF" w:rsidRPr="001310AD">
        <w:fldChar w:fldCharType="end"/>
      </w:r>
      <w:r w:rsidR="00311CEF" w:rsidRPr="001310AD">
        <w:t xml:space="preserve"> and </w:t>
      </w:r>
      <w:r w:rsidR="00311CEF" w:rsidRPr="001310AD">
        <w:fldChar w:fldCharType="begin"/>
      </w:r>
      <w:r w:rsidR="00311CEF" w:rsidRPr="001310AD">
        <w:instrText xml:space="preserve"> REF _Ref196920707 \h </w:instrText>
      </w:r>
      <w:r w:rsidR="00311CEF" w:rsidRPr="001310AD">
        <w:fldChar w:fldCharType="separate"/>
      </w:r>
      <w:r w:rsidR="001F75E0" w:rsidRPr="001310AD">
        <w:t>Table 6</w:t>
      </w:r>
      <w:r w:rsidR="00311CEF" w:rsidRPr="001310AD">
        <w:fldChar w:fldCharType="end"/>
      </w:r>
      <w:r w:rsidR="00172B82" w:rsidRPr="001310AD">
        <w:t>)</w:t>
      </w:r>
      <w:r w:rsidRPr="001310AD">
        <w:rPr>
          <w:i/>
          <w:iCs/>
        </w:rPr>
        <w:t>.</w:t>
      </w:r>
    </w:p>
    <w:p w14:paraId="524B9ADC" w14:textId="01580E4A" w:rsidR="005774D6" w:rsidRPr="001310AD" w:rsidRDefault="001B5CAE" w:rsidP="001B5CAE">
      <w:pPr>
        <w:pStyle w:val="Caption"/>
        <w:jc w:val="left"/>
      </w:pPr>
      <w:bookmarkStart w:id="34" w:name="_Ref196920731"/>
      <w:r w:rsidRPr="001310AD">
        <w:lastRenderedPageBreak/>
        <w:t xml:space="preserve">Table </w:t>
      </w:r>
      <w:fldSimple w:instr=" SEQ Table \* ARABIC ">
        <w:r w:rsidR="001F75E0" w:rsidRPr="001310AD">
          <w:t>7</w:t>
        </w:r>
      </w:fldSimple>
      <w:bookmarkEnd w:id="34"/>
      <w:r w:rsidR="00757570" w:rsidRPr="001310AD">
        <w:t>:</w:t>
      </w:r>
      <w:r w:rsidR="005774D6" w:rsidRPr="001310AD">
        <w:rPr>
          <w:rStyle w:val="CommentReference"/>
          <w:b/>
        </w:rPr>
        <w:t xml:space="preserve"> </w:t>
      </w:r>
      <w:r w:rsidR="0042674D" w:rsidRPr="001310AD">
        <w:rPr>
          <w:rStyle w:val="CommentReference"/>
          <w:b/>
        </w:rPr>
        <w:t>Individual s</w:t>
      </w:r>
      <w:r w:rsidR="00D417C6" w:rsidRPr="001310AD">
        <w:rPr>
          <w:rStyle w:val="CommentReference"/>
          <w:b/>
        </w:rPr>
        <w:t>eason</w:t>
      </w:r>
      <w:r w:rsidR="0042674D" w:rsidRPr="001310AD">
        <w:rPr>
          <w:rStyle w:val="CommentReference"/>
          <w:b/>
        </w:rPr>
        <w:t>-</w:t>
      </w:r>
      <w:r w:rsidR="00D417C6" w:rsidRPr="001310AD">
        <w:rPr>
          <w:rStyle w:val="CommentReference"/>
          <w:b/>
        </w:rPr>
        <w:t xml:space="preserve">specific </w:t>
      </w:r>
      <w:r w:rsidR="005774D6" w:rsidRPr="001310AD">
        <w:rPr>
          <w:rStyle w:val="CommentReference"/>
          <w:b/>
        </w:rPr>
        <w:t xml:space="preserve">VE </w:t>
      </w:r>
      <w:r w:rsidR="00BB6927" w:rsidRPr="001310AD">
        <w:t>in participants ≥60 YOA</w:t>
      </w:r>
      <w:r w:rsidR="00BB6927" w:rsidRPr="001310AD" w:rsidDel="00BB6927">
        <w:rPr>
          <w:rStyle w:val="CommentReference"/>
          <w:b/>
        </w:rPr>
        <w:t xml:space="preserve"> </w:t>
      </w:r>
      <w:r w:rsidR="005774D6" w:rsidRPr="001310AD">
        <w:rPr>
          <w:rStyle w:val="CommentReference"/>
          <w:b/>
        </w:rPr>
        <w:t xml:space="preserve">in NH </w:t>
      </w:r>
      <w:r w:rsidR="005774D6" w:rsidRPr="001310AD">
        <w:t>(single dose, mES population</w:t>
      </w:r>
      <w:r w:rsidR="00332EDC" w:rsidRPr="001310AD">
        <w:t>, Poisson method,</w:t>
      </w:r>
      <w:r w:rsidR="005774D6" w:rsidRPr="001310AD">
        <w:t xml:space="preserve"> and with season as a covariate)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Individual season-specific VE in participants ≥60 YOA in NH (single dose, mES population, Poisson method, and with season as a covariate)"/>
      </w:tblPr>
      <w:tblGrid>
        <w:gridCol w:w="2829"/>
        <w:gridCol w:w="709"/>
        <w:gridCol w:w="283"/>
        <w:gridCol w:w="709"/>
        <w:gridCol w:w="712"/>
        <w:gridCol w:w="566"/>
        <w:gridCol w:w="424"/>
        <w:gridCol w:w="709"/>
        <w:gridCol w:w="707"/>
        <w:gridCol w:w="1369"/>
      </w:tblGrid>
      <w:tr w:rsidR="005774D6" w:rsidRPr="001310AD" w14:paraId="1759737A" w14:textId="77777777">
        <w:trPr>
          <w:trHeight w:val="170"/>
          <w:tblHeader/>
        </w:trPr>
        <w:tc>
          <w:tcPr>
            <w:tcW w:w="1569" w:type="pct"/>
            <w:vMerge w:val="restart"/>
            <w:vAlign w:val="center"/>
          </w:tcPr>
          <w:p w14:paraId="3980B899" w14:textId="77777777" w:rsidR="005774D6" w:rsidRPr="001310AD" w:rsidRDefault="005774D6">
            <w:pPr>
              <w:jc w:val="left"/>
              <w:rPr>
                <w:rFonts w:ascii="Arial Narrow" w:hAnsi="Arial Narrow" w:cs="Calibri"/>
                <w:b/>
                <w:bCs/>
                <w:sz w:val="20"/>
                <w:szCs w:val="20"/>
              </w:rPr>
            </w:pPr>
            <w:r w:rsidRPr="001310AD">
              <w:rPr>
                <w:rFonts w:ascii="Arial Narrow" w:hAnsi="Arial Narrow" w:cs="Calibri"/>
                <w:b/>
                <w:bCs/>
                <w:sz w:val="20"/>
                <w:szCs w:val="20"/>
              </w:rPr>
              <w:t>Endpoint</w:t>
            </w:r>
          </w:p>
        </w:tc>
        <w:tc>
          <w:tcPr>
            <w:tcW w:w="1338" w:type="pct"/>
            <w:gridSpan w:val="4"/>
            <w:vAlign w:val="center"/>
            <w:hideMark/>
          </w:tcPr>
          <w:p w14:paraId="1A3694C9" w14:textId="77777777"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RSVPreF3 OA</w:t>
            </w:r>
          </w:p>
        </w:tc>
        <w:tc>
          <w:tcPr>
            <w:tcW w:w="1334" w:type="pct"/>
            <w:gridSpan w:val="4"/>
            <w:vAlign w:val="center"/>
          </w:tcPr>
          <w:p w14:paraId="3AF69645" w14:textId="77777777"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sz w:val="20"/>
                <w:szCs w:val="20"/>
              </w:rPr>
              <w:t>Placebo</w:t>
            </w:r>
          </w:p>
        </w:tc>
        <w:tc>
          <w:tcPr>
            <w:tcW w:w="759" w:type="pct"/>
            <w:vMerge w:val="restart"/>
            <w:vAlign w:val="center"/>
            <w:hideMark/>
          </w:tcPr>
          <w:p w14:paraId="20EFB833" w14:textId="77777777"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VE %</w:t>
            </w:r>
          </w:p>
          <w:p w14:paraId="277A3BEB" w14:textId="725B0F1E"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sz w:val="20"/>
                <w:szCs w:val="20"/>
              </w:rPr>
              <w:t>% CI</w:t>
            </w:r>
            <w:r w:rsidRPr="001310AD">
              <w:rPr>
                <w:vertAlign w:val="superscript"/>
              </w:rPr>
              <w:t xml:space="preserve"> a</w:t>
            </w:r>
          </w:p>
        </w:tc>
      </w:tr>
      <w:tr w:rsidR="005774D6" w:rsidRPr="001310AD" w14:paraId="70F55496" w14:textId="77777777">
        <w:trPr>
          <w:trHeight w:val="170"/>
          <w:tblHeader/>
        </w:trPr>
        <w:tc>
          <w:tcPr>
            <w:tcW w:w="1569" w:type="pct"/>
            <w:vMerge/>
            <w:vAlign w:val="center"/>
          </w:tcPr>
          <w:p w14:paraId="5DAFBF46" w14:textId="77777777" w:rsidR="005774D6" w:rsidRPr="001310AD" w:rsidRDefault="005774D6">
            <w:pPr>
              <w:jc w:val="left"/>
              <w:rPr>
                <w:rFonts w:ascii="Arial Narrow" w:hAnsi="Arial Narrow" w:cs="Calibri"/>
                <w:b/>
                <w:bCs/>
                <w:sz w:val="20"/>
                <w:szCs w:val="20"/>
              </w:rPr>
            </w:pPr>
          </w:p>
        </w:tc>
        <w:tc>
          <w:tcPr>
            <w:tcW w:w="393" w:type="pct"/>
            <w:vAlign w:val="center"/>
            <w:hideMark/>
          </w:tcPr>
          <w:p w14:paraId="3A49C3DC" w14:textId="0C0F2CE1" w:rsidR="005774D6" w:rsidRPr="001310AD" w:rsidRDefault="005774D6">
            <w:pPr>
              <w:jc w:val="center"/>
              <w:rPr>
                <w:rFonts w:ascii="Arial Narrow" w:hAnsi="Arial Narrow" w:cs="Calibri"/>
                <w:b/>
                <w:color w:val="000000"/>
                <w:sz w:val="20"/>
                <w:szCs w:val="20"/>
                <w:vertAlign w:val="superscript"/>
              </w:rPr>
            </w:pPr>
            <w:r w:rsidRPr="001310AD">
              <w:rPr>
                <w:rFonts w:ascii="Arial Narrow" w:hAnsi="Arial Narrow" w:cs="Calibri"/>
                <w:b/>
                <w:bCs/>
                <w:sz w:val="20"/>
                <w:szCs w:val="20"/>
              </w:rPr>
              <w:t>N</w:t>
            </w:r>
            <w:r w:rsidR="001134D9" w:rsidRPr="001310AD">
              <w:rPr>
                <w:rFonts w:ascii="Arial Narrow" w:hAnsi="Arial Narrow" w:cs="Calibri"/>
                <w:b/>
                <w:bCs/>
                <w:sz w:val="20"/>
                <w:szCs w:val="20"/>
                <w:vertAlign w:val="superscript"/>
              </w:rPr>
              <w:t>d</w:t>
            </w:r>
          </w:p>
        </w:tc>
        <w:tc>
          <w:tcPr>
            <w:tcW w:w="157" w:type="pct"/>
            <w:vAlign w:val="center"/>
            <w:hideMark/>
          </w:tcPr>
          <w:p w14:paraId="3AEBAA2F" w14:textId="77777777"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393" w:type="pct"/>
            <w:vAlign w:val="center"/>
            <w:hideMark/>
          </w:tcPr>
          <w:p w14:paraId="7DECB00D" w14:textId="77777777"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sz w:val="20"/>
                <w:szCs w:val="20"/>
              </w:rPr>
              <w:t>T (year)</w:t>
            </w:r>
          </w:p>
        </w:tc>
        <w:tc>
          <w:tcPr>
            <w:tcW w:w="395" w:type="pct"/>
            <w:vAlign w:val="center"/>
          </w:tcPr>
          <w:p w14:paraId="7C2AE0E6" w14:textId="77777777"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n/T (per 1000)</w:t>
            </w:r>
          </w:p>
        </w:tc>
        <w:tc>
          <w:tcPr>
            <w:tcW w:w="314" w:type="pct"/>
            <w:vAlign w:val="center"/>
            <w:hideMark/>
          </w:tcPr>
          <w:p w14:paraId="1402D344" w14:textId="77777777"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235" w:type="pct"/>
            <w:vAlign w:val="center"/>
            <w:hideMark/>
          </w:tcPr>
          <w:p w14:paraId="4B6F86FC" w14:textId="77777777"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sz w:val="20"/>
                <w:szCs w:val="20"/>
              </w:rPr>
              <w:t>n</w:t>
            </w:r>
          </w:p>
        </w:tc>
        <w:tc>
          <w:tcPr>
            <w:tcW w:w="393" w:type="pct"/>
            <w:vAlign w:val="center"/>
          </w:tcPr>
          <w:p w14:paraId="109A3CA1" w14:textId="77777777"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T (year)</w:t>
            </w:r>
          </w:p>
        </w:tc>
        <w:tc>
          <w:tcPr>
            <w:tcW w:w="392" w:type="pct"/>
            <w:vAlign w:val="center"/>
            <w:hideMark/>
          </w:tcPr>
          <w:p w14:paraId="0814A01E" w14:textId="77777777"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sz w:val="20"/>
                <w:szCs w:val="20"/>
              </w:rPr>
              <w:t>n/T (per 1000)</w:t>
            </w:r>
          </w:p>
        </w:tc>
        <w:tc>
          <w:tcPr>
            <w:tcW w:w="759" w:type="pct"/>
            <w:vMerge/>
            <w:vAlign w:val="center"/>
            <w:hideMark/>
          </w:tcPr>
          <w:p w14:paraId="1A4F5825" w14:textId="77777777" w:rsidR="005774D6" w:rsidRPr="001310AD" w:rsidRDefault="005774D6">
            <w:pPr>
              <w:jc w:val="center"/>
              <w:rPr>
                <w:rFonts w:ascii="Arial Narrow" w:hAnsi="Arial Narrow" w:cs="Calibri"/>
                <w:b/>
                <w:bCs/>
                <w:color w:val="000000"/>
                <w:sz w:val="20"/>
                <w:szCs w:val="20"/>
              </w:rPr>
            </w:pPr>
          </w:p>
        </w:tc>
      </w:tr>
      <w:tr w:rsidR="005774D6" w:rsidRPr="001310AD" w14:paraId="3528F73D" w14:textId="77777777">
        <w:trPr>
          <w:trHeight w:val="170"/>
        </w:trPr>
        <w:tc>
          <w:tcPr>
            <w:tcW w:w="5000" w:type="pct"/>
            <w:gridSpan w:val="10"/>
            <w:tcBorders>
              <w:left w:val="single" w:sz="4" w:space="0" w:color="auto"/>
            </w:tcBorders>
            <w:vAlign w:val="center"/>
          </w:tcPr>
          <w:p w14:paraId="0EBAF3D5" w14:textId="77777777" w:rsidR="005774D6" w:rsidRPr="001310AD" w:rsidRDefault="005774D6">
            <w:pPr>
              <w:rPr>
                <w:rFonts w:ascii="Arial Narrow" w:hAnsi="Arial Narrow" w:cs="Calibri"/>
                <w:color w:val="000000"/>
                <w:sz w:val="20"/>
                <w:szCs w:val="20"/>
              </w:rPr>
            </w:pPr>
            <w:r w:rsidRPr="001310AD">
              <w:rPr>
                <w:rFonts w:ascii="Arial Narrow" w:hAnsi="Arial Narrow" w:cs="Calibri"/>
                <w:b/>
                <w:bCs/>
                <w:color w:val="000000"/>
                <w:sz w:val="20"/>
                <w:szCs w:val="20"/>
              </w:rPr>
              <w:t xml:space="preserve">VE against first occurrence of RSV-LRTD </w:t>
            </w:r>
          </w:p>
        </w:tc>
      </w:tr>
      <w:tr w:rsidR="005774D6" w:rsidRPr="001310AD" w14:paraId="0EA5B523" w14:textId="77777777">
        <w:trPr>
          <w:trHeight w:val="170"/>
        </w:trPr>
        <w:tc>
          <w:tcPr>
            <w:tcW w:w="1569" w:type="pct"/>
            <w:tcBorders>
              <w:left w:val="single" w:sz="4" w:space="0" w:color="auto"/>
              <w:right w:val="single" w:sz="4" w:space="0" w:color="auto"/>
            </w:tcBorders>
            <w:shd w:val="clear" w:color="auto" w:fill="B8CCE4" w:themeFill="accent1" w:themeFillTint="66"/>
            <w:vAlign w:val="center"/>
          </w:tcPr>
          <w:p w14:paraId="7FA1B639" w14:textId="52E86F44" w:rsidR="005774D6" w:rsidRPr="001310AD" w:rsidRDefault="00083F74">
            <w:pPr>
              <w:jc w:val="left"/>
              <w:rPr>
                <w:rFonts w:ascii="Arial Narrow" w:hAnsi="Arial Narrow" w:cs="Calibri"/>
                <w:color w:val="000000"/>
                <w:sz w:val="20"/>
                <w:szCs w:val="20"/>
              </w:rPr>
            </w:pPr>
            <w:r w:rsidRPr="001310AD">
              <w:rPr>
                <w:rFonts w:ascii="Arial Narrow" w:hAnsi="Arial Narrow" w:cs="Calibri"/>
                <w:color w:val="000000"/>
                <w:sz w:val="20"/>
                <w:szCs w:val="20"/>
              </w:rPr>
              <w:t xml:space="preserve">End of Season </w:t>
            </w:r>
            <w:r w:rsidR="005774D6" w:rsidRPr="001310AD">
              <w:rPr>
                <w:rFonts w:ascii="Arial Narrow" w:hAnsi="Arial Narrow" w:cs="Calibri"/>
                <w:color w:val="000000"/>
                <w:sz w:val="20"/>
                <w:szCs w:val="20"/>
              </w:rPr>
              <w:t>1</w:t>
            </w:r>
            <w:r w:rsidR="00C114C7" w:rsidRPr="001310AD">
              <w:rPr>
                <w:rFonts w:ascii="Arial Narrow" w:hAnsi="Arial Narrow" w:cs="Calibri"/>
                <w:color w:val="000000"/>
                <w:sz w:val="20"/>
                <w:szCs w:val="20"/>
              </w:rPr>
              <w:t xml:space="preserve"> </w:t>
            </w:r>
            <w:r w:rsidR="00C114C7" w:rsidRPr="001310AD">
              <w:rPr>
                <w:rFonts w:ascii="Arial Narrow" w:hAnsi="Arial Narrow" w:cs="Calibri"/>
                <w:color w:val="000000"/>
                <w:sz w:val="20"/>
                <w:szCs w:val="20"/>
                <w:vertAlign w:val="superscript"/>
              </w:rPr>
              <w:t>e</w:t>
            </w:r>
            <w:r w:rsidR="005774D6" w:rsidRPr="001310AD">
              <w:rPr>
                <w:rFonts w:ascii="Arial Narrow" w:hAnsi="Arial Narrow" w:cs="Calibri"/>
                <w:color w:val="000000"/>
                <w:sz w:val="20"/>
                <w:szCs w:val="20"/>
              </w:rPr>
              <w:t xml:space="preserve"> </w:t>
            </w:r>
          </w:p>
        </w:tc>
        <w:tc>
          <w:tcPr>
            <w:tcW w:w="393" w:type="pct"/>
            <w:tcBorders>
              <w:left w:val="single" w:sz="4" w:space="0" w:color="auto"/>
            </w:tcBorders>
            <w:shd w:val="clear" w:color="auto" w:fill="B8CCE4" w:themeFill="accent1" w:themeFillTint="66"/>
            <w:vAlign w:val="center"/>
          </w:tcPr>
          <w:p w14:paraId="79D8AB74"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12,468</w:t>
            </w:r>
          </w:p>
        </w:tc>
        <w:tc>
          <w:tcPr>
            <w:tcW w:w="157" w:type="pct"/>
            <w:shd w:val="clear" w:color="auto" w:fill="B8CCE4" w:themeFill="accent1" w:themeFillTint="66"/>
            <w:vAlign w:val="center"/>
          </w:tcPr>
          <w:p w14:paraId="08367FFF"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7</w:t>
            </w:r>
          </w:p>
        </w:tc>
        <w:tc>
          <w:tcPr>
            <w:tcW w:w="393" w:type="pct"/>
            <w:shd w:val="clear" w:color="auto" w:fill="B8CCE4" w:themeFill="accent1" w:themeFillTint="66"/>
            <w:vAlign w:val="center"/>
          </w:tcPr>
          <w:p w14:paraId="2DD9210B"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6,853.2</w:t>
            </w:r>
          </w:p>
        </w:tc>
        <w:tc>
          <w:tcPr>
            <w:tcW w:w="395" w:type="pct"/>
            <w:shd w:val="clear" w:color="auto" w:fill="B8CCE4" w:themeFill="accent1" w:themeFillTint="66"/>
            <w:vAlign w:val="center"/>
          </w:tcPr>
          <w:p w14:paraId="7DD580CE"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w:t>
            </w:r>
          </w:p>
        </w:tc>
        <w:tc>
          <w:tcPr>
            <w:tcW w:w="314" w:type="pct"/>
            <w:shd w:val="clear" w:color="auto" w:fill="B8CCE4" w:themeFill="accent1" w:themeFillTint="66"/>
            <w:vAlign w:val="center"/>
          </w:tcPr>
          <w:p w14:paraId="02BB4890"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12,498</w:t>
            </w:r>
          </w:p>
        </w:tc>
        <w:tc>
          <w:tcPr>
            <w:tcW w:w="235" w:type="pct"/>
            <w:shd w:val="clear" w:color="auto" w:fill="B8CCE4" w:themeFill="accent1" w:themeFillTint="66"/>
            <w:vAlign w:val="center"/>
          </w:tcPr>
          <w:p w14:paraId="65DB7B2D"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36</w:t>
            </w:r>
          </w:p>
        </w:tc>
        <w:tc>
          <w:tcPr>
            <w:tcW w:w="393" w:type="pct"/>
            <w:shd w:val="clear" w:color="auto" w:fill="B8CCE4" w:themeFill="accent1" w:themeFillTint="66"/>
            <w:vAlign w:val="center"/>
          </w:tcPr>
          <w:p w14:paraId="30115667"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6,837.1</w:t>
            </w:r>
          </w:p>
        </w:tc>
        <w:tc>
          <w:tcPr>
            <w:tcW w:w="392" w:type="pct"/>
            <w:shd w:val="clear" w:color="auto" w:fill="B8CCE4" w:themeFill="accent1" w:themeFillTint="66"/>
            <w:vAlign w:val="center"/>
          </w:tcPr>
          <w:p w14:paraId="242C6ADC"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5.3</w:t>
            </w:r>
          </w:p>
        </w:tc>
        <w:tc>
          <w:tcPr>
            <w:tcW w:w="759" w:type="pct"/>
            <w:shd w:val="clear" w:color="auto" w:fill="B8CCE4" w:themeFill="accent1" w:themeFillTint="66"/>
            <w:vAlign w:val="center"/>
          </w:tcPr>
          <w:p w14:paraId="570C51A9" w14:textId="256547A0"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color w:val="000000"/>
                <w:sz w:val="20"/>
                <w:szCs w:val="20"/>
              </w:rPr>
              <w:t>80.6 (55.9, 92.7)</w:t>
            </w:r>
            <w:r w:rsidR="00747209" w:rsidRPr="001310AD">
              <w:rPr>
                <w:rFonts w:ascii="Arial Narrow" w:hAnsi="Arial Narrow" w:cs="Calibri"/>
                <w:b/>
                <w:bCs/>
                <w:color w:val="000000"/>
                <w:sz w:val="20"/>
                <w:szCs w:val="20"/>
                <w:vertAlign w:val="superscript"/>
              </w:rPr>
              <w:t>b</w:t>
            </w:r>
          </w:p>
        </w:tc>
      </w:tr>
      <w:tr w:rsidR="005774D6" w:rsidRPr="001310AD" w14:paraId="39BD0796" w14:textId="77777777">
        <w:trPr>
          <w:trHeight w:val="170"/>
        </w:trPr>
        <w:tc>
          <w:tcPr>
            <w:tcW w:w="1569" w:type="pct"/>
            <w:tcBorders>
              <w:left w:val="single" w:sz="4" w:space="0" w:color="auto"/>
              <w:right w:val="single" w:sz="4" w:space="0" w:color="auto"/>
            </w:tcBorders>
            <w:shd w:val="clear" w:color="auto" w:fill="B8CCE4" w:themeFill="accent1" w:themeFillTint="66"/>
            <w:vAlign w:val="center"/>
          </w:tcPr>
          <w:p w14:paraId="0622B30B" w14:textId="3A0158F9" w:rsidR="005774D6" w:rsidRPr="001310AD" w:rsidRDefault="00083F74">
            <w:pPr>
              <w:jc w:val="left"/>
              <w:rPr>
                <w:rFonts w:ascii="Arial Narrow" w:hAnsi="Arial Narrow" w:cs="Calibri"/>
                <w:color w:val="000000"/>
                <w:sz w:val="20"/>
                <w:szCs w:val="20"/>
              </w:rPr>
            </w:pPr>
            <w:r w:rsidRPr="001310AD">
              <w:rPr>
                <w:rFonts w:ascii="Arial Narrow" w:hAnsi="Arial Narrow" w:cs="Calibri"/>
                <w:color w:val="000000"/>
                <w:sz w:val="20"/>
                <w:szCs w:val="20"/>
              </w:rPr>
              <w:t>End of Season 2</w:t>
            </w:r>
            <w:r w:rsidR="00C114C7" w:rsidRPr="001310AD">
              <w:rPr>
                <w:rFonts w:ascii="Arial Narrow" w:hAnsi="Arial Narrow" w:cs="Calibri"/>
                <w:color w:val="000000"/>
                <w:sz w:val="20"/>
                <w:szCs w:val="20"/>
              </w:rPr>
              <w:t xml:space="preserve"> </w:t>
            </w:r>
            <w:r w:rsidR="00C114C7" w:rsidRPr="001310AD">
              <w:rPr>
                <w:rFonts w:ascii="Arial Narrow" w:hAnsi="Arial Narrow" w:cs="Calibri"/>
                <w:color w:val="000000"/>
                <w:sz w:val="20"/>
                <w:szCs w:val="20"/>
                <w:vertAlign w:val="superscript"/>
              </w:rPr>
              <w:t>e</w:t>
            </w:r>
            <w:r w:rsidR="005774D6" w:rsidRPr="001310AD">
              <w:rPr>
                <w:rFonts w:ascii="Arial Narrow" w:hAnsi="Arial Narrow" w:cs="Calibri"/>
                <w:color w:val="000000"/>
                <w:sz w:val="20"/>
                <w:szCs w:val="20"/>
              </w:rPr>
              <w:t xml:space="preserve"> </w:t>
            </w:r>
          </w:p>
        </w:tc>
        <w:tc>
          <w:tcPr>
            <w:tcW w:w="393" w:type="pct"/>
            <w:tcBorders>
              <w:left w:val="single" w:sz="4" w:space="0" w:color="auto"/>
            </w:tcBorders>
            <w:shd w:val="clear" w:color="auto" w:fill="B8CCE4" w:themeFill="accent1" w:themeFillTint="66"/>
            <w:vAlign w:val="center"/>
          </w:tcPr>
          <w:p w14:paraId="7C3B70BA"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4,988</w:t>
            </w:r>
          </w:p>
        </w:tc>
        <w:tc>
          <w:tcPr>
            <w:tcW w:w="157" w:type="pct"/>
            <w:shd w:val="clear" w:color="auto" w:fill="B8CCE4" w:themeFill="accent1" w:themeFillTint="66"/>
            <w:vAlign w:val="center"/>
          </w:tcPr>
          <w:p w14:paraId="0F609792"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19</w:t>
            </w:r>
          </w:p>
        </w:tc>
        <w:tc>
          <w:tcPr>
            <w:tcW w:w="393" w:type="pct"/>
            <w:shd w:val="clear" w:color="auto" w:fill="B8CCE4" w:themeFill="accent1" w:themeFillTint="66"/>
            <w:vAlign w:val="center"/>
          </w:tcPr>
          <w:p w14:paraId="07A3633B"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2,802.1</w:t>
            </w:r>
          </w:p>
        </w:tc>
        <w:tc>
          <w:tcPr>
            <w:tcW w:w="395" w:type="pct"/>
            <w:shd w:val="clear" w:color="auto" w:fill="B8CCE4" w:themeFill="accent1" w:themeFillTint="66"/>
            <w:vAlign w:val="center"/>
          </w:tcPr>
          <w:p w14:paraId="222281D6"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6.8</w:t>
            </w:r>
          </w:p>
        </w:tc>
        <w:tc>
          <w:tcPr>
            <w:tcW w:w="314" w:type="pct"/>
            <w:shd w:val="clear" w:color="auto" w:fill="B8CCE4" w:themeFill="accent1" w:themeFillTint="66"/>
            <w:vAlign w:val="center"/>
          </w:tcPr>
          <w:p w14:paraId="20DBB973"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10,031</w:t>
            </w:r>
          </w:p>
        </w:tc>
        <w:tc>
          <w:tcPr>
            <w:tcW w:w="235" w:type="pct"/>
            <w:shd w:val="clear" w:color="auto" w:fill="B8CCE4" w:themeFill="accent1" w:themeFillTint="66"/>
            <w:vAlign w:val="center"/>
          </w:tcPr>
          <w:p w14:paraId="286627ED"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98</w:t>
            </w:r>
          </w:p>
        </w:tc>
        <w:tc>
          <w:tcPr>
            <w:tcW w:w="393" w:type="pct"/>
            <w:shd w:val="clear" w:color="auto" w:fill="B8CCE4" w:themeFill="accent1" w:themeFillTint="66"/>
            <w:vAlign w:val="center"/>
          </w:tcPr>
          <w:p w14:paraId="72167CF2"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5,609</w:t>
            </w:r>
          </w:p>
        </w:tc>
        <w:tc>
          <w:tcPr>
            <w:tcW w:w="392" w:type="pct"/>
            <w:shd w:val="clear" w:color="auto" w:fill="B8CCE4" w:themeFill="accent1" w:themeFillTint="66"/>
            <w:vAlign w:val="center"/>
          </w:tcPr>
          <w:p w14:paraId="63C4458D"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17.5</w:t>
            </w:r>
          </w:p>
        </w:tc>
        <w:tc>
          <w:tcPr>
            <w:tcW w:w="759" w:type="pct"/>
            <w:shd w:val="clear" w:color="auto" w:fill="B8CCE4" w:themeFill="accent1" w:themeFillTint="66"/>
            <w:vAlign w:val="center"/>
          </w:tcPr>
          <w:p w14:paraId="7BAD12F4" w14:textId="4D973FB0"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color w:val="000000"/>
                <w:sz w:val="20"/>
                <w:szCs w:val="20"/>
              </w:rPr>
              <w:t>61.4 (36.4, 77.7)</w:t>
            </w:r>
            <w:r w:rsidR="00747209" w:rsidRPr="001310AD">
              <w:rPr>
                <w:rFonts w:ascii="Arial Narrow" w:hAnsi="Arial Narrow" w:cs="Calibri"/>
                <w:b/>
                <w:bCs/>
                <w:color w:val="000000"/>
                <w:sz w:val="20"/>
                <w:szCs w:val="20"/>
                <w:vertAlign w:val="superscript"/>
              </w:rPr>
              <w:t>b</w:t>
            </w:r>
          </w:p>
        </w:tc>
      </w:tr>
      <w:tr w:rsidR="005774D6" w:rsidRPr="001310AD" w14:paraId="226608BB" w14:textId="77777777">
        <w:trPr>
          <w:trHeight w:val="170"/>
        </w:trPr>
        <w:tc>
          <w:tcPr>
            <w:tcW w:w="1569" w:type="pct"/>
            <w:tcBorders>
              <w:left w:val="single" w:sz="4" w:space="0" w:color="auto"/>
              <w:right w:val="single" w:sz="4" w:space="0" w:color="auto"/>
            </w:tcBorders>
            <w:vAlign w:val="center"/>
          </w:tcPr>
          <w:p w14:paraId="23D8E387" w14:textId="60BF170E" w:rsidR="005774D6" w:rsidRPr="001310AD" w:rsidRDefault="005774D6">
            <w:pPr>
              <w:jc w:val="left"/>
              <w:rPr>
                <w:rFonts w:ascii="Arial Narrow" w:hAnsi="Arial Narrow" w:cs="Calibri"/>
                <w:b/>
                <w:bCs/>
                <w:color w:val="000000"/>
                <w:sz w:val="20"/>
                <w:szCs w:val="20"/>
              </w:rPr>
            </w:pPr>
            <w:r w:rsidRPr="001310AD">
              <w:rPr>
                <w:rFonts w:ascii="Arial Narrow" w:hAnsi="Arial Narrow" w:cs="Calibri"/>
                <w:sz w:val="20"/>
                <w:szCs w:val="20"/>
              </w:rPr>
              <w:t>End of Season 3</w:t>
            </w:r>
            <w:r w:rsidR="00C114C7" w:rsidRPr="001310AD">
              <w:rPr>
                <w:rFonts w:ascii="Arial Narrow" w:hAnsi="Arial Narrow" w:cs="Calibri"/>
                <w:color w:val="000000"/>
                <w:sz w:val="20"/>
                <w:szCs w:val="20"/>
              </w:rPr>
              <w:t xml:space="preserve"> </w:t>
            </w:r>
            <w:r w:rsidR="00C114C7" w:rsidRPr="001310AD">
              <w:rPr>
                <w:rFonts w:ascii="Arial Narrow" w:hAnsi="Arial Narrow" w:cs="Calibri"/>
                <w:color w:val="000000"/>
                <w:sz w:val="20"/>
                <w:szCs w:val="20"/>
                <w:vertAlign w:val="superscript"/>
              </w:rPr>
              <w:t>e</w:t>
            </w:r>
            <w:r w:rsidRPr="001310AD">
              <w:rPr>
                <w:rFonts w:ascii="Arial Narrow" w:hAnsi="Arial Narrow" w:cs="Calibri"/>
                <w:sz w:val="20"/>
                <w:szCs w:val="20"/>
              </w:rPr>
              <w:t xml:space="preserve"> </w:t>
            </w:r>
          </w:p>
        </w:tc>
        <w:tc>
          <w:tcPr>
            <w:tcW w:w="393" w:type="pct"/>
            <w:tcBorders>
              <w:left w:val="single" w:sz="4" w:space="0" w:color="auto"/>
            </w:tcBorders>
            <w:vAlign w:val="center"/>
          </w:tcPr>
          <w:p w14:paraId="529D8A4F"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4,988</w:t>
            </w:r>
          </w:p>
        </w:tc>
        <w:tc>
          <w:tcPr>
            <w:tcW w:w="157" w:type="pct"/>
            <w:vAlign w:val="center"/>
          </w:tcPr>
          <w:p w14:paraId="00CFD17E" w14:textId="77777777" w:rsidR="005774D6" w:rsidRPr="001310AD" w:rsidRDefault="005774D6">
            <w:pPr>
              <w:jc w:val="center"/>
              <w:rPr>
                <w:rFonts w:ascii="Arial Narrow" w:hAnsi="Arial Narrow" w:cs="Calibri"/>
                <w:color w:val="000000" w:themeColor="text1"/>
                <w:sz w:val="20"/>
                <w:szCs w:val="20"/>
              </w:rPr>
            </w:pPr>
            <w:r w:rsidRPr="001310AD">
              <w:rPr>
                <w:rFonts w:ascii="Arial Narrow" w:hAnsi="Arial Narrow" w:cs="Calibri"/>
                <w:color w:val="000000" w:themeColor="text1"/>
                <w:sz w:val="20"/>
                <w:szCs w:val="20"/>
              </w:rPr>
              <w:t>16</w:t>
            </w:r>
          </w:p>
        </w:tc>
        <w:tc>
          <w:tcPr>
            <w:tcW w:w="393" w:type="pct"/>
            <w:vAlign w:val="center"/>
          </w:tcPr>
          <w:p w14:paraId="3FA48B9E" w14:textId="77777777" w:rsidR="005774D6" w:rsidRPr="001310AD" w:rsidRDefault="005774D6">
            <w:pPr>
              <w:jc w:val="center"/>
              <w:rPr>
                <w:rFonts w:ascii="Arial Narrow" w:hAnsi="Arial Narrow" w:cs="Calibri"/>
                <w:color w:val="000000" w:themeColor="text1"/>
                <w:sz w:val="20"/>
                <w:szCs w:val="20"/>
              </w:rPr>
            </w:pPr>
            <w:r w:rsidRPr="001310AD">
              <w:rPr>
                <w:rFonts w:ascii="Arial Narrow" w:hAnsi="Arial Narrow" w:cs="Calibri"/>
                <w:color w:val="000000" w:themeColor="text1"/>
                <w:sz w:val="20"/>
                <w:szCs w:val="20"/>
              </w:rPr>
              <w:t>2,552.9</w:t>
            </w:r>
          </w:p>
        </w:tc>
        <w:tc>
          <w:tcPr>
            <w:tcW w:w="395" w:type="pct"/>
            <w:vAlign w:val="center"/>
          </w:tcPr>
          <w:p w14:paraId="268CF2C2" w14:textId="77777777" w:rsidR="005774D6" w:rsidRPr="001310AD" w:rsidRDefault="005774D6">
            <w:pPr>
              <w:jc w:val="center"/>
              <w:rPr>
                <w:rFonts w:ascii="Arial Narrow" w:hAnsi="Arial Narrow" w:cs="Calibri"/>
                <w:color w:val="000000" w:themeColor="text1"/>
                <w:sz w:val="20"/>
                <w:szCs w:val="20"/>
              </w:rPr>
            </w:pPr>
            <w:r w:rsidRPr="001310AD">
              <w:rPr>
                <w:rFonts w:ascii="Arial Narrow" w:hAnsi="Arial Narrow" w:cs="Calibri"/>
                <w:color w:val="000000" w:themeColor="text1"/>
                <w:sz w:val="20"/>
                <w:szCs w:val="20"/>
              </w:rPr>
              <w:t>6.3</w:t>
            </w:r>
          </w:p>
        </w:tc>
        <w:tc>
          <w:tcPr>
            <w:tcW w:w="314" w:type="pct"/>
            <w:vAlign w:val="center"/>
          </w:tcPr>
          <w:p w14:paraId="0849D0ED" w14:textId="77777777" w:rsidR="005774D6" w:rsidRPr="001310AD" w:rsidRDefault="005774D6">
            <w:pPr>
              <w:jc w:val="center"/>
              <w:rPr>
                <w:rFonts w:ascii="Arial Narrow" w:hAnsi="Arial Narrow" w:cs="Calibri"/>
                <w:color w:val="000000" w:themeColor="text1"/>
                <w:sz w:val="20"/>
                <w:szCs w:val="20"/>
              </w:rPr>
            </w:pPr>
            <w:r w:rsidRPr="001310AD">
              <w:rPr>
                <w:rFonts w:ascii="Arial Narrow" w:hAnsi="Arial Narrow" w:cs="Calibri"/>
                <w:color w:val="000000" w:themeColor="text1"/>
                <w:sz w:val="20"/>
                <w:szCs w:val="20"/>
              </w:rPr>
              <w:t>10,031</w:t>
            </w:r>
          </w:p>
        </w:tc>
        <w:tc>
          <w:tcPr>
            <w:tcW w:w="235" w:type="pct"/>
            <w:vAlign w:val="center"/>
          </w:tcPr>
          <w:p w14:paraId="12E0BC6A" w14:textId="77777777" w:rsidR="005774D6" w:rsidRPr="001310AD" w:rsidRDefault="005774D6">
            <w:pPr>
              <w:jc w:val="center"/>
              <w:rPr>
                <w:rFonts w:ascii="Arial Narrow" w:hAnsi="Arial Narrow" w:cs="Calibri"/>
                <w:color w:val="000000" w:themeColor="text1"/>
                <w:sz w:val="20"/>
                <w:szCs w:val="20"/>
              </w:rPr>
            </w:pPr>
            <w:r w:rsidRPr="001310AD">
              <w:rPr>
                <w:rFonts w:ascii="Arial Narrow" w:hAnsi="Arial Narrow" w:cs="Calibri"/>
                <w:color w:val="000000" w:themeColor="text1"/>
                <w:sz w:val="20"/>
                <w:szCs w:val="20"/>
              </w:rPr>
              <w:t>60</w:t>
            </w:r>
          </w:p>
        </w:tc>
        <w:tc>
          <w:tcPr>
            <w:tcW w:w="393" w:type="pct"/>
            <w:vAlign w:val="center"/>
          </w:tcPr>
          <w:p w14:paraId="52A8D758" w14:textId="77777777" w:rsidR="005774D6" w:rsidRPr="001310AD" w:rsidRDefault="005774D6">
            <w:pPr>
              <w:jc w:val="center"/>
              <w:rPr>
                <w:rFonts w:ascii="Arial Narrow" w:hAnsi="Arial Narrow" w:cs="Calibri"/>
                <w:color w:val="000000" w:themeColor="text1"/>
                <w:sz w:val="20"/>
                <w:szCs w:val="20"/>
              </w:rPr>
            </w:pPr>
            <w:r w:rsidRPr="001310AD">
              <w:rPr>
                <w:rFonts w:ascii="Arial Narrow" w:hAnsi="Arial Narrow" w:cs="Calibri"/>
                <w:color w:val="000000" w:themeColor="text1"/>
                <w:sz w:val="20"/>
                <w:szCs w:val="20"/>
              </w:rPr>
              <w:t>5,081.3</w:t>
            </w:r>
          </w:p>
        </w:tc>
        <w:tc>
          <w:tcPr>
            <w:tcW w:w="392" w:type="pct"/>
            <w:vAlign w:val="center"/>
          </w:tcPr>
          <w:p w14:paraId="325A2496" w14:textId="77777777" w:rsidR="005774D6" w:rsidRPr="001310AD" w:rsidRDefault="005774D6">
            <w:pPr>
              <w:jc w:val="center"/>
              <w:rPr>
                <w:rFonts w:ascii="Arial Narrow" w:hAnsi="Arial Narrow" w:cs="Calibri"/>
                <w:color w:val="000000" w:themeColor="text1"/>
                <w:sz w:val="20"/>
                <w:szCs w:val="20"/>
              </w:rPr>
            </w:pPr>
            <w:r w:rsidRPr="001310AD">
              <w:rPr>
                <w:rFonts w:ascii="Arial Narrow" w:hAnsi="Arial Narrow" w:cs="Calibri"/>
                <w:color w:val="000000" w:themeColor="text1"/>
                <w:sz w:val="20"/>
                <w:szCs w:val="20"/>
              </w:rPr>
              <w:t>11.8</w:t>
            </w:r>
          </w:p>
        </w:tc>
        <w:tc>
          <w:tcPr>
            <w:tcW w:w="759" w:type="pct"/>
            <w:vAlign w:val="center"/>
          </w:tcPr>
          <w:p w14:paraId="473A4B42" w14:textId="77777777" w:rsidR="005774D6" w:rsidRPr="001310AD" w:rsidRDefault="005774D6">
            <w:pPr>
              <w:jc w:val="center"/>
              <w:rPr>
                <w:rFonts w:ascii="Arial Narrow" w:hAnsi="Arial Narrow" w:cs="Calibri"/>
                <w:b/>
                <w:bCs/>
                <w:color w:val="000000" w:themeColor="text1"/>
                <w:sz w:val="20"/>
                <w:szCs w:val="20"/>
              </w:rPr>
            </w:pPr>
            <w:r w:rsidRPr="001310AD">
              <w:rPr>
                <w:rFonts w:ascii="Arial Narrow" w:hAnsi="Arial Narrow" w:cs="Calibri"/>
                <w:b/>
                <w:bCs/>
                <w:color w:val="000000"/>
                <w:sz w:val="20"/>
                <w:szCs w:val="20"/>
              </w:rPr>
              <w:t>47.2 (7.1, 71.6)</w:t>
            </w:r>
          </w:p>
        </w:tc>
      </w:tr>
      <w:tr w:rsidR="005774D6" w:rsidRPr="001310AD" w14:paraId="56391E96" w14:textId="77777777">
        <w:trPr>
          <w:trHeight w:val="170"/>
        </w:trPr>
        <w:tc>
          <w:tcPr>
            <w:tcW w:w="5000" w:type="pct"/>
            <w:gridSpan w:val="10"/>
            <w:tcBorders>
              <w:left w:val="single" w:sz="4" w:space="0" w:color="auto"/>
            </w:tcBorders>
            <w:vAlign w:val="center"/>
          </w:tcPr>
          <w:p w14:paraId="3F69BB09" w14:textId="15030D16" w:rsidR="005774D6" w:rsidRPr="001310AD" w:rsidRDefault="005774D6">
            <w:pPr>
              <w:rPr>
                <w:rFonts w:ascii="Arial Narrow" w:hAnsi="Arial Narrow" w:cs="Calibri"/>
                <w:color w:val="000000"/>
                <w:sz w:val="20"/>
                <w:szCs w:val="20"/>
              </w:rPr>
            </w:pPr>
            <w:r w:rsidRPr="001310AD">
              <w:rPr>
                <w:rFonts w:ascii="Arial Narrow" w:hAnsi="Arial Narrow" w:cs="Calibri"/>
                <w:b/>
                <w:bCs/>
                <w:color w:val="000000"/>
                <w:sz w:val="20"/>
                <w:szCs w:val="20"/>
              </w:rPr>
              <w:t>VE against first occurrence of RT-PCR-confirmed severe RSV</w:t>
            </w:r>
            <w:r w:rsidR="00664AB5" w:rsidRPr="001310AD">
              <w:rPr>
                <w:rFonts w:ascii="Arial Narrow" w:hAnsi="Arial Narrow" w:cs="Calibri"/>
                <w:b/>
                <w:bCs/>
                <w:color w:val="000000"/>
                <w:sz w:val="20"/>
                <w:szCs w:val="20"/>
              </w:rPr>
              <w:t>-</w:t>
            </w:r>
            <w:r w:rsidRPr="001310AD">
              <w:rPr>
                <w:rFonts w:ascii="Arial Narrow" w:hAnsi="Arial Narrow" w:cs="Calibri"/>
                <w:b/>
                <w:bCs/>
                <w:color w:val="000000"/>
                <w:sz w:val="20"/>
                <w:szCs w:val="20"/>
              </w:rPr>
              <w:t>LRTD</w:t>
            </w:r>
          </w:p>
        </w:tc>
      </w:tr>
      <w:tr w:rsidR="005774D6" w:rsidRPr="001310AD" w14:paraId="3A11D490" w14:textId="77777777">
        <w:trPr>
          <w:trHeight w:val="170"/>
        </w:trPr>
        <w:tc>
          <w:tcPr>
            <w:tcW w:w="1569" w:type="pct"/>
            <w:tcBorders>
              <w:left w:val="single" w:sz="4" w:space="0" w:color="auto"/>
              <w:right w:val="single" w:sz="4" w:space="0" w:color="auto"/>
            </w:tcBorders>
            <w:shd w:val="clear" w:color="auto" w:fill="B8CCE4" w:themeFill="accent1" w:themeFillTint="66"/>
            <w:vAlign w:val="center"/>
          </w:tcPr>
          <w:p w14:paraId="685743EB" w14:textId="5DAA8AF2" w:rsidR="005774D6" w:rsidRPr="001310AD" w:rsidRDefault="00D52168">
            <w:pPr>
              <w:jc w:val="left"/>
              <w:rPr>
                <w:rFonts w:ascii="Arial Narrow" w:hAnsi="Arial Narrow" w:cs="Calibri"/>
                <w:color w:val="000000"/>
                <w:sz w:val="20"/>
                <w:szCs w:val="20"/>
              </w:rPr>
            </w:pPr>
            <w:r w:rsidRPr="001310AD">
              <w:rPr>
                <w:rFonts w:ascii="Arial Narrow" w:hAnsi="Arial Narrow" w:cs="Calibri"/>
                <w:color w:val="000000"/>
                <w:sz w:val="20"/>
                <w:szCs w:val="20"/>
              </w:rPr>
              <w:t>End of Se</w:t>
            </w:r>
            <w:r w:rsidR="00DC06CC" w:rsidRPr="001310AD">
              <w:rPr>
                <w:rFonts w:ascii="Arial Narrow" w:hAnsi="Arial Narrow" w:cs="Calibri"/>
                <w:color w:val="000000"/>
                <w:sz w:val="20"/>
                <w:szCs w:val="20"/>
              </w:rPr>
              <w:t>a</w:t>
            </w:r>
            <w:r w:rsidRPr="001310AD">
              <w:rPr>
                <w:rFonts w:ascii="Arial Narrow" w:hAnsi="Arial Narrow" w:cs="Calibri"/>
                <w:color w:val="000000"/>
                <w:sz w:val="20"/>
                <w:szCs w:val="20"/>
              </w:rPr>
              <w:t>son</w:t>
            </w:r>
            <w:r w:rsidR="005774D6" w:rsidRPr="001310AD">
              <w:rPr>
                <w:rFonts w:ascii="Arial Narrow" w:hAnsi="Arial Narrow" w:cs="Calibri"/>
                <w:color w:val="000000"/>
                <w:sz w:val="20"/>
                <w:szCs w:val="20"/>
              </w:rPr>
              <w:t xml:space="preserve"> 1</w:t>
            </w:r>
            <w:r w:rsidR="00C114C7" w:rsidRPr="001310AD">
              <w:rPr>
                <w:rFonts w:ascii="Arial Narrow" w:hAnsi="Arial Narrow" w:cs="Calibri"/>
                <w:color w:val="000000"/>
                <w:sz w:val="20"/>
                <w:szCs w:val="20"/>
              </w:rPr>
              <w:t xml:space="preserve"> </w:t>
            </w:r>
            <w:r w:rsidR="00D61C86" w:rsidRPr="001310AD">
              <w:rPr>
                <w:rFonts w:ascii="Arial Narrow" w:hAnsi="Arial Narrow" w:cs="Calibri"/>
                <w:color w:val="000000"/>
                <w:sz w:val="20"/>
                <w:szCs w:val="20"/>
                <w:vertAlign w:val="superscript"/>
              </w:rPr>
              <w:t>f</w:t>
            </w:r>
            <w:r w:rsidR="005774D6" w:rsidRPr="001310AD">
              <w:rPr>
                <w:rFonts w:ascii="Arial Narrow" w:hAnsi="Arial Narrow" w:cs="Calibri"/>
                <w:color w:val="000000"/>
                <w:sz w:val="20"/>
                <w:szCs w:val="20"/>
              </w:rPr>
              <w:t xml:space="preserve"> </w:t>
            </w:r>
          </w:p>
        </w:tc>
        <w:tc>
          <w:tcPr>
            <w:tcW w:w="393" w:type="pct"/>
            <w:tcBorders>
              <w:left w:val="single" w:sz="4" w:space="0" w:color="auto"/>
            </w:tcBorders>
            <w:shd w:val="clear" w:color="auto" w:fill="B8CCE4" w:themeFill="accent1" w:themeFillTint="66"/>
            <w:vAlign w:val="center"/>
          </w:tcPr>
          <w:p w14:paraId="76D58FFE"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12,466</w:t>
            </w:r>
          </w:p>
        </w:tc>
        <w:tc>
          <w:tcPr>
            <w:tcW w:w="157" w:type="pct"/>
            <w:shd w:val="clear" w:color="auto" w:fill="B8CCE4" w:themeFill="accent1" w:themeFillTint="66"/>
            <w:vAlign w:val="center"/>
          </w:tcPr>
          <w:p w14:paraId="7A020C9D"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w:t>
            </w:r>
          </w:p>
        </w:tc>
        <w:tc>
          <w:tcPr>
            <w:tcW w:w="393" w:type="pct"/>
            <w:shd w:val="clear" w:color="auto" w:fill="B8CCE4" w:themeFill="accent1" w:themeFillTint="66"/>
            <w:vAlign w:val="center"/>
          </w:tcPr>
          <w:p w14:paraId="3BAAE14A"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6,867.9</w:t>
            </w:r>
          </w:p>
        </w:tc>
        <w:tc>
          <w:tcPr>
            <w:tcW w:w="395" w:type="pct"/>
            <w:shd w:val="clear" w:color="auto" w:fill="B8CCE4" w:themeFill="accent1" w:themeFillTint="66"/>
            <w:vAlign w:val="center"/>
          </w:tcPr>
          <w:p w14:paraId="2591B045"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0.1</w:t>
            </w:r>
          </w:p>
        </w:tc>
        <w:tc>
          <w:tcPr>
            <w:tcW w:w="314" w:type="pct"/>
            <w:shd w:val="clear" w:color="auto" w:fill="B8CCE4" w:themeFill="accent1" w:themeFillTint="66"/>
            <w:vAlign w:val="center"/>
          </w:tcPr>
          <w:p w14:paraId="61241F7B"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12,494</w:t>
            </w:r>
          </w:p>
        </w:tc>
        <w:tc>
          <w:tcPr>
            <w:tcW w:w="235" w:type="pct"/>
            <w:shd w:val="clear" w:color="auto" w:fill="B8CCE4" w:themeFill="accent1" w:themeFillTint="66"/>
            <w:vAlign w:val="center"/>
          </w:tcPr>
          <w:p w14:paraId="41D89869"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17</w:t>
            </w:r>
          </w:p>
        </w:tc>
        <w:tc>
          <w:tcPr>
            <w:tcW w:w="393" w:type="pct"/>
            <w:shd w:val="clear" w:color="auto" w:fill="B8CCE4" w:themeFill="accent1" w:themeFillTint="66"/>
            <w:vAlign w:val="center"/>
          </w:tcPr>
          <w:p w14:paraId="2D5BCF1C"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6,867.7</w:t>
            </w:r>
          </w:p>
        </w:tc>
        <w:tc>
          <w:tcPr>
            <w:tcW w:w="392" w:type="pct"/>
            <w:shd w:val="clear" w:color="auto" w:fill="B8CCE4" w:themeFill="accent1" w:themeFillTint="66"/>
            <w:vAlign w:val="center"/>
          </w:tcPr>
          <w:p w14:paraId="36252C48"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2.5</w:t>
            </w:r>
          </w:p>
        </w:tc>
        <w:tc>
          <w:tcPr>
            <w:tcW w:w="759" w:type="pct"/>
            <w:shd w:val="clear" w:color="auto" w:fill="B8CCE4" w:themeFill="accent1" w:themeFillTint="66"/>
            <w:vAlign w:val="center"/>
          </w:tcPr>
          <w:p w14:paraId="4B208818" w14:textId="71EB982B" w:rsidR="005774D6" w:rsidRPr="001310AD" w:rsidRDefault="005774D6">
            <w:pPr>
              <w:jc w:val="center"/>
              <w:rPr>
                <w:rFonts w:ascii="Arial Narrow" w:hAnsi="Arial Narrow" w:cs="Calibri"/>
                <w:b/>
                <w:bCs/>
                <w:color w:val="000000"/>
                <w:sz w:val="20"/>
                <w:szCs w:val="20"/>
              </w:rPr>
            </w:pPr>
            <w:r w:rsidRPr="001310AD">
              <w:rPr>
                <w:rFonts w:ascii="Arial Narrow" w:hAnsi="Arial Narrow" w:cs="Calibri"/>
                <w:b/>
                <w:bCs/>
                <w:color w:val="000000"/>
                <w:sz w:val="20"/>
                <w:szCs w:val="20"/>
              </w:rPr>
              <w:t>94 (62.4, 99.9)</w:t>
            </w:r>
            <w:r w:rsidR="00747209" w:rsidRPr="001310AD">
              <w:rPr>
                <w:rFonts w:ascii="Arial Narrow" w:hAnsi="Arial Narrow" w:cs="Calibri"/>
                <w:b/>
                <w:bCs/>
                <w:color w:val="000000"/>
                <w:sz w:val="20"/>
                <w:szCs w:val="20"/>
                <w:vertAlign w:val="superscript"/>
              </w:rPr>
              <w:t>b</w:t>
            </w:r>
          </w:p>
        </w:tc>
      </w:tr>
      <w:tr w:rsidR="005774D6" w:rsidRPr="001310AD" w14:paraId="1FB21D0F" w14:textId="77777777">
        <w:trPr>
          <w:trHeight w:val="170"/>
        </w:trPr>
        <w:tc>
          <w:tcPr>
            <w:tcW w:w="1569" w:type="pct"/>
            <w:tcBorders>
              <w:left w:val="single" w:sz="4" w:space="0" w:color="auto"/>
              <w:right w:val="single" w:sz="4" w:space="0" w:color="auto"/>
            </w:tcBorders>
            <w:shd w:val="clear" w:color="auto" w:fill="B8CCE4" w:themeFill="accent1" w:themeFillTint="66"/>
            <w:vAlign w:val="center"/>
          </w:tcPr>
          <w:p w14:paraId="59147BF7" w14:textId="306DB166" w:rsidR="005774D6" w:rsidRPr="001310AD" w:rsidRDefault="00275695">
            <w:pPr>
              <w:jc w:val="left"/>
              <w:rPr>
                <w:rFonts w:ascii="Arial Narrow" w:hAnsi="Arial Narrow" w:cs="Calibri"/>
                <w:sz w:val="20"/>
                <w:szCs w:val="20"/>
              </w:rPr>
            </w:pPr>
            <w:r w:rsidRPr="001310AD">
              <w:rPr>
                <w:rFonts w:ascii="Arial Narrow" w:hAnsi="Arial Narrow" w:cs="Calibri"/>
                <w:color w:val="000000"/>
                <w:sz w:val="20"/>
                <w:szCs w:val="20"/>
              </w:rPr>
              <w:t>End of season 2</w:t>
            </w:r>
            <w:r w:rsidR="00C114C7" w:rsidRPr="001310AD">
              <w:rPr>
                <w:rFonts w:ascii="Arial Narrow" w:hAnsi="Arial Narrow" w:cs="Calibri"/>
                <w:color w:val="000000"/>
                <w:sz w:val="20"/>
                <w:szCs w:val="20"/>
              </w:rPr>
              <w:t xml:space="preserve"> </w:t>
            </w:r>
            <w:r w:rsidR="00D61C86" w:rsidRPr="001310AD">
              <w:rPr>
                <w:rFonts w:ascii="Arial Narrow" w:hAnsi="Arial Narrow" w:cs="Calibri"/>
                <w:color w:val="000000"/>
                <w:sz w:val="20"/>
                <w:szCs w:val="20"/>
                <w:vertAlign w:val="superscript"/>
              </w:rPr>
              <w:t>f</w:t>
            </w:r>
            <w:r w:rsidR="005774D6" w:rsidRPr="001310AD">
              <w:rPr>
                <w:rFonts w:ascii="Arial Narrow" w:hAnsi="Arial Narrow" w:cs="Calibri"/>
                <w:color w:val="000000"/>
                <w:sz w:val="20"/>
                <w:szCs w:val="20"/>
              </w:rPr>
              <w:t xml:space="preserve"> </w:t>
            </w:r>
          </w:p>
        </w:tc>
        <w:tc>
          <w:tcPr>
            <w:tcW w:w="393" w:type="pct"/>
            <w:tcBorders>
              <w:left w:val="single" w:sz="4" w:space="0" w:color="auto"/>
            </w:tcBorders>
            <w:shd w:val="clear" w:color="auto" w:fill="B8CCE4" w:themeFill="accent1" w:themeFillTint="66"/>
            <w:vAlign w:val="center"/>
          </w:tcPr>
          <w:p w14:paraId="01E4A2E7" w14:textId="77777777" w:rsidR="005774D6" w:rsidRPr="001310AD" w:rsidRDefault="005774D6">
            <w:pPr>
              <w:jc w:val="center"/>
              <w:rPr>
                <w:rFonts w:ascii="Arial Narrow" w:hAnsi="Arial Narrow" w:cs="Calibri"/>
                <w:sz w:val="20"/>
                <w:szCs w:val="20"/>
              </w:rPr>
            </w:pPr>
            <w:r w:rsidRPr="001310AD">
              <w:rPr>
                <w:rFonts w:ascii="Arial Narrow" w:hAnsi="Arial Narrow" w:cs="Calibri"/>
                <w:color w:val="000000"/>
                <w:sz w:val="20"/>
                <w:szCs w:val="20"/>
              </w:rPr>
              <w:t>4,988</w:t>
            </w:r>
          </w:p>
        </w:tc>
        <w:tc>
          <w:tcPr>
            <w:tcW w:w="157" w:type="pct"/>
            <w:shd w:val="clear" w:color="auto" w:fill="B8CCE4" w:themeFill="accent1" w:themeFillTint="66"/>
            <w:vAlign w:val="center"/>
          </w:tcPr>
          <w:p w14:paraId="3B4A282C"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7</w:t>
            </w:r>
          </w:p>
        </w:tc>
        <w:tc>
          <w:tcPr>
            <w:tcW w:w="393" w:type="pct"/>
            <w:shd w:val="clear" w:color="auto" w:fill="B8CCE4" w:themeFill="accent1" w:themeFillTint="66"/>
            <w:vAlign w:val="center"/>
          </w:tcPr>
          <w:p w14:paraId="26F3F8EE"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4,705.6</w:t>
            </w:r>
          </w:p>
        </w:tc>
        <w:tc>
          <w:tcPr>
            <w:tcW w:w="395" w:type="pct"/>
            <w:shd w:val="clear" w:color="auto" w:fill="B8CCE4" w:themeFill="accent1" w:themeFillTint="66"/>
            <w:vAlign w:val="center"/>
          </w:tcPr>
          <w:p w14:paraId="78A17DE0"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1.5</w:t>
            </w:r>
          </w:p>
        </w:tc>
        <w:tc>
          <w:tcPr>
            <w:tcW w:w="314" w:type="pct"/>
            <w:shd w:val="clear" w:color="auto" w:fill="B8CCE4" w:themeFill="accent1" w:themeFillTint="66"/>
            <w:vAlign w:val="center"/>
          </w:tcPr>
          <w:p w14:paraId="6666FC26" w14:textId="77777777" w:rsidR="005774D6" w:rsidRPr="001310AD" w:rsidRDefault="005774D6">
            <w:pPr>
              <w:jc w:val="center"/>
              <w:rPr>
                <w:rFonts w:ascii="Arial Narrow" w:hAnsi="Arial Narrow" w:cs="Calibri"/>
                <w:sz w:val="20"/>
                <w:szCs w:val="20"/>
              </w:rPr>
            </w:pPr>
            <w:r w:rsidRPr="001310AD">
              <w:rPr>
                <w:rFonts w:ascii="Arial Narrow" w:hAnsi="Arial Narrow" w:cs="Calibri"/>
                <w:color w:val="000000"/>
                <w:sz w:val="20"/>
                <w:szCs w:val="20"/>
              </w:rPr>
              <w:t>10,031</w:t>
            </w:r>
          </w:p>
        </w:tc>
        <w:tc>
          <w:tcPr>
            <w:tcW w:w="235" w:type="pct"/>
            <w:shd w:val="clear" w:color="auto" w:fill="B8CCE4" w:themeFill="accent1" w:themeFillTint="66"/>
            <w:vAlign w:val="center"/>
          </w:tcPr>
          <w:p w14:paraId="17E42EB9"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34</w:t>
            </w:r>
          </w:p>
        </w:tc>
        <w:tc>
          <w:tcPr>
            <w:tcW w:w="393" w:type="pct"/>
            <w:shd w:val="clear" w:color="auto" w:fill="B8CCE4" w:themeFill="accent1" w:themeFillTint="66"/>
            <w:vAlign w:val="center"/>
          </w:tcPr>
          <w:p w14:paraId="27E13EC8"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9,462.2</w:t>
            </w:r>
          </w:p>
        </w:tc>
        <w:tc>
          <w:tcPr>
            <w:tcW w:w="392" w:type="pct"/>
            <w:shd w:val="clear" w:color="auto" w:fill="B8CCE4" w:themeFill="accent1" w:themeFillTint="66"/>
            <w:vAlign w:val="center"/>
          </w:tcPr>
          <w:p w14:paraId="073254C1"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3.6</w:t>
            </w:r>
          </w:p>
        </w:tc>
        <w:tc>
          <w:tcPr>
            <w:tcW w:w="759" w:type="pct"/>
            <w:shd w:val="clear" w:color="auto" w:fill="B8CCE4" w:themeFill="accent1" w:themeFillTint="66"/>
            <w:vAlign w:val="center"/>
          </w:tcPr>
          <w:p w14:paraId="30EA1847" w14:textId="77777777"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58.9 (5.8, 84.6)</w:t>
            </w:r>
          </w:p>
        </w:tc>
      </w:tr>
      <w:tr w:rsidR="005774D6" w:rsidRPr="001310AD" w14:paraId="166BCF84" w14:textId="77777777">
        <w:trPr>
          <w:trHeight w:val="170"/>
        </w:trPr>
        <w:tc>
          <w:tcPr>
            <w:tcW w:w="1569" w:type="pct"/>
            <w:tcBorders>
              <w:left w:val="single" w:sz="4" w:space="0" w:color="auto"/>
              <w:right w:val="single" w:sz="4" w:space="0" w:color="auto"/>
            </w:tcBorders>
            <w:vAlign w:val="center"/>
          </w:tcPr>
          <w:p w14:paraId="0F1183F2" w14:textId="2DB16A5F" w:rsidR="005774D6" w:rsidRPr="001310AD" w:rsidRDefault="005774D6">
            <w:pPr>
              <w:jc w:val="left"/>
              <w:rPr>
                <w:rFonts w:ascii="Arial Narrow" w:hAnsi="Arial Narrow" w:cs="Calibri"/>
                <w:color w:val="000000"/>
                <w:sz w:val="20"/>
                <w:szCs w:val="20"/>
              </w:rPr>
            </w:pPr>
            <w:r w:rsidRPr="001310AD">
              <w:rPr>
                <w:rFonts w:ascii="Arial Narrow" w:hAnsi="Arial Narrow" w:cs="Calibri"/>
                <w:sz w:val="20"/>
                <w:szCs w:val="20"/>
              </w:rPr>
              <w:t>End of Season 3</w:t>
            </w:r>
            <w:r w:rsidR="00C114C7" w:rsidRPr="001310AD">
              <w:rPr>
                <w:rFonts w:ascii="Arial Narrow" w:hAnsi="Arial Narrow" w:cs="Calibri"/>
                <w:color w:val="000000"/>
                <w:sz w:val="20"/>
                <w:szCs w:val="20"/>
              </w:rPr>
              <w:t xml:space="preserve"> </w:t>
            </w:r>
            <w:r w:rsidR="00D61C86" w:rsidRPr="001310AD">
              <w:rPr>
                <w:rFonts w:ascii="Arial Narrow" w:hAnsi="Arial Narrow" w:cs="Calibri"/>
                <w:color w:val="000000"/>
                <w:sz w:val="20"/>
                <w:szCs w:val="20"/>
                <w:vertAlign w:val="superscript"/>
              </w:rPr>
              <w:t>f</w:t>
            </w:r>
            <w:r w:rsidRPr="001310AD">
              <w:rPr>
                <w:rFonts w:ascii="Arial Narrow" w:hAnsi="Arial Narrow" w:cs="Calibri"/>
                <w:sz w:val="20"/>
                <w:szCs w:val="20"/>
              </w:rPr>
              <w:t xml:space="preserve"> </w:t>
            </w:r>
          </w:p>
        </w:tc>
        <w:tc>
          <w:tcPr>
            <w:tcW w:w="393" w:type="pct"/>
            <w:tcBorders>
              <w:left w:val="single" w:sz="4" w:space="0" w:color="auto"/>
            </w:tcBorders>
            <w:vAlign w:val="center"/>
          </w:tcPr>
          <w:p w14:paraId="2DFF96EF"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4,988</w:t>
            </w:r>
          </w:p>
        </w:tc>
        <w:tc>
          <w:tcPr>
            <w:tcW w:w="157" w:type="pct"/>
            <w:vAlign w:val="center"/>
          </w:tcPr>
          <w:p w14:paraId="414E1542"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6</w:t>
            </w:r>
          </w:p>
        </w:tc>
        <w:tc>
          <w:tcPr>
            <w:tcW w:w="393" w:type="pct"/>
            <w:vAlign w:val="center"/>
          </w:tcPr>
          <w:p w14:paraId="6B9254EC"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2,720.1</w:t>
            </w:r>
          </w:p>
        </w:tc>
        <w:tc>
          <w:tcPr>
            <w:tcW w:w="395" w:type="pct"/>
            <w:vAlign w:val="center"/>
          </w:tcPr>
          <w:p w14:paraId="67D0DAAB"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2.2</w:t>
            </w:r>
          </w:p>
        </w:tc>
        <w:tc>
          <w:tcPr>
            <w:tcW w:w="314" w:type="pct"/>
            <w:vAlign w:val="center"/>
          </w:tcPr>
          <w:p w14:paraId="5261B28E"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themeColor="text1"/>
                <w:sz w:val="20"/>
                <w:szCs w:val="20"/>
              </w:rPr>
              <w:t>10,031</w:t>
            </w:r>
          </w:p>
        </w:tc>
        <w:tc>
          <w:tcPr>
            <w:tcW w:w="235" w:type="pct"/>
            <w:vAlign w:val="center"/>
          </w:tcPr>
          <w:p w14:paraId="090BC2A9"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21</w:t>
            </w:r>
          </w:p>
        </w:tc>
        <w:tc>
          <w:tcPr>
            <w:tcW w:w="393" w:type="pct"/>
            <w:vAlign w:val="center"/>
          </w:tcPr>
          <w:p w14:paraId="23379567"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5,421.6</w:t>
            </w:r>
          </w:p>
        </w:tc>
        <w:tc>
          <w:tcPr>
            <w:tcW w:w="392" w:type="pct"/>
            <w:vAlign w:val="center"/>
          </w:tcPr>
          <w:p w14:paraId="266B5940"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3.9</w:t>
            </w:r>
          </w:p>
        </w:tc>
        <w:tc>
          <w:tcPr>
            <w:tcW w:w="759" w:type="pct"/>
            <w:vAlign w:val="center"/>
          </w:tcPr>
          <w:p w14:paraId="7F4BB500" w14:textId="77777777" w:rsidR="005774D6" w:rsidRPr="001310AD" w:rsidRDefault="005774D6">
            <w:pPr>
              <w:jc w:val="center"/>
              <w:rPr>
                <w:rFonts w:ascii="Arial Narrow" w:hAnsi="Arial Narrow" w:cs="Calibri"/>
                <w:color w:val="000000"/>
                <w:sz w:val="20"/>
                <w:szCs w:val="20"/>
              </w:rPr>
            </w:pPr>
            <w:r w:rsidRPr="001310AD">
              <w:rPr>
                <w:rFonts w:ascii="Arial Narrow" w:hAnsi="Arial Narrow" w:cs="Calibri"/>
                <w:color w:val="000000"/>
                <w:sz w:val="20"/>
                <w:szCs w:val="20"/>
              </w:rPr>
              <w:t>43.3 (-45.3, 81.3)</w:t>
            </w:r>
          </w:p>
        </w:tc>
      </w:tr>
      <w:tr w:rsidR="005774D6" w:rsidRPr="001310AD" w14:paraId="6E6D638F" w14:textId="77777777">
        <w:trPr>
          <w:trHeight w:val="170"/>
        </w:trPr>
        <w:tc>
          <w:tcPr>
            <w:tcW w:w="5000" w:type="pct"/>
            <w:gridSpan w:val="10"/>
            <w:tcBorders>
              <w:left w:val="single" w:sz="4" w:space="0" w:color="auto"/>
            </w:tcBorders>
            <w:vAlign w:val="center"/>
          </w:tcPr>
          <w:p w14:paraId="4104C103" w14:textId="77777777" w:rsidR="005774D6" w:rsidRPr="001310AD" w:rsidRDefault="005774D6">
            <w:pPr>
              <w:rPr>
                <w:rFonts w:ascii="Arial Narrow" w:hAnsi="Arial Narrow" w:cs="Calibri"/>
                <w:sz w:val="20"/>
                <w:szCs w:val="20"/>
              </w:rPr>
            </w:pPr>
            <w:r w:rsidRPr="001310AD">
              <w:rPr>
                <w:rFonts w:ascii="Arial Narrow" w:hAnsi="Arial Narrow" w:cs="Calibri"/>
                <w:b/>
                <w:bCs/>
                <w:color w:val="000000"/>
                <w:sz w:val="20"/>
                <w:szCs w:val="20"/>
              </w:rPr>
              <w:t>VE against first occurrence of RT-PCR-confirmed RSV-ARI</w:t>
            </w:r>
          </w:p>
        </w:tc>
      </w:tr>
      <w:tr w:rsidR="005774D6" w:rsidRPr="001310AD" w14:paraId="1FAC5F35" w14:textId="77777777">
        <w:trPr>
          <w:trHeight w:val="170"/>
        </w:trPr>
        <w:tc>
          <w:tcPr>
            <w:tcW w:w="1569" w:type="pct"/>
            <w:tcBorders>
              <w:left w:val="single" w:sz="4" w:space="0" w:color="auto"/>
              <w:right w:val="single" w:sz="4" w:space="0" w:color="auto"/>
            </w:tcBorders>
            <w:shd w:val="clear" w:color="auto" w:fill="B8CCE4" w:themeFill="accent1" w:themeFillTint="66"/>
            <w:vAlign w:val="center"/>
          </w:tcPr>
          <w:p w14:paraId="75914C1F" w14:textId="0A4A8912" w:rsidR="005774D6" w:rsidRPr="001310AD" w:rsidRDefault="002309B5">
            <w:pPr>
              <w:jc w:val="left"/>
              <w:rPr>
                <w:rFonts w:ascii="Arial Narrow" w:hAnsi="Arial Narrow" w:cs="Calibri"/>
                <w:sz w:val="20"/>
                <w:szCs w:val="20"/>
              </w:rPr>
            </w:pPr>
            <w:r w:rsidRPr="001310AD">
              <w:rPr>
                <w:rFonts w:ascii="Arial Narrow" w:hAnsi="Arial Narrow" w:cs="Calibri"/>
                <w:color w:val="000000"/>
                <w:sz w:val="20"/>
                <w:szCs w:val="20"/>
              </w:rPr>
              <w:t xml:space="preserve">End of Season </w:t>
            </w:r>
            <w:r w:rsidR="005774D6" w:rsidRPr="001310AD">
              <w:rPr>
                <w:rFonts w:ascii="Arial Narrow" w:hAnsi="Arial Narrow" w:cs="Calibri"/>
                <w:color w:val="000000"/>
                <w:sz w:val="20"/>
                <w:szCs w:val="20"/>
              </w:rPr>
              <w:t>1</w:t>
            </w:r>
            <w:r w:rsidR="00C114C7" w:rsidRPr="001310AD">
              <w:rPr>
                <w:rFonts w:ascii="Arial Narrow" w:hAnsi="Arial Narrow" w:cs="Calibri"/>
                <w:color w:val="000000"/>
                <w:sz w:val="20"/>
                <w:szCs w:val="20"/>
              </w:rPr>
              <w:t xml:space="preserve"> </w:t>
            </w:r>
            <w:r w:rsidR="00C114C7" w:rsidRPr="001310AD">
              <w:rPr>
                <w:rFonts w:ascii="Arial Narrow" w:hAnsi="Arial Narrow" w:cs="Calibri"/>
                <w:color w:val="000000"/>
                <w:sz w:val="20"/>
                <w:szCs w:val="20"/>
                <w:vertAlign w:val="superscript"/>
              </w:rPr>
              <w:t>e</w:t>
            </w:r>
            <w:r w:rsidR="005774D6" w:rsidRPr="001310AD">
              <w:rPr>
                <w:rFonts w:ascii="Arial Narrow" w:hAnsi="Arial Narrow" w:cs="Calibri"/>
                <w:color w:val="000000"/>
                <w:sz w:val="20"/>
                <w:szCs w:val="20"/>
              </w:rPr>
              <w:t xml:space="preserve"> </w:t>
            </w:r>
          </w:p>
        </w:tc>
        <w:tc>
          <w:tcPr>
            <w:tcW w:w="393" w:type="pct"/>
            <w:tcBorders>
              <w:left w:val="single" w:sz="4" w:space="0" w:color="auto"/>
            </w:tcBorders>
            <w:shd w:val="clear" w:color="auto" w:fill="B8CCE4" w:themeFill="accent1" w:themeFillTint="66"/>
            <w:vAlign w:val="center"/>
          </w:tcPr>
          <w:p w14:paraId="6222461C"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12,468</w:t>
            </w:r>
          </w:p>
        </w:tc>
        <w:tc>
          <w:tcPr>
            <w:tcW w:w="157" w:type="pct"/>
            <w:shd w:val="clear" w:color="auto" w:fill="B8CCE4" w:themeFill="accent1" w:themeFillTint="66"/>
            <w:vAlign w:val="center"/>
          </w:tcPr>
          <w:p w14:paraId="57E87BF5"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31</w:t>
            </w:r>
          </w:p>
        </w:tc>
        <w:tc>
          <w:tcPr>
            <w:tcW w:w="393" w:type="pct"/>
            <w:shd w:val="clear" w:color="auto" w:fill="B8CCE4" w:themeFill="accent1" w:themeFillTint="66"/>
            <w:vAlign w:val="center"/>
          </w:tcPr>
          <w:p w14:paraId="0CE85367"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6,845.5</w:t>
            </w:r>
          </w:p>
        </w:tc>
        <w:tc>
          <w:tcPr>
            <w:tcW w:w="395" w:type="pct"/>
            <w:shd w:val="clear" w:color="auto" w:fill="B8CCE4" w:themeFill="accent1" w:themeFillTint="66"/>
            <w:vAlign w:val="center"/>
          </w:tcPr>
          <w:p w14:paraId="47D45163"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4.5</w:t>
            </w:r>
          </w:p>
        </w:tc>
        <w:tc>
          <w:tcPr>
            <w:tcW w:w="314" w:type="pct"/>
            <w:shd w:val="clear" w:color="auto" w:fill="B8CCE4" w:themeFill="accent1" w:themeFillTint="66"/>
            <w:vAlign w:val="center"/>
          </w:tcPr>
          <w:p w14:paraId="37431AEE"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12,498</w:t>
            </w:r>
          </w:p>
        </w:tc>
        <w:tc>
          <w:tcPr>
            <w:tcW w:w="235" w:type="pct"/>
            <w:shd w:val="clear" w:color="auto" w:fill="B8CCE4" w:themeFill="accent1" w:themeFillTint="66"/>
            <w:vAlign w:val="center"/>
          </w:tcPr>
          <w:p w14:paraId="246CFFBE"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90</w:t>
            </w:r>
          </w:p>
        </w:tc>
        <w:tc>
          <w:tcPr>
            <w:tcW w:w="393" w:type="pct"/>
            <w:shd w:val="clear" w:color="auto" w:fill="B8CCE4" w:themeFill="accent1" w:themeFillTint="66"/>
            <w:vAlign w:val="center"/>
          </w:tcPr>
          <w:p w14:paraId="049BE95A"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6,816.8</w:t>
            </w:r>
          </w:p>
        </w:tc>
        <w:tc>
          <w:tcPr>
            <w:tcW w:w="392" w:type="pct"/>
            <w:shd w:val="clear" w:color="auto" w:fill="B8CCE4" w:themeFill="accent1" w:themeFillTint="66"/>
            <w:vAlign w:val="center"/>
          </w:tcPr>
          <w:p w14:paraId="6C53E68D"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13.2</w:t>
            </w:r>
          </w:p>
        </w:tc>
        <w:tc>
          <w:tcPr>
            <w:tcW w:w="759" w:type="pct"/>
            <w:shd w:val="clear" w:color="auto" w:fill="B8CCE4" w:themeFill="accent1" w:themeFillTint="66"/>
            <w:vAlign w:val="center"/>
          </w:tcPr>
          <w:p w14:paraId="69C0ACA7" w14:textId="1413005A"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65.7 (48.0, 78.0)</w:t>
            </w:r>
            <w:r w:rsidR="00747209" w:rsidRPr="001310AD">
              <w:rPr>
                <w:rFonts w:ascii="Arial Narrow" w:hAnsi="Arial Narrow" w:cs="Calibri"/>
                <w:b/>
                <w:bCs/>
                <w:sz w:val="20"/>
                <w:szCs w:val="20"/>
                <w:vertAlign w:val="superscript"/>
              </w:rPr>
              <w:t>b</w:t>
            </w:r>
          </w:p>
        </w:tc>
      </w:tr>
      <w:tr w:rsidR="005774D6" w:rsidRPr="001310AD" w14:paraId="46062790" w14:textId="77777777">
        <w:trPr>
          <w:trHeight w:val="170"/>
        </w:trPr>
        <w:tc>
          <w:tcPr>
            <w:tcW w:w="1569" w:type="pct"/>
            <w:tcBorders>
              <w:left w:val="single" w:sz="4" w:space="0" w:color="auto"/>
              <w:right w:val="single" w:sz="4" w:space="0" w:color="auto"/>
            </w:tcBorders>
            <w:shd w:val="clear" w:color="auto" w:fill="B8CCE4" w:themeFill="accent1" w:themeFillTint="66"/>
            <w:vAlign w:val="center"/>
          </w:tcPr>
          <w:p w14:paraId="32CD343E" w14:textId="687920BF" w:rsidR="005774D6" w:rsidRPr="001310AD" w:rsidRDefault="002309B5">
            <w:pPr>
              <w:jc w:val="left"/>
              <w:rPr>
                <w:rFonts w:ascii="Arial Narrow" w:hAnsi="Arial Narrow" w:cs="Calibri"/>
                <w:sz w:val="20"/>
                <w:szCs w:val="20"/>
              </w:rPr>
            </w:pPr>
            <w:r w:rsidRPr="001310AD">
              <w:rPr>
                <w:rFonts w:ascii="Arial Narrow" w:hAnsi="Arial Narrow" w:cs="Calibri"/>
                <w:color w:val="000000"/>
                <w:sz w:val="20"/>
                <w:szCs w:val="20"/>
              </w:rPr>
              <w:t>End of Season 2</w:t>
            </w:r>
            <w:r w:rsidR="00C114C7" w:rsidRPr="001310AD">
              <w:rPr>
                <w:rFonts w:ascii="Arial Narrow" w:hAnsi="Arial Narrow" w:cs="Calibri"/>
                <w:color w:val="000000"/>
                <w:sz w:val="20"/>
                <w:szCs w:val="20"/>
              </w:rPr>
              <w:t xml:space="preserve"> </w:t>
            </w:r>
            <w:r w:rsidR="00C114C7" w:rsidRPr="001310AD">
              <w:rPr>
                <w:rFonts w:ascii="Arial Narrow" w:hAnsi="Arial Narrow" w:cs="Calibri"/>
                <w:color w:val="000000"/>
                <w:sz w:val="20"/>
                <w:szCs w:val="20"/>
                <w:vertAlign w:val="superscript"/>
              </w:rPr>
              <w:t>e</w:t>
            </w:r>
            <w:r w:rsidR="005774D6" w:rsidRPr="001310AD">
              <w:rPr>
                <w:rFonts w:ascii="Arial Narrow" w:hAnsi="Arial Narrow" w:cs="Calibri"/>
                <w:color w:val="000000"/>
                <w:sz w:val="20"/>
                <w:szCs w:val="20"/>
              </w:rPr>
              <w:t xml:space="preserve"> </w:t>
            </w:r>
          </w:p>
        </w:tc>
        <w:tc>
          <w:tcPr>
            <w:tcW w:w="393" w:type="pct"/>
            <w:tcBorders>
              <w:left w:val="single" w:sz="4" w:space="0" w:color="auto"/>
            </w:tcBorders>
            <w:shd w:val="clear" w:color="auto" w:fill="B8CCE4" w:themeFill="accent1" w:themeFillTint="66"/>
            <w:vAlign w:val="center"/>
          </w:tcPr>
          <w:p w14:paraId="055A0D03" w14:textId="77777777" w:rsidR="005774D6" w:rsidRPr="001310AD" w:rsidRDefault="005774D6">
            <w:pPr>
              <w:jc w:val="center"/>
              <w:rPr>
                <w:rFonts w:ascii="Arial Narrow" w:hAnsi="Arial Narrow" w:cs="Calibri"/>
                <w:sz w:val="20"/>
                <w:szCs w:val="20"/>
              </w:rPr>
            </w:pPr>
            <w:r w:rsidRPr="001310AD">
              <w:rPr>
                <w:rFonts w:ascii="Arial Narrow" w:hAnsi="Arial Narrow" w:cs="Calibri"/>
                <w:color w:val="000000"/>
                <w:sz w:val="20"/>
                <w:szCs w:val="20"/>
              </w:rPr>
              <w:t>4,988</w:t>
            </w:r>
          </w:p>
        </w:tc>
        <w:tc>
          <w:tcPr>
            <w:tcW w:w="157" w:type="pct"/>
            <w:shd w:val="clear" w:color="auto" w:fill="B8CCE4" w:themeFill="accent1" w:themeFillTint="66"/>
            <w:vAlign w:val="center"/>
          </w:tcPr>
          <w:p w14:paraId="6AB1E170"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55</w:t>
            </w:r>
          </w:p>
        </w:tc>
        <w:tc>
          <w:tcPr>
            <w:tcW w:w="393" w:type="pct"/>
            <w:shd w:val="clear" w:color="auto" w:fill="B8CCE4" w:themeFill="accent1" w:themeFillTint="66"/>
            <w:vAlign w:val="center"/>
          </w:tcPr>
          <w:p w14:paraId="45226C1D"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2,788.6</w:t>
            </w:r>
          </w:p>
        </w:tc>
        <w:tc>
          <w:tcPr>
            <w:tcW w:w="395" w:type="pct"/>
            <w:shd w:val="clear" w:color="auto" w:fill="B8CCE4" w:themeFill="accent1" w:themeFillTint="66"/>
            <w:vAlign w:val="center"/>
          </w:tcPr>
          <w:p w14:paraId="549A79FD"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19.7</w:t>
            </w:r>
          </w:p>
        </w:tc>
        <w:tc>
          <w:tcPr>
            <w:tcW w:w="314" w:type="pct"/>
            <w:shd w:val="clear" w:color="auto" w:fill="B8CCE4" w:themeFill="accent1" w:themeFillTint="66"/>
            <w:vAlign w:val="center"/>
          </w:tcPr>
          <w:p w14:paraId="4546B680" w14:textId="77777777" w:rsidR="005774D6" w:rsidRPr="001310AD" w:rsidRDefault="005774D6">
            <w:pPr>
              <w:jc w:val="center"/>
              <w:rPr>
                <w:rFonts w:ascii="Arial Narrow" w:hAnsi="Arial Narrow" w:cs="Calibri"/>
                <w:sz w:val="20"/>
                <w:szCs w:val="20"/>
              </w:rPr>
            </w:pPr>
            <w:r w:rsidRPr="001310AD">
              <w:rPr>
                <w:rFonts w:ascii="Arial Narrow" w:hAnsi="Arial Narrow" w:cs="Calibri"/>
                <w:color w:val="000000"/>
                <w:sz w:val="20"/>
                <w:szCs w:val="20"/>
              </w:rPr>
              <w:t>10,031</w:t>
            </w:r>
          </w:p>
        </w:tc>
        <w:tc>
          <w:tcPr>
            <w:tcW w:w="235" w:type="pct"/>
            <w:shd w:val="clear" w:color="auto" w:fill="B8CCE4" w:themeFill="accent1" w:themeFillTint="66"/>
            <w:vAlign w:val="center"/>
          </w:tcPr>
          <w:p w14:paraId="44D4334D"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204</w:t>
            </w:r>
          </w:p>
        </w:tc>
        <w:tc>
          <w:tcPr>
            <w:tcW w:w="393" w:type="pct"/>
            <w:shd w:val="clear" w:color="auto" w:fill="B8CCE4" w:themeFill="accent1" w:themeFillTint="66"/>
            <w:vAlign w:val="center"/>
          </w:tcPr>
          <w:p w14:paraId="1BC0F2E8"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9,345.8</w:t>
            </w:r>
          </w:p>
        </w:tc>
        <w:tc>
          <w:tcPr>
            <w:tcW w:w="392" w:type="pct"/>
            <w:shd w:val="clear" w:color="auto" w:fill="B8CCE4" w:themeFill="accent1" w:themeFillTint="66"/>
            <w:vAlign w:val="center"/>
          </w:tcPr>
          <w:p w14:paraId="54337144"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21.8</w:t>
            </w:r>
          </w:p>
        </w:tc>
        <w:tc>
          <w:tcPr>
            <w:tcW w:w="759" w:type="pct"/>
            <w:shd w:val="clear" w:color="auto" w:fill="B8CCE4" w:themeFill="accent1" w:themeFillTint="66"/>
            <w:vAlign w:val="center"/>
          </w:tcPr>
          <w:p w14:paraId="548D2661" w14:textId="29E92634"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41.9 (21.1, 57.8)</w:t>
            </w:r>
            <w:r w:rsidR="00747209" w:rsidRPr="001310AD">
              <w:rPr>
                <w:rFonts w:ascii="Arial Narrow" w:hAnsi="Arial Narrow" w:cs="Calibri"/>
                <w:b/>
                <w:bCs/>
                <w:sz w:val="20"/>
                <w:szCs w:val="20"/>
                <w:vertAlign w:val="superscript"/>
              </w:rPr>
              <w:t>b</w:t>
            </w:r>
          </w:p>
        </w:tc>
      </w:tr>
      <w:tr w:rsidR="005774D6" w:rsidRPr="001310AD" w14:paraId="6AF62BBF" w14:textId="77777777">
        <w:trPr>
          <w:trHeight w:val="170"/>
        </w:trPr>
        <w:tc>
          <w:tcPr>
            <w:tcW w:w="1569" w:type="pct"/>
            <w:tcBorders>
              <w:left w:val="single" w:sz="4" w:space="0" w:color="auto"/>
              <w:right w:val="single" w:sz="4" w:space="0" w:color="auto"/>
            </w:tcBorders>
            <w:vAlign w:val="center"/>
          </w:tcPr>
          <w:p w14:paraId="75288E5C" w14:textId="09EA3BD9" w:rsidR="005774D6" w:rsidRPr="001310AD" w:rsidRDefault="005774D6">
            <w:pPr>
              <w:jc w:val="left"/>
              <w:rPr>
                <w:rFonts w:ascii="Arial Narrow" w:hAnsi="Arial Narrow" w:cs="Calibri"/>
                <w:sz w:val="20"/>
                <w:szCs w:val="20"/>
              </w:rPr>
            </w:pPr>
            <w:r w:rsidRPr="001310AD">
              <w:rPr>
                <w:rFonts w:ascii="Arial Narrow" w:hAnsi="Arial Narrow" w:cs="Calibri"/>
                <w:sz w:val="20"/>
                <w:szCs w:val="20"/>
              </w:rPr>
              <w:t>End of Season 3</w:t>
            </w:r>
            <w:r w:rsidR="00C114C7" w:rsidRPr="001310AD">
              <w:rPr>
                <w:rFonts w:ascii="Arial Narrow" w:hAnsi="Arial Narrow" w:cs="Calibri"/>
                <w:color w:val="000000"/>
                <w:sz w:val="20"/>
                <w:szCs w:val="20"/>
              </w:rPr>
              <w:t xml:space="preserve"> </w:t>
            </w:r>
            <w:r w:rsidR="00C114C7" w:rsidRPr="001310AD">
              <w:rPr>
                <w:rFonts w:ascii="Arial Narrow" w:hAnsi="Arial Narrow" w:cs="Calibri"/>
                <w:color w:val="000000"/>
                <w:sz w:val="20"/>
                <w:szCs w:val="20"/>
                <w:vertAlign w:val="superscript"/>
              </w:rPr>
              <w:t>e</w:t>
            </w:r>
            <w:r w:rsidRPr="001310AD">
              <w:rPr>
                <w:rFonts w:ascii="Arial Narrow" w:hAnsi="Arial Narrow" w:cs="Calibri"/>
                <w:sz w:val="20"/>
                <w:szCs w:val="20"/>
              </w:rPr>
              <w:t xml:space="preserve"> </w:t>
            </w:r>
          </w:p>
        </w:tc>
        <w:tc>
          <w:tcPr>
            <w:tcW w:w="393" w:type="pct"/>
            <w:tcBorders>
              <w:left w:val="single" w:sz="4" w:space="0" w:color="auto"/>
            </w:tcBorders>
            <w:vAlign w:val="center"/>
          </w:tcPr>
          <w:p w14:paraId="2FEA5177" w14:textId="77777777" w:rsidR="005774D6" w:rsidRPr="001310AD" w:rsidRDefault="005774D6">
            <w:pPr>
              <w:jc w:val="center"/>
              <w:rPr>
                <w:rFonts w:ascii="Arial Narrow" w:hAnsi="Arial Narrow" w:cs="Calibri"/>
                <w:sz w:val="20"/>
                <w:szCs w:val="20"/>
              </w:rPr>
            </w:pPr>
            <w:r w:rsidRPr="001310AD">
              <w:rPr>
                <w:rFonts w:ascii="Arial Narrow" w:hAnsi="Arial Narrow" w:cs="Calibri"/>
                <w:color w:val="000000"/>
                <w:sz w:val="20"/>
                <w:szCs w:val="20"/>
              </w:rPr>
              <w:t>4,988</w:t>
            </w:r>
          </w:p>
        </w:tc>
        <w:tc>
          <w:tcPr>
            <w:tcW w:w="157" w:type="pct"/>
            <w:vAlign w:val="center"/>
          </w:tcPr>
          <w:p w14:paraId="4B440764"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30</w:t>
            </w:r>
          </w:p>
        </w:tc>
        <w:tc>
          <w:tcPr>
            <w:tcW w:w="393" w:type="pct"/>
            <w:vAlign w:val="center"/>
          </w:tcPr>
          <w:p w14:paraId="0BDC53E9"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2,548.3</w:t>
            </w:r>
          </w:p>
        </w:tc>
        <w:tc>
          <w:tcPr>
            <w:tcW w:w="395" w:type="pct"/>
            <w:vAlign w:val="center"/>
          </w:tcPr>
          <w:p w14:paraId="1E8BB730"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11.8</w:t>
            </w:r>
          </w:p>
        </w:tc>
        <w:tc>
          <w:tcPr>
            <w:tcW w:w="314" w:type="pct"/>
            <w:vAlign w:val="center"/>
          </w:tcPr>
          <w:p w14:paraId="70FF5FFC" w14:textId="77777777" w:rsidR="005774D6" w:rsidRPr="001310AD" w:rsidRDefault="005774D6">
            <w:pPr>
              <w:jc w:val="center"/>
              <w:rPr>
                <w:rFonts w:ascii="Arial Narrow" w:hAnsi="Arial Narrow" w:cs="Calibri"/>
                <w:sz w:val="20"/>
                <w:szCs w:val="20"/>
              </w:rPr>
            </w:pPr>
            <w:r w:rsidRPr="001310AD">
              <w:rPr>
                <w:rFonts w:ascii="Arial Narrow" w:hAnsi="Arial Narrow" w:cs="Calibri"/>
                <w:color w:val="000000" w:themeColor="text1"/>
                <w:sz w:val="20"/>
                <w:szCs w:val="20"/>
              </w:rPr>
              <w:t>10,031</w:t>
            </w:r>
          </w:p>
        </w:tc>
        <w:tc>
          <w:tcPr>
            <w:tcW w:w="235" w:type="pct"/>
            <w:vAlign w:val="center"/>
          </w:tcPr>
          <w:p w14:paraId="1012458E"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111</w:t>
            </w:r>
          </w:p>
        </w:tc>
        <w:tc>
          <w:tcPr>
            <w:tcW w:w="393" w:type="pct"/>
            <w:vAlign w:val="center"/>
          </w:tcPr>
          <w:p w14:paraId="28030791"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5,0.65.8</w:t>
            </w:r>
          </w:p>
        </w:tc>
        <w:tc>
          <w:tcPr>
            <w:tcW w:w="392" w:type="pct"/>
            <w:vAlign w:val="center"/>
          </w:tcPr>
          <w:p w14:paraId="17461B3F" w14:textId="77777777" w:rsidR="005774D6" w:rsidRPr="001310AD" w:rsidRDefault="005774D6">
            <w:pPr>
              <w:jc w:val="center"/>
              <w:rPr>
                <w:rFonts w:ascii="Arial Narrow" w:hAnsi="Arial Narrow" w:cs="Calibri"/>
                <w:sz w:val="20"/>
                <w:szCs w:val="20"/>
              </w:rPr>
            </w:pPr>
            <w:r w:rsidRPr="001310AD">
              <w:rPr>
                <w:rFonts w:ascii="Arial Narrow" w:hAnsi="Arial Narrow" w:cs="Calibri"/>
                <w:sz w:val="20"/>
                <w:szCs w:val="20"/>
              </w:rPr>
              <w:t>21.9</w:t>
            </w:r>
          </w:p>
        </w:tc>
        <w:tc>
          <w:tcPr>
            <w:tcW w:w="759" w:type="pct"/>
            <w:vAlign w:val="center"/>
          </w:tcPr>
          <w:p w14:paraId="779003FE" w14:textId="20DC3A0A" w:rsidR="005774D6" w:rsidRPr="001310AD" w:rsidRDefault="005774D6">
            <w:pPr>
              <w:jc w:val="center"/>
              <w:rPr>
                <w:rFonts w:ascii="Arial Narrow" w:hAnsi="Arial Narrow" w:cs="Calibri"/>
                <w:b/>
                <w:bCs/>
                <w:sz w:val="20"/>
                <w:szCs w:val="20"/>
              </w:rPr>
            </w:pPr>
            <w:r w:rsidRPr="001310AD">
              <w:rPr>
                <w:rFonts w:ascii="Arial Narrow" w:hAnsi="Arial Narrow" w:cs="Calibri"/>
                <w:b/>
                <w:bCs/>
                <w:sz w:val="20"/>
                <w:szCs w:val="20"/>
              </w:rPr>
              <w:t>46.4 (20.7, 66.1)</w:t>
            </w:r>
            <w:r w:rsidR="00747209" w:rsidRPr="001310AD">
              <w:rPr>
                <w:rFonts w:ascii="Arial Narrow" w:hAnsi="Arial Narrow" w:cs="Calibri"/>
                <w:b/>
                <w:bCs/>
                <w:sz w:val="20"/>
                <w:szCs w:val="20"/>
                <w:vertAlign w:val="superscript"/>
              </w:rPr>
              <w:t>b</w:t>
            </w:r>
          </w:p>
        </w:tc>
      </w:tr>
    </w:tbl>
    <w:p w14:paraId="00F91DA0" w14:textId="7994128B" w:rsidR="005774D6" w:rsidRPr="001310AD" w:rsidRDefault="005774D6" w:rsidP="005774D6">
      <w:pPr>
        <w:pStyle w:val="FooterTableFigure"/>
      </w:pPr>
      <w:r w:rsidRPr="001310AD">
        <w:t>Source: Table 2-26, p100 of the resubmission. Table 18, p</w:t>
      </w:r>
      <w:r w:rsidR="00D61C86" w:rsidRPr="001310AD">
        <w:t>p</w:t>
      </w:r>
      <w:r w:rsidRPr="001310AD">
        <w:t>32</w:t>
      </w:r>
      <w:r w:rsidR="00D61C86" w:rsidRPr="001310AD">
        <w:t>-34</w:t>
      </w:r>
      <w:r w:rsidRPr="001310AD">
        <w:t xml:space="preserve"> of the ATAGI advice March 2025.</w:t>
      </w:r>
    </w:p>
    <w:p w14:paraId="6FF23181" w14:textId="07D9E41D" w:rsidR="005774D6" w:rsidRPr="001310AD" w:rsidRDefault="005774D6" w:rsidP="005774D6">
      <w:pPr>
        <w:pStyle w:val="FooterTableFigure"/>
      </w:pPr>
      <w:r w:rsidRPr="001310AD">
        <w:t xml:space="preserve">CI = confidence interval; FUP = follow-up; LRTD = lower respiratory tract disease; mES = modified exposure set; N = number of participants; n = number of participants with at least one RT-PCR-confirmed RSV LRTD/ARI; NH = northern hemisphere; n/T (per 1000) = incidence rate of participants reporting at least one event; RT-PCR = reverse transcription-polymerase chain reaction; RSV = respiratory syncytial virus; </w:t>
      </w:r>
      <w:r w:rsidR="006B73A2" w:rsidRPr="001310AD">
        <w:t xml:space="preserve">RSVPreF3 OA= RSV pre-fusion protein 3 older adult; </w:t>
      </w:r>
      <w:r w:rsidR="00CE0DCC" w:rsidRPr="001310AD">
        <w:t xml:space="preserve">SH = southern hemisphere; </w:t>
      </w:r>
      <w:r w:rsidRPr="001310AD">
        <w:t xml:space="preserve">T (year) = sum of follow-up time (from Day 15 post-Dose 1 till first occurrence of the event or till the efficacy data lock point or till drop-out date) expressed in years; </w:t>
      </w:r>
      <w:r w:rsidR="003878AE" w:rsidRPr="001310AD">
        <w:t>VE = vaccine efficacy (Poisson method - adjusted by age, region and season);</w:t>
      </w:r>
      <w:r w:rsidRPr="001310AD">
        <w:t xml:space="preserve"> YOA = years of age.</w:t>
      </w:r>
    </w:p>
    <w:p w14:paraId="1AF3FAE8" w14:textId="1320C966" w:rsidR="005774D6" w:rsidRPr="001310AD" w:rsidRDefault="005774D6" w:rsidP="005774D6">
      <w:pPr>
        <w:pStyle w:val="FooterTableFigure"/>
      </w:pPr>
      <w:r w:rsidRPr="001310AD">
        <w:rPr>
          <w:vertAlign w:val="superscript"/>
        </w:rPr>
        <w:t>a</w:t>
      </w:r>
      <w:r w:rsidR="005C0F31" w:rsidRPr="001310AD">
        <w:rPr>
          <w:vertAlign w:val="superscript"/>
        </w:rPr>
        <w:t xml:space="preserve"> </w:t>
      </w:r>
      <w:r w:rsidRPr="001310AD">
        <w:t>95% CI</w:t>
      </w:r>
      <w:r w:rsidR="00982C0D" w:rsidRPr="001310AD">
        <w:t>.</w:t>
      </w:r>
    </w:p>
    <w:p w14:paraId="3A3482EE" w14:textId="036F4FFB" w:rsidR="00C94F46" w:rsidRPr="001310AD" w:rsidRDefault="00747209" w:rsidP="00C94F46">
      <w:pPr>
        <w:pStyle w:val="FooterTableFigure"/>
      </w:pPr>
      <w:r w:rsidRPr="001310AD">
        <w:rPr>
          <w:vertAlign w:val="superscript"/>
        </w:rPr>
        <w:t>b</w:t>
      </w:r>
      <w:r w:rsidR="005C0F31" w:rsidRPr="001310AD">
        <w:t xml:space="preserve"> D</w:t>
      </w:r>
      <w:r w:rsidR="00C94F46" w:rsidRPr="001310AD">
        <w:t>enotes lower limit for 95% CI &gt; 20%.</w:t>
      </w:r>
    </w:p>
    <w:p w14:paraId="6F716EDF" w14:textId="7BDB626A" w:rsidR="002039B3" w:rsidRPr="001310AD" w:rsidRDefault="001134D9" w:rsidP="00747209">
      <w:pPr>
        <w:pStyle w:val="FooterTableFigure"/>
      </w:pPr>
      <w:r w:rsidRPr="001310AD">
        <w:rPr>
          <w:vertAlign w:val="superscript"/>
        </w:rPr>
        <w:t>d</w:t>
      </w:r>
      <w:r w:rsidRPr="001310AD">
        <w:t xml:space="preserve"> </w:t>
      </w:r>
      <w:r w:rsidR="00EE078D" w:rsidRPr="001310AD">
        <w:t xml:space="preserve">The number of participants </w:t>
      </w:r>
      <w:r w:rsidR="00D867A2" w:rsidRPr="001310AD">
        <w:t xml:space="preserve">is reduced from end of Season 1 </w:t>
      </w:r>
      <w:r w:rsidR="00A86C2D" w:rsidRPr="001310AD">
        <w:t xml:space="preserve">to end of Season 2 and 3 due to participants </w:t>
      </w:r>
      <w:r w:rsidR="002E5049" w:rsidRPr="001310AD">
        <w:t>being</w:t>
      </w:r>
      <w:r w:rsidR="00A86C2D" w:rsidRPr="001310AD">
        <w:t xml:space="preserve"> censored if they received </w:t>
      </w:r>
      <w:r w:rsidR="003B6986" w:rsidRPr="001310AD">
        <w:t xml:space="preserve">an additional </w:t>
      </w:r>
      <w:r w:rsidRPr="001310AD">
        <w:t xml:space="preserve">RSVPreF3 OA dose. </w:t>
      </w:r>
    </w:p>
    <w:p w14:paraId="361C78B1" w14:textId="2B33DDFC" w:rsidR="00EB4763" w:rsidRPr="001310AD" w:rsidRDefault="00F66B97" w:rsidP="00747209">
      <w:pPr>
        <w:pStyle w:val="FooterTableFigure"/>
      </w:pPr>
      <w:r w:rsidRPr="001310AD">
        <w:rPr>
          <w:vertAlign w:val="superscript"/>
        </w:rPr>
        <w:t>e</w:t>
      </w:r>
      <w:r w:rsidRPr="001310AD">
        <w:t xml:space="preserve"> Season 1: 1 October 2021 – 30 April 2022 in NH; 1 March 2022 – 30 September 2022 in SH; </w:t>
      </w:r>
      <w:r w:rsidR="00174545" w:rsidRPr="001310AD">
        <w:t>median</w:t>
      </w:r>
      <w:r w:rsidR="000B75B8" w:rsidRPr="001310AD">
        <w:t xml:space="preserve"> </w:t>
      </w:r>
      <w:r w:rsidR="002F0550" w:rsidRPr="001310AD">
        <w:t>FUP = 6.7 months</w:t>
      </w:r>
      <w:r w:rsidR="00D62A2A" w:rsidRPr="001310AD">
        <w:t>.</w:t>
      </w:r>
    </w:p>
    <w:p w14:paraId="36405C2F" w14:textId="430907DE" w:rsidR="002F0550" w:rsidRPr="001310AD" w:rsidRDefault="00F66B97" w:rsidP="00747209">
      <w:pPr>
        <w:pStyle w:val="FooterTableFigure"/>
      </w:pPr>
      <w:r w:rsidRPr="001310AD">
        <w:t xml:space="preserve">Season 2: 1 October 2022 – 30 April 2023 in NH; 1 March 2023 – 30 September 2023 in SH; </w:t>
      </w:r>
      <w:r w:rsidR="000B75B8" w:rsidRPr="001310AD">
        <w:t xml:space="preserve">cumulative </w:t>
      </w:r>
      <w:r w:rsidR="00174545" w:rsidRPr="001310AD">
        <w:t xml:space="preserve">median </w:t>
      </w:r>
      <w:r w:rsidR="00D62A2A" w:rsidRPr="001310AD">
        <w:t>FUP = 17.8 months</w:t>
      </w:r>
      <w:r w:rsidR="00174545" w:rsidRPr="001310AD">
        <w:t xml:space="preserve"> for end of season NH; 23.3 months for end of season NH/SH</w:t>
      </w:r>
      <w:r w:rsidR="00D62A2A" w:rsidRPr="001310AD">
        <w:t>.</w:t>
      </w:r>
    </w:p>
    <w:p w14:paraId="1310E8FD" w14:textId="32845BEB" w:rsidR="004A416B" w:rsidRPr="001310AD" w:rsidRDefault="00F66B97" w:rsidP="00747209">
      <w:pPr>
        <w:pStyle w:val="FooterTableFigure"/>
      </w:pPr>
      <w:r w:rsidRPr="001310AD">
        <w:t xml:space="preserve">Season 3: 1 October 2023 – 30 April 2024 in NH; 1 March 2024 – 30 </w:t>
      </w:r>
      <w:r w:rsidR="009D6F96" w:rsidRPr="001310AD">
        <w:t>September</w:t>
      </w:r>
      <w:r w:rsidRPr="001310AD">
        <w:t xml:space="preserve"> 2024 in SH</w:t>
      </w:r>
      <w:r w:rsidR="00D62A2A" w:rsidRPr="001310AD">
        <w:t xml:space="preserve">; </w:t>
      </w:r>
      <w:r w:rsidR="000B75B8" w:rsidRPr="001310AD">
        <w:t>cumulative</w:t>
      </w:r>
      <w:r w:rsidR="00AD74BA" w:rsidRPr="001310AD">
        <w:t xml:space="preserve"> median</w:t>
      </w:r>
      <w:r w:rsidR="000B75B8" w:rsidRPr="001310AD">
        <w:t xml:space="preserve"> </w:t>
      </w:r>
      <w:r w:rsidR="00D62A2A" w:rsidRPr="001310AD">
        <w:t>FUP = 30.6 months.</w:t>
      </w:r>
    </w:p>
    <w:p w14:paraId="0481A002" w14:textId="053457C9" w:rsidR="00D61C86" w:rsidRPr="001310AD" w:rsidRDefault="00D61C86" w:rsidP="00747209">
      <w:pPr>
        <w:pStyle w:val="FooterTableFigure"/>
      </w:pPr>
      <w:r w:rsidRPr="001310AD">
        <w:rPr>
          <w:vertAlign w:val="superscript"/>
        </w:rPr>
        <w:t>f</w:t>
      </w:r>
      <w:r w:rsidRPr="001310AD">
        <w:t xml:space="preserve"> The results for severe RSV-LRTD were sourced from the ATAGI advice March 2025. The PSCR stated ‘the ATAGI advice inconsistently reported results for severe RSV-LRTD and RSV-ARI using different season definitions’.</w:t>
      </w:r>
    </w:p>
    <w:p w14:paraId="2EE9BBD9" w14:textId="26FA67EB" w:rsidR="00747209" w:rsidRPr="001310AD" w:rsidRDefault="00747209" w:rsidP="00747209">
      <w:pPr>
        <w:pStyle w:val="FooterTableFigure"/>
        <w:rPr>
          <w:rStyle w:val="CommentReference"/>
          <w:b w:val="0"/>
          <w:sz w:val="18"/>
          <w:szCs w:val="18"/>
        </w:rPr>
      </w:pPr>
      <w:r w:rsidRPr="001310AD">
        <w:rPr>
          <w:rStyle w:val="CommentReference"/>
          <w:b w:val="0"/>
          <w:sz w:val="18"/>
          <w:szCs w:val="18"/>
        </w:rPr>
        <w:t>Blue shading indicates results previously seen by the PBAC.</w:t>
      </w:r>
    </w:p>
    <w:p w14:paraId="2917895A" w14:textId="09BBE995" w:rsidR="00F356AA" w:rsidRPr="001310AD" w:rsidRDefault="00F356AA" w:rsidP="00747209">
      <w:pPr>
        <w:pStyle w:val="FooterTableFigure"/>
      </w:pPr>
      <w:r w:rsidRPr="001310AD">
        <w:t>Bold indicates statistically significant results.</w:t>
      </w:r>
    </w:p>
    <w:p w14:paraId="546BB400" w14:textId="3F11DDC9" w:rsidR="004C194C" w:rsidRPr="001310AD" w:rsidRDefault="004C194C" w:rsidP="008C154E">
      <w:pPr>
        <w:pStyle w:val="3-BodyText"/>
        <w:rPr>
          <w:b/>
        </w:rPr>
      </w:pPr>
      <w:r w:rsidRPr="001310AD">
        <w:t>The estimates for VE against RSV in each</w:t>
      </w:r>
      <w:r w:rsidR="00E446A1" w:rsidRPr="001310AD">
        <w:t xml:space="preserve"> individual</w:t>
      </w:r>
      <w:r w:rsidRPr="001310AD">
        <w:t xml:space="preserve"> season</w:t>
      </w:r>
      <w:r w:rsidR="00720885" w:rsidRPr="001310AD">
        <w:t xml:space="preserve"> (</w:t>
      </w:r>
      <w:r w:rsidR="00720885" w:rsidRPr="001310AD">
        <w:fldChar w:fldCharType="begin"/>
      </w:r>
      <w:r w:rsidR="00720885" w:rsidRPr="001310AD">
        <w:instrText xml:space="preserve"> REF _Ref196920731 \h  \* MERGEFORMAT </w:instrText>
      </w:r>
      <w:r w:rsidR="00720885" w:rsidRPr="001310AD">
        <w:fldChar w:fldCharType="separate"/>
      </w:r>
      <w:r w:rsidR="001F75E0" w:rsidRPr="001310AD">
        <w:t>Table 7</w:t>
      </w:r>
      <w:r w:rsidR="00720885" w:rsidRPr="001310AD">
        <w:fldChar w:fldCharType="end"/>
      </w:r>
      <w:r w:rsidR="00720885" w:rsidRPr="001310AD">
        <w:t>)</w:t>
      </w:r>
      <w:r w:rsidRPr="001310AD">
        <w:t xml:space="preserve"> show lower VE </w:t>
      </w:r>
      <w:r w:rsidR="000E55A4" w:rsidRPr="001310AD">
        <w:t xml:space="preserve">at the end of each season </w:t>
      </w:r>
      <w:r w:rsidRPr="001310AD">
        <w:t>compared to the cumulative results across seasons</w:t>
      </w:r>
      <w:r w:rsidR="0090363B" w:rsidRPr="001310AD">
        <w:t xml:space="preserve"> (</w:t>
      </w:r>
      <w:r w:rsidR="0090363B" w:rsidRPr="001310AD">
        <w:fldChar w:fldCharType="begin"/>
      </w:r>
      <w:r w:rsidR="0090363B" w:rsidRPr="001310AD">
        <w:instrText xml:space="preserve"> REF _Ref196920707 \h </w:instrText>
      </w:r>
      <w:r w:rsidR="00710E0B" w:rsidRPr="001310AD">
        <w:instrText xml:space="preserve"> \* MERGEFORMAT </w:instrText>
      </w:r>
      <w:r w:rsidR="0090363B" w:rsidRPr="001310AD">
        <w:fldChar w:fldCharType="separate"/>
      </w:r>
      <w:r w:rsidR="001F75E0" w:rsidRPr="001310AD">
        <w:t>Table 6</w:t>
      </w:r>
      <w:r w:rsidR="0090363B" w:rsidRPr="001310AD">
        <w:fldChar w:fldCharType="end"/>
      </w:r>
      <w:r w:rsidR="0090363B" w:rsidRPr="001310AD">
        <w:t>)</w:t>
      </w:r>
      <w:r w:rsidRPr="001310AD">
        <w:t xml:space="preserve">. </w:t>
      </w:r>
      <w:bookmarkStart w:id="35" w:name="_Hlk204187092"/>
      <w:r w:rsidRPr="001310AD">
        <w:t>In Season 3, the lower bound of the 95% CI does not exceed 20%, the criteria for success</w:t>
      </w:r>
      <w:r w:rsidR="00D9472F" w:rsidRPr="001310AD">
        <w:t>,</w:t>
      </w:r>
      <w:r w:rsidRPr="001310AD">
        <w:t xml:space="preserve"> for RSV-LRTD (VE = </w:t>
      </w:r>
      <w:r w:rsidRPr="001310AD">
        <w:rPr>
          <w:rFonts w:cs="Calibri"/>
          <w:color w:val="000000"/>
        </w:rPr>
        <w:t>47.2; 95% CI 7.1, 71.6)</w:t>
      </w:r>
      <w:r w:rsidRPr="001310AD">
        <w:t xml:space="preserve"> and severe RSV-LRTD (VE = </w:t>
      </w:r>
      <w:r w:rsidRPr="001310AD">
        <w:rPr>
          <w:rFonts w:cs="Calibri"/>
          <w:color w:val="000000"/>
        </w:rPr>
        <w:t>43.3; 95% CI -45.3, 81.3)</w:t>
      </w:r>
      <w:r w:rsidRPr="001310AD">
        <w:t xml:space="preserve">. </w:t>
      </w:r>
      <w:bookmarkEnd w:id="35"/>
      <w:r w:rsidRPr="001310AD">
        <w:t xml:space="preserve">A lower bound CI &lt;20% was also reported for the first occurrence of severe-RSV LRTD </w:t>
      </w:r>
      <w:r w:rsidR="00480BA5" w:rsidRPr="001310AD">
        <w:t>in</w:t>
      </w:r>
      <w:r w:rsidRPr="001310AD">
        <w:t xml:space="preserve"> Season 2 (VE = </w:t>
      </w:r>
      <w:r w:rsidRPr="001310AD">
        <w:rPr>
          <w:rFonts w:cs="Calibri"/>
          <w:color w:val="000000"/>
        </w:rPr>
        <w:t>58.9; 95% CI 5.8, 84.6)</w:t>
      </w:r>
      <w:r w:rsidRPr="001310AD">
        <w:t xml:space="preserve">. </w:t>
      </w:r>
    </w:p>
    <w:p w14:paraId="734B8940" w14:textId="6AA186FB" w:rsidR="005B0B8F" w:rsidRPr="001310AD" w:rsidRDefault="00A50F9C">
      <w:pPr>
        <w:pStyle w:val="3-BodyText"/>
        <w:rPr>
          <w:color w:val="0066FF"/>
        </w:rPr>
      </w:pPr>
      <w:r w:rsidRPr="001310AD">
        <w:t xml:space="preserve">The analyses of </w:t>
      </w:r>
      <w:r w:rsidR="00721072" w:rsidRPr="001310AD">
        <w:t>cumulative</w:t>
      </w:r>
      <w:r w:rsidRPr="001310AD">
        <w:t xml:space="preserve"> VE of a single dose of RSVPreF3 OA against first occurrence of </w:t>
      </w:r>
      <w:r w:rsidR="00F76963" w:rsidRPr="001310AD">
        <w:t xml:space="preserve">confirmed </w:t>
      </w:r>
      <w:r w:rsidRPr="001310AD">
        <w:t>RSV-LRTD over 3 complete RSV seasons</w:t>
      </w:r>
      <w:r w:rsidR="00231027" w:rsidRPr="001310AD">
        <w:t>,</w:t>
      </w:r>
      <w:r w:rsidRPr="001310AD">
        <w:t xml:space="preserve"> stratified by age</w:t>
      </w:r>
      <w:r w:rsidR="00231027" w:rsidRPr="001310AD">
        <w:t>,</w:t>
      </w:r>
      <w:r w:rsidRPr="001310AD">
        <w:t xml:space="preserve"> is presented in </w:t>
      </w:r>
      <w:r w:rsidR="001B5CAE" w:rsidRPr="001310AD">
        <w:fldChar w:fldCharType="begin"/>
      </w:r>
      <w:r w:rsidR="001B5CAE" w:rsidRPr="001310AD">
        <w:instrText xml:space="preserve"> REF _Ref196920767 \h </w:instrText>
      </w:r>
      <w:r w:rsidR="001B5CAE" w:rsidRPr="001310AD">
        <w:fldChar w:fldCharType="separate"/>
      </w:r>
      <w:r w:rsidR="001F75E0" w:rsidRPr="001310AD">
        <w:t>Table 8</w:t>
      </w:r>
      <w:r w:rsidR="001B5CAE" w:rsidRPr="001310AD">
        <w:fldChar w:fldCharType="end"/>
      </w:r>
      <w:r w:rsidRPr="001310AD">
        <w:t xml:space="preserve">. </w:t>
      </w:r>
      <w:r w:rsidR="009F6B3C" w:rsidRPr="001310AD">
        <w:t xml:space="preserve">The resubmission presented a pre-specified subgroup analysis in patients aged 70-79 as a proxy for adults aged </w:t>
      </w:r>
      <w:r w:rsidR="009F6B3C" w:rsidRPr="001310AD">
        <w:rPr>
          <w:rFonts w:cs="Calibri"/>
        </w:rPr>
        <w:t>≥</w:t>
      </w:r>
      <w:r w:rsidR="009F6B3C" w:rsidRPr="001310AD">
        <w:t>75 YOA</w:t>
      </w:r>
      <w:r w:rsidR="002F6EE9" w:rsidRPr="001310AD">
        <w:t xml:space="preserve">, and a </w:t>
      </w:r>
      <w:r w:rsidR="005B0B8F" w:rsidRPr="001310AD">
        <w:t xml:space="preserve">subgroup analysis for participants </w:t>
      </w:r>
      <w:r w:rsidR="005B0B8F" w:rsidRPr="001310AD">
        <w:rPr>
          <w:rFonts w:cs="Calibri"/>
        </w:rPr>
        <w:t>≥</w:t>
      </w:r>
      <w:r w:rsidR="005B0B8F" w:rsidRPr="001310AD">
        <w:t xml:space="preserve">80 years, noting the small number of events occurring in this subgroup. The resubmission </w:t>
      </w:r>
      <w:r w:rsidR="00AA30A6" w:rsidRPr="001310AD">
        <w:t xml:space="preserve">stated </w:t>
      </w:r>
      <w:r w:rsidR="005B0B8F" w:rsidRPr="001310AD">
        <w:t>that too few cases of RSV-LRTD accrued in adults of age ≥80 years and frail adults to reliably estimate VE (only 5 cases reported), thus resulting in no difference in VE for that subgroup. T</w:t>
      </w:r>
      <w:r w:rsidR="008E27AA" w:rsidRPr="001310AD">
        <w:t>he evaluation considered that t</w:t>
      </w:r>
      <w:r w:rsidR="005B0B8F" w:rsidRPr="001310AD">
        <w:t xml:space="preserve">his was reasonable. </w:t>
      </w:r>
      <w:r w:rsidR="004E4FCB" w:rsidRPr="001310AD">
        <w:t>Over a period of 3</w:t>
      </w:r>
      <w:r w:rsidR="004802F4" w:rsidRPr="001310AD">
        <w:t xml:space="preserve"> cumul</w:t>
      </w:r>
      <w:r w:rsidR="00CA059F" w:rsidRPr="001310AD">
        <w:t>ative</w:t>
      </w:r>
      <w:r w:rsidR="004E4FCB" w:rsidRPr="001310AD">
        <w:t xml:space="preserve"> RSV seasons, </w:t>
      </w:r>
      <w:r w:rsidR="00E75257" w:rsidRPr="001310AD">
        <w:t xml:space="preserve">VE was demonstrated for all </w:t>
      </w:r>
      <w:r w:rsidR="00E75257" w:rsidRPr="001310AD">
        <w:lastRenderedPageBreak/>
        <w:t xml:space="preserve">age groups except for </w:t>
      </w:r>
      <w:r w:rsidR="00E75257" w:rsidRPr="001310AD">
        <w:rPr>
          <w:rFonts w:cs="Calibri"/>
        </w:rPr>
        <w:t>≥</w:t>
      </w:r>
      <w:r w:rsidR="00E75257" w:rsidRPr="001310AD">
        <w:t xml:space="preserve">80 YOA due to low numbers of participants (n=1,017 equivalent to 8.1%) and cases (n=5). </w:t>
      </w:r>
    </w:p>
    <w:p w14:paraId="110067F3" w14:textId="101672B5" w:rsidR="00AB3026" w:rsidRPr="001310AD" w:rsidRDefault="001B5CAE" w:rsidP="00F27812">
      <w:pPr>
        <w:pStyle w:val="Caption"/>
        <w:jc w:val="left"/>
      </w:pPr>
      <w:bookmarkStart w:id="36" w:name="_Ref196920767"/>
      <w:r w:rsidRPr="001310AD">
        <w:t xml:space="preserve">Table </w:t>
      </w:r>
      <w:fldSimple w:instr=" SEQ Table \* ARABIC ">
        <w:r w:rsidR="001F75E0" w:rsidRPr="001310AD">
          <w:t>8</w:t>
        </w:r>
      </w:fldSimple>
      <w:bookmarkEnd w:id="36"/>
      <w:r w:rsidR="00A53343" w:rsidRPr="001310AD">
        <w:t>:</w:t>
      </w:r>
      <w:r w:rsidR="00AB3026" w:rsidRPr="001310AD">
        <w:rPr>
          <w:rStyle w:val="CommentReference"/>
          <w:b/>
        </w:rPr>
        <w:t xml:space="preserve"> </w:t>
      </w:r>
      <w:r w:rsidR="009D0F70" w:rsidRPr="001310AD">
        <w:rPr>
          <w:rStyle w:val="CommentReference"/>
          <w:b/>
        </w:rPr>
        <w:t>C</w:t>
      </w:r>
      <w:r w:rsidR="00AB3026" w:rsidRPr="001310AD">
        <w:rPr>
          <w:rStyle w:val="CommentReference"/>
          <w:b/>
        </w:rPr>
        <w:t xml:space="preserve">umulative VE against first occurrence of RSV-LRTD in subgroups of adults based on age, over 3 complete RSV seasons </w:t>
      </w:r>
      <w:r w:rsidR="0025609E" w:rsidRPr="001310AD">
        <w:rPr>
          <w:rStyle w:val="CommentReference"/>
          <w:b/>
        </w:rPr>
        <w:t>(</w:t>
      </w:r>
      <w:r w:rsidR="0025609E" w:rsidRPr="001310AD">
        <w:t>single dose, mES population and with season as a covariate</w:t>
      </w:r>
      <w:r w:rsidR="00AB3026" w:rsidRPr="001310AD">
        <w:rPr>
          <w:rStyle w:val="CommentReference"/>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Cumulative VE against first occurrence of RSV-LRTD in subgroups of adults based on age, over 3 complete RSV seasons (single dose, mES population and with season as a covariate)"/>
      </w:tblPr>
      <w:tblGrid>
        <w:gridCol w:w="1921"/>
        <w:gridCol w:w="558"/>
        <w:gridCol w:w="757"/>
        <w:gridCol w:w="695"/>
        <w:gridCol w:w="622"/>
        <w:gridCol w:w="674"/>
        <w:gridCol w:w="536"/>
        <w:gridCol w:w="695"/>
        <w:gridCol w:w="660"/>
        <w:gridCol w:w="1899"/>
      </w:tblGrid>
      <w:tr w:rsidR="00AB3026" w:rsidRPr="001310AD" w14:paraId="6806F49A" w14:textId="77777777">
        <w:trPr>
          <w:trHeight w:val="170"/>
          <w:tblHeader/>
        </w:trPr>
        <w:tc>
          <w:tcPr>
            <w:tcW w:w="1066" w:type="pct"/>
            <w:vMerge w:val="restart"/>
            <w:vAlign w:val="center"/>
          </w:tcPr>
          <w:p w14:paraId="57A08335" w14:textId="77777777" w:rsidR="00AB3026" w:rsidRPr="001310AD" w:rsidRDefault="00AB3026" w:rsidP="00F27812">
            <w:pPr>
              <w:pStyle w:val="TableFigureHeading"/>
              <w:keepLines/>
            </w:pPr>
            <w:r w:rsidRPr="001310AD">
              <w:t>Endpoint</w:t>
            </w:r>
          </w:p>
        </w:tc>
        <w:tc>
          <w:tcPr>
            <w:tcW w:w="1459" w:type="pct"/>
            <w:gridSpan w:val="4"/>
            <w:vAlign w:val="center"/>
            <w:hideMark/>
          </w:tcPr>
          <w:p w14:paraId="43D66F5B" w14:textId="77777777" w:rsidR="00AB3026" w:rsidRPr="001310AD" w:rsidRDefault="00AB3026" w:rsidP="00F27812">
            <w:pPr>
              <w:pStyle w:val="TableFigureHeading"/>
              <w:keepLines/>
              <w:jc w:val="center"/>
            </w:pPr>
            <w:r w:rsidRPr="001310AD">
              <w:t>RSVPreF3 OA</w:t>
            </w:r>
          </w:p>
        </w:tc>
        <w:tc>
          <w:tcPr>
            <w:tcW w:w="1422" w:type="pct"/>
            <w:gridSpan w:val="4"/>
            <w:vAlign w:val="center"/>
          </w:tcPr>
          <w:p w14:paraId="147ACD81" w14:textId="77777777" w:rsidR="00AB3026" w:rsidRPr="001310AD" w:rsidRDefault="00AB3026" w:rsidP="00F27812">
            <w:pPr>
              <w:pStyle w:val="TableFigureHeading"/>
              <w:keepLines/>
              <w:jc w:val="center"/>
            </w:pPr>
            <w:r w:rsidRPr="001310AD">
              <w:t>Placebo</w:t>
            </w:r>
          </w:p>
        </w:tc>
        <w:tc>
          <w:tcPr>
            <w:tcW w:w="1053" w:type="pct"/>
            <w:vMerge w:val="restart"/>
            <w:vAlign w:val="center"/>
            <w:hideMark/>
          </w:tcPr>
          <w:p w14:paraId="462A805D" w14:textId="77777777" w:rsidR="00AB3026" w:rsidRPr="001310AD" w:rsidRDefault="00AB3026" w:rsidP="00F27812">
            <w:pPr>
              <w:pStyle w:val="TableFigureHeading"/>
              <w:keepLines/>
              <w:jc w:val="center"/>
            </w:pPr>
            <w:r w:rsidRPr="001310AD">
              <w:t>VE %</w:t>
            </w:r>
          </w:p>
          <w:p w14:paraId="678B59F5" w14:textId="77777777" w:rsidR="00AB3026" w:rsidRPr="001310AD" w:rsidRDefault="00AB3026" w:rsidP="00F27812">
            <w:pPr>
              <w:pStyle w:val="TableFigureHeading"/>
              <w:keepLines/>
              <w:jc w:val="center"/>
            </w:pPr>
            <w:r w:rsidRPr="001310AD">
              <w:t>(CI)</w:t>
            </w:r>
            <w:r w:rsidRPr="001310AD">
              <w:rPr>
                <w:vertAlign w:val="superscript"/>
              </w:rPr>
              <w:t xml:space="preserve"> a</w:t>
            </w:r>
            <w:r w:rsidRPr="001310AD">
              <w:t>; p-value</w:t>
            </w:r>
          </w:p>
        </w:tc>
      </w:tr>
      <w:tr w:rsidR="00AB3026" w:rsidRPr="001310AD" w14:paraId="249632AB" w14:textId="77777777">
        <w:trPr>
          <w:trHeight w:val="170"/>
          <w:tblHeader/>
        </w:trPr>
        <w:tc>
          <w:tcPr>
            <w:tcW w:w="1066" w:type="pct"/>
            <w:vMerge/>
            <w:vAlign w:val="center"/>
          </w:tcPr>
          <w:p w14:paraId="6DE2A7A9" w14:textId="77777777" w:rsidR="00AB3026" w:rsidRPr="001310AD" w:rsidRDefault="00AB3026" w:rsidP="00F27812">
            <w:pPr>
              <w:pStyle w:val="TableFigureHeading"/>
              <w:keepLines/>
            </w:pPr>
          </w:p>
        </w:tc>
        <w:tc>
          <w:tcPr>
            <w:tcW w:w="309" w:type="pct"/>
            <w:vAlign w:val="center"/>
            <w:hideMark/>
          </w:tcPr>
          <w:p w14:paraId="2B46F7EE" w14:textId="77777777" w:rsidR="00AB3026" w:rsidRPr="001310AD" w:rsidRDefault="00AB3026" w:rsidP="00F27812">
            <w:pPr>
              <w:pStyle w:val="TableFigureHeading"/>
              <w:keepLines/>
              <w:jc w:val="center"/>
            </w:pPr>
            <w:r w:rsidRPr="001310AD">
              <w:t>N</w:t>
            </w:r>
          </w:p>
        </w:tc>
        <w:tc>
          <w:tcPr>
            <w:tcW w:w="420" w:type="pct"/>
            <w:vAlign w:val="center"/>
            <w:hideMark/>
          </w:tcPr>
          <w:p w14:paraId="5CA230EA" w14:textId="77777777" w:rsidR="00AB3026" w:rsidRPr="001310AD" w:rsidRDefault="00AB3026" w:rsidP="00F27812">
            <w:pPr>
              <w:pStyle w:val="TableFigureHeading"/>
              <w:keepLines/>
              <w:jc w:val="center"/>
            </w:pPr>
            <w:r w:rsidRPr="001310AD">
              <w:t>n</w:t>
            </w:r>
          </w:p>
        </w:tc>
        <w:tc>
          <w:tcPr>
            <w:tcW w:w="385" w:type="pct"/>
            <w:vAlign w:val="center"/>
            <w:hideMark/>
          </w:tcPr>
          <w:p w14:paraId="553B5779" w14:textId="77777777" w:rsidR="00AB3026" w:rsidRPr="001310AD" w:rsidRDefault="00AB3026" w:rsidP="00F27812">
            <w:pPr>
              <w:pStyle w:val="TableFigureHeading"/>
              <w:keepLines/>
              <w:jc w:val="center"/>
            </w:pPr>
            <w:r w:rsidRPr="001310AD">
              <w:t>T (year)</w:t>
            </w:r>
          </w:p>
        </w:tc>
        <w:tc>
          <w:tcPr>
            <w:tcW w:w="344" w:type="pct"/>
            <w:vAlign w:val="center"/>
          </w:tcPr>
          <w:p w14:paraId="6097AE52" w14:textId="77777777" w:rsidR="00AB3026" w:rsidRPr="001310AD" w:rsidRDefault="00AB3026" w:rsidP="00F27812">
            <w:pPr>
              <w:pStyle w:val="TableFigureHeading"/>
              <w:keepLines/>
              <w:jc w:val="center"/>
            </w:pPr>
            <w:r w:rsidRPr="001310AD">
              <w:t>n/T (per 1000)</w:t>
            </w:r>
          </w:p>
        </w:tc>
        <w:tc>
          <w:tcPr>
            <w:tcW w:w="374" w:type="pct"/>
            <w:vAlign w:val="center"/>
            <w:hideMark/>
          </w:tcPr>
          <w:p w14:paraId="3607792C" w14:textId="77777777" w:rsidR="00AB3026" w:rsidRPr="001310AD" w:rsidRDefault="00AB3026" w:rsidP="00F27812">
            <w:pPr>
              <w:pStyle w:val="TableFigureHeading"/>
              <w:keepLines/>
              <w:jc w:val="center"/>
            </w:pPr>
            <w:r w:rsidRPr="001310AD">
              <w:t>N</w:t>
            </w:r>
          </w:p>
        </w:tc>
        <w:tc>
          <w:tcPr>
            <w:tcW w:w="297" w:type="pct"/>
            <w:vAlign w:val="center"/>
            <w:hideMark/>
          </w:tcPr>
          <w:p w14:paraId="57C070B6" w14:textId="77777777" w:rsidR="00AB3026" w:rsidRPr="001310AD" w:rsidRDefault="00AB3026" w:rsidP="00F27812">
            <w:pPr>
              <w:pStyle w:val="TableFigureHeading"/>
              <w:keepLines/>
              <w:jc w:val="center"/>
            </w:pPr>
            <w:r w:rsidRPr="001310AD">
              <w:t>n</w:t>
            </w:r>
          </w:p>
        </w:tc>
        <w:tc>
          <w:tcPr>
            <w:tcW w:w="385" w:type="pct"/>
            <w:vAlign w:val="center"/>
          </w:tcPr>
          <w:p w14:paraId="0CB0ED42" w14:textId="77777777" w:rsidR="00AB3026" w:rsidRPr="001310AD" w:rsidRDefault="00AB3026" w:rsidP="00F27812">
            <w:pPr>
              <w:pStyle w:val="TableFigureHeading"/>
              <w:keepLines/>
              <w:jc w:val="center"/>
            </w:pPr>
            <w:r w:rsidRPr="001310AD">
              <w:t>T (year)</w:t>
            </w:r>
          </w:p>
        </w:tc>
        <w:tc>
          <w:tcPr>
            <w:tcW w:w="365" w:type="pct"/>
            <w:vAlign w:val="center"/>
            <w:hideMark/>
          </w:tcPr>
          <w:p w14:paraId="7A8AA91B" w14:textId="77777777" w:rsidR="00AB3026" w:rsidRPr="001310AD" w:rsidRDefault="00AB3026" w:rsidP="00F27812">
            <w:pPr>
              <w:pStyle w:val="TableFigureHeading"/>
              <w:keepLines/>
              <w:jc w:val="center"/>
            </w:pPr>
            <w:r w:rsidRPr="001310AD">
              <w:t>n/T (per 1000)</w:t>
            </w:r>
          </w:p>
        </w:tc>
        <w:tc>
          <w:tcPr>
            <w:tcW w:w="1053" w:type="pct"/>
            <w:vMerge/>
            <w:vAlign w:val="center"/>
            <w:hideMark/>
          </w:tcPr>
          <w:p w14:paraId="3486707D" w14:textId="77777777" w:rsidR="00AB3026" w:rsidRPr="001310AD" w:rsidRDefault="00AB3026" w:rsidP="00F27812">
            <w:pPr>
              <w:pStyle w:val="TableFigureHeading"/>
              <w:keepLines/>
            </w:pPr>
          </w:p>
        </w:tc>
      </w:tr>
      <w:tr w:rsidR="00AB3026" w:rsidRPr="001310AD" w14:paraId="177A973E" w14:textId="77777777">
        <w:trPr>
          <w:trHeight w:val="170"/>
        </w:trPr>
        <w:tc>
          <w:tcPr>
            <w:tcW w:w="5000" w:type="pct"/>
            <w:gridSpan w:val="10"/>
            <w:tcBorders>
              <w:top w:val="single" w:sz="4" w:space="0" w:color="auto"/>
              <w:left w:val="single" w:sz="4" w:space="0" w:color="auto"/>
              <w:right w:val="single" w:sz="4" w:space="0" w:color="auto"/>
            </w:tcBorders>
            <w:vAlign w:val="center"/>
          </w:tcPr>
          <w:p w14:paraId="312299FF" w14:textId="41138DA4" w:rsidR="00AB3026" w:rsidRPr="001310AD" w:rsidRDefault="00AB3026" w:rsidP="00F27812">
            <w:pPr>
              <w:pStyle w:val="TableFigureHeading"/>
              <w:keepLines/>
            </w:pPr>
            <w:r w:rsidRPr="001310AD">
              <w:t xml:space="preserve">Descriptive secondary endpoints (cumulative VE </w:t>
            </w:r>
            <w:r w:rsidR="00B06612" w:rsidRPr="001310AD">
              <w:t xml:space="preserve">over </w:t>
            </w:r>
            <w:r w:rsidRPr="001310AD">
              <w:t xml:space="preserve">Season 1 and </w:t>
            </w:r>
            <w:r w:rsidR="00B06612" w:rsidRPr="001310AD">
              <w:t xml:space="preserve">over </w:t>
            </w:r>
            <w:r w:rsidRPr="001310AD">
              <w:t xml:space="preserve">Season 1 </w:t>
            </w:r>
            <w:r w:rsidR="00B40A53" w:rsidRPr="001310AD">
              <w:t>&amp;</w:t>
            </w:r>
            <w:r w:rsidRPr="001310AD">
              <w:t xml:space="preserve"> 2</w:t>
            </w:r>
            <w:r w:rsidR="00346DBB" w:rsidRPr="001310AD">
              <w:t>)</w:t>
            </w:r>
            <w:r w:rsidR="00B06612" w:rsidRPr="001310AD">
              <w:t xml:space="preserve"> </w:t>
            </w:r>
          </w:p>
        </w:tc>
      </w:tr>
      <w:tr w:rsidR="00AB3026" w:rsidRPr="001310AD" w14:paraId="510EF470" w14:textId="77777777">
        <w:trPr>
          <w:trHeight w:val="170"/>
        </w:trPr>
        <w:tc>
          <w:tcPr>
            <w:tcW w:w="5000" w:type="pct"/>
            <w:gridSpan w:val="10"/>
            <w:tcBorders>
              <w:top w:val="single" w:sz="4" w:space="0" w:color="auto"/>
              <w:left w:val="single" w:sz="4" w:space="0" w:color="auto"/>
              <w:right w:val="single" w:sz="4" w:space="0" w:color="auto"/>
            </w:tcBorders>
            <w:vAlign w:val="center"/>
          </w:tcPr>
          <w:p w14:paraId="5508E390" w14:textId="77777777" w:rsidR="00AB3026" w:rsidRPr="001310AD" w:rsidRDefault="00AB3026" w:rsidP="00F27812">
            <w:pPr>
              <w:pStyle w:val="TableFigureHeading"/>
              <w:keepLines/>
            </w:pPr>
            <w:r w:rsidRPr="001310AD">
              <w:t>RSV-LRTD by age group</w:t>
            </w:r>
          </w:p>
        </w:tc>
      </w:tr>
      <w:tr w:rsidR="00AB3026" w:rsidRPr="001310AD" w14:paraId="53CBB986" w14:textId="77777777">
        <w:trPr>
          <w:trHeight w:val="170"/>
        </w:trPr>
        <w:tc>
          <w:tcPr>
            <w:tcW w:w="1066" w:type="pct"/>
            <w:tcBorders>
              <w:left w:val="single" w:sz="4" w:space="0" w:color="auto"/>
              <w:right w:val="single" w:sz="4" w:space="0" w:color="auto"/>
            </w:tcBorders>
            <w:shd w:val="clear" w:color="auto" w:fill="B8CCE4" w:themeFill="accent1" w:themeFillTint="66"/>
            <w:vAlign w:val="center"/>
          </w:tcPr>
          <w:p w14:paraId="45C44075" w14:textId="7477064A" w:rsidR="00AB3026" w:rsidRPr="001310AD" w:rsidRDefault="00AB3026" w:rsidP="00F27812">
            <w:pPr>
              <w:pStyle w:val="TableText0"/>
            </w:pPr>
            <w:r w:rsidRPr="001310AD">
              <w:t>Overall trial population (≥60 YOA) – 6.7 m FUP</w:t>
            </w:r>
          </w:p>
        </w:tc>
        <w:tc>
          <w:tcPr>
            <w:tcW w:w="309" w:type="pct"/>
            <w:tcBorders>
              <w:left w:val="single" w:sz="4" w:space="0" w:color="auto"/>
            </w:tcBorders>
            <w:shd w:val="clear" w:color="auto" w:fill="B8CCE4" w:themeFill="accent1" w:themeFillTint="66"/>
            <w:vAlign w:val="center"/>
          </w:tcPr>
          <w:p w14:paraId="14E9A531" w14:textId="77777777" w:rsidR="00AB3026" w:rsidRPr="001310AD" w:rsidRDefault="00AB3026" w:rsidP="00F27812">
            <w:pPr>
              <w:pStyle w:val="TableText0"/>
              <w:jc w:val="center"/>
            </w:pPr>
            <w:r w:rsidRPr="001310AD">
              <w:rPr>
                <w:rFonts w:eastAsia="Times New Roman" w:cs="Calibri"/>
                <w:color w:val="000000"/>
              </w:rPr>
              <w:t>12,466</w:t>
            </w:r>
          </w:p>
        </w:tc>
        <w:tc>
          <w:tcPr>
            <w:tcW w:w="420" w:type="pct"/>
            <w:shd w:val="clear" w:color="auto" w:fill="B8CCE4" w:themeFill="accent1" w:themeFillTint="66"/>
            <w:vAlign w:val="center"/>
          </w:tcPr>
          <w:p w14:paraId="627316B9" w14:textId="77777777" w:rsidR="00AB3026" w:rsidRPr="001310AD" w:rsidRDefault="00AB3026" w:rsidP="00F27812">
            <w:pPr>
              <w:pStyle w:val="TableText0"/>
              <w:jc w:val="center"/>
            </w:pPr>
            <w:r w:rsidRPr="001310AD">
              <w:rPr>
                <w:rFonts w:eastAsia="Times New Roman" w:cs="Calibri"/>
                <w:color w:val="000000"/>
              </w:rPr>
              <w:t>7</w:t>
            </w:r>
          </w:p>
        </w:tc>
        <w:tc>
          <w:tcPr>
            <w:tcW w:w="385" w:type="pct"/>
            <w:shd w:val="clear" w:color="auto" w:fill="B8CCE4" w:themeFill="accent1" w:themeFillTint="66"/>
            <w:vAlign w:val="center"/>
          </w:tcPr>
          <w:p w14:paraId="743BB3CF" w14:textId="77777777" w:rsidR="00AB3026" w:rsidRPr="001310AD" w:rsidRDefault="00AB3026" w:rsidP="00F27812">
            <w:pPr>
              <w:pStyle w:val="TableText0"/>
              <w:jc w:val="center"/>
            </w:pPr>
            <w:r w:rsidRPr="001310AD">
              <w:rPr>
                <w:rFonts w:eastAsia="Times New Roman" w:cs="Calibri"/>
                <w:color w:val="000000"/>
              </w:rPr>
              <w:t>6,865.9</w:t>
            </w:r>
          </w:p>
        </w:tc>
        <w:tc>
          <w:tcPr>
            <w:tcW w:w="344" w:type="pct"/>
            <w:shd w:val="clear" w:color="auto" w:fill="B8CCE4" w:themeFill="accent1" w:themeFillTint="66"/>
            <w:vAlign w:val="center"/>
          </w:tcPr>
          <w:p w14:paraId="316E0F06" w14:textId="77777777" w:rsidR="00AB3026" w:rsidRPr="001310AD" w:rsidRDefault="00AB3026" w:rsidP="00F27812">
            <w:pPr>
              <w:pStyle w:val="TableText0"/>
              <w:jc w:val="center"/>
            </w:pPr>
            <w:r w:rsidRPr="001310AD">
              <w:rPr>
                <w:rFonts w:eastAsia="Times New Roman" w:cs="Calibri"/>
                <w:color w:val="000000"/>
              </w:rPr>
              <w:t>1.0</w:t>
            </w:r>
          </w:p>
        </w:tc>
        <w:tc>
          <w:tcPr>
            <w:tcW w:w="374" w:type="pct"/>
            <w:shd w:val="clear" w:color="auto" w:fill="B8CCE4" w:themeFill="accent1" w:themeFillTint="66"/>
            <w:vAlign w:val="center"/>
          </w:tcPr>
          <w:p w14:paraId="664338B6" w14:textId="77777777" w:rsidR="00AB3026" w:rsidRPr="001310AD" w:rsidRDefault="00AB3026" w:rsidP="00F27812">
            <w:pPr>
              <w:pStyle w:val="TableText0"/>
              <w:jc w:val="center"/>
            </w:pPr>
            <w:r w:rsidRPr="001310AD">
              <w:rPr>
                <w:rFonts w:eastAsia="Times New Roman" w:cs="Calibri"/>
                <w:color w:val="000000"/>
              </w:rPr>
              <w:t>12,494</w:t>
            </w:r>
          </w:p>
        </w:tc>
        <w:tc>
          <w:tcPr>
            <w:tcW w:w="297" w:type="pct"/>
            <w:shd w:val="clear" w:color="auto" w:fill="B8CCE4" w:themeFill="accent1" w:themeFillTint="66"/>
            <w:vAlign w:val="center"/>
          </w:tcPr>
          <w:p w14:paraId="3BE38EA9" w14:textId="77777777" w:rsidR="00AB3026" w:rsidRPr="001310AD" w:rsidRDefault="00AB3026" w:rsidP="00F27812">
            <w:pPr>
              <w:pStyle w:val="TableText0"/>
              <w:jc w:val="center"/>
            </w:pPr>
            <w:r w:rsidRPr="001310AD">
              <w:rPr>
                <w:rFonts w:eastAsia="Times New Roman" w:cs="Calibri"/>
                <w:color w:val="000000"/>
              </w:rPr>
              <w:t>40</w:t>
            </w:r>
          </w:p>
        </w:tc>
        <w:tc>
          <w:tcPr>
            <w:tcW w:w="385" w:type="pct"/>
            <w:shd w:val="clear" w:color="auto" w:fill="B8CCE4" w:themeFill="accent1" w:themeFillTint="66"/>
            <w:vAlign w:val="center"/>
          </w:tcPr>
          <w:p w14:paraId="23E4BC7E" w14:textId="77777777" w:rsidR="00AB3026" w:rsidRPr="001310AD" w:rsidRDefault="00AB3026" w:rsidP="00F27812">
            <w:pPr>
              <w:pStyle w:val="TableText0"/>
              <w:jc w:val="center"/>
            </w:pPr>
            <w:r w:rsidRPr="001310AD">
              <w:rPr>
                <w:rFonts w:eastAsia="Times New Roman" w:cs="Calibri"/>
                <w:color w:val="000000"/>
              </w:rPr>
              <w:t>6,857.3</w:t>
            </w:r>
          </w:p>
        </w:tc>
        <w:tc>
          <w:tcPr>
            <w:tcW w:w="365" w:type="pct"/>
            <w:shd w:val="clear" w:color="auto" w:fill="B8CCE4" w:themeFill="accent1" w:themeFillTint="66"/>
            <w:vAlign w:val="center"/>
          </w:tcPr>
          <w:p w14:paraId="191FF21C" w14:textId="77777777" w:rsidR="00AB3026" w:rsidRPr="001310AD" w:rsidRDefault="00AB3026" w:rsidP="00F27812">
            <w:pPr>
              <w:pStyle w:val="TableText0"/>
              <w:jc w:val="center"/>
            </w:pPr>
            <w:r w:rsidRPr="001310AD">
              <w:rPr>
                <w:rFonts w:eastAsia="Times New Roman" w:cs="Calibri"/>
                <w:color w:val="000000"/>
              </w:rPr>
              <w:t>5.8</w:t>
            </w:r>
          </w:p>
        </w:tc>
        <w:tc>
          <w:tcPr>
            <w:tcW w:w="1053" w:type="pct"/>
            <w:shd w:val="clear" w:color="auto" w:fill="B8CCE4" w:themeFill="accent1" w:themeFillTint="66"/>
            <w:vAlign w:val="center"/>
          </w:tcPr>
          <w:p w14:paraId="7997E8D2" w14:textId="0F91B856" w:rsidR="00AB3026" w:rsidRPr="001310AD" w:rsidRDefault="00AB3026" w:rsidP="00F27812">
            <w:pPr>
              <w:pStyle w:val="TableText0"/>
              <w:jc w:val="center"/>
              <w:rPr>
                <w:b/>
                <w:bCs w:val="0"/>
              </w:rPr>
            </w:pPr>
            <w:r w:rsidRPr="001310AD">
              <w:rPr>
                <w:rFonts w:eastAsia="Times New Roman" w:cs="Calibri"/>
                <w:b/>
                <w:bCs w:val="0"/>
                <w:color w:val="000000"/>
              </w:rPr>
              <w:t>82.58 (57.89, 94.08)</w:t>
            </w:r>
            <w:r w:rsidR="00F669D0" w:rsidRPr="001310AD">
              <w:rPr>
                <w:rFonts w:eastAsia="Times New Roman" w:cs="Calibri"/>
                <w:b/>
                <w:bCs w:val="0"/>
                <w:color w:val="000000"/>
              </w:rPr>
              <w:t>;</w:t>
            </w:r>
            <w:r w:rsidRPr="001310AD">
              <w:rPr>
                <w:rFonts w:eastAsia="Times New Roman" w:cs="Calibri"/>
                <w:b/>
                <w:bCs w:val="0"/>
                <w:color w:val="000000"/>
              </w:rPr>
              <w:t xml:space="preserve"> &lt;0.0001</w:t>
            </w:r>
          </w:p>
        </w:tc>
      </w:tr>
      <w:tr w:rsidR="00AB3026" w:rsidRPr="001310AD" w14:paraId="1CB6E704" w14:textId="77777777">
        <w:trPr>
          <w:trHeight w:val="170"/>
        </w:trPr>
        <w:tc>
          <w:tcPr>
            <w:tcW w:w="1066" w:type="pct"/>
            <w:tcBorders>
              <w:left w:val="single" w:sz="4" w:space="0" w:color="auto"/>
              <w:right w:val="single" w:sz="4" w:space="0" w:color="auto"/>
            </w:tcBorders>
            <w:shd w:val="clear" w:color="auto" w:fill="B8CCE4" w:themeFill="accent1" w:themeFillTint="66"/>
            <w:vAlign w:val="center"/>
          </w:tcPr>
          <w:p w14:paraId="49991F9F" w14:textId="1539465D" w:rsidR="00AB3026" w:rsidRPr="001310AD" w:rsidRDefault="00AB3026" w:rsidP="00F27812">
            <w:pPr>
              <w:pStyle w:val="TableText0"/>
            </w:pPr>
            <w:r w:rsidRPr="001310AD">
              <w:t>≥75 YOA</w:t>
            </w:r>
            <w:r w:rsidRPr="001310AD">
              <w:rPr>
                <w:vertAlign w:val="superscript"/>
              </w:rPr>
              <w:t>b</w:t>
            </w:r>
            <w:r w:rsidRPr="001310AD">
              <w:t xml:space="preserve"> – 6.7 m FUP</w:t>
            </w:r>
          </w:p>
        </w:tc>
        <w:tc>
          <w:tcPr>
            <w:tcW w:w="309" w:type="pct"/>
            <w:tcBorders>
              <w:left w:val="single" w:sz="4" w:space="0" w:color="auto"/>
            </w:tcBorders>
            <w:shd w:val="clear" w:color="auto" w:fill="B8CCE4" w:themeFill="accent1" w:themeFillTint="66"/>
            <w:vAlign w:val="center"/>
          </w:tcPr>
          <w:p w14:paraId="125EFDB7" w14:textId="77777777" w:rsidR="00AB3026" w:rsidRPr="001310AD" w:rsidRDefault="00AB3026" w:rsidP="00F27812">
            <w:pPr>
              <w:pStyle w:val="TableText0"/>
              <w:jc w:val="center"/>
              <w:rPr>
                <w:rFonts w:eastAsia="Times New Roman" w:cs="Calibri"/>
                <w:color w:val="000000"/>
              </w:rPr>
            </w:pPr>
            <w:r w:rsidRPr="001310AD">
              <w:rPr>
                <w:rFonts w:eastAsia="Times New Roman"/>
              </w:rPr>
              <w:t>2,671</w:t>
            </w:r>
          </w:p>
        </w:tc>
        <w:tc>
          <w:tcPr>
            <w:tcW w:w="420" w:type="pct"/>
            <w:shd w:val="clear" w:color="auto" w:fill="B8CCE4" w:themeFill="accent1" w:themeFillTint="66"/>
            <w:vAlign w:val="center"/>
          </w:tcPr>
          <w:p w14:paraId="61381EFC" w14:textId="77777777" w:rsidR="00AB3026" w:rsidRPr="001310AD" w:rsidRDefault="00AB3026" w:rsidP="00F27812">
            <w:pPr>
              <w:pStyle w:val="TableText0"/>
              <w:jc w:val="center"/>
              <w:rPr>
                <w:rFonts w:eastAsia="Times New Roman" w:cs="Calibri"/>
                <w:color w:val="000000"/>
              </w:rPr>
            </w:pPr>
            <w:r w:rsidRPr="001310AD">
              <w:rPr>
                <w:rFonts w:eastAsia="Times New Roman"/>
              </w:rPr>
              <w:t>3</w:t>
            </w:r>
          </w:p>
        </w:tc>
        <w:tc>
          <w:tcPr>
            <w:tcW w:w="385" w:type="pct"/>
            <w:shd w:val="clear" w:color="auto" w:fill="B8CCE4" w:themeFill="accent1" w:themeFillTint="66"/>
            <w:vAlign w:val="center"/>
          </w:tcPr>
          <w:p w14:paraId="41098AA7" w14:textId="77777777" w:rsidR="00AB3026" w:rsidRPr="001310AD" w:rsidRDefault="00AB3026" w:rsidP="00F27812">
            <w:pPr>
              <w:pStyle w:val="TableText0"/>
              <w:jc w:val="center"/>
              <w:rPr>
                <w:rFonts w:eastAsia="Times New Roman" w:cs="Calibri"/>
                <w:color w:val="000000"/>
              </w:rPr>
            </w:pPr>
            <w:r w:rsidRPr="001310AD">
              <w:rPr>
                <w:rFonts w:eastAsia="Times New Roman"/>
              </w:rPr>
              <w:t>1,473.5</w:t>
            </w:r>
          </w:p>
        </w:tc>
        <w:tc>
          <w:tcPr>
            <w:tcW w:w="344" w:type="pct"/>
            <w:shd w:val="clear" w:color="auto" w:fill="B8CCE4" w:themeFill="accent1" w:themeFillTint="66"/>
            <w:vAlign w:val="center"/>
          </w:tcPr>
          <w:p w14:paraId="26191218" w14:textId="77777777" w:rsidR="00AB3026" w:rsidRPr="001310AD" w:rsidRDefault="00AB3026" w:rsidP="00F27812">
            <w:pPr>
              <w:pStyle w:val="TableText0"/>
              <w:jc w:val="center"/>
              <w:rPr>
                <w:rFonts w:eastAsia="Times New Roman" w:cs="Calibri"/>
                <w:color w:val="000000"/>
              </w:rPr>
            </w:pPr>
            <w:r w:rsidRPr="001310AD">
              <w:rPr>
                <w:rFonts w:eastAsia="Times New Roman"/>
              </w:rPr>
              <w:t>2.0</w:t>
            </w:r>
          </w:p>
        </w:tc>
        <w:tc>
          <w:tcPr>
            <w:tcW w:w="374" w:type="pct"/>
            <w:shd w:val="clear" w:color="auto" w:fill="B8CCE4" w:themeFill="accent1" w:themeFillTint="66"/>
            <w:vAlign w:val="center"/>
          </w:tcPr>
          <w:p w14:paraId="2AD7EC00" w14:textId="77777777" w:rsidR="00AB3026" w:rsidRPr="001310AD" w:rsidRDefault="00AB3026" w:rsidP="00F27812">
            <w:pPr>
              <w:pStyle w:val="TableText0"/>
              <w:jc w:val="center"/>
              <w:rPr>
                <w:rFonts w:eastAsia="Times New Roman" w:cs="Calibri"/>
                <w:color w:val="000000"/>
              </w:rPr>
            </w:pPr>
            <w:r w:rsidRPr="001310AD">
              <w:rPr>
                <w:rFonts w:eastAsia="Times New Roman"/>
              </w:rPr>
              <w:t>2,646</w:t>
            </w:r>
          </w:p>
        </w:tc>
        <w:tc>
          <w:tcPr>
            <w:tcW w:w="297" w:type="pct"/>
            <w:shd w:val="clear" w:color="auto" w:fill="B8CCE4" w:themeFill="accent1" w:themeFillTint="66"/>
            <w:vAlign w:val="center"/>
          </w:tcPr>
          <w:p w14:paraId="38858834" w14:textId="77777777" w:rsidR="00AB3026" w:rsidRPr="001310AD" w:rsidRDefault="00AB3026" w:rsidP="00F27812">
            <w:pPr>
              <w:pStyle w:val="TableText0"/>
              <w:jc w:val="center"/>
              <w:rPr>
                <w:rFonts w:eastAsia="Times New Roman" w:cs="Calibri"/>
                <w:color w:val="000000"/>
              </w:rPr>
            </w:pPr>
            <w:r w:rsidRPr="001310AD">
              <w:rPr>
                <w:rFonts w:eastAsia="Times New Roman"/>
              </w:rPr>
              <w:t>6</w:t>
            </w:r>
          </w:p>
        </w:tc>
        <w:tc>
          <w:tcPr>
            <w:tcW w:w="385" w:type="pct"/>
            <w:shd w:val="clear" w:color="auto" w:fill="B8CCE4" w:themeFill="accent1" w:themeFillTint="66"/>
            <w:vAlign w:val="center"/>
          </w:tcPr>
          <w:p w14:paraId="75C70250" w14:textId="77777777" w:rsidR="00AB3026" w:rsidRPr="001310AD" w:rsidRDefault="00AB3026" w:rsidP="00F27812">
            <w:pPr>
              <w:pStyle w:val="TableText0"/>
              <w:jc w:val="center"/>
              <w:rPr>
                <w:rFonts w:eastAsia="Times New Roman" w:cs="Calibri"/>
                <w:color w:val="000000"/>
              </w:rPr>
            </w:pPr>
            <w:r w:rsidRPr="001310AD">
              <w:rPr>
                <w:rFonts w:eastAsia="Times New Roman"/>
              </w:rPr>
              <w:t>1,451.1</w:t>
            </w:r>
          </w:p>
        </w:tc>
        <w:tc>
          <w:tcPr>
            <w:tcW w:w="365" w:type="pct"/>
            <w:shd w:val="clear" w:color="auto" w:fill="B8CCE4" w:themeFill="accent1" w:themeFillTint="66"/>
            <w:vAlign w:val="center"/>
          </w:tcPr>
          <w:p w14:paraId="6EB0A594" w14:textId="77777777" w:rsidR="00AB3026" w:rsidRPr="001310AD" w:rsidRDefault="00AB3026" w:rsidP="00F27812">
            <w:pPr>
              <w:pStyle w:val="TableText0"/>
              <w:jc w:val="center"/>
              <w:rPr>
                <w:rFonts w:eastAsia="Times New Roman" w:cs="Calibri"/>
                <w:color w:val="000000"/>
              </w:rPr>
            </w:pPr>
            <w:r w:rsidRPr="001310AD">
              <w:rPr>
                <w:rFonts w:eastAsia="Times New Roman"/>
              </w:rPr>
              <w:t>4.1</w:t>
            </w:r>
          </w:p>
        </w:tc>
        <w:tc>
          <w:tcPr>
            <w:tcW w:w="1053" w:type="pct"/>
            <w:shd w:val="clear" w:color="auto" w:fill="B8CCE4" w:themeFill="accent1" w:themeFillTint="66"/>
          </w:tcPr>
          <w:p w14:paraId="09CD1BF9" w14:textId="77777777" w:rsidR="00AB3026" w:rsidRPr="001310AD" w:rsidRDefault="00AB3026" w:rsidP="00F27812">
            <w:pPr>
              <w:pStyle w:val="TableText0"/>
              <w:jc w:val="center"/>
              <w:rPr>
                <w:rFonts w:eastAsia="Times New Roman" w:cs="Calibri"/>
                <w:color w:val="000000"/>
              </w:rPr>
            </w:pPr>
            <w:r w:rsidRPr="001310AD">
              <w:rPr>
                <w:rFonts w:eastAsia="Times New Roman"/>
              </w:rPr>
              <w:t>52.48 (-122.52, 92.31); 0.4591</w:t>
            </w:r>
          </w:p>
        </w:tc>
      </w:tr>
      <w:tr w:rsidR="00AB3026" w:rsidRPr="001310AD" w14:paraId="54C8A7D0" w14:textId="77777777">
        <w:trPr>
          <w:trHeight w:val="170"/>
        </w:trPr>
        <w:tc>
          <w:tcPr>
            <w:tcW w:w="1066" w:type="pct"/>
            <w:tcBorders>
              <w:left w:val="single" w:sz="4" w:space="0" w:color="auto"/>
              <w:right w:val="single" w:sz="4" w:space="0" w:color="auto"/>
            </w:tcBorders>
            <w:shd w:val="clear" w:color="auto" w:fill="B8CCE4" w:themeFill="accent1" w:themeFillTint="66"/>
            <w:vAlign w:val="center"/>
          </w:tcPr>
          <w:p w14:paraId="2FC949D7" w14:textId="12A8B504" w:rsidR="00AB3026" w:rsidRPr="001310AD" w:rsidRDefault="00AB3026" w:rsidP="00F27812">
            <w:pPr>
              <w:pStyle w:val="TableText0"/>
            </w:pPr>
            <w:r w:rsidRPr="001310AD">
              <w:t>Overall trial population (≥60 YOA) – 17.8 m FUP</w:t>
            </w:r>
          </w:p>
        </w:tc>
        <w:tc>
          <w:tcPr>
            <w:tcW w:w="309" w:type="pct"/>
            <w:tcBorders>
              <w:left w:val="single" w:sz="4" w:space="0" w:color="auto"/>
            </w:tcBorders>
            <w:shd w:val="clear" w:color="auto" w:fill="B8CCE4" w:themeFill="accent1" w:themeFillTint="66"/>
            <w:vAlign w:val="center"/>
          </w:tcPr>
          <w:p w14:paraId="58227839" w14:textId="77777777" w:rsidR="00AB3026" w:rsidRPr="001310AD" w:rsidRDefault="00AB3026" w:rsidP="00F27812">
            <w:pPr>
              <w:pStyle w:val="TableText0"/>
              <w:jc w:val="center"/>
            </w:pPr>
            <w:r w:rsidRPr="001310AD">
              <w:rPr>
                <w:rFonts w:eastAsia="Times New Roman" w:cs="Calibri"/>
                <w:color w:val="000000"/>
              </w:rPr>
              <w:t>1</w:t>
            </w:r>
            <w:r w:rsidRPr="001310AD">
              <w:rPr>
                <w:rFonts w:eastAsia="Times New Roman"/>
                <w:color w:val="000000"/>
              </w:rPr>
              <w:t>2,469</w:t>
            </w:r>
          </w:p>
        </w:tc>
        <w:tc>
          <w:tcPr>
            <w:tcW w:w="420" w:type="pct"/>
            <w:shd w:val="clear" w:color="auto" w:fill="B8CCE4" w:themeFill="accent1" w:themeFillTint="66"/>
            <w:vAlign w:val="center"/>
          </w:tcPr>
          <w:p w14:paraId="3D6B089C" w14:textId="77777777" w:rsidR="00AB3026" w:rsidRPr="001310AD" w:rsidRDefault="00AB3026" w:rsidP="00F27812">
            <w:pPr>
              <w:pStyle w:val="TableText0"/>
              <w:jc w:val="center"/>
            </w:pPr>
            <w:r w:rsidRPr="001310AD">
              <w:rPr>
                <w:rFonts w:eastAsia="Times New Roman" w:cs="Calibri"/>
                <w:color w:val="000000"/>
              </w:rPr>
              <w:t>3</w:t>
            </w:r>
            <w:r w:rsidRPr="001310AD">
              <w:rPr>
                <w:rFonts w:eastAsia="Times New Roman"/>
                <w:color w:val="000000"/>
              </w:rPr>
              <w:t>0</w:t>
            </w:r>
          </w:p>
        </w:tc>
        <w:tc>
          <w:tcPr>
            <w:tcW w:w="385" w:type="pct"/>
            <w:shd w:val="clear" w:color="auto" w:fill="B8CCE4" w:themeFill="accent1" w:themeFillTint="66"/>
            <w:vAlign w:val="center"/>
          </w:tcPr>
          <w:p w14:paraId="4E3623B6" w14:textId="77777777" w:rsidR="00AB3026" w:rsidRPr="001310AD" w:rsidRDefault="00AB3026" w:rsidP="00F27812">
            <w:pPr>
              <w:pStyle w:val="TableText0"/>
              <w:jc w:val="center"/>
            </w:pPr>
            <w:r w:rsidRPr="001310AD">
              <w:rPr>
                <w:rFonts w:eastAsia="Times New Roman" w:cs="Calibri"/>
                <w:color w:val="000000"/>
              </w:rPr>
              <w:t>1</w:t>
            </w:r>
            <w:r w:rsidRPr="001310AD">
              <w:rPr>
                <w:rFonts w:eastAsia="Times New Roman"/>
                <w:color w:val="000000"/>
              </w:rPr>
              <w:t>4,662.6</w:t>
            </w:r>
          </w:p>
        </w:tc>
        <w:tc>
          <w:tcPr>
            <w:tcW w:w="344" w:type="pct"/>
            <w:shd w:val="clear" w:color="auto" w:fill="B8CCE4" w:themeFill="accent1" w:themeFillTint="66"/>
            <w:vAlign w:val="center"/>
          </w:tcPr>
          <w:p w14:paraId="0E04CB32" w14:textId="77777777" w:rsidR="00AB3026" w:rsidRPr="001310AD" w:rsidRDefault="00AB3026" w:rsidP="00F27812">
            <w:pPr>
              <w:pStyle w:val="TableText0"/>
              <w:jc w:val="center"/>
            </w:pPr>
            <w:r w:rsidRPr="001310AD">
              <w:rPr>
                <w:rFonts w:eastAsia="Times New Roman" w:cs="Calibri"/>
                <w:color w:val="000000"/>
              </w:rPr>
              <w:t>2</w:t>
            </w:r>
            <w:r w:rsidRPr="001310AD">
              <w:rPr>
                <w:rFonts w:eastAsia="Times New Roman"/>
                <w:color w:val="000000"/>
              </w:rPr>
              <w:t>.0</w:t>
            </w:r>
          </w:p>
        </w:tc>
        <w:tc>
          <w:tcPr>
            <w:tcW w:w="374" w:type="pct"/>
            <w:shd w:val="clear" w:color="auto" w:fill="B8CCE4" w:themeFill="accent1" w:themeFillTint="66"/>
            <w:vAlign w:val="center"/>
          </w:tcPr>
          <w:p w14:paraId="68F3FAFA" w14:textId="77777777" w:rsidR="00AB3026" w:rsidRPr="001310AD" w:rsidRDefault="00AB3026" w:rsidP="00F27812">
            <w:pPr>
              <w:pStyle w:val="TableText0"/>
              <w:jc w:val="center"/>
            </w:pPr>
            <w:r w:rsidRPr="001310AD">
              <w:rPr>
                <w:rFonts w:eastAsia="Times New Roman" w:cs="Calibri"/>
                <w:color w:val="000000"/>
              </w:rPr>
              <w:t>1</w:t>
            </w:r>
            <w:r w:rsidRPr="001310AD">
              <w:rPr>
                <w:rFonts w:eastAsia="Times New Roman"/>
                <w:color w:val="000000"/>
              </w:rPr>
              <w:t>2,498</w:t>
            </w:r>
          </w:p>
        </w:tc>
        <w:tc>
          <w:tcPr>
            <w:tcW w:w="297" w:type="pct"/>
            <w:shd w:val="clear" w:color="auto" w:fill="B8CCE4" w:themeFill="accent1" w:themeFillTint="66"/>
            <w:vAlign w:val="center"/>
          </w:tcPr>
          <w:p w14:paraId="72F04366" w14:textId="77777777" w:rsidR="00AB3026" w:rsidRPr="001310AD" w:rsidRDefault="00AB3026" w:rsidP="00F27812">
            <w:pPr>
              <w:pStyle w:val="TableText0"/>
              <w:jc w:val="center"/>
            </w:pPr>
            <w:r w:rsidRPr="001310AD">
              <w:rPr>
                <w:rFonts w:eastAsia="Times New Roman" w:cs="Calibri"/>
                <w:color w:val="000000"/>
              </w:rPr>
              <w:t>1</w:t>
            </w:r>
            <w:r w:rsidRPr="001310AD">
              <w:rPr>
                <w:rFonts w:eastAsia="Times New Roman"/>
                <w:color w:val="000000"/>
              </w:rPr>
              <w:t>39</w:t>
            </w:r>
          </w:p>
        </w:tc>
        <w:tc>
          <w:tcPr>
            <w:tcW w:w="385" w:type="pct"/>
            <w:shd w:val="clear" w:color="auto" w:fill="B8CCE4" w:themeFill="accent1" w:themeFillTint="66"/>
            <w:vAlign w:val="center"/>
          </w:tcPr>
          <w:p w14:paraId="0656A68E" w14:textId="77777777" w:rsidR="00AB3026" w:rsidRPr="001310AD" w:rsidRDefault="00AB3026" w:rsidP="00F27812">
            <w:pPr>
              <w:pStyle w:val="TableText0"/>
              <w:jc w:val="center"/>
            </w:pPr>
            <w:r w:rsidRPr="001310AD">
              <w:rPr>
                <w:rFonts w:eastAsia="Times New Roman" w:cs="Calibri"/>
                <w:color w:val="000000"/>
              </w:rPr>
              <w:t>1</w:t>
            </w:r>
            <w:r w:rsidRPr="001310AD">
              <w:rPr>
                <w:rFonts w:eastAsia="Times New Roman"/>
                <w:color w:val="000000"/>
              </w:rPr>
              <w:t>7,269.0</w:t>
            </w:r>
          </w:p>
        </w:tc>
        <w:tc>
          <w:tcPr>
            <w:tcW w:w="365" w:type="pct"/>
            <w:shd w:val="clear" w:color="auto" w:fill="B8CCE4" w:themeFill="accent1" w:themeFillTint="66"/>
            <w:vAlign w:val="center"/>
          </w:tcPr>
          <w:p w14:paraId="45404ADC" w14:textId="77777777" w:rsidR="00AB3026" w:rsidRPr="001310AD" w:rsidRDefault="00AB3026" w:rsidP="00F27812">
            <w:pPr>
              <w:pStyle w:val="TableText0"/>
              <w:jc w:val="center"/>
            </w:pPr>
            <w:r w:rsidRPr="001310AD">
              <w:rPr>
                <w:rFonts w:eastAsia="Times New Roman" w:cs="Calibri"/>
                <w:color w:val="000000"/>
              </w:rPr>
              <w:t>8</w:t>
            </w:r>
            <w:r w:rsidRPr="001310AD">
              <w:rPr>
                <w:rFonts w:eastAsia="Times New Roman"/>
                <w:color w:val="000000"/>
              </w:rPr>
              <w:t>.0</w:t>
            </w:r>
          </w:p>
        </w:tc>
        <w:tc>
          <w:tcPr>
            <w:tcW w:w="1053" w:type="pct"/>
            <w:shd w:val="clear" w:color="auto" w:fill="B8CCE4" w:themeFill="accent1" w:themeFillTint="66"/>
            <w:vAlign w:val="center"/>
          </w:tcPr>
          <w:p w14:paraId="4E84B961" w14:textId="77777777" w:rsidR="00AB3026" w:rsidRPr="001310AD" w:rsidRDefault="00AB3026" w:rsidP="00F27812">
            <w:pPr>
              <w:pStyle w:val="TableText0"/>
              <w:jc w:val="center"/>
              <w:rPr>
                <w:b/>
                <w:bCs w:val="0"/>
              </w:rPr>
            </w:pPr>
            <w:r w:rsidRPr="001310AD">
              <w:rPr>
                <w:rFonts w:eastAsia="Times New Roman" w:cs="Calibri"/>
                <w:b/>
                <w:bCs w:val="0"/>
                <w:color w:val="000000"/>
              </w:rPr>
              <w:t>6</w:t>
            </w:r>
            <w:r w:rsidRPr="001310AD">
              <w:rPr>
                <w:rFonts w:eastAsia="Times New Roman"/>
                <w:b/>
                <w:bCs w:val="0"/>
                <w:color w:val="000000"/>
              </w:rPr>
              <w:t>7.18</w:t>
            </w:r>
            <w:r w:rsidRPr="001310AD">
              <w:rPr>
                <w:b/>
                <w:bCs w:val="0"/>
                <w:color w:val="000000"/>
              </w:rPr>
              <w:t xml:space="preserve"> </w:t>
            </w:r>
            <w:r w:rsidRPr="001310AD">
              <w:rPr>
                <w:rFonts w:eastAsia="Times New Roman"/>
                <w:b/>
                <w:bCs w:val="0"/>
                <w:color w:val="000000"/>
              </w:rPr>
              <w:t>(48.19, 80.04);</w:t>
            </w:r>
            <w:r w:rsidRPr="001310AD">
              <w:rPr>
                <w:b/>
                <w:bCs w:val="0"/>
                <w:color w:val="000000"/>
              </w:rPr>
              <w:t xml:space="preserve"> </w:t>
            </w:r>
            <w:r w:rsidRPr="001310AD">
              <w:rPr>
                <w:rFonts w:eastAsia="Times New Roman"/>
                <w:b/>
                <w:bCs w:val="0"/>
                <w:color w:val="000000"/>
              </w:rPr>
              <w:t>&lt;0.0001</w:t>
            </w:r>
          </w:p>
        </w:tc>
      </w:tr>
      <w:tr w:rsidR="00AB3026" w:rsidRPr="001310AD" w14:paraId="772665CC" w14:textId="77777777">
        <w:trPr>
          <w:trHeight w:val="170"/>
        </w:trPr>
        <w:tc>
          <w:tcPr>
            <w:tcW w:w="1066" w:type="pct"/>
            <w:tcBorders>
              <w:left w:val="single" w:sz="4" w:space="0" w:color="auto"/>
              <w:right w:val="single" w:sz="4" w:space="0" w:color="auto"/>
            </w:tcBorders>
            <w:shd w:val="clear" w:color="auto" w:fill="B8CCE4" w:themeFill="accent1" w:themeFillTint="66"/>
            <w:vAlign w:val="center"/>
          </w:tcPr>
          <w:p w14:paraId="30DAADC8" w14:textId="6D351AAA" w:rsidR="00AB3026" w:rsidRPr="001310AD" w:rsidRDefault="00AB3026" w:rsidP="00F27812">
            <w:pPr>
              <w:pStyle w:val="TableText0"/>
            </w:pPr>
            <w:r w:rsidRPr="001310AD">
              <w:t>≥75 YOA</w:t>
            </w:r>
            <w:r w:rsidRPr="001310AD">
              <w:rPr>
                <w:vertAlign w:val="superscript"/>
              </w:rPr>
              <w:t>b</w:t>
            </w:r>
            <w:r w:rsidRPr="001310AD">
              <w:t xml:space="preserve"> – 17.8 m FUP</w:t>
            </w:r>
          </w:p>
        </w:tc>
        <w:tc>
          <w:tcPr>
            <w:tcW w:w="309" w:type="pct"/>
            <w:tcBorders>
              <w:left w:val="single" w:sz="4" w:space="0" w:color="auto"/>
            </w:tcBorders>
            <w:shd w:val="clear" w:color="auto" w:fill="B8CCE4" w:themeFill="accent1" w:themeFillTint="66"/>
            <w:vAlign w:val="center"/>
          </w:tcPr>
          <w:p w14:paraId="5049959E" w14:textId="77777777" w:rsidR="00AB3026" w:rsidRPr="001310AD" w:rsidRDefault="00AB3026" w:rsidP="00F27812">
            <w:pPr>
              <w:pStyle w:val="TableText0"/>
              <w:jc w:val="center"/>
            </w:pPr>
            <w:r w:rsidRPr="001310AD">
              <w:rPr>
                <w:rFonts w:eastAsia="Times New Roman"/>
              </w:rPr>
              <w:t>2,672</w:t>
            </w:r>
          </w:p>
        </w:tc>
        <w:tc>
          <w:tcPr>
            <w:tcW w:w="420" w:type="pct"/>
            <w:shd w:val="clear" w:color="auto" w:fill="B8CCE4" w:themeFill="accent1" w:themeFillTint="66"/>
            <w:vAlign w:val="center"/>
          </w:tcPr>
          <w:p w14:paraId="31FD9E93" w14:textId="77777777" w:rsidR="00AB3026" w:rsidRPr="001310AD" w:rsidRDefault="00AB3026" w:rsidP="00F27812">
            <w:pPr>
              <w:pStyle w:val="TableText0"/>
              <w:jc w:val="center"/>
            </w:pPr>
            <w:r w:rsidRPr="001310AD">
              <w:rPr>
                <w:rFonts w:eastAsia="Times New Roman"/>
              </w:rPr>
              <w:t>8</w:t>
            </w:r>
          </w:p>
        </w:tc>
        <w:tc>
          <w:tcPr>
            <w:tcW w:w="385" w:type="pct"/>
            <w:shd w:val="clear" w:color="auto" w:fill="B8CCE4" w:themeFill="accent1" w:themeFillTint="66"/>
            <w:vAlign w:val="center"/>
          </w:tcPr>
          <w:p w14:paraId="69B92E83" w14:textId="77777777" w:rsidR="00AB3026" w:rsidRPr="001310AD" w:rsidRDefault="00AB3026" w:rsidP="00F27812">
            <w:pPr>
              <w:pStyle w:val="TableText0"/>
              <w:jc w:val="center"/>
            </w:pPr>
            <w:r w:rsidRPr="001310AD">
              <w:rPr>
                <w:rFonts w:eastAsia="Times New Roman"/>
              </w:rPr>
              <w:t>3,079.0</w:t>
            </w:r>
          </w:p>
        </w:tc>
        <w:tc>
          <w:tcPr>
            <w:tcW w:w="344" w:type="pct"/>
            <w:shd w:val="clear" w:color="auto" w:fill="B8CCE4" w:themeFill="accent1" w:themeFillTint="66"/>
            <w:vAlign w:val="center"/>
          </w:tcPr>
          <w:p w14:paraId="003A51E1" w14:textId="77777777" w:rsidR="00AB3026" w:rsidRPr="001310AD" w:rsidRDefault="00AB3026" w:rsidP="00F27812">
            <w:pPr>
              <w:pStyle w:val="TableText0"/>
              <w:jc w:val="center"/>
            </w:pPr>
            <w:r w:rsidRPr="001310AD">
              <w:rPr>
                <w:rFonts w:eastAsia="Times New Roman"/>
              </w:rPr>
              <w:t>2.6</w:t>
            </w:r>
          </w:p>
        </w:tc>
        <w:tc>
          <w:tcPr>
            <w:tcW w:w="374" w:type="pct"/>
            <w:shd w:val="clear" w:color="auto" w:fill="B8CCE4" w:themeFill="accent1" w:themeFillTint="66"/>
            <w:vAlign w:val="center"/>
          </w:tcPr>
          <w:p w14:paraId="5863C2A2" w14:textId="77777777" w:rsidR="00AB3026" w:rsidRPr="001310AD" w:rsidRDefault="00AB3026" w:rsidP="00F27812">
            <w:pPr>
              <w:pStyle w:val="TableText0"/>
              <w:jc w:val="center"/>
            </w:pPr>
            <w:r w:rsidRPr="001310AD">
              <w:rPr>
                <w:rFonts w:eastAsia="Times New Roman"/>
              </w:rPr>
              <w:t>2,647</w:t>
            </w:r>
          </w:p>
        </w:tc>
        <w:tc>
          <w:tcPr>
            <w:tcW w:w="297" w:type="pct"/>
            <w:shd w:val="clear" w:color="auto" w:fill="B8CCE4" w:themeFill="accent1" w:themeFillTint="66"/>
            <w:vAlign w:val="center"/>
          </w:tcPr>
          <w:p w14:paraId="062EACE7" w14:textId="77777777" w:rsidR="00AB3026" w:rsidRPr="001310AD" w:rsidRDefault="00AB3026" w:rsidP="00F27812">
            <w:pPr>
              <w:pStyle w:val="TableText0"/>
              <w:jc w:val="center"/>
            </w:pPr>
            <w:r w:rsidRPr="001310AD">
              <w:rPr>
                <w:rFonts w:eastAsia="Times New Roman"/>
              </w:rPr>
              <w:t>24</w:t>
            </w:r>
          </w:p>
        </w:tc>
        <w:tc>
          <w:tcPr>
            <w:tcW w:w="385" w:type="pct"/>
            <w:shd w:val="clear" w:color="auto" w:fill="B8CCE4" w:themeFill="accent1" w:themeFillTint="66"/>
            <w:vAlign w:val="center"/>
          </w:tcPr>
          <w:p w14:paraId="47ABD8EF" w14:textId="77777777" w:rsidR="00AB3026" w:rsidRPr="001310AD" w:rsidRDefault="00AB3026" w:rsidP="00F27812">
            <w:pPr>
              <w:pStyle w:val="TableText0"/>
              <w:jc w:val="center"/>
            </w:pPr>
            <w:r w:rsidRPr="001310AD">
              <w:rPr>
                <w:rFonts w:eastAsia="Times New Roman"/>
              </w:rPr>
              <w:t>3,624.6</w:t>
            </w:r>
          </w:p>
        </w:tc>
        <w:tc>
          <w:tcPr>
            <w:tcW w:w="365" w:type="pct"/>
            <w:shd w:val="clear" w:color="auto" w:fill="B8CCE4" w:themeFill="accent1" w:themeFillTint="66"/>
            <w:vAlign w:val="center"/>
          </w:tcPr>
          <w:p w14:paraId="26AE1973" w14:textId="77777777" w:rsidR="00AB3026" w:rsidRPr="001310AD" w:rsidRDefault="00AB3026" w:rsidP="00F27812">
            <w:pPr>
              <w:pStyle w:val="TableText0"/>
              <w:jc w:val="center"/>
            </w:pPr>
            <w:r w:rsidRPr="001310AD">
              <w:rPr>
                <w:rFonts w:eastAsia="Times New Roman"/>
              </w:rPr>
              <w:t>6.6</w:t>
            </w:r>
          </w:p>
        </w:tc>
        <w:tc>
          <w:tcPr>
            <w:tcW w:w="1053" w:type="pct"/>
            <w:shd w:val="clear" w:color="auto" w:fill="B8CCE4" w:themeFill="accent1" w:themeFillTint="66"/>
          </w:tcPr>
          <w:p w14:paraId="00131557" w14:textId="77777777" w:rsidR="00AB3026" w:rsidRPr="001310AD" w:rsidRDefault="00AB3026" w:rsidP="00F27812">
            <w:pPr>
              <w:pStyle w:val="TableText0"/>
              <w:jc w:val="center"/>
              <w:rPr>
                <w:b/>
                <w:bCs w:val="0"/>
              </w:rPr>
            </w:pPr>
            <w:r w:rsidRPr="001310AD">
              <w:rPr>
                <w:rFonts w:eastAsia="Times New Roman"/>
              </w:rPr>
              <w:t>49.33 (-18.24, 80.56); 0.1312</w:t>
            </w:r>
          </w:p>
        </w:tc>
      </w:tr>
      <w:tr w:rsidR="00AB3026" w:rsidRPr="001310AD" w14:paraId="1AAA441B" w14:textId="77777777">
        <w:trPr>
          <w:trHeight w:val="170"/>
        </w:trPr>
        <w:tc>
          <w:tcPr>
            <w:tcW w:w="1066" w:type="pct"/>
            <w:tcBorders>
              <w:left w:val="single" w:sz="4" w:space="0" w:color="auto"/>
              <w:right w:val="single" w:sz="4" w:space="0" w:color="auto"/>
            </w:tcBorders>
            <w:shd w:val="clear" w:color="auto" w:fill="B8CCE4" w:themeFill="accent1" w:themeFillTint="66"/>
            <w:vAlign w:val="center"/>
          </w:tcPr>
          <w:p w14:paraId="171C2FFC" w14:textId="77777777" w:rsidR="00AB3026" w:rsidRPr="001310AD" w:rsidRDefault="00AB3026" w:rsidP="00F27812">
            <w:pPr>
              <w:pStyle w:val="TableText0"/>
            </w:pPr>
            <w:r w:rsidRPr="001310AD">
              <w:t>70-79 YOA</w:t>
            </w:r>
          </w:p>
        </w:tc>
        <w:tc>
          <w:tcPr>
            <w:tcW w:w="309" w:type="pct"/>
            <w:tcBorders>
              <w:left w:val="single" w:sz="4" w:space="0" w:color="auto"/>
            </w:tcBorders>
            <w:shd w:val="clear" w:color="auto" w:fill="B8CCE4" w:themeFill="accent1" w:themeFillTint="66"/>
            <w:vAlign w:val="center"/>
          </w:tcPr>
          <w:p w14:paraId="2F6994D0" w14:textId="77777777" w:rsidR="00AB3026" w:rsidRPr="001310AD" w:rsidRDefault="00AB3026" w:rsidP="00F27812">
            <w:pPr>
              <w:pStyle w:val="TableText0"/>
              <w:jc w:val="center"/>
              <w:rPr>
                <w:rFonts w:eastAsia="Times New Roman"/>
              </w:rPr>
            </w:pPr>
            <w:r w:rsidRPr="001310AD">
              <w:rPr>
                <w:rFonts w:eastAsia="Times New Roman"/>
              </w:rPr>
              <w:t>4,489</w:t>
            </w:r>
          </w:p>
        </w:tc>
        <w:tc>
          <w:tcPr>
            <w:tcW w:w="420" w:type="pct"/>
            <w:shd w:val="clear" w:color="auto" w:fill="B8CCE4" w:themeFill="accent1" w:themeFillTint="66"/>
            <w:vAlign w:val="center"/>
          </w:tcPr>
          <w:p w14:paraId="007EC73C" w14:textId="77777777" w:rsidR="00AB3026" w:rsidRPr="001310AD" w:rsidRDefault="00AB3026" w:rsidP="00F27812">
            <w:pPr>
              <w:pStyle w:val="TableText0"/>
              <w:jc w:val="center"/>
              <w:rPr>
                <w:rFonts w:eastAsia="Times New Roman"/>
              </w:rPr>
            </w:pPr>
            <w:r w:rsidRPr="001310AD">
              <w:rPr>
                <w:rFonts w:eastAsia="Times New Roman"/>
              </w:rPr>
              <w:t>9</w:t>
            </w:r>
          </w:p>
        </w:tc>
        <w:tc>
          <w:tcPr>
            <w:tcW w:w="385" w:type="pct"/>
            <w:shd w:val="clear" w:color="auto" w:fill="B8CCE4" w:themeFill="accent1" w:themeFillTint="66"/>
            <w:vAlign w:val="center"/>
          </w:tcPr>
          <w:p w14:paraId="1AADE9D8" w14:textId="77777777" w:rsidR="00AB3026" w:rsidRPr="001310AD" w:rsidRDefault="00AB3026" w:rsidP="00F27812">
            <w:pPr>
              <w:pStyle w:val="TableText0"/>
              <w:jc w:val="center"/>
              <w:rPr>
                <w:rFonts w:eastAsia="Times New Roman"/>
              </w:rPr>
            </w:pPr>
            <w:r w:rsidRPr="001310AD">
              <w:rPr>
                <w:rFonts w:eastAsia="Times New Roman"/>
              </w:rPr>
              <w:t>NR</w:t>
            </w:r>
          </w:p>
        </w:tc>
        <w:tc>
          <w:tcPr>
            <w:tcW w:w="344" w:type="pct"/>
            <w:shd w:val="clear" w:color="auto" w:fill="B8CCE4" w:themeFill="accent1" w:themeFillTint="66"/>
            <w:vAlign w:val="center"/>
          </w:tcPr>
          <w:p w14:paraId="1CF0BAEB" w14:textId="77777777" w:rsidR="00AB3026" w:rsidRPr="001310AD" w:rsidRDefault="00AB3026" w:rsidP="00F27812">
            <w:pPr>
              <w:pStyle w:val="TableText0"/>
              <w:jc w:val="center"/>
              <w:rPr>
                <w:rFonts w:eastAsia="Times New Roman"/>
              </w:rPr>
            </w:pPr>
            <w:r w:rsidRPr="001310AD">
              <w:rPr>
                <w:rFonts w:eastAsia="Times New Roman"/>
              </w:rPr>
              <w:t>NR</w:t>
            </w:r>
          </w:p>
        </w:tc>
        <w:tc>
          <w:tcPr>
            <w:tcW w:w="374" w:type="pct"/>
            <w:shd w:val="clear" w:color="auto" w:fill="B8CCE4" w:themeFill="accent1" w:themeFillTint="66"/>
            <w:vAlign w:val="center"/>
          </w:tcPr>
          <w:p w14:paraId="5A3F983B" w14:textId="77777777" w:rsidR="00AB3026" w:rsidRPr="001310AD" w:rsidRDefault="00AB3026" w:rsidP="00F27812">
            <w:pPr>
              <w:pStyle w:val="TableText0"/>
              <w:jc w:val="center"/>
              <w:rPr>
                <w:rFonts w:eastAsia="Times New Roman"/>
              </w:rPr>
            </w:pPr>
            <w:r w:rsidRPr="001310AD">
              <w:rPr>
                <w:rFonts w:eastAsia="Times New Roman"/>
              </w:rPr>
              <w:t>4,489</w:t>
            </w:r>
          </w:p>
        </w:tc>
        <w:tc>
          <w:tcPr>
            <w:tcW w:w="297" w:type="pct"/>
            <w:shd w:val="clear" w:color="auto" w:fill="B8CCE4" w:themeFill="accent1" w:themeFillTint="66"/>
            <w:vAlign w:val="center"/>
          </w:tcPr>
          <w:p w14:paraId="54C0033C" w14:textId="77777777" w:rsidR="00AB3026" w:rsidRPr="001310AD" w:rsidRDefault="00AB3026" w:rsidP="00F27812">
            <w:pPr>
              <w:pStyle w:val="TableText0"/>
              <w:jc w:val="center"/>
              <w:rPr>
                <w:rFonts w:eastAsia="Times New Roman"/>
              </w:rPr>
            </w:pPr>
            <w:r w:rsidRPr="001310AD">
              <w:rPr>
                <w:rFonts w:eastAsia="Times New Roman"/>
              </w:rPr>
              <w:t>55</w:t>
            </w:r>
          </w:p>
        </w:tc>
        <w:tc>
          <w:tcPr>
            <w:tcW w:w="385" w:type="pct"/>
            <w:shd w:val="clear" w:color="auto" w:fill="B8CCE4" w:themeFill="accent1" w:themeFillTint="66"/>
            <w:vAlign w:val="center"/>
          </w:tcPr>
          <w:p w14:paraId="6548F740" w14:textId="77777777" w:rsidR="00AB3026" w:rsidRPr="001310AD" w:rsidRDefault="00AB3026" w:rsidP="00F27812">
            <w:pPr>
              <w:pStyle w:val="TableText0"/>
              <w:jc w:val="center"/>
              <w:rPr>
                <w:rFonts w:eastAsia="Times New Roman"/>
              </w:rPr>
            </w:pPr>
            <w:r w:rsidRPr="001310AD">
              <w:rPr>
                <w:rFonts w:eastAsia="Times New Roman"/>
              </w:rPr>
              <w:t>NR</w:t>
            </w:r>
          </w:p>
        </w:tc>
        <w:tc>
          <w:tcPr>
            <w:tcW w:w="365" w:type="pct"/>
            <w:shd w:val="clear" w:color="auto" w:fill="B8CCE4" w:themeFill="accent1" w:themeFillTint="66"/>
            <w:vAlign w:val="center"/>
          </w:tcPr>
          <w:p w14:paraId="3B424604" w14:textId="77777777" w:rsidR="00AB3026" w:rsidRPr="001310AD" w:rsidRDefault="00AB3026" w:rsidP="00F27812">
            <w:pPr>
              <w:pStyle w:val="TableText0"/>
              <w:jc w:val="center"/>
              <w:rPr>
                <w:rFonts w:eastAsia="Times New Roman"/>
              </w:rPr>
            </w:pPr>
            <w:r w:rsidRPr="001310AD">
              <w:rPr>
                <w:rFonts w:eastAsia="Times New Roman"/>
              </w:rPr>
              <w:t>NR</w:t>
            </w:r>
          </w:p>
        </w:tc>
        <w:tc>
          <w:tcPr>
            <w:tcW w:w="1053" w:type="pct"/>
            <w:shd w:val="clear" w:color="auto" w:fill="B8CCE4" w:themeFill="accent1" w:themeFillTint="66"/>
          </w:tcPr>
          <w:p w14:paraId="7884D347" w14:textId="6F8783D9" w:rsidR="00680F44" w:rsidRPr="001310AD" w:rsidRDefault="00AB3026" w:rsidP="00F27812">
            <w:pPr>
              <w:pStyle w:val="TableText0"/>
              <w:jc w:val="center"/>
              <w:rPr>
                <w:rFonts w:eastAsia="Times New Roman"/>
                <w:b/>
                <w:bCs w:val="0"/>
              </w:rPr>
            </w:pPr>
            <w:r w:rsidRPr="001310AD">
              <w:rPr>
                <w:rFonts w:eastAsia="Times New Roman"/>
                <w:b/>
                <w:bCs w:val="0"/>
              </w:rPr>
              <w:t>74.89 (48.42, 89.15)</w:t>
            </w:r>
          </w:p>
        </w:tc>
      </w:tr>
      <w:tr w:rsidR="00AB3026" w:rsidRPr="001310AD" w14:paraId="4CDD8405" w14:textId="77777777">
        <w:trPr>
          <w:trHeight w:val="170"/>
        </w:trPr>
        <w:tc>
          <w:tcPr>
            <w:tcW w:w="5000" w:type="pct"/>
            <w:gridSpan w:val="10"/>
            <w:tcBorders>
              <w:left w:val="single" w:sz="4" w:space="0" w:color="auto"/>
            </w:tcBorders>
            <w:vAlign w:val="center"/>
          </w:tcPr>
          <w:p w14:paraId="11037649" w14:textId="787976D2" w:rsidR="00AB3026" w:rsidRPr="001310AD" w:rsidRDefault="00AB3026" w:rsidP="00F27812">
            <w:pPr>
              <w:pStyle w:val="TableText0"/>
              <w:rPr>
                <w:b/>
                <w:bCs w:val="0"/>
              </w:rPr>
            </w:pPr>
            <w:r w:rsidRPr="001310AD">
              <w:rPr>
                <w:b/>
                <w:bCs w:val="0"/>
              </w:rPr>
              <w:t xml:space="preserve">Descriptive secondary endpoints (cumulative VE </w:t>
            </w:r>
            <w:r w:rsidR="00B06612" w:rsidRPr="001310AD">
              <w:rPr>
                <w:b/>
                <w:bCs w:val="0"/>
              </w:rPr>
              <w:t xml:space="preserve">over </w:t>
            </w:r>
            <w:r w:rsidRPr="001310AD">
              <w:rPr>
                <w:b/>
                <w:bCs w:val="0"/>
              </w:rPr>
              <w:t xml:space="preserve">3 RSV seasons; </w:t>
            </w:r>
            <w:r w:rsidR="00AD74BA" w:rsidRPr="001310AD">
              <w:rPr>
                <w:b/>
                <w:bCs w:val="0"/>
              </w:rPr>
              <w:t xml:space="preserve">median </w:t>
            </w:r>
            <w:r w:rsidRPr="001310AD">
              <w:rPr>
                <w:b/>
                <w:bCs w:val="0"/>
              </w:rPr>
              <w:t>FUP 30.6 months)</w:t>
            </w:r>
          </w:p>
        </w:tc>
      </w:tr>
      <w:tr w:rsidR="00AB3026" w:rsidRPr="001310AD" w14:paraId="52670C23" w14:textId="77777777">
        <w:trPr>
          <w:trHeight w:val="170"/>
        </w:trPr>
        <w:tc>
          <w:tcPr>
            <w:tcW w:w="5000" w:type="pct"/>
            <w:gridSpan w:val="10"/>
            <w:tcBorders>
              <w:left w:val="single" w:sz="4" w:space="0" w:color="auto"/>
            </w:tcBorders>
            <w:vAlign w:val="center"/>
          </w:tcPr>
          <w:p w14:paraId="691E81D1" w14:textId="77777777" w:rsidR="00AB3026" w:rsidRPr="001310AD" w:rsidRDefault="00AB3026" w:rsidP="00F27812">
            <w:pPr>
              <w:pStyle w:val="TableText0"/>
              <w:rPr>
                <w:b/>
                <w:bCs w:val="0"/>
              </w:rPr>
            </w:pPr>
            <w:r w:rsidRPr="001310AD">
              <w:rPr>
                <w:b/>
                <w:bCs w:val="0"/>
              </w:rPr>
              <w:t>RSV-LRTD by age group</w:t>
            </w:r>
          </w:p>
        </w:tc>
      </w:tr>
      <w:tr w:rsidR="00AB3026" w:rsidRPr="001310AD" w14:paraId="20B3EF1C" w14:textId="77777777">
        <w:trPr>
          <w:trHeight w:val="170"/>
        </w:trPr>
        <w:tc>
          <w:tcPr>
            <w:tcW w:w="1066" w:type="pct"/>
            <w:tcBorders>
              <w:left w:val="single" w:sz="4" w:space="0" w:color="auto"/>
              <w:right w:val="single" w:sz="4" w:space="0" w:color="auto"/>
            </w:tcBorders>
            <w:vAlign w:val="center"/>
          </w:tcPr>
          <w:p w14:paraId="5649730E" w14:textId="77777777" w:rsidR="00AB3026" w:rsidRPr="001310AD" w:rsidRDefault="00AB3026" w:rsidP="00F27812">
            <w:pPr>
              <w:pStyle w:val="TableText0"/>
            </w:pPr>
            <w:r w:rsidRPr="001310AD">
              <w:t>Overall trial population (≥ 60 YOA)</w:t>
            </w:r>
          </w:p>
        </w:tc>
        <w:tc>
          <w:tcPr>
            <w:tcW w:w="309" w:type="pct"/>
            <w:tcBorders>
              <w:left w:val="single" w:sz="4" w:space="0" w:color="auto"/>
            </w:tcBorders>
            <w:vAlign w:val="center"/>
          </w:tcPr>
          <w:p w14:paraId="5ACFBFD8" w14:textId="77777777" w:rsidR="00AB3026" w:rsidRPr="001310AD" w:rsidRDefault="00AB3026" w:rsidP="00F27812">
            <w:pPr>
              <w:pStyle w:val="TableText0"/>
              <w:jc w:val="center"/>
            </w:pPr>
            <w:r w:rsidRPr="001310AD">
              <w:rPr>
                <w:rFonts w:cs="Calibri"/>
                <w:color w:val="000000"/>
              </w:rPr>
              <w:t>12,468</w:t>
            </w:r>
          </w:p>
        </w:tc>
        <w:tc>
          <w:tcPr>
            <w:tcW w:w="420" w:type="pct"/>
            <w:vAlign w:val="center"/>
          </w:tcPr>
          <w:p w14:paraId="6EFFA08D" w14:textId="77777777" w:rsidR="00AB3026" w:rsidRPr="001310AD" w:rsidRDefault="00AB3026" w:rsidP="00F27812">
            <w:pPr>
              <w:pStyle w:val="TableText0"/>
              <w:jc w:val="center"/>
            </w:pPr>
            <w:r w:rsidRPr="001310AD">
              <w:rPr>
                <w:rFonts w:cs="Calibri"/>
                <w:color w:val="000000"/>
              </w:rPr>
              <w:t>48</w:t>
            </w:r>
          </w:p>
        </w:tc>
        <w:tc>
          <w:tcPr>
            <w:tcW w:w="385" w:type="pct"/>
            <w:vAlign w:val="center"/>
          </w:tcPr>
          <w:p w14:paraId="5FBF2E51" w14:textId="77777777" w:rsidR="00AB3026" w:rsidRPr="001310AD" w:rsidRDefault="00AB3026" w:rsidP="00F27812">
            <w:pPr>
              <w:pStyle w:val="TableText0"/>
              <w:jc w:val="center"/>
            </w:pPr>
            <w:r w:rsidRPr="001310AD">
              <w:rPr>
                <w:rFonts w:cs="Calibri"/>
                <w:color w:val="000000"/>
              </w:rPr>
              <w:t>19,748.8</w:t>
            </w:r>
          </w:p>
        </w:tc>
        <w:tc>
          <w:tcPr>
            <w:tcW w:w="344" w:type="pct"/>
            <w:vAlign w:val="center"/>
          </w:tcPr>
          <w:p w14:paraId="4460C53F" w14:textId="77777777" w:rsidR="00AB3026" w:rsidRPr="001310AD" w:rsidRDefault="00AB3026" w:rsidP="00F27812">
            <w:pPr>
              <w:pStyle w:val="TableText0"/>
              <w:jc w:val="center"/>
            </w:pPr>
            <w:r w:rsidRPr="001310AD">
              <w:rPr>
                <w:rFonts w:cs="Calibri"/>
                <w:color w:val="000000"/>
              </w:rPr>
              <w:t>2.4</w:t>
            </w:r>
          </w:p>
        </w:tc>
        <w:tc>
          <w:tcPr>
            <w:tcW w:w="374" w:type="pct"/>
            <w:vAlign w:val="center"/>
          </w:tcPr>
          <w:p w14:paraId="4F7BEA56" w14:textId="77777777" w:rsidR="00AB3026" w:rsidRPr="001310AD" w:rsidRDefault="00AB3026" w:rsidP="00F27812">
            <w:pPr>
              <w:pStyle w:val="TableText0"/>
              <w:jc w:val="center"/>
            </w:pPr>
            <w:r w:rsidRPr="001310AD">
              <w:rPr>
                <w:rFonts w:cs="Calibri"/>
                <w:color w:val="000000"/>
              </w:rPr>
              <w:t>12,498</w:t>
            </w:r>
          </w:p>
        </w:tc>
        <w:tc>
          <w:tcPr>
            <w:tcW w:w="297" w:type="pct"/>
            <w:vAlign w:val="center"/>
          </w:tcPr>
          <w:p w14:paraId="5FD9C706" w14:textId="77777777" w:rsidR="00AB3026" w:rsidRPr="001310AD" w:rsidRDefault="00AB3026" w:rsidP="00F27812">
            <w:pPr>
              <w:pStyle w:val="TableText0"/>
              <w:jc w:val="center"/>
            </w:pPr>
            <w:r w:rsidRPr="001310AD">
              <w:rPr>
                <w:rFonts w:cs="Calibri"/>
                <w:color w:val="000000"/>
              </w:rPr>
              <w:t>215</w:t>
            </w:r>
          </w:p>
        </w:tc>
        <w:tc>
          <w:tcPr>
            <w:tcW w:w="385" w:type="pct"/>
            <w:vAlign w:val="center"/>
          </w:tcPr>
          <w:p w14:paraId="40B50C98" w14:textId="77777777" w:rsidR="00AB3026" w:rsidRPr="001310AD" w:rsidRDefault="00AB3026" w:rsidP="00F27812">
            <w:pPr>
              <w:pStyle w:val="TableText0"/>
              <w:jc w:val="center"/>
            </w:pPr>
            <w:r w:rsidRPr="001310AD">
              <w:rPr>
                <w:rFonts w:cs="Calibri"/>
                <w:color w:val="000000"/>
              </w:rPr>
              <w:t>27,363.6</w:t>
            </w:r>
          </w:p>
        </w:tc>
        <w:tc>
          <w:tcPr>
            <w:tcW w:w="365" w:type="pct"/>
            <w:vAlign w:val="center"/>
          </w:tcPr>
          <w:p w14:paraId="7CB0EDC5" w14:textId="77777777" w:rsidR="00AB3026" w:rsidRPr="001310AD" w:rsidRDefault="00AB3026" w:rsidP="00F27812">
            <w:pPr>
              <w:pStyle w:val="TableText0"/>
              <w:jc w:val="center"/>
            </w:pPr>
            <w:r w:rsidRPr="001310AD">
              <w:rPr>
                <w:rFonts w:cs="Calibri"/>
                <w:color w:val="000000"/>
              </w:rPr>
              <w:t>7.9</w:t>
            </w:r>
          </w:p>
        </w:tc>
        <w:tc>
          <w:tcPr>
            <w:tcW w:w="1053" w:type="pct"/>
            <w:vAlign w:val="center"/>
          </w:tcPr>
          <w:p w14:paraId="2A9E9481" w14:textId="350231C7" w:rsidR="00AB3026" w:rsidRPr="001310AD" w:rsidRDefault="00AB3026" w:rsidP="00F27812">
            <w:pPr>
              <w:pStyle w:val="TableText0"/>
              <w:jc w:val="center"/>
            </w:pPr>
            <w:r w:rsidRPr="001310AD">
              <w:rPr>
                <w:rFonts w:cs="Calibri"/>
                <w:b/>
                <w:color w:val="000000"/>
              </w:rPr>
              <w:t>62.91 (46.74, 74.79</w:t>
            </w:r>
            <w:r w:rsidR="00C8429E" w:rsidRPr="001310AD">
              <w:rPr>
                <w:rFonts w:cs="Calibri"/>
                <w:b/>
                <w:color w:val="000000"/>
              </w:rPr>
              <w:t>)</w:t>
            </w:r>
            <w:r w:rsidRPr="001310AD">
              <w:rPr>
                <w:rFonts w:cs="Calibri"/>
                <w:b/>
                <w:color w:val="000000"/>
              </w:rPr>
              <w:t>; &lt;0.0001</w:t>
            </w:r>
          </w:p>
        </w:tc>
      </w:tr>
      <w:tr w:rsidR="00AB3026" w:rsidRPr="001310AD" w14:paraId="60096429" w14:textId="77777777">
        <w:trPr>
          <w:trHeight w:val="170"/>
        </w:trPr>
        <w:tc>
          <w:tcPr>
            <w:tcW w:w="1066" w:type="pct"/>
            <w:tcBorders>
              <w:left w:val="single" w:sz="4" w:space="0" w:color="auto"/>
              <w:right w:val="single" w:sz="4" w:space="0" w:color="auto"/>
            </w:tcBorders>
            <w:vAlign w:val="center"/>
          </w:tcPr>
          <w:p w14:paraId="31E8BB45" w14:textId="294CDF26" w:rsidR="00AB3026" w:rsidRPr="001310AD" w:rsidRDefault="00AB3026" w:rsidP="00F27812">
            <w:pPr>
              <w:pStyle w:val="TableText0"/>
            </w:pPr>
            <w:r w:rsidRPr="001310AD">
              <w:t>≥70 YOA</w:t>
            </w:r>
          </w:p>
        </w:tc>
        <w:tc>
          <w:tcPr>
            <w:tcW w:w="309" w:type="pct"/>
            <w:tcBorders>
              <w:left w:val="single" w:sz="4" w:space="0" w:color="auto"/>
            </w:tcBorders>
            <w:vAlign w:val="center"/>
          </w:tcPr>
          <w:p w14:paraId="48652573" w14:textId="339BCCB9" w:rsidR="00AB3026" w:rsidRPr="001310AD" w:rsidRDefault="00AB3026" w:rsidP="00F27812">
            <w:pPr>
              <w:pStyle w:val="TableText0"/>
              <w:jc w:val="center"/>
            </w:pPr>
            <w:r w:rsidRPr="001310AD">
              <w:t>5</w:t>
            </w:r>
            <w:r w:rsidR="00192D06" w:rsidRPr="001310AD">
              <w:t>,</w:t>
            </w:r>
            <w:r w:rsidRPr="001310AD">
              <w:t>506</w:t>
            </w:r>
          </w:p>
        </w:tc>
        <w:tc>
          <w:tcPr>
            <w:tcW w:w="420" w:type="pct"/>
            <w:vAlign w:val="center"/>
          </w:tcPr>
          <w:p w14:paraId="6B5A8F61" w14:textId="77777777" w:rsidR="00AB3026" w:rsidRPr="001310AD" w:rsidRDefault="00AB3026" w:rsidP="00F27812">
            <w:pPr>
              <w:pStyle w:val="TableText0"/>
              <w:jc w:val="center"/>
            </w:pPr>
            <w:r w:rsidRPr="001310AD">
              <w:t>20</w:t>
            </w:r>
          </w:p>
        </w:tc>
        <w:tc>
          <w:tcPr>
            <w:tcW w:w="385" w:type="pct"/>
            <w:vAlign w:val="center"/>
          </w:tcPr>
          <w:p w14:paraId="0C3B7DF1" w14:textId="66FF1C73" w:rsidR="00AB3026" w:rsidRPr="001310AD" w:rsidRDefault="00AB3026" w:rsidP="00F27812">
            <w:pPr>
              <w:pStyle w:val="TableText0"/>
              <w:jc w:val="center"/>
            </w:pPr>
            <w:r w:rsidRPr="001310AD">
              <w:t>8</w:t>
            </w:r>
            <w:r w:rsidR="00192D06" w:rsidRPr="001310AD">
              <w:t>,</w:t>
            </w:r>
            <w:r w:rsidRPr="001310AD">
              <w:t>608.7</w:t>
            </w:r>
          </w:p>
        </w:tc>
        <w:tc>
          <w:tcPr>
            <w:tcW w:w="344" w:type="pct"/>
            <w:vAlign w:val="center"/>
          </w:tcPr>
          <w:p w14:paraId="615B4A36" w14:textId="77777777" w:rsidR="00AB3026" w:rsidRPr="001310AD" w:rsidRDefault="00AB3026" w:rsidP="00F27812">
            <w:pPr>
              <w:pStyle w:val="TableText0"/>
              <w:jc w:val="center"/>
            </w:pPr>
            <w:r w:rsidRPr="001310AD">
              <w:t>2.3</w:t>
            </w:r>
          </w:p>
        </w:tc>
        <w:tc>
          <w:tcPr>
            <w:tcW w:w="374" w:type="pct"/>
            <w:vAlign w:val="center"/>
          </w:tcPr>
          <w:p w14:paraId="063AD449" w14:textId="656E04D5" w:rsidR="00AB3026" w:rsidRPr="001310AD" w:rsidRDefault="00AB3026" w:rsidP="00F27812">
            <w:pPr>
              <w:pStyle w:val="TableText0"/>
              <w:jc w:val="center"/>
            </w:pPr>
            <w:r w:rsidRPr="001310AD">
              <w:t>5</w:t>
            </w:r>
            <w:r w:rsidR="00192D06" w:rsidRPr="001310AD">
              <w:t>,</w:t>
            </w:r>
            <w:r w:rsidRPr="001310AD">
              <w:t>517</w:t>
            </w:r>
          </w:p>
        </w:tc>
        <w:tc>
          <w:tcPr>
            <w:tcW w:w="297" w:type="pct"/>
            <w:vAlign w:val="center"/>
          </w:tcPr>
          <w:p w14:paraId="19EE9FC1" w14:textId="77777777" w:rsidR="00AB3026" w:rsidRPr="001310AD" w:rsidRDefault="00AB3026" w:rsidP="00F27812">
            <w:pPr>
              <w:pStyle w:val="TableText0"/>
              <w:jc w:val="center"/>
            </w:pPr>
            <w:r w:rsidRPr="001310AD">
              <w:t>98</w:t>
            </w:r>
          </w:p>
        </w:tc>
        <w:tc>
          <w:tcPr>
            <w:tcW w:w="385" w:type="pct"/>
            <w:vAlign w:val="center"/>
          </w:tcPr>
          <w:p w14:paraId="72738188" w14:textId="57A1CC51" w:rsidR="00AB3026" w:rsidRPr="001310AD" w:rsidRDefault="00AB3026" w:rsidP="00F27812">
            <w:pPr>
              <w:pStyle w:val="TableText0"/>
              <w:jc w:val="center"/>
            </w:pPr>
            <w:r w:rsidRPr="001310AD">
              <w:t>12</w:t>
            </w:r>
            <w:r w:rsidR="00192D06" w:rsidRPr="001310AD">
              <w:t>,</w:t>
            </w:r>
            <w:r w:rsidRPr="001310AD">
              <w:t>019.8</w:t>
            </w:r>
          </w:p>
        </w:tc>
        <w:tc>
          <w:tcPr>
            <w:tcW w:w="365" w:type="pct"/>
            <w:vAlign w:val="center"/>
          </w:tcPr>
          <w:p w14:paraId="543D371D" w14:textId="77777777" w:rsidR="00AB3026" w:rsidRPr="001310AD" w:rsidRDefault="00AB3026" w:rsidP="00F27812">
            <w:pPr>
              <w:pStyle w:val="TableText0"/>
              <w:jc w:val="center"/>
            </w:pPr>
            <w:r w:rsidRPr="001310AD">
              <w:t>8.2</w:t>
            </w:r>
          </w:p>
        </w:tc>
        <w:tc>
          <w:tcPr>
            <w:tcW w:w="1053" w:type="pct"/>
          </w:tcPr>
          <w:p w14:paraId="4B78455A" w14:textId="77777777" w:rsidR="00AB3026" w:rsidRPr="001310AD" w:rsidRDefault="00AB3026" w:rsidP="00F27812">
            <w:pPr>
              <w:pStyle w:val="TableText0"/>
              <w:jc w:val="center"/>
            </w:pPr>
            <w:r w:rsidRPr="001310AD">
              <w:rPr>
                <w:b/>
                <w:bCs w:val="0"/>
              </w:rPr>
              <w:t>66.0 (44.3, 80.2); &lt;0.0001</w:t>
            </w:r>
          </w:p>
        </w:tc>
      </w:tr>
      <w:tr w:rsidR="00AB3026" w:rsidRPr="001310AD" w14:paraId="3D5CD9E0" w14:textId="77777777">
        <w:trPr>
          <w:trHeight w:val="170"/>
        </w:trPr>
        <w:tc>
          <w:tcPr>
            <w:tcW w:w="1066" w:type="pct"/>
            <w:tcBorders>
              <w:left w:val="single" w:sz="4" w:space="0" w:color="auto"/>
              <w:right w:val="single" w:sz="4" w:space="0" w:color="auto"/>
            </w:tcBorders>
            <w:vAlign w:val="center"/>
          </w:tcPr>
          <w:p w14:paraId="63546A42" w14:textId="77777777" w:rsidR="00AB3026" w:rsidRPr="001310AD" w:rsidRDefault="00AB3026" w:rsidP="00F27812">
            <w:pPr>
              <w:pStyle w:val="TableText0"/>
            </w:pPr>
            <w:r w:rsidRPr="001310AD">
              <w:t>70-79 YOA</w:t>
            </w:r>
          </w:p>
        </w:tc>
        <w:tc>
          <w:tcPr>
            <w:tcW w:w="309" w:type="pct"/>
            <w:tcBorders>
              <w:left w:val="single" w:sz="4" w:space="0" w:color="auto"/>
            </w:tcBorders>
            <w:vAlign w:val="center"/>
          </w:tcPr>
          <w:p w14:paraId="387D5F5C" w14:textId="7A66943E" w:rsidR="00AB3026" w:rsidRPr="001310AD" w:rsidRDefault="00AB3026" w:rsidP="00F27812">
            <w:pPr>
              <w:pStyle w:val="TableText0"/>
              <w:jc w:val="center"/>
            </w:pPr>
            <w:r w:rsidRPr="001310AD">
              <w:t>4</w:t>
            </w:r>
            <w:r w:rsidR="00192D06" w:rsidRPr="001310AD">
              <w:t>,</w:t>
            </w:r>
            <w:r w:rsidRPr="001310AD">
              <w:t>489</w:t>
            </w:r>
          </w:p>
        </w:tc>
        <w:tc>
          <w:tcPr>
            <w:tcW w:w="420" w:type="pct"/>
            <w:vAlign w:val="center"/>
          </w:tcPr>
          <w:p w14:paraId="3CC03027" w14:textId="77777777" w:rsidR="00AB3026" w:rsidRPr="001310AD" w:rsidRDefault="00AB3026" w:rsidP="00F27812">
            <w:pPr>
              <w:pStyle w:val="TableText0"/>
              <w:jc w:val="center"/>
            </w:pPr>
            <w:r w:rsidRPr="001310AD">
              <w:t>15</w:t>
            </w:r>
          </w:p>
        </w:tc>
        <w:tc>
          <w:tcPr>
            <w:tcW w:w="385" w:type="pct"/>
            <w:vAlign w:val="center"/>
          </w:tcPr>
          <w:p w14:paraId="340418F1" w14:textId="693C8A3A" w:rsidR="00AB3026" w:rsidRPr="001310AD" w:rsidRDefault="00AB3026" w:rsidP="00F27812">
            <w:pPr>
              <w:pStyle w:val="TableText0"/>
              <w:jc w:val="center"/>
            </w:pPr>
            <w:r w:rsidRPr="001310AD">
              <w:t>7</w:t>
            </w:r>
            <w:r w:rsidR="00192D06" w:rsidRPr="001310AD">
              <w:t>,</w:t>
            </w:r>
            <w:r w:rsidRPr="001310AD">
              <w:t>095.5</w:t>
            </w:r>
          </w:p>
        </w:tc>
        <w:tc>
          <w:tcPr>
            <w:tcW w:w="344" w:type="pct"/>
            <w:vAlign w:val="center"/>
          </w:tcPr>
          <w:p w14:paraId="1C3DA80D" w14:textId="77777777" w:rsidR="00AB3026" w:rsidRPr="001310AD" w:rsidRDefault="00AB3026" w:rsidP="00F27812">
            <w:pPr>
              <w:pStyle w:val="TableText0"/>
              <w:jc w:val="center"/>
            </w:pPr>
            <w:r w:rsidRPr="001310AD">
              <w:t>2.1</w:t>
            </w:r>
          </w:p>
        </w:tc>
        <w:tc>
          <w:tcPr>
            <w:tcW w:w="374" w:type="pct"/>
            <w:vAlign w:val="center"/>
          </w:tcPr>
          <w:p w14:paraId="0464ADAE" w14:textId="4BFFEDFA" w:rsidR="00AB3026" w:rsidRPr="001310AD" w:rsidRDefault="00AB3026" w:rsidP="00F27812">
            <w:pPr>
              <w:pStyle w:val="TableText0"/>
              <w:jc w:val="center"/>
            </w:pPr>
            <w:r w:rsidRPr="001310AD">
              <w:t>4</w:t>
            </w:r>
            <w:r w:rsidR="00192D06" w:rsidRPr="001310AD">
              <w:t>,</w:t>
            </w:r>
            <w:r w:rsidRPr="001310AD">
              <w:t>489</w:t>
            </w:r>
          </w:p>
        </w:tc>
        <w:tc>
          <w:tcPr>
            <w:tcW w:w="297" w:type="pct"/>
            <w:vAlign w:val="center"/>
          </w:tcPr>
          <w:p w14:paraId="25678D1B" w14:textId="77777777" w:rsidR="00AB3026" w:rsidRPr="001310AD" w:rsidRDefault="00AB3026" w:rsidP="00F27812">
            <w:pPr>
              <w:pStyle w:val="TableText0"/>
              <w:jc w:val="center"/>
            </w:pPr>
            <w:r w:rsidRPr="001310AD">
              <w:t>85</w:t>
            </w:r>
          </w:p>
        </w:tc>
        <w:tc>
          <w:tcPr>
            <w:tcW w:w="385" w:type="pct"/>
            <w:vAlign w:val="center"/>
          </w:tcPr>
          <w:p w14:paraId="109D14AF" w14:textId="78CEE82C" w:rsidR="00AB3026" w:rsidRPr="001310AD" w:rsidRDefault="00AB3026" w:rsidP="00F27812">
            <w:pPr>
              <w:pStyle w:val="TableText0"/>
              <w:jc w:val="center"/>
            </w:pPr>
            <w:r w:rsidRPr="001310AD">
              <w:t>9</w:t>
            </w:r>
            <w:r w:rsidR="00192D06" w:rsidRPr="001310AD">
              <w:t>,</w:t>
            </w:r>
            <w:r w:rsidRPr="001310AD">
              <w:t>866.4</w:t>
            </w:r>
          </w:p>
        </w:tc>
        <w:tc>
          <w:tcPr>
            <w:tcW w:w="365" w:type="pct"/>
            <w:vAlign w:val="center"/>
          </w:tcPr>
          <w:p w14:paraId="752F492D" w14:textId="77777777" w:rsidR="00AB3026" w:rsidRPr="001310AD" w:rsidRDefault="00AB3026" w:rsidP="00F27812">
            <w:pPr>
              <w:pStyle w:val="TableText0"/>
              <w:jc w:val="center"/>
            </w:pPr>
            <w:r w:rsidRPr="001310AD">
              <w:t>8.6</w:t>
            </w:r>
          </w:p>
        </w:tc>
        <w:tc>
          <w:tcPr>
            <w:tcW w:w="1053" w:type="pct"/>
          </w:tcPr>
          <w:p w14:paraId="321727C1" w14:textId="77777777" w:rsidR="00AB3026" w:rsidRPr="001310AD" w:rsidRDefault="00AB3026" w:rsidP="00F27812">
            <w:pPr>
              <w:pStyle w:val="TableText0"/>
              <w:jc w:val="center"/>
            </w:pPr>
            <w:r w:rsidRPr="001310AD">
              <w:rPr>
                <w:b/>
                <w:bCs w:val="0"/>
              </w:rPr>
              <w:t>70.6 (48.4, 84.3); &lt;0.0001</w:t>
            </w:r>
          </w:p>
        </w:tc>
      </w:tr>
      <w:tr w:rsidR="00AB3026" w:rsidRPr="001310AD" w14:paraId="7BD76CA3" w14:textId="77777777">
        <w:trPr>
          <w:trHeight w:val="170"/>
        </w:trPr>
        <w:tc>
          <w:tcPr>
            <w:tcW w:w="1066" w:type="pct"/>
            <w:tcBorders>
              <w:left w:val="single" w:sz="4" w:space="0" w:color="auto"/>
              <w:right w:val="single" w:sz="4" w:space="0" w:color="auto"/>
            </w:tcBorders>
            <w:vAlign w:val="center"/>
          </w:tcPr>
          <w:p w14:paraId="2E1F3A25" w14:textId="05198428" w:rsidR="00AB3026" w:rsidRPr="001310AD" w:rsidRDefault="00AB3026" w:rsidP="00F27812">
            <w:pPr>
              <w:pStyle w:val="TableText0"/>
            </w:pPr>
            <w:r w:rsidRPr="001310AD">
              <w:t xml:space="preserve">≥80 </w:t>
            </w:r>
            <w:proofErr w:type="spellStart"/>
            <w:r w:rsidRPr="001310AD">
              <w:t>YOA</w:t>
            </w:r>
            <w:r w:rsidRPr="001310AD">
              <w:rPr>
                <w:vertAlign w:val="superscript"/>
              </w:rPr>
              <w:t>c</w:t>
            </w:r>
            <w:proofErr w:type="spellEnd"/>
          </w:p>
        </w:tc>
        <w:tc>
          <w:tcPr>
            <w:tcW w:w="309" w:type="pct"/>
            <w:tcBorders>
              <w:left w:val="single" w:sz="4" w:space="0" w:color="auto"/>
            </w:tcBorders>
            <w:vAlign w:val="center"/>
          </w:tcPr>
          <w:p w14:paraId="7F067A20" w14:textId="25E812FF" w:rsidR="00AB3026" w:rsidRPr="001310AD" w:rsidRDefault="00AB3026" w:rsidP="00F27812">
            <w:pPr>
              <w:pStyle w:val="TableText0"/>
              <w:jc w:val="center"/>
            </w:pPr>
            <w:r w:rsidRPr="001310AD">
              <w:t>1</w:t>
            </w:r>
            <w:r w:rsidR="00192D06" w:rsidRPr="001310AD">
              <w:t>,</w:t>
            </w:r>
            <w:r w:rsidRPr="001310AD">
              <w:t>017</w:t>
            </w:r>
          </w:p>
        </w:tc>
        <w:tc>
          <w:tcPr>
            <w:tcW w:w="420" w:type="pct"/>
            <w:vAlign w:val="center"/>
          </w:tcPr>
          <w:p w14:paraId="368811EA" w14:textId="77777777" w:rsidR="00AB3026" w:rsidRPr="001310AD" w:rsidRDefault="00AB3026" w:rsidP="00F27812">
            <w:pPr>
              <w:pStyle w:val="TableText0"/>
              <w:jc w:val="center"/>
            </w:pPr>
            <w:r w:rsidRPr="001310AD">
              <w:t>5</w:t>
            </w:r>
          </w:p>
        </w:tc>
        <w:tc>
          <w:tcPr>
            <w:tcW w:w="385" w:type="pct"/>
            <w:vAlign w:val="center"/>
          </w:tcPr>
          <w:p w14:paraId="1D241441" w14:textId="7A3A14C1" w:rsidR="00AB3026" w:rsidRPr="001310AD" w:rsidRDefault="00AB3026" w:rsidP="00F27812">
            <w:pPr>
              <w:pStyle w:val="TableText0"/>
              <w:jc w:val="center"/>
            </w:pPr>
            <w:r w:rsidRPr="001310AD">
              <w:t>1</w:t>
            </w:r>
            <w:r w:rsidR="00192D06" w:rsidRPr="001310AD">
              <w:t>,</w:t>
            </w:r>
            <w:r w:rsidRPr="001310AD">
              <w:t>513.2</w:t>
            </w:r>
          </w:p>
        </w:tc>
        <w:tc>
          <w:tcPr>
            <w:tcW w:w="344" w:type="pct"/>
            <w:vAlign w:val="center"/>
          </w:tcPr>
          <w:p w14:paraId="0C29B7B7" w14:textId="77777777" w:rsidR="00AB3026" w:rsidRPr="001310AD" w:rsidRDefault="00AB3026" w:rsidP="00F27812">
            <w:pPr>
              <w:pStyle w:val="TableText0"/>
              <w:jc w:val="center"/>
            </w:pPr>
            <w:r w:rsidRPr="001310AD">
              <w:t>3.3</w:t>
            </w:r>
          </w:p>
        </w:tc>
        <w:tc>
          <w:tcPr>
            <w:tcW w:w="374" w:type="pct"/>
            <w:vAlign w:val="center"/>
          </w:tcPr>
          <w:p w14:paraId="3779A080" w14:textId="3AB8200B" w:rsidR="00AB3026" w:rsidRPr="001310AD" w:rsidRDefault="00AB3026" w:rsidP="00F27812">
            <w:pPr>
              <w:pStyle w:val="TableText0"/>
              <w:jc w:val="center"/>
            </w:pPr>
            <w:r w:rsidRPr="001310AD">
              <w:t>1</w:t>
            </w:r>
            <w:r w:rsidR="00192D06" w:rsidRPr="001310AD">
              <w:t>,</w:t>
            </w:r>
            <w:r w:rsidRPr="001310AD">
              <w:t>028</w:t>
            </w:r>
          </w:p>
        </w:tc>
        <w:tc>
          <w:tcPr>
            <w:tcW w:w="297" w:type="pct"/>
            <w:vAlign w:val="center"/>
          </w:tcPr>
          <w:p w14:paraId="500F311B" w14:textId="77777777" w:rsidR="00AB3026" w:rsidRPr="001310AD" w:rsidRDefault="00AB3026" w:rsidP="00F27812">
            <w:pPr>
              <w:pStyle w:val="TableText0"/>
              <w:jc w:val="center"/>
            </w:pPr>
            <w:r w:rsidRPr="001310AD">
              <w:t>13</w:t>
            </w:r>
          </w:p>
        </w:tc>
        <w:tc>
          <w:tcPr>
            <w:tcW w:w="385" w:type="pct"/>
            <w:vAlign w:val="center"/>
          </w:tcPr>
          <w:p w14:paraId="71DBB425" w14:textId="60A5CE63" w:rsidR="00AB3026" w:rsidRPr="001310AD" w:rsidRDefault="00AB3026" w:rsidP="00F27812">
            <w:pPr>
              <w:pStyle w:val="TableText0"/>
              <w:jc w:val="center"/>
            </w:pPr>
            <w:r w:rsidRPr="001310AD">
              <w:t>2</w:t>
            </w:r>
            <w:r w:rsidR="00192D06" w:rsidRPr="001310AD">
              <w:t>,</w:t>
            </w:r>
            <w:r w:rsidRPr="001310AD">
              <w:t>153.4</w:t>
            </w:r>
          </w:p>
        </w:tc>
        <w:tc>
          <w:tcPr>
            <w:tcW w:w="365" w:type="pct"/>
            <w:vAlign w:val="center"/>
          </w:tcPr>
          <w:p w14:paraId="149AD965" w14:textId="77777777" w:rsidR="00AB3026" w:rsidRPr="001310AD" w:rsidRDefault="00AB3026" w:rsidP="00F27812">
            <w:pPr>
              <w:pStyle w:val="TableText0"/>
              <w:jc w:val="center"/>
            </w:pPr>
            <w:r w:rsidRPr="001310AD">
              <w:t>6.0</w:t>
            </w:r>
          </w:p>
        </w:tc>
        <w:tc>
          <w:tcPr>
            <w:tcW w:w="1053" w:type="pct"/>
          </w:tcPr>
          <w:p w14:paraId="1392A52D" w14:textId="77777777" w:rsidR="00AB3026" w:rsidRPr="001310AD" w:rsidRDefault="00AB3026" w:rsidP="00F27812">
            <w:pPr>
              <w:pStyle w:val="TableText0"/>
              <w:jc w:val="center"/>
            </w:pPr>
            <w:r w:rsidRPr="001310AD">
              <w:t>36.2 (-94.0, 82.5); 0.5563</w:t>
            </w:r>
          </w:p>
        </w:tc>
      </w:tr>
    </w:tbl>
    <w:p w14:paraId="126F9963" w14:textId="238E5387" w:rsidR="00AB3026" w:rsidRPr="001310AD" w:rsidRDefault="00AB3026" w:rsidP="00F27812">
      <w:pPr>
        <w:pStyle w:val="FooterTableFigure"/>
        <w:keepNext/>
        <w:keepLines/>
      </w:pPr>
      <w:r w:rsidRPr="001310AD">
        <w:t>Source: Table 2-22, p94-95 of the resubmission</w:t>
      </w:r>
      <w:r w:rsidR="00FF1939" w:rsidRPr="001310AD">
        <w:t>.</w:t>
      </w:r>
      <w:r w:rsidRPr="001310AD">
        <w:t xml:space="preserve"> </w:t>
      </w:r>
    </w:p>
    <w:p w14:paraId="5E5C1B4B" w14:textId="7C43A271" w:rsidR="00AB3026" w:rsidRPr="001310AD" w:rsidRDefault="00AB3026" w:rsidP="00F27812">
      <w:pPr>
        <w:pStyle w:val="FooterTableFigure"/>
        <w:keepNext/>
        <w:keepLines/>
      </w:pPr>
      <w:r w:rsidRPr="001310AD">
        <w:t xml:space="preserve">CI = confidence interval; FUP = follow-up; LRTD = lower respiratory tract disease; mES = modified exposure set; N = number of participants; n = number of participants with at least one RT-PCR-confirmed RSV LRTD/ARI; RSV = respiratory syncytial virus; </w:t>
      </w:r>
      <w:r w:rsidR="00D82D39" w:rsidRPr="001310AD">
        <w:t xml:space="preserve">RSVPreF3 OA= RSV pre-fusion protein 3 older adult; </w:t>
      </w:r>
      <w:r w:rsidRPr="001310AD">
        <w:t xml:space="preserve">T (year) = sum of follow-up time (from Day 15 post-Dose 1 till first occurrence of the event or till the efficacy data lock point or till drop-out date) expressed in years; n/T (per 1000) = incidence rate of participants reporting at least one event; VE = vaccine efficacy; YOA = years of age. </w:t>
      </w:r>
    </w:p>
    <w:p w14:paraId="0E8FEC28" w14:textId="77777777" w:rsidR="00AB3026" w:rsidRPr="001310AD" w:rsidRDefault="00AB3026" w:rsidP="00F27812">
      <w:pPr>
        <w:pStyle w:val="FooterTableFigure"/>
        <w:keepNext/>
        <w:keepLines/>
      </w:pPr>
      <w:r w:rsidRPr="001310AD">
        <w:t xml:space="preserve">Notes: </w:t>
      </w:r>
    </w:p>
    <w:p w14:paraId="42638130" w14:textId="46527BAF" w:rsidR="00AB3026" w:rsidRPr="001310AD" w:rsidRDefault="00AB3026" w:rsidP="00F27812">
      <w:pPr>
        <w:pStyle w:val="FooterTableFigure"/>
        <w:keepNext/>
        <w:keepLines/>
      </w:pPr>
      <w:r w:rsidRPr="001310AD">
        <w:t>For single dose evaluation, participants who received RSVPre</w:t>
      </w:r>
      <w:r w:rsidR="00C81658" w:rsidRPr="001310AD">
        <w:t>F</w:t>
      </w:r>
      <w:r w:rsidRPr="001310AD">
        <w:t xml:space="preserve">3 OA at Dose 2 (RSV_annual group) </w:t>
      </w:r>
      <w:r w:rsidR="00027732" w:rsidRPr="001310AD">
        <w:t>were</w:t>
      </w:r>
      <w:r w:rsidRPr="001310AD">
        <w:t xml:space="preserve"> censored at Dose 2. </w:t>
      </w:r>
    </w:p>
    <w:p w14:paraId="7E5FF34A" w14:textId="2254E508" w:rsidR="00AB3026" w:rsidRPr="001310AD" w:rsidRDefault="00AB3026" w:rsidP="00F27812">
      <w:pPr>
        <w:pStyle w:val="FooterTableFigure"/>
        <w:keepNext/>
        <w:keepLines/>
      </w:pPr>
      <w:r w:rsidRPr="001310AD">
        <w:t>VE (%) = vaccine efficacy (Poisson method - adjusted by age, region and season); *VE (%) = Vaccine Efficacy (Poisson method - adjusted by region and season)</w:t>
      </w:r>
      <w:r w:rsidR="002901AE" w:rsidRPr="001310AD">
        <w:t>.</w:t>
      </w:r>
      <w:r w:rsidRPr="001310AD">
        <w:t xml:space="preserve"> </w:t>
      </w:r>
    </w:p>
    <w:p w14:paraId="42054A74" w14:textId="262723C2" w:rsidR="00AB3026" w:rsidRPr="001310AD" w:rsidRDefault="00AB3026" w:rsidP="00F27812">
      <w:pPr>
        <w:pStyle w:val="FooterTableFigure"/>
        <w:keepNext/>
        <w:keepLines/>
      </w:pPr>
      <w:r w:rsidRPr="001310AD">
        <w:t xml:space="preserve">P-value = Two sided </w:t>
      </w:r>
      <w:r w:rsidR="007E2AD6" w:rsidRPr="001310AD">
        <w:t>e</w:t>
      </w:r>
      <w:r w:rsidRPr="001310AD">
        <w:t xml:space="preserve">xact </w:t>
      </w:r>
      <w:r w:rsidR="007E2AD6" w:rsidRPr="001310AD">
        <w:t>p</w:t>
      </w:r>
      <w:r w:rsidRPr="001310AD">
        <w:t xml:space="preserve">-value conditional </w:t>
      </w:r>
      <w:r w:rsidR="007E2AD6" w:rsidRPr="001310AD">
        <w:t xml:space="preserve">on </w:t>
      </w:r>
      <w:r w:rsidRPr="001310AD">
        <w:t>number of cases comparing incidence rates and testing the null hypothesis VE</w:t>
      </w:r>
      <w:r w:rsidR="007E2AD6" w:rsidRPr="001310AD">
        <w:t xml:space="preserve"> </w:t>
      </w:r>
      <w:r w:rsidR="00B11AB2" w:rsidRPr="001310AD">
        <w:t>≤</w:t>
      </w:r>
      <w:r w:rsidR="007E2AD6" w:rsidRPr="001310AD">
        <w:t xml:space="preserve"> </w:t>
      </w:r>
      <w:r w:rsidRPr="001310AD">
        <w:t>0%</w:t>
      </w:r>
      <w:r w:rsidR="002901AE" w:rsidRPr="001310AD">
        <w:t>.</w:t>
      </w:r>
      <w:r w:rsidRPr="001310AD">
        <w:t xml:space="preserve"> </w:t>
      </w:r>
    </w:p>
    <w:p w14:paraId="6F1F5B02" w14:textId="54C87F2F" w:rsidR="007A7143" w:rsidRPr="001310AD" w:rsidRDefault="007A7143" w:rsidP="00F27812">
      <w:pPr>
        <w:pStyle w:val="FooterTableFigure"/>
        <w:keepNext/>
        <w:keepLines/>
      </w:pPr>
      <w:r w:rsidRPr="001310AD">
        <w:t xml:space="preserve">Follow-up as per footnotes to </w:t>
      </w:r>
      <w:r w:rsidRPr="001310AD">
        <w:fldChar w:fldCharType="begin"/>
      </w:r>
      <w:r w:rsidRPr="001310AD">
        <w:instrText xml:space="preserve"> REF _Ref196920731 \h </w:instrText>
      </w:r>
      <w:r w:rsidRPr="001310AD">
        <w:fldChar w:fldCharType="separate"/>
      </w:r>
      <w:r w:rsidR="001F75E0" w:rsidRPr="001310AD">
        <w:t>Table 7</w:t>
      </w:r>
      <w:r w:rsidRPr="001310AD">
        <w:fldChar w:fldCharType="end"/>
      </w:r>
      <w:r w:rsidRPr="001310AD">
        <w:t>.</w:t>
      </w:r>
    </w:p>
    <w:p w14:paraId="6006259F" w14:textId="77777777" w:rsidR="00AB3026" w:rsidRPr="001310AD" w:rsidRDefault="00AB3026" w:rsidP="00F27812">
      <w:pPr>
        <w:pStyle w:val="FooterTableFigure"/>
        <w:keepNext/>
        <w:keepLines/>
      </w:pPr>
      <w:r w:rsidRPr="001310AD">
        <w:rPr>
          <w:vertAlign w:val="superscript"/>
        </w:rPr>
        <w:t>a</w:t>
      </w:r>
      <w:r w:rsidRPr="001310AD">
        <w:t xml:space="preserve"> 96.95% CI for primary endpoint (RSV-LRTD, season 1); 97.5% CI for confirmatory secondary endpoint (RSV-LRTD, season 1 + 2 + 3); 95% CI for other endpoints (including post-hoc analysis). </w:t>
      </w:r>
    </w:p>
    <w:p w14:paraId="66DE2AAA" w14:textId="77777777" w:rsidR="00AB3026" w:rsidRPr="001310AD" w:rsidRDefault="00AB3026" w:rsidP="00F27812">
      <w:pPr>
        <w:pStyle w:val="FooterTableFigure"/>
        <w:keepNext/>
        <w:keepLines/>
      </w:pPr>
      <w:r w:rsidRPr="001310AD">
        <w:rPr>
          <w:vertAlign w:val="superscript"/>
        </w:rPr>
        <w:t>b</w:t>
      </w:r>
      <w:r w:rsidRPr="001310AD">
        <w:t xml:space="preserve"> Post-hoc subgroup analysis presented in the July 2024 submission. </w:t>
      </w:r>
    </w:p>
    <w:p w14:paraId="741796CB" w14:textId="77777777" w:rsidR="00AB3026" w:rsidRPr="001310AD" w:rsidRDefault="00AB3026" w:rsidP="00F27812">
      <w:pPr>
        <w:pStyle w:val="FooterTableFigure"/>
        <w:keepNext/>
        <w:keepLines/>
      </w:pPr>
      <w:r w:rsidRPr="001310AD">
        <w:rPr>
          <w:vertAlign w:val="superscript"/>
        </w:rPr>
        <w:t xml:space="preserve">c </w:t>
      </w:r>
      <w:r w:rsidRPr="001310AD">
        <w:t>There were insufficient RSV-LRTD cases in adults ≥80 YOA to reliably conclude efficacy.</w:t>
      </w:r>
    </w:p>
    <w:p w14:paraId="4800DE2F" w14:textId="77777777" w:rsidR="00AB3026" w:rsidRPr="001310AD" w:rsidRDefault="00AB3026" w:rsidP="00F27812">
      <w:pPr>
        <w:pStyle w:val="FooterTableFigure"/>
        <w:keepNext/>
        <w:keepLines/>
      </w:pPr>
      <w:r w:rsidRPr="001310AD">
        <w:t>Blue shading indicates results previously seen by the PBAC.</w:t>
      </w:r>
    </w:p>
    <w:p w14:paraId="64589567" w14:textId="77777777" w:rsidR="00AB3026" w:rsidRPr="001310AD" w:rsidRDefault="00AB3026" w:rsidP="00F27812">
      <w:pPr>
        <w:pStyle w:val="FooterTableFigure"/>
        <w:keepNext/>
        <w:keepLines/>
        <w:rPr>
          <w:snapToGrid/>
        </w:rPr>
      </w:pPr>
      <w:r w:rsidRPr="001310AD">
        <w:rPr>
          <w:snapToGrid/>
        </w:rPr>
        <w:t xml:space="preserve">Bold text indicates statistically significant result. </w:t>
      </w:r>
    </w:p>
    <w:p w14:paraId="2E386A2A" w14:textId="56653B63" w:rsidR="003C433E" w:rsidRPr="001310AD" w:rsidRDefault="003C433E" w:rsidP="003C433E">
      <w:pPr>
        <w:pStyle w:val="3-BodyText"/>
      </w:pPr>
      <w:r w:rsidRPr="001310AD">
        <w:t>No statistically significant differences between the RSVPreF3 OA group and placebo group were observed in terms of physical functioning (SF-12) nor health related quality of life (EQ-5D) in participants who developed RSV-ARI</w:t>
      </w:r>
      <w:r w:rsidR="008C15A2" w:rsidRPr="001310AD">
        <w:t xml:space="preserve"> (data not shown)</w:t>
      </w:r>
      <w:r w:rsidRPr="001310AD">
        <w:t xml:space="preserve">. </w:t>
      </w:r>
      <w:r w:rsidR="00344D0F" w:rsidRPr="001310AD">
        <w:t>However, s</w:t>
      </w:r>
      <w:r w:rsidRPr="001310AD">
        <w:t xml:space="preserve">tatistically significant differences were observed in the </w:t>
      </w:r>
      <w:r w:rsidRPr="001310AD">
        <w:rPr>
          <w:bCs/>
        </w:rPr>
        <w:t xml:space="preserve">FLU-PRO </w:t>
      </w:r>
      <w:r w:rsidRPr="001310AD">
        <w:t>chest/respiratory item</w:t>
      </w:r>
      <w:r w:rsidR="00A2596A" w:rsidRPr="001310AD">
        <w:t>,</w:t>
      </w:r>
      <w:r w:rsidRPr="001310AD">
        <w:t xml:space="preserve"> indicating that participants in the RSVPreF3 OA arm had fewer symptoms such as trouble breathing, chest tightness and frequency and severity of </w:t>
      </w:r>
      <w:r w:rsidRPr="001310AD">
        <w:lastRenderedPageBreak/>
        <w:t xml:space="preserve">cough, compared to participants in the placebo group. </w:t>
      </w:r>
      <w:r w:rsidR="00873F15" w:rsidRPr="001310AD">
        <w:t>This effect decrease</w:t>
      </w:r>
      <w:r w:rsidR="00A91587" w:rsidRPr="001310AD">
        <w:t>d</w:t>
      </w:r>
      <w:r w:rsidR="00873F15" w:rsidRPr="001310AD">
        <w:t xml:space="preserve"> over time; t</w:t>
      </w:r>
      <w:r w:rsidRPr="001310AD">
        <w:t xml:space="preserve">he end of Season 3 results show that the difference in mean score for FLU-PRO was reduced from 0.58 </w:t>
      </w:r>
      <w:r w:rsidR="00A2596A" w:rsidRPr="001310AD">
        <w:t xml:space="preserve">at the </w:t>
      </w:r>
      <w:r w:rsidRPr="001310AD">
        <w:t>end of Season 1 to 0.37 at the end of Season 3.</w:t>
      </w:r>
      <w:r w:rsidRPr="001310AD">
        <w:rPr>
          <w:rFonts w:ascii="Georgia" w:hAnsi="Georgia"/>
          <w:color w:val="1F1F1F"/>
        </w:rPr>
        <w:t xml:space="preserve"> </w:t>
      </w:r>
      <w:r w:rsidRPr="001310AD">
        <w:t xml:space="preserve">Prior analyses of the FLU-PRO in patients with and without influenza have shown that changes in </w:t>
      </w:r>
      <w:r w:rsidR="00815544" w:rsidRPr="001310AD">
        <w:t xml:space="preserve">the </w:t>
      </w:r>
      <w:r w:rsidRPr="001310AD">
        <w:t>item scores of &lt;0.5 are not clinically meaningful</w:t>
      </w:r>
      <w:r w:rsidRPr="001310AD">
        <w:rPr>
          <w:rStyle w:val="FootnoteReference"/>
        </w:rPr>
        <w:footnoteReference w:id="4"/>
      </w:r>
      <w:r w:rsidRPr="001310AD">
        <w:t xml:space="preserve">. </w:t>
      </w:r>
    </w:p>
    <w:p w14:paraId="74923729" w14:textId="594D58DA" w:rsidR="00C834D5" w:rsidRPr="001310AD" w:rsidRDefault="00C834D5" w:rsidP="003C433E">
      <w:pPr>
        <w:pStyle w:val="3-BodyText"/>
      </w:pPr>
      <w:r w:rsidRPr="001310AD">
        <w:t xml:space="preserve">Supportive evidence from RSV OA=ADJ-004 </w:t>
      </w:r>
      <w:r w:rsidR="00B04CAA" w:rsidRPr="001310AD">
        <w:t>indicated</w:t>
      </w:r>
      <w:r w:rsidRPr="001310AD">
        <w:t xml:space="preserve"> that the neutrali</w:t>
      </w:r>
      <w:r w:rsidR="00C14D5C" w:rsidRPr="001310AD">
        <w:t>s</w:t>
      </w:r>
      <w:r w:rsidRPr="001310AD">
        <w:t>ing titres for RSV A and B</w:t>
      </w:r>
      <w:r w:rsidR="003A7751" w:rsidRPr="001310AD">
        <w:t>,</w:t>
      </w:r>
      <w:r w:rsidRPr="001310AD">
        <w:t xml:space="preserve"> measured as mean geometric titres (GMT)</w:t>
      </w:r>
      <w:r w:rsidR="003A7751" w:rsidRPr="001310AD">
        <w:t>,</w:t>
      </w:r>
      <w:r w:rsidRPr="001310AD">
        <w:t xml:space="preserve"> increase following Dose 1 and then decrease at 6 months</w:t>
      </w:r>
      <w:r w:rsidR="00B04CAA" w:rsidRPr="001310AD">
        <w:t xml:space="preserve"> (data not shown)</w:t>
      </w:r>
      <w:r w:rsidRPr="001310AD">
        <w:t>. Beyond 6 months</w:t>
      </w:r>
      <w:r w:rsidR="00DC69BE" w:rsidRPr="001310AD">
        <w:t>,</w:t>
      </w:r>
      <w:r w:rsidRPr="001310AD">
        <w:t xml:space="preserve"> the titres continue to decrease, albeit less markedly by 12 months post vaccination. The resubmission stated that between Month 24 and Month 36</w:t>
      </w:r>
      <w:r w:rsidR="00DC69BE" w:rsidRPr="001310AD">
        <w:t>,</w:t>
      </w:r>
      <w:r w:rsidRPr="001310AD">
        <w:t xml:space="preserve"> the titres</w:t>
      </w:r>
      <w:r w:rsidR="00A85B15" w:rsidRPr="001310AD">
        <w:t xml:space="preserve"> in the RSVPreF3 OA group</w:t>
      </w:r>
      <w:r w:rsidRPr="001310AD">
        <w:t xml:space="preserve"> stabili</w:t>
      </w:r>
      <w:r w:rsidR="00982C90" w:rsidRPr="001310AD">
        <w:t>s</w:t>
      </w:r>
      <w:r w:rsidRPr="001310AD">
        <w:t>e</w:t>
      </w:r>
      <w:r w:rsidR="006B4A56" w:rsidRPr="001310AD">
        <w:t>d</w:t>
      </w:r>
      <w:r w:rsidRPr="001310AD">
        <w:t xml:space="preserve"> at a plateau above the pre-vaccination levels.</w:t>
      </w:r>
    </w:p>
    <w:p w14:paraId="3ECB6199" w14:textId="631503A6" w:rsidR="00E75257" w:rsidRPr="001310AD" w:rsidRDefault="00E75257" w:rsidP="001456FD">
      <w:pPr>
        <w:pStyle w:val="5-SubsectionSubheading"/>
      </w:pPr>
      <w:bookmarkStart w:id="37" w:name="_Toc198731701"/>
      <w:r w:rsidRPr="001310AD">
        <w:t xml:space="preserve">Indirect treatment comparison </w:t>
      </w:r>
      <w:r w:rsidR="006C124E" w:rsidRPr="001310AD">
        <w:t>–</w:t>
      </w:r>
      <w:r w:rsidRPr="001310AD">
        <w:t xml:space="preserve"> </w:t>
      </w:r>
      <w:r w:rsidR="000607D8" w:rsidRPr="001310AD">
        <w:t>RSVPreF</w:t>
      </w:r>
      <w:r w:rsidR="006C124E" w:rsidRPr="001310AD">
        <w:t xml:space="preserve">3 OA </w:t>
      </w:r>
      <w:r w:rsidR="00F9259B" w:rsidRPr="001310AD">
        <w:t>(Arexvy)</w:t>
      </w:r>
      <w:r w:rsidR="006C124E" w:rsidRPr="001310AD">
        <w:t xml:space="preserve"> vs RSV</w:t>
      </w:r>
      <w:r w:rsidR="00F52762" w:rsidRPr="001310AD">
        <w:t>PreF</w:t>
      </w:r>
      <w:r w:rsidR="00F9259B" w:rsidRPr="001310AD">
        <w:t xml:space="preserve"> (Abrysvo)</w:t>
      </w:r>
      <w:bookmarkEnd w:id="37"/>
    </w:p>
    <w:p w14:paraId="2C204E6E" w14:textId="0ADFBED0" w:rsidR="00A15CB0" w:rsidRPr="001310AD" w:rsidRDefault="00F7522C">
      <w:pPr>
        <w:pStyle w:val="3-BodyText"/>
        <w:rPr>
          <w:color w:val="0066FF"/>
        </w:rPr>
      </w:pPr>
      <w:r w:rsidRPr="001310AD">
        <w:rPr>
          <w:color w:val="000000" w:themeColor="text1"/>
        </w:rPr>
        <w:t>The results of the</w:t>
      </w:r>
      <w:r w:rsidR="002E7FEA" w:rsidRPr="001310AD">
        <w:rPr>
          <w:color w:val="000000" w:themeColor="text1"/>
        </w:rPr>
        <w:t xml:space="preserve"> unadjusted unanchored</w:t>
      </w:r>
      <w:r w:rsidRPr="001310AD">
        <w:rPr>
          <w:color w:val="000000" w:themeColor="text1"/>
        </w:rPr>
        <w:t xml:space="preserve"> ITC are presented in </w:t>
      </w:r>
      <w:r w:rsidR="001B5CAE" w:rsidRPr="001310AD">
        <w:rPr>
          <w:color w:val="000000" w:themeColor="text1"/>
        </w:rPr>
        <w:fldChar w:fldCharType="begin"/>
      </w:r>
      <w:r w:rsidR="001B5CAE" w:rsidRPr="001310AD">
        <w:rPr>
          <w:color w:val="000000" w:themeColor="text1"/>
        </w:rPr>
        <w:instrText xml:space="preserve"> REF _Ref196920808 \h </w:instrText>
      </w:r>
      <w:r w:rsidR="001B5CAE" w:rsidRPr="001310AD">
        <w:rPr>
          <w:color w:val="000000" w:themeColor="text1"/>
        </w:rPr>
      </w:r>
      <w:r w:rsidR="001B5CAE" w:rsidRPr="001310AD">
        <w:rPr>
          <w:color w:val="000000" w:themeColor="text1"/>
        </w:rPr>
        <w:fldChar w:fldCharType="separate"/>
      </w:r>
      <w:r w:rsidR="001F75E0" w:rsidRPr="001310AD">
        <w:t>Table 9</w:t>
      </w:r>
      <w:r w:rsidR="001B5CAE" w:rsidRPr="001310AD">
        <w:rPr>
          <w:color w:val="000000" w:themeColor="text1"/>
        </w:rPr>
        <w:fldChar w:fldCharType="end"/>
      </w:r>
      <w:r w:rsidR="00243CCF" w:rsidRPr="001310AD">
        <w:rPr>
          <w:color w:val="000000" w:themeColor="text1"/>
        </w:rPr>
        <w:t xml:space="preserve">. </w:t>
      </w:r>
      <w:r w:rsidR="00D606C7" w:rsidRPr="001310AD">
        <w:t xml:space="preserve">The resubmission </w:t>
      </w:r>
      <w:r w:rsidR="00B36631" w:rsidRPr="001310AD">
        <w:t xml:space="preserve">stated </w:t>
      </w:r>
      <w:r w:rsidR="00D606C7" w:rsidRPr="001310AD">
        <w:t xml:space="preserve">that </w:t>
      </w:r>
      <w:r w:rsidR="008C5C2A" w:rsidRPr="001310AD">
        <w:t>this type of</w:t>
      </w:r>
      <w:r w:rsidR="00D606C7" w:rsidRPr="001310AD">
        <w:t xml:space="preserve"> ITC was appropriate due to the high degree of heterogeneity between the trials with insufficient exchangeability of the trial designs, populations, outcome measures, statistical analyses, definition of RSV seasons and follow-up periods. </w:t>
      </w:r>
    </w:p>
    <w:p w14:paraId="76EF421F" w14:textId="5DB47339" w:rsidR="003C5E0B" w:rsidRPr="001310AD" w:rsidRDefault="001B5CAE" w:rsidP="001B5CAE">
      <w:pPr>
        <w:pStyle w:val="Caption"/>
        <w:jc w:val="left"/>
        <w:rPr>
          <w:rFonts w:eastAsia="Cambria"/>
        </w:rPr>
      </w:pPr>
      <w:bookmarkStart w:id="38" w:name="_Ref196920808"/>
      <w:r w:rsidRPr="001310AD">
        <w:lastRenderedPageBreak/>
        <w:t xml:space="preserve">Table </w:t>
      </w:r>
      <w:fldSimple w:instr=" SEQ Table \* ARABIC ">
        <w:r w:rsidR="001F75E0" w:rsidRPr="001310AD">
          <w:t>9</w:t>
        </w:r>
      </w:fldSimple>
      <w:bookmarkEnd w:id="38"/>
      <w:r w:rsidR="00A53343" w:rsidRPr="001310AD">
        <w:t>:</w:t>
      </w:r>
      <w:r w:rsidR="00354B0C" w:rsidRPr="001310AD">
        <w:rPr>
          <w:rFonts w:eastAsia="Cambria"/>
        </w:rPr>
        <w:t xml:space="preserve"> </w:t>
      </w:r>
      <w:r w:rsidR="00354B0C" w:rsidRPr="001310AD">
        <w:rPr>
          <w:color w:val="000000" w:themeColor="text1"/>
        </w:rPr>
        <w:t xml:space="preserve">Unadjusted </w:t>
      </w:r>
      <w:r w:rsidR="00DF6EBD" w:rsidRPr="001310AD">
        <w:rPr>
          <w:color w:val="000000" w:themeColor="text1"/>
        </w:rPr>
        <w:t>un</w:t>
      </w:r>
      <w:r w:rsidR="00354B0C" w:rsidRPr="001310AD">
        <w:rPr>
          <w:color w:val="000000" w:themeColor="text1"/>
        </w:rPr>
        <w:t xml:space="preserve">anchored indirect comparison </w:t>
      </w:r>
      <w:r w:rsidR="003C5E0B" w:rsidRPr="001310AD">
        <w:t xml:space="preserve">of cumulative </w:t>
      </w:r>
      <w:r w:rsidR="00964ED4" w:rsidRPr="001310AD">
        <w:t xml:space="preserve">VE </w:t>
      </w:r>
      <w:r w:rsidR="003C5E0B" w:rsidRPr="001310AD">
        <w:t>of RSVPreF3 OA and the RSVpreF</w:t>
      </w:r>
      <w:r w:rsidR="00F74F84" w:rsidRPr="001310AD">
        <w:t xml:space="preserve"> </w:t>
      </w:r>
      <w:r w:rsidR="003C5E0B" w:rsidRPr="001310AD">
        <w:t>vaccine over consecutive RSV seasons, including in adults aged 70-79 YOA</w:t>
      </w:r>
    </w:p>
    <w:tbl>
      <w:tblPr>
        <w:tblStyle w:val="TableGrid"/>
        <w:tblW w:w="5000" w:type="pct"/>
        <w:tblCellMar>
          <w:left w:w="28" w:type="dxa"/>
          <w:right w:w="28" w:type="dxa"/>
        </w:tblCellMar>
        <w:tblLook w:val="04A0" w:firstRow="1" w:lastRow="0" w:firstColumn="1" w:lastColumn="0" w:noHBand="0" w:noVBand="1"/>
        <w:tblCaption w:val="Table 9: Unadjusted unanchored indirect comparison of cumulative VE of RSVPreF3 OA and the RSVpreF vaccine over consecutive RSV seasons, including in adults aged 70-79 YOA"/>
      </w:tblPr>
      <w:tblGrid>
        <w:gridCol w:w="704"/>
        <w:gridCol w:w="632"/>
        <w:gridCol w:w="676"/>
        <w:gridCol w:w="1087"/>
        <w:gridCol w:w="1127"/>
        <w:gridCol w:w="986"/>
        <w:gridCol w:w="705"/>
        <w:gridCol w:w="1127"/>
        <w:gridCol w:w="1127"/>
        <w:gridCol w:w="846"/>
      </w:tblGrid>
      <w:tr w:rsidR="003C5E0B" w:rsidRPr="001310AD" w14:paraId="2A97F1B1" w14:textId="77777777" w:rsidTr="004E5F5A">
        <w:trPr>
          <w:trHeight w:val="284"/>
          <w:tblHeader/>
        </w:trPr>
        <w:tc>
          <w:tcPr>
            <w:tcW w:w="391" w:type="pct"/>
            <w:vMerge w:val="restart"/>
            <w:vAlign w:val="center"/>
          </w:tcPr>
          <w:p w14:paraId="53C89340" w14:textId="77777777" w:rsidR="003C5E0B" w:rsidRPr="001310AD" w:rsidRDefault="003C5E0B" w:rsidP="00F13684">
            <w:pPr>
              <w:pStyle w:val="In-tableHeading"/>
            </w:pPr>
            <w:r w:rsidRPr="001310AD">
              <w:t>VE% (CI)</w:t>
            </w:r>
          </w:p>
        </w:tc>
        <w:tc>
          <w:tcPr>
            <w:tcW w:w="351" w:type="pct"/>
            <w:vMerge w:val="restart"/>
            <w:vAlign w:val="center"/>
          </w:tcPr>
          <w:p w14:paraId="50C5DEFB" w14:textId="77777777" w:rsidR="003C5E0B" w:rsidRPr="001310AD" w:rsidRDefault="003C5E0B" w:rsidP="00F13684">
            <w:pPr>
              <w:pStyle w:val="In-tableHeading"/>
            </w:pPr>
            <w:r w:rsidRPr="001310AD">
              <w:t>Cohort</w:t>
            </w:r>
          </w:p>
        </w:tc>
        <w:tc>
          <w:tcPr>
            <w:tcW w:w="2148" w:type="pct"/>
            <w:gridSpan w:val="4"/>
            <w:vAlign w:val="center"/>
          </w:tcPr>
          <w:p w14:paraId="52083021" w14:textId="5E8B0D9A" w:rsidR="003C5E0B" w:rsidRPr="001310AD" w:rsidRDefault="003C5E0B" w:rsidP="00F13684">
            <w:pPr>
              <w:pStyle w:val="In-tableHeading"/>
            </w:pPr>
            <w:r w:rsidRPr="001310AD">
              <w:t>RSVPre</w:t>
            </w:r>
            <w:r w:rsidR="007F5C09" w:rsidRPr="001310AD">
              <w:t>F</w:t>
            </w:r>
            <w:r w:rsidRPr="001310AD">
              <w:t>3 OA (</w:t>
            </w:r>
            <w:r w:rsidR="00282A43" w:rsidRPr="001310AD">
              <w:t>AReSVi-006</w:t>
            </w:r>
            <w:r w:rsidRPr="001310AD">
              <w:t>)</w:t>
            </w:r>
          </w:p>
          <w:p w14:paraId="1F2B3FE0" w14:textId="77777777" w:rsidR="003C5E0B" w:rsidRPr="001310AD" w:rsidRDefault="003C5E0B" w:rsidP="00F13684">
            <w:pPr>
              <w:pStyle w:val="In-tableHeading"/>
            </w:pPr>
            <w:r w:rsidRPr="001310AD">
              <w:t>N= 25,040</w:t>
            </w:r>
          </w:p>
        </w:tc>
        <w:tc>
          <w:tcPr>
            <w:tcW w:w="2110" w:type="pct"/>
            <w:gridSpan w:val="4"/>
            <w:vAlign w:val="center"/>
          </w:tcPr>
          <w:p w14:paraId="593E3EB4" w14:textId="77777777" w:rsidR="003C5E0B" w:rsidRPr="001310AD" w:rsidRDefault="003C5E0B" w:rsidP="00F13684">
            <w:pPr>
              <w:pStyle w:val="In-tableHeading"/>
            </w:pPr>
            <w:r w:rsidRPr="001310AD">
              <w:t>RSVpreF (RENOIR)</w:t>
            </w:r>
          </w:p>
          <w:p w14:paraId="43F8606C" w14:textId="77777777" w:rsidR="003C5E0B" w:rsidRPr="001310AD" w:rsidRDefault="003C5E0B" w:rsidP="00F13684">
            <w:pPr>
              <w:pStyle w:val="In-tableHeading"/>
            </w:pPr>
            <w:r w:rsidRPr="001310AD">
              <w:t>N= 34,284</w:t>
            </w:r>
          </w:p>
        </w:tc>
      </w:tr>
      <w:tr w:rsidR="003C5E0B" w:rsidRPr="001310AD" w14:paraId="104F467E" w14:textId="77777777" w:rsidTr="004E5F5A">
        <w:trPr>
          <w:trHeight w:val="284"/>
        </w:trPr>
        <w:tc>
          <w:tcPr>
            <w:tcW w:w="391" w:type="pct"/>
            <w:vMerge/>
            <w:vAlign w:val="center"/>
          </w:tcPr>
          <w:p w14:paraId="221FE0B4" w14:textId="77777777" w:rsidR="003C5E0B" w:rsidRPr="001310AD" w:rsidRDefault="003C5E0B" w:rsidP="00F13684">
            <w:pPr>
              <w:pStyle w:val="In-tableHeading"/>
            </w:pPr>
          </w:p>
        </w:tc>
        <w:tc>
          <w:tcPr>
            <w:tcW w:w="351" w:type="pct"/>
            <w:vMerge/>
            <w:vAlign w:val="center"/>
          </w:tcPr>
          <w:p w14:paraId="3BFC2538" w14:textId="77777777" w:rsidR="003C5E0B" w:rsidRPr="001310AD" w:rsidRDefault="003C5E0B" w:rsidP="00F13684">
            <w:pPr>
              <w:pStyle w:val="In-tableHeading"/>
            </w:pPr>
          </w:p>
        </w:tc>
        <w:tc>
          <w:tcPr>
            <w:tcW w:w="373" w:type="pct"/>
            <w:vMerge w:val="restart"/>
            <w:vAlign w:val="center"/>
          </w:tcPr>
          <w:p w14:paraId="532CA84A" w14:textId="77777777" w:rsidR="003C5E0B" w:rsidRPr="001310AD" w:rsidRDefault="003C5E0B" w:rsidP="00F13684">
            <w:pPr>
              <w:pStyle w:val="In-tableHeading"/>
            </w:pPr>
            <w:r w:rsidRPr="001310AD">
              <w:t>Median VE</w:t>
            </w:r>
          </w:p>
          <w:p w14:paraId="7340FBA4" w14:textId="77777777" w:rsidR="003C5E0B" w:rsidRPr="001310AD" w:rsidRDefault="003C5E0B" w:rsidP="00F13684">
            <w:pPr>
              <w:pStyle w:val="In-tableHeading"/>
            </w:pPr>
            <w:r w:rsidRPr="001310AD">
              <w:t>FUP</w:t>
            </w:r>
          </w:p>
        </w:tc>
        <w:tc>
          <w:tcPr>
            <w:tcW w:w="1228" w:type="pct"/>
            <w:gridSpan w:val="2"/>
            <w:vAlign w:val="center"/>
          </w:tcPr>
          <w:p w14:paraId="1F02BDD6" w14:textId="6004FD48" w:rsidR="003C5E0B" w:rsidRPr="001310AD" w:rsidRDefault="003C5E0B" w:rsidP="00F13684">
            <w:pPr>
              <w:pStyle w:val="In-tableHeading"/>
            </w:pPr>
            <w:r w:rsidRPr="001310AD">
              <w:t>RSV-LRTD ≥2 or ≥3 symptoms/signs</w:t>
            </w:r>
          </w:p>
        </w:tc>
        <w:tc>
          <w:tcPr>
            <w:tcW w:w="547" w:type="pct"/>
            <w:vAlign w:val="center"/>
          </w:tcPr>
          <w:p w14:paraId="47398CF0" w14:textId="77777777" w:rsidR="003C5E0B" w:rsidRPr="001310AD" w:rsidRDefault="003C5E0B" w:rsidP="00F13684">
            <w:pPr>
              <w:pStyle w:val="In-tableHeading"/>
            </w:pPr>
            <w:r w:rsidRPr="001310AD">
              <w:t>RSV-ARI</w:t>
            </w:r>
          </w:p>
        </w:tc>
        <w:tc>
          <w:tcPr>
            <w:tcW w:w="391" w:type="pct"/>
            <w:vMerge w:val="restart"/>
            <w:vAlign w:val="center"/>
          </w:tcPr>
          <w:p w14:paraId="05E0B6FF" w14:textId="77777777" w:rsidR="003C5E0B" w:rsidRPr="001310AD" w:rsidRDefault="003C5E0B" w:rsidP="00F13684">
            <w:pPr>
              <w:pStyle w:val="In-tableHeading"/>
            </w:pPr>
            <w:r w:rsidRPr="001310AD">
              <w:t>Mean VE FUP</w:t>
            </w:r>
          </w:p>
        </w:tc>
        <w:tc>
          <w:tcPr>
            <w:tcW w:w="625" w:type="pct"/>
            <w:vAlign w:val="center"/>
          </w:tcPr>
          <w:p w14:paraId="18D90604" w14:textId="7D7C726D" w:rsidR="003C5E0B" w:rsidRPr="001310AD" w:rsidRDefault="003C5E0B" w:rsidP="00F13684">
            <w:pPr>
              <w:pStyle w:val="In-tableHeading"/>
            </w:pPr>
            <w:r w:rsidRPr="001310AD">
              <w:t>RSV-LRTI≥2 symptoms</w:t>
            </w:r>
          </w:p>
        </w:tc>
        <w:tc>
          <w:tcPr>
            <w:tcW w:w="625" w:type="pct"/>
            <w:vAlign w:val="center"/>
          </w:tcPr>
          <w:p w14:paraId="58C895D4" w14:textId="2A3EBC34" w:rsidR="003C5E0B" w:rsidRPr="001310AD" w:rsidRDefault="003C5E0B" w:rsidP="00F13684">
            <w:pPr>
              <w:pStyle w:val="In-tableHeading"/>
            </w:pPr>
            <w:r w:rsidRPr="001310AD">
              <w:t>RSV-LRTI≥3 symptoms</w:t>
            </w:r>
          </w:p>
        </w:tc>
        <w:tc>
          <w:tcPr>
            <w:tcW w:w="469" w:type="pct"/>
            <w:vAlign w:val="center"/>
          </w:tcPr>
          <w:p w14:paraId="2228BFB5" w14:textId="77777777" w:rsidR="003C5E0B" w:rsidRPr="001310AD" w:rsidRDefault="003C5E0B" w:rsidP="00F13684">
            <w:pPr>
              <w:pStyle w:val="In-tableHeading"/>
            </w:pPr>
            <w:r w:rsidRPr="001310AD">
              <w:t>RSV-ARI</w:t>
            </w:r>
          </w:p>
        </w:tc>
      </w:tr>
      <w:tr w:rsidR="003C5E0B" w:rsidRPr="001310AD" w14:paraId="36182AA6" w14:textId="77777777" w:rsidTr="004E5F5A">
        <w:trPr>
          <w:trHeight w:val="284"/>
        </w:trPr>
        <w:tc>
          <w:tcPr>
            <w:tcW w:w="391" w:type="pct"/>
            <w:vMerge/>
            <w:vAlign w:val="center"/>
          </w:tcPr>
          <w:p w14:paraId="4C500B0B" w14:textId="77777777" w:rsidR="003C5E0B" w:rsidRPr="001310AD" w:rsidRDefault="003C5E0B" w:rsidP="00F13684">
            <w:pPr>
              <w:pStyle w:val="In-tableHeading"/>
            </w:pPr>
          </w:p>
        </w:tc>
        <w:tc>
          <w:tcPr>
            <w:tcW w:w="351" w:type="pct"/>
            <w:vMerge/>
            <w:vAlign w:val="center"/>
          </w:tcPr>
          <w:p w14:paraId="35C47279" w14:textId="77777777" w:rsidR="003C5E0B" w:rsidRPr="001310AD" w:rsidRDefault="003C5E0B" w:rsidP="00F13684">
            <w:pPr>
              <w:pStyle w:val="In-tableHeading"/>
            </w:pPr>
          </w:p>
        </w:tc>
        <w:tc>
          <w:tcPr>
            <w:tcW w:w="373" w:type="pct"/>
            <w:vMerge/>
            <w:vAlign w:val="center"/>
          </w:tcPr>
          <w:p w14:paraId="4C685EC1" w14:textId="77777777" w:rsidR="003C5E0B" w:rsidRPr="001310AD" w:rsidRDefault="003C5E0B" w:rsidP="00F13684">
            <w:pPr>
              <w:pStyle w:val="In-tableHeading"/>
            </w:pPr>
          </w:p>
        </w:tc>
        <w:tc>
          <w:tcPr>
            <w:tcW w:w="603" w:type="pct"/>
            <w:vAlign w:val="center"/>
          </w:tcPr>
          <w:p w14:paraId="5B07E0F0" w14:textId="77777777" w:rsidR="003C5E0B" w:rsidRPr="001310AD" w:rsidRDefault="003C5E0B" w:rsidP="00F13684">
            <w:pPr>
              <w:pStyle w:val="In-tableHeading"/>
            </w:pPr>
            <w:r w:rsidRPr="001310AD">
              <w:t>With season as covariate (protocol)</w:t>
            </w:r>
          </w:p>
        </w:tc>
        <w:tc>
          <w:tcPr>
            <w:tcW w:w="625" w:type="pct"/>
            <w:vAlign w:val="center"/>
          </w:tcPr>
          <w:p w14:paraId="584D3452" w14:textId="77777777" w:rsidR="003C5E0B" w:rsidRPr="001310AD" w:rsidRDefault="003C5E0B" w:rsidP="00F13684">
            <w:pPr>
              <w:pStyle w:val="In-tableHeading"/>
            </w:pPr>
            <w:r w:rsidRPr="001310AD">
              <w:t>Without season as covariate (post hoc)</w:t>
            </w:r>
          </w:p>
        </w:tc>
        <w:tc>
          <w:tcPr>
            <w:tcW w:w="547" w:type="pct"/>
            <w:vAlign w:val="center"/>
          </w:tcPr>
          <w:p w14:paraId="24DD2587" w14:textId="77777777" w:rsidR="003C5E0B" w:rsidRPr="001310AD" w:rsidRDefault="003C5E0B" w:rsidP="00F13684">
            <w:pPr>
              <w:pStyle w:val="In-tableHeading"/>
            </w:pPr>
            <w:r w:rsidRPr="001310AD">
              <w:t>With season as covariate (protocol)</w:t>
            </w:r>
          </w:p>
        </w:tc>
        <w:tc>
          <w:tcPr>
            <w:tcW w:w="391" w:type="pct"/>
            <w:vMerge/>
            <w:vAlign w:val="center"/>
          </w:tcPr>
          <w:p w14:paraId="52F5698F" w14:textId="77777777" w:rsidR="003C5E0B" w:rsidRPr="001310AD" w:rsidRDefault="003C5E0B" w:rsidP="00F13684">
            <w:pPr>
              <w:pStyle w:val="In-tableHeading"/>
            </w:pPr>
          </w:p>
        </w:tc>
        <w:tc>
          <w:tcPr>
            <w:tcW w:w="1719" w:type="pct"/>
            <w:gridSpan w:val="3"/>
            <w:vAlign w:val="center"/>
          </w:tcPr>
          <w:p w14:paraId="2BDF71A9" w14:textId="77777777" w:rsidR="003C5E0B" w:rsidRPr="001310AD" w:rsidRDefault="003C5E0B" w:rsidP="00F13684">
            <w:pPr>
              <w:pStyle w:val="In-tableHeading"/>
            </w:pPr>
            <w:r w:rsidRPr="001310AD">
              <w:t>Without season as covariate</w:t>
            </w:r>
          </w:p>
        </w:tc>
      </w:tr>
      <w:tr w:rsidR="003C5E0B" w:rsidRPr="001310AD" w14:paraId="47C22713" w14:textId="77777777" w:rsidTr="004E5F5A">
        <w:trPr>
          <w:trHeight w:val="284"/>
        </w:trPr>
        <w:tc>
          <w:tcPr>
            <w:tcW w:w="391" w:type="pct"/>
            <w:vMerge w:val="restart"/>
            <w:tcBorders>
              <w:top w:val="single" w:sz="4" w:space="0" w:color="auto"/>
            </w:tcBorders>
            <w:shd w:val="clear" w:color="auto" w:fill="B8CCE4" w:themeFill="accent1" w:themeFillTint="66"/>
            <w:vAlign w:val="center"/>
          </w:tcPr>
          <w:p w14:paraId="5828FC5E" w14:textId="77777777" w:rsidR="003C5E0B" w:rsidRPr="001310AD" w:rsidRDefault="003C5E0B">
            <w:pPr>
              <w:pStyle w:val="TableText0"/>
            </w:pPr>
            <w:r w:rsidRPr="001310AD">
              <w:t>Primary analysis</w:t>
            </w:r>
          </w:p>
          <w:p w14:paraId="376688BA" w14:textId="2C15B3D4" w:rsidR="003C5E0B" w:rsidRPr="001310AD" w:rsidRDefault="007D0CA6">
            <w:pPr>
              <w:pStyle w:val="TableText0"/>
            </w:pPr>
            <w:r w:rsidRPr="001310AD">
              <w:t xml:space="preserve">Over </w:t>
            </w:r>
            <w:r w:rsidR="003C5E0B" w:rsidRPr="001310AD">
              <w:t>Season 1 (case-driven)</w:t>
            </w:r>
          </w:p>
        </w:tc>
        <w:tc>
          <w:tcPr>
            <w:tcW w:w="351" w:type="pct"/>
            <w:tcBorders>
              <w:top w:val="single" w:sz="4" w:space="0" w:color="auto"/>
            </w:tcBorders>
            <w:shd w:val="clear" w:color="auto" w:fill="B8CCE4" w:themeFill="accent1" w:themeFillTint="66"/>
            <w:vAlign w:val="center"/>
          </w:tcPr>
          <w:p w14:paraId="73981498" w14:textId="77777777" w:rsidR="003C5E0B" w:rsidRPr="001310AD" w:rsidRDefault="003C5E0B">
            <w:pPr>
              <w:pStyle w:val="TableText0"/>
              <w:jc w:val="center"/>
            </w:pPr>
            <w:r w:rsidRPr="001310AD">
              <w:t>≥ 60 YOA</w:t>
            </w:r>
          </w:p>
        </w:tc>
        <w:tc>
          <w:tcPr>
            <w:tcW w:w="373" w:type="pct"/>
            <w:vMerge w:val="restart"/>
            <w:tcBorders>
              <w:top w:val="single" w:sz="4" w:space="0" w:color="auto"/>
            </w:tcBorders>
            <w:shd w:val="clear" w:color="auto" w:fill="B8CCE4" w:themeFill="accent1" w:themeFillTint="66"/>
            <w:vAlign w:val="center"/>
          </w:tcPr>
          <w:p w14:paraId="2C5B00EF" w14:textId="77777777" w:rsidR="003C5E0B" w:rsidRPr="001310AD" w:rsidRDefault="003C5E0B">
            <w:pPr>
              <w:pStyle w:val="TableText0"/>
              <w:jc w:val="center"/>
            </w:pPr>
            <w:r w:rsidRPr="001310AD">
              <w:t>6.7 m</w:t>
            </w:r>
          </w:p>
          <w:p w14:paraId="3A3F9216" w14:textId="77777777" w:rsidR="003C5E0B" w:rsidRPr="001310AD" w:rsidRDefault="003C5E0B">
            <w:pPr>
              <w:pStyle w:val="TableText0"/>
              <w:jc w:val="center"/>
            </w:pPr>
            <w:r w:rsidRPr="001310AD">
              <w:t>(NH)</w:t>
            </w:r>
          </w:p>
          <w:p w14:paraId="33D437D9" w14:textId="77777777" w:rsidR="003C5E0B" w:rsidRPr="001310AD" w:rsidRDefault="003C5E0B">
            <w:pPr>
              <w:pStyle w:val="TableText0"/>
              <w:jc w:val="center"/>
            </w:pPr>
          </w:p>
        </w:tc>
        <w:tc>
          <w:tcPr>
            <w:tcW w:w="603" w:type="pct"/>
            <w:shd w:val="clear" w:color="auto" w:fill="B8CCE4" w:themeFill="accent1" w:themeFillTint="66"/>
            <w:vAlign w:val="center"/>
          </w:tcPr>
          <w:p w14:paraId="6F6F6236" w14:textId="77777777" w:rsidR="003C5E0B" w:rsidRPr="001310AD" w:rsidRDefault="003C5E0B">
            <w:pPr>
              <w:pStyle w:val="TableText0"/>
              <w:jc w:val="center"/>
            </w:pPr>
            <w:r w:rsidRPr="001310AD">
              <w:t>82.6</w:t>
            </w:r>
          </w:p>
          <w:p w14:paraId="1F179E6A" w14:textId="77777777" w:rsidR="003C5E0B" w:rsidRPr="001310AD" w:rsidRDefault="003C5E0B">
            <w:pPr>
              <w:pStyle w:val="TableText0"/>
              <w:jc w:val="center"/>
            </w:pPr>
            <w:r w:rsidRPr="001310AD">
              <w:t>96.95% CI: 57.9, 94.1</w:t>
            </w:r>
          </w:p>
        </w:tc>
        <w:tc>
          <w:tcPr>
            <w:tcW w:w="625" w:type="pct"/>
            <w:shd w:val="clear" w:color="auto" w:fill="B8CCE4" w:themeFill="accent1" w:themeFillTint="66"/>
            <w:vAlign w:val="center"/>
          </w:tcPr>
          <w:p w14:paraId="68251874" w14:textId="77777777" w:rsidR="003C5E0B" w:rsidRPr="001310AD" w:rsidRDefault="003C5E0B">
            <w:pPr>
              <w:pStyle w:val="TableText0"/>
              <w:jc w:val="center"/>
            </w:pPr>
            <w:r w:rsidRPr="001310AD">
              <w:t>NA</w:t>
            </w:r>
          </w:p>
        </w:tc>
        <w:tc>
          <w:tcPr>
            <w:tcW w:w="547" w:type="pct"/>
            <w:shd w:val="clear" w:color="auto" w:fill="B8CCE4" w:themeFill="accent1" w:themeFillTint="66"/>
            <w:vAlign w:val="center"/>
          </w:tcPr>
          <w:p w14:paraId="72281312" w14:textId="77777777" w:rsidR="003C5E0B" w:rsidRPr="001310AD" w:rsidRDefault="003C5E0B">
            <w:pPr>
              <w:pStyle w:val="TableText0"/>
              <w:jc w:val="center"/>
            </w:pPr>
            <w:r w:rsidRPr="001310AD">
              <w:t>71.7</w:t>
            </w:r>
          </w:p>
          <w:p w14:paraId="7FA5D77E" w14:textId="77777777" w:rsidR="00A2220F" w:rsidRPr="001310AD" w:rsidRDefault="003C5E0B">
            <w:pPr>
              <w:pStyle w:val="TableText0"/>
              <w:jc w:val="center"/>
            </w:pPr>
            <w:r w:rsidRPr="001310AD">
              <w:t xml:space="preserve">95% CI: </w:t>
            </w:r>
          </w:p>
          <w:p w14:paraId="0670A030" w14:textId="03B631EC" w:rsidR="003C5E0B" w:rsidRPr="001310AD" w:rsidRDefault="003C5E0B">
            <w:pPr>
              <w:pStyle w:val="TableText0"/>
              <w:jc w:val="center"/>
            </w:pPr>
            <w:r w:rsidRPr="001310AD">
              <w:t>56.2, 82.3</w:t>
            </w:r>
          </w:p>
        </w:tc>
        <w:tc>
          <w:tcPr>
            <w:tcW w:w="391" w:type="pct"/>
            <w:vMerge w:val="restart"/>
            <w:shd w:val="clear" w:color="auto" w:fill="B8CCE4" w:themeFill="accent1" w:themeFillTint="66"/>
            <w:vAlign w:val="center"/>
          </w:tcPr>
          <w:p w14:paraId="29BE14A6" w14:textId="77777777" w:rsidR="003C5E0B" w:rsidRPr="001310AD" w:rsidRDefault="003C5E0B">
            <w:pPr>
              <w:pStyle w:val="TableText0"/>
              <w:jc w:val="center"/>
            </w:pPr>
            <w:r w:rsidRPr="001310AD">
              <w:t>7.0 m</w:t>
            </w:r>
          </w:p>
          <w:p w14:paraId="7C2AFB85" w14:textId="77777777" w:rsidR="003C5E0B" w:rsidRPr="001310AD" w:rsidRDefault="003C5E0B">
            <w:pPr>
              <w:pStyle w:val="TableText0"/>
              <w:jc w:val="center"/>
            </w:pPr>
            <w:r w:rsidRPr="001310AD">
              <w:rPr>
                <w:rFonts w:cstheme="minorBidi"/>
              </w:rPr>
              <w:t>(NH/SH)</w:t>
            </w:r>
          </w:p>
          <w:p w14:paraId="180007A4" w14:textId="77777777" w:rsidR="003C5E0B" w:rsidRPr="001310AD" w:rsidRDefault="003C5E0B">
            <w:pPr>
              <w:pStyle w:val="TableText0"/>
              <w:jc w:val="center"/>
            </w:pPr>
          </w:p>
        </w:tc>
        <w:tc>
          <w:tcPr>
            <w:tcW w:w="625" w:type="pct"/>
            <w:shd w:val="clear" w:color="auto" w:fill="B8CCE4" w:themeFill="accent1" w:themeFillTint="66"/>
            <w:vAlign w:val="center"/>
          </w:tcPr>
          <w:p w14:paraId="5431EED3" w14:textId="77777777" w:rsidR="003C5E0B" w:rsidRPr="001310AD" w:rsidRDefault="003C5E0B">
            <w:pPr>
              <w:pStyle w:val="TableText0"/>
              <w:jc w:val="center"/>
            </w:pPr>
            <w:r w:rsidRPr="001310AD">
              <w:t>66.7</w:t>
            </w:r>
          </w:p>
          <w:p w14:paraId="3313A1CD" w14:textId="77777777" w:rsidR="00FE0C89" w:rsidRPr="001310AD" w:rsidRDefault="003C5E0B">
            <w:pPr>
              <w:pStyle w:val="TableText0"/>
              <w:jc w:val="center"/>
            </w:pPr>
            <w:r w:rsidRPr="001310AD">
              <w:t xml:space="preserve">96.66% CI: </w:t>
            </w:r>
          </w:p>
          <w:p w14:paraId="1AA40319" w14:textId="089ABB64" w:rsidR="003C5E0B" w:rsidRPr="001310AD" w:rsidRDefault="003C5E0B">
            <w:pPr>
              <w:pStyle w:val="TableText0"/>
              <w:jc w:val="center"/>
            </w:pPr>
            <w:r w:rsidRPr="001310AD">
              <w:t>28.8, 85.8</w:t>
            </w:r>
          </w:p>
        </w:tc>
        <w:tc>
          <w:tcPr>
            <w:tcW w:w="625" w:type="pct"/>
            <w:shd w:val="clear" w:color="auto" w:fill="B8CCE4" w:themeFill="accent1" w:themeFillTint="66"/>
            <w:vAlign w:val="center"/>
          </w:tcPr>
          <w:p w14:paraId="2117A5E2" w14:textId="77777777" w:rsidR="003C5E0B" w:rsidRPr="001310AD" w:rsidRDefault="003C5E0B">
            <w:pPr>
              <w:pStyle w:val="TableText0"/>
              <w:jc w:val="center"/>
            </w:pPr>
            <w:r w:rsidRPr="001310AD">
              <w:t>85.7</w:t>
            </w:r>
          </w:p>
          <w:p w14:paraId="6A642B17" w14:textId="77777777" w:rsidR="00FE0C89" w:rsidRPr="001310AD" w:rsidRDefault="003C5E0B">
            <w:pPr>
              <w:pStyle w:val="TableText0"/>
              <w:jc w:val="center"/>
            </w:pPr>
            <w:r w:rsidRPr="001310AD">
              <w:t xml:space="preserve">96.66% CI: </w:t>
            </w:r>
          </w:p>
          <w:p w14:paraId="234393BD" w14:textId="22B73B21" w:rsidR="003C5E0B" w:rsidRPr="001310AD" w:rsidRDefault="003C5E0B">
            <w:pPr>
              <w:pStyle w:val="TableText0"/>
              <w:jc w:val="center"/>
            </w:pPr>
            <w:r w:rsidRPr="001310AD">
              <w:t>32, 98.7</w:t>
            </w:r>
          </w:p>
        </w:tc>
        <w:tc>
          <w:tcPr>
            <w:tcW w:w="469" w:type="pct"/>
            <w:vAlign w:val="center"/>
          </w:tcPr>
          <w:p w14:paraId="72877BD2" w14:textId="77777777" w:rsidR="003C5E0B" w:rsidRPr="001310AD" w:rsidRDefault="003C5E0B">
            <w:pPr>
              <w:pStyle w:val="TableText0"/>
              <w:jc w:val="center"/>
            </w:pPr>
            <w:r w:rsidRPr="001310AD">
              <w:t>62.2</w:t>
            </w:r>
          </w:p>
          <w:p w14:paraId="646B6E76" w14:textId="77777777" w:rsidR="00FE0C89" w:rsidRPr="001310AD" w:rsidRDefault="003C5E0B">
            <w:pPr>
              <w:pStyle w:val="TableText0"/>
              <w:jc w:val="center"/>
            </w:pPr>
            <w:r w:rsidRPr="001310AD">
              <w:t xml:space="preserve">95% CI: </w:t>
            </w:r>
          </w:p>
          <w:p w14:paraId="52A6100A" w14:textId="77F09AB1" w:rsidR="003C5E0B" w:rsidRPr="001310AD" w:rsidRDefault="003C5E0B">
            <w:pPr>
              <w:pStyle w:val="TableText0"/>
              <w:jc w:val="center"/>
            </w:pPr>
            <w:r w:rsidRPr="001310AD">
              <w:t>44.4, 74.9</w:t>
            </w:r>
          </w:p>
        </w:tc>
      </w:tr>
      <w:tr w:rsidR="003C5E0B" w:rsidRPr="001310AD" w14:paraId="2131671D" w14:textId="77777777" w:rsidTr="004E5F5A">
        <w:trPr>
          <w:trHeight w:val="284"/>
        </w:trPr>
        <w:tc>
          <w:tcPr>
            <w:tcW w:w="391" w:type="pct"/>
            <w:vMerge/>
            <w:shd w:val="clear" w:color="auto" w:fill="B8CCE4" w:themeFill="accent1" w:themeFillTint="66"/>
            <w:vAlign w:val="center"/>
          </w:tcPr>
          <w:p w14:paraId="7E61DCC4" w14:textId="77777777" w:rsidR="003C5E0B" w:rsidRPr="001310AD" w:rsidRDefault="003C5E0B">
            <w:pPr>
              <w:pStyle w:val="TableText0"/>
            </w:pPr>
          </w:p>
        </w:tc>
        <w:tc>
          <w:tcPr>
            <w:tcW w:w="351" w:type="pct"/>
            <w:shd w:val="clear" w:color="auto" w:fill="B8CCE4" w:themeFill="accent1" w:themeFillTint="66"/>
            <w:vAlign w:val="center"/>
          </w:tcPr>
          <w:p w14:paraId="0B5F3561" w14:textId="77777777" w:rsidR="003C5E0B" w:rsidRPr="001310AD" w:rsidRDefault="003C5E0B">
            <w:pPr>
              <w:pStyle w:val="TableText0"/>
              <w:jc w:val="center"/>
            </w:pPr>
            <w:r w:rsidRPr="001310AD">
              <w:t>70-79 YOA</w:t>
            </w:r>
          </w:p>
        </w:tc>
        <w:tc>
          <w:tcPr>
            <w:tcW w:w="373" w:type="pct"/>
            <w:vMerge/>
            <w:shd w:val="clear" w:color="auto" w:fill="B8CCE4" w:themeFill="accent1" w:themeFillTint="66"/>
            <w:vAlign w:val="center"/>
          </w:tcPr>
          <w:p w14:paraId="5E8F8C8C" w14:textId="77777777" w:rsidR="003C5E0B" w:rsidRPr="001310AD" w:rsidRDefault="003C5E0B">
            <w:pPr>
              <w:pStyle w:val="TableText0"/>
              <w:jc w:val="center"/>
            </w:pPr>
          </w:p>
        </w:tc>
        <w:tc>
          <w:tcPr>
            <w:tcW w:w="603" w:type="pct"/>
            <w:shd w:val="clear" w:color="auto" w:fill="B8CCE4" w:themeFill="accent1" w:themeFillTint="66"/>
            <w:vAlign w:val="center"/>
          </w:tcPr>
          <w:p w14:paraId="35FDF9A1" w14:textId="77777777" w:rsidR="006E2913" w:rsidRPr="001310AD" w:rsidRDefault="003C5E0B">
            <w:pPr>
              <w:pStyle w:val="TableText0"/>
              <w:jc w:val="center"/>
            </w:pPr>
            <w:r w:rsidRPr="001310AD">
              <w:t>93.8</w:t>
            </w:r>
            <w:r w:rsidRPr="001310AD">
              <w:br/>
              <w:t xml:space="preserve">95% CI: </w:t>
            </w:r>
          </w:p>
          <w:p w14:paraId="440FCD8C" w14:textId="33008513" w:rsidR="003C5E0B" w:rsidRPr="001310AD" w:rsidRDefault="003C5E0B">
            <w:pPr>
              <w:pStyle w:val="TableText0"/>
              <w:jc w:val="center"/>
            </w:pPr>
            <w:r w:rsidRPr="001310AD">
              <w:t>60.2, 99.9</w:t>
            </w:r>
          </w:p>
        </w:tc>
        <w:tc>
          <w:tcPr>
            <w:tcW w:w="625" w:type="pct"/>
            <w:shd w:val="clear" w:color="auto" w:fill="B8CCE4" w:themeFill="accent1" w:themeFillTint="66"/>
            <w:vAlign w:val="center"/>
          </w:tcPr>
          <w:p w14:paraId="2D4D42E9" w14:textId="77777777" w:rsidR="003C5E0B" w:rsidRPr="001310AD" w:rsidRDefault="003C5E0B">
            <w:pPr>
              <w:pStyle w:val="TableText0"/>
              <w:jc w:val="center"/>
            </w:pPr>
            <w:r w:rsidRPr="001310AD">
              <w:t>NA</w:t>
            </w:r>
          </w:p>
        </w:tc>
        <w:tc>
          <w:tcPr>
            <w:tcW w:w="547" w:type="pct"/>
            <w:vAlign w:val="center"/>
          </w:tcPr>
          <w:p w14:paraId="080CB053" w14:textId="77777777" w:rsidR="003C5E0B" w:rsidRPr="001310AD" w:rsidRDefault="003C5E0B">
            <w:pPr>
              <w:pStyle w:val="TableText0"/>
              <w:jc w:val="center"/>
            </w:pPr>
            <w:r w:rsidRPr="001310AD">
              <w:t>87.6</w:t>
            </w:r>
          </w:p>
          <w:p w14:paraId="09FB2B3B" w14:textId="77777777" w:rsidR="00A2220F" w:rsidRPr="001310AD" w:rsidRDefault="003C5E0B">
            <w:pPr>
              <w:pStyle w:val="TableText0"/>
              <w:jc w:val="center"/>
            </w:pPr>
            <w:r w:rsidRPr="001310AD">
              <w:t xml:space="preserve">95% CI: </w:t>
            </w:r>
          </w:p>
          <w:p w14:paraId="69D52529" w14:textId="0770B5CD" w:rsidR="003C5E0B" w:rsidRPr="001310AD" w:rsidRDefault="003C5E0B">
            <w:pPr>
              <w:pStyle w:val="TableText0"/>
              <w:jc w:val="center"/>
            </w:pPr>
            <w:r w:rsidRPr="001310AD">
              <w:t>65.1, 96.8</w:t>
            </w:r>
          </w:p>
        </w:tc>
        <w:tc>
          <w:tcPr>
            <w:tcW w:w="391" w:type="pct"/>
            <w:vMerge/>
            <w:shd w:val="clear" w:color="auto" w:fill="FFFFFF" w:themeFill="background1"/>
            <w:vAlign w:val="center"/>
          </w:tcPr>
          <w:p w14:paraId="30FF7AE6" w14:textId="77777777" w:rsidR="003C5E0B" w:rsidRPr="001310AD" w:rsidRDefault="003C5E0B">
            <w:pPr>
              <w:pStyle w:val="TableText0"/>
              <w:jc w:val="center"/>
            </w:pPr>
          </w:p>
        </w:tc>
        <w:tc>
          <w:tcPr>
            <w:tcW w:w="625" w:type="pct"/>
            <w:vAlign w:val="center"/>
          </w:tcPr>
          <w:p w14:paraId="6BF3F213" w14:textId="77777777" w:rsidR="00FE0C89" w:rsidRPr="001310AD" w:rsidRDefault="003C5E0B">
            <w:pPr>
              <w:pStyle w:val="TableText0"/>
              <w:jc w:val="center"/>
            </w:pPr>
            <w:r w:rsidRPr="001310AD">
              <w:t xml:space="preserve">77.8 </w:t>
            </w:r>
            <w:r w:rsidRPr="001310AD">
              <w:br/>
              <w:t xml:space="preserve">96.66% CI: </w:t>
            </w:r>
          </w:p>
          <w:p w14:paraId="541A9DB3" w14:textId="54AF80FB" w:rsidR="003C5E0B" w:rsidRPr="001310AD" w:rsidRDefault="003C5E0B">
            <w:pPr>
              <w:pStyle w:val="TableText0"/>
              <w:jc w:val="center"/>
            </w:pPr>
            <w:r w:rsidRPr="001310AD">
              <w:t>-18.7, 98.1</w:t>
            </w:r>
          </w:p>
        </w:tc>
        <w:tc>
          <w:tcPr>
            <w:tcW w:w="625" w:type="pct"/>
            <w:vAlign w:val="center"/>
          </w:tcPr>
          <w:p w14:paraId="1ED10EFB" w14:textId="77777777" w:rsidR="00FE0C89" w:rsidRPr="001310AD" w:rsidRDefault="003C5E0B">
            <w:pPr>
              <w:pStyle w:val="TableText0"/>
              <w:jc w:val="center"/>
            </w:pPr>
            <w:r w:rsidRPr="001310AD">
              <w:t>100</w:t>
            </w:r>
            <w:r w:rsidRPr="001310AD">
              <w:br/>
              <w:t xml:space="preserve">96.66% CI: </w:t>
            </w:r>
          </w:p>
          <w:p w14:paraId="1C20B532" w14:textId="4E333DA7" w:rsidR="003C5E0B" w:rsidRPr="001310AD" w:rsidRDefault="003C5E0B">
            <w:pPr>
              <w:pStyle w:val="TableText0"/>
              <w:jc w:val="center"/>
            </w:pPr>
            <w:r w:rsidRPr="001310AD">
              <w:t>-573.8, 100</w:t>
            </w:r>
          </w:p>
        </w:tc>
        <w:tc>
          <w:tcPr>
            <w:tcW w:w="469" w:type="pct"/>
            <w:vAlign w:val="center"/>
          </w:tcPr>
          <w:p w14:paraId="2DD3F87C" w14:textId="77777777" w:rsidR="003C5E0B" w:rsidRPr="001310AD" w:rsidRDefault="003C5E0B">
            <w:pPr>
              <w:pStyle w:val="TableText0"/>
              <w:jc w:val="center"/>
            </w:pPr>
            <w:r w:rsidRPr="001310AD">
              <w:t>64.3</w:t>
            </w:r>
          </w:p>
          <w:p w14:paraId="3A93D9AE" w14:textId="77777777" w:rsidR="00FE0C89" w:rsidRPr="001310AD" w:rsidRDefault="003C5E0B">
            <w:pPr>
              <w:pStyle w:val="TableText0"/>
              <w:jc w:val="center"/>
            </w:pPr>
            <w:r w:rsidRPr="001310AD">
              <w:t xml:space="preserve">95% CI: </w:t>
            </w:r>
          </w:p>
          <w:p w14:paraId="37F0852A" w14:textId="08798FF2" w:rsidR="003C5E0B" w:rsidRPr="001310AD" w:rsidRDefault="003C5E0B">
            <w:pPr>
              <w:pStyle w:val="TableText0"/>
              <w:jc w:val="center"/>
            </w:pPr>
            <w:r w:rsidRPr="001310AD">
              <w:t>-4.9, 89.9</w:t>
            </w:r>
          </w:p>
        </w:tc>
      </w:tr>
      <w:tr w:rsidR="003C5E0B" w:rsidRPr="001310AD" w14:paraId="375E60A4" w14:textId="77777777" w:rsidTr="004E5F5A">
        <w:trPr>
          <w:trHeight w:val="284"/>
        </w:trPr>
        <w:tc>
          <w:tcPr>
            <w:tcW w:w="391" w:type="pct"/>
            <w:vMerge w:val="restart"/>
            <w:tcBorders>
              <w:top w:val="single" w:sz="12" w:space="0" w:color="000000" w:themeColor="text1"/>
            </w:tcBorders>
            <w:shd w:val="clear" w:color="auto" w:fill="B8CCE4" w:themeFill="accent1" w:themeFillTint="66"/>
            <w:vAlign w:val="center"/>
          </w:tcPr>
          <w:p w14:paraId="7F4D889E" w14:textId="0E5C2290" w:rsidR="003C5E0B" w:rsidRPr="001310AD" w:rsidRDefault="00B40A53">
            <w:pPr>
              <w:pStyle w:val="TableText0"/>
            </w:pPr>
            <w:r w:rsidRPr="001310AD">
              <w:t xml:space="preserve">Over </w:t>
            </w:r>
            <w:r w:rsidR="003C5E0B" w:rsidRPr="001310AD">
              <w:t xml:space="preserve">Season </w:t>
            </w:r>
            <w:r w:rsidRPr="001310AD">
              <w:t>1 &amp;</w:t>
            </w:r>
            <w:r w:rsidR="003C5E0B" w:rsidRPr="001310AD">
              <w:t xml:space="preserve"> 2</w:t>
            </w:r>
          </w:p>
          <w:p w14:paraId="5C7F015E" w14:textId="77777777" w:rsidR="003C5E0B" w:rsidRPr="001310AD" w:rsidRDefault="003C5E0B">
            <w:pPr>
              <w:pStyle w:val="TableText0"/>
            </w:pPr>
            <w:r w:rsidRPr="001310AD">
              <w:t>VE</w:t>
            </w:r>
          </w:p>
          <w:p w14:paraId="0F64699D" w14:textId="34BA420F" w:rsidR="003C5E0B" w:rsidRPr="001310AD" w:rsidRDefault="003C5E0B">
            <w:pPr>
              <w:pStyle w:val="TableText0"/>
            </w:pPr>
          </w:p>
        </w:tc>
        <w:tc>
          <w:tcPr>
            <w:tcW w:w="351" w:type="pct"/>
            <w:tcBorders>
              <w:top w:val="single" w:sz="12" w:space="0" w:color="000000" w:themeColor="text1"/>
            </w:tcBorders>
            <w:shd w:val="clear" w:color="auto" w:fill="B8CCE4" w:themeFill="accent1" w:themeFillTint="66"/>
            <w:vAlign w:val="center"/>
          </w:tcPr>
          <w:p w14:paraId="1A34662F" w14:textId="77777777" w:rsidR="003C5E0B" w:rsidRPr="001310AD" w:rsidRDefault="003C5E0B">
            <w:pPr>
              <w:pStyle w:val="TableText0"/>
              <w:jc w:val="center"/>
            </w:pPr>
            <w:r w:rsidRPr="001310AD">
              <w:t>≥ 60 YOA</w:t>
            </w:r>
          </w:p>
        </w:tc>
        <w:tc>
          <w:tcPr>
            <w:tcW w:w="373" w:type="pct"/>
            <w:vMerge w:val="restart"/>
            <w:tcBorders>
              <w:top w:val="single" w:sz="12" w:space="0" w:color="000000" w:themeColor="text1"/>
            </w:tcBorders>
            <w:shd w:val="clear" w:color="auto" w:fill="B8CCE4" w:themeFill="accent1" w:themeFillTint="66"/>
            <w:vAlign w:val="center"/>
          </w:tcPr>
          <w:p w14:paraId="6740CAC0" w14:textId="77777777" w:rsidR="003C5E0B" w:rsidRPr="001310AD" w:rsidRDefault="003C5E0B">
            <w:pPr>
              <w:pStyle w:val="TableText0"/>
              <w:jc w:val="center"/>
            </w:pPr>
            <w:r w:rsidRPr="001310AD">
              <w:t>17.8 m</w:t>
            </w:r>
            <w:r w:rsidRPr="001310AD">
              <w:br/>
              <w:t xml:space="preserve"> (NH)</w:t>
            </w:r>
          </w:p>
        </w:tc>
        <w:tc>
          <w:tcPr>
            <w:tcW w:w="603" w:type="pct"/>
            <w:tcBorders>
              <w:top w:val="single" w:sz="12" w:space="0" w:color="000000" w:themeColor="text1"/>
            </w:tcBorders>
            <w:shd w:val="clear" w:color="auto" w:fill="B8CCE4" w:themeFill="accent1" w:themeFillTint="66"/>
            <w:vAlign w:val="center"/>
          </w:tcPr>
          <w:p w14:paraId="3BAF1200" w14:textId="77777777" w:rsidR="003C5E0B" w:rsidRPr="001310AD" w:rsidRDefault="003C5E0B">
            <w:pPr>
              <w:pStyle w:val="TableText0"/>
              <w:jc w:val="center"/>
            </w:pPr>
            <w:r w:rsidRPr="001310AD">
              <w:t>67.2</w:t>
            </w:r>
          </w:p>
          <w:p w14:paraId="46525334" w14:textId="77777777" w:rsidR="003C5E0B" w:rsidRPr="001310AD" w:rsidRDefault="003C5E0B">
            <w:pPr>
              <w:pStyle w:val="TableText0"/>
              <w:jc w:val="center"/>
            </w:pPr>
            <w:r w:rsidRPr="001310AD">
              <w:t>97.5% CI: 48.2, 80.0</w:t>
            </w:r>
          </w:p>
        </w:tc>
        <w:tc>
          <w:tcPr>
            <w:tcW w:w="625" w:type="pct"/>
            <w:tcBorders>
              <w:top w:val="single" w:sz="12" w:space="0" w:color="000000" w:themeColor="text1"/>
            </w:tcBorders>
            <w:shd w:val="clear" w:color="auto" w:fill="B8CCE4" w:themeFill="accent1" w:themeFillTint="66"/>
            <w:vAlign w:val="center"/>
          </w:tcPr>
          <w:p w14:paraId="5F4EDD7C" w14:textId="77777777" w:rsidR="003C5E0B" w:rsidRPr="001310AD" w:rsidRDefault="003C5E0B">
            <w:pPr>
              <w:pStyle w:val="TableText0"/>
              <w:jc w:val="center"/>
            </w:pPr>
            <w:r w:rsidRPr="001310AD">
              <w:t>74.5</w:t>
            </w:r>
          </w:p>
          <w:p w14:paraId="57DC0E24" w14:textId="77777777" w:rsidR="00A2220F" w:rsidRPr="001310AD" w:rsidRDefault="003C5E0B">
            <w:pPr>
              <w:pStyle w:val="TableText0"/>
              <w:jc w:val="center"/>
            </w:pPr>
            <w:r w:rsidRPr="001310AD">
              <w:t xml:space="preserve">97.5% CI: </w:t>
            </w:r>
          </w:p>
          <w:p w14:paraId="6F93D7F4" w14:textId="5C6CE00C" w:rsidR="003C5E0B" w:rsidRPr="001310AD" w:rsidRDefault="003C5E0B">
            <w:pPr>
              <w:pStyle w:val="TableText0"/>
              <w:jc w:val="center"/>
            </w:pPr>
            <w:r w:rsidRPr="001310AD">
              <w:t>60.0, 84.5</w:t>
            </w:r>
          </w:p>
        </w:tc>
        <w:tc>
          <w:tcPr>
            <w:tcW w:w="547" w:type="pct"/>
            <w:tcBorders>
              <w:top w:val="single" w:sz="12" w:space="0" w:color="000000" w:themeColor="text1"/>
            </w:tcBorders>
            <w:shd w:val="clear" w:color="auto" w:fill="B8CCE4" w:themeFill="accent1" w:themeFillTint="66"/>
            <w:vAlign w:val="center"/>
          </w:tcPr>
          <w:p w14:paraId="15D099CA" w14:textId="77777777" w:rsidR="003C5E0B" w:rsidRPr="001310AD" w:rsidRDefault="003C5E0B">
            <w:pPr>
              <w:pStyle w:val="TableText0"/>
              <w:jc w:val="center"/>
            </w:pPr>
            <w:r w:rsidRPr="001310AD">
              <w:t>52.7</w:t>
            </w:r>
          </w:p>
          <w:p w14:paraId="01DFF2C2" w14:textId="77777777" w:rsidR="00A2220F" w:rsidRPr="001310AD" w:rsidRDefault="003C5E0B">
            <w:pPr>
              <w:pStyle w:val="TableText0"/>
              <w:jc w:val="center"/>
            </w:pPr>
            <w:r w:rsidRPr="001310AD">
              <w:t xml:space="preserve">95% CI: </w:t>
            </w:r>
          </w:p>
          <w:p w14:paraId="7EA88E74" w14:textId="17D5D884" w:rsidR="003C5E0B" w:rsidRPr="001310AD" w:rsidRDefault="003C5E0B">
            <w:pPr>
              <w:pStyle w:val="TableText0"/>
              <w:jc w:val="center"/>
            </w:pPr>
            <w:r w:rsidRPr="001310AD">
              <w:t>40.0, 63.0</w:t>
            </w:r>
          </w:p>
        </w:tc>
        <w:tc>
          <w:tcPr>
            <w:tcW w:w="391" w:type="pct"/>
            <w:vMerge w:val="restart"/>
            <w:tcBorders>
              <w:top w:val="single" w:sz="12" w:space="0" w:color="000000" w:themeColor="text1"/>
            </w:tcBorders>
            <w:shd w:val="clear" w:color="auto" w:fill="B8CCE4" w:themeFill="accent1" w:themeFillTint="66"/>
            <w:vAlign w:val="center"/>
          </w:tcPr>
          <w:p w14:paraId="236E0190" w14:textId="77777777" w:rsidR="003C5E0B" w:rsidRPr="001310AD" w:rsidRDefault="003C5E0B">
            <w:pPr>
              <w:pStyle w:val="TableText0"/>
              <w:jc w:val="center"/>
              <w:rPr>
                <w:rFonts w:cstheme="minorBidi"/>
              </w:rPr>
            </w:pPr>
            <w:r w:rsidRPr="001310AD">
              <w:rPr>
                <w:rFonts w:cstheme="minorBidi"/>
              </w:rPr>
              <w:t>16.4 m</w:t>
            </w:r>
          </w:p>
          <w:p w14:paraId="4E3EA9E2" w14:textId="77777777" w:rsidR="003C5E0B" w:rsidRPr="001310AD" w:rsidRDefault="003C5E0B">
            <w:pPr>
              <w:pStyle w:val="TableText0"/>
              <w:jc w:val="center"/>
              <w:rPr>
                <w:rFonts w:cstheme="minorBidi"/>
              </w:rPr>
            </w:pPr>
            <w:r w:rsidRPr="001310AD">
              <w:rPr>
                <w:rFonts w:cstheme="minorBidi"/>
              </w:rPr>
              <w:t>(NH/SH)</w:t>
            </w:r>
          </w:p>
        </w:tc>
        <w:tc>
          <w:tcPr>
            <w:tcW w:w="625" w:type="pct"/>
            <w:tcBorders>
              <w:top w:val="single" w:sz="12" w:space="0" w:color="000000" w:themeColor="text1"/>
            </w:tcBorders>
            <w:vAlign w:val="center"/>
          </w:tcPr>
          <w:p w14:paraId="55082242" w14:textId="77777777" w:rsidR="003C5E0B" w:rsidRPr="001310AD" w:rsidRDefault="003C5E0B">
            <w:pPr>
              <w:pStyle w:val="TableText0"/>
              <w:jc w:val="center"/>
              <w:rPr>
                <w:vertAlign w:val="superscript"/>
              </w:rPr>
            </w:pPr>
            <w:r w:rsidRPr="001310AD">
              <w:t>58.8</w:t>
            </w:r>
          </w:p>
          <w:p w14:paraId="410110DE" w14:textId="77777777" w:rsidR="00A2220F" w:rsidRPr="001310AD" w:rsidRDefault="003C5E0B">
            <w:pPr>
              <w:pStyle w:val="TableText0"/>
              <w:jc w:val="center"/>
            </w:pPr>
            <w:r w:rsidRPr="001310AD">
              <w:t xml:space="preserve">95% CI: </w:t>
            </w:r>
          </w:p>
          <w:p w14:paraId="3417320B" w14:textId="1848EEE2" w:rsidR="003C5E0B" w:rsidRPr="001310AD" w:rsidRDefault="003C5E0B">
            <w:pPr>
              <w:pStyle w:val="TableText0"/>
              <w:jc w:val="center"/>
            </w:pPr>
            <w:r w:rsidRPr="001310AD">
              <w:t>43.0, 70.6</w:t>
            </w:r>
          </w:p>
        </w:tc>
        <w:tc>
          <w:tcPr>
            <w:tcW w:w="625" w:type="pct"/>
            <w:tcBorders>
              <w:top w:val="single" w:sz="12" w:space="0" w:color="000000" w:themeColor="text1"/>
            </w:tcBorders>
            <w:shd w:val="clear" w:color="auto" w:fill="B8CCE4" w:themeFill="accent1" w:themeFillTint="66"/>
            <w:vAlign w:val="center"/>
          </w:tcPr>
          <w:p w14:paraId="78E79155" w14:textId="77777777" w:rsidR="003C5E0B" w:rsidRPr="001310AD" w:rsidRDefault="003C5E0B">
            <w:pPr>
              <w:pStyle w:val="TableText0"/>
              <w:jc w:val="center"/>
              <w:rPr>
                <w:vertAlign w:val="superscript"/>
              </w:rPr>
            </w:pPr>
            <w:r w:rsidRPr="001310AD">
              <w:t>81.5</w:t>
            </w:r>
          </w:p>
          <w:p w14:paraId="705E6449" w14:textId="77777777" w:rsidR="00FE0C89" w:rsidRPr="001310AD" w:rsidRDefault="003C5E0B">
            <w:pPr>
              <w:pStyle w:val="TableText0"/>
              <w:jc w:val="center"/>
            </w:pPr>
            <w:r w:rsidRPr="001310AD">
              <w:t xml:space="preserve">95% CI: </w:t>
            </w:r>
          </w:p>
          <w:p w14:paraId="66BF52B4" w14:textId="1FD603D9" w:rsidR="003C5E0B" w:rsidRPr="001310AD" w:rsidRDefault="003C5E0B">
            <w:pPr>
              <w:pStyle w:val="TableText0"/>
              <w:jc w:val="center"/>
            </w:pPr>
            <w:r w:rsidRPr="001310AD">
              <w:t>63.3, 91.6</w:t>
            </w:r>
          </w:p>
        </w:tc>
        <w:tc>
          <w:tcPr>
            <w:tcW w:w="469" w:type="pct"/>
            <w:tcBorders>
              <w:top w:val="single" w:sz="12" w:space="0" w:color="000000" w:themeColor="text1"/>
            </w:tcBorders>
            <w:vAlign w:val="center"/>
          </w:tcPr>
          <w:p w14:paraId="54D4A1B9" w14:textId="77777777" w:rsidR="003C5E0B" w:rsidRPr="001310AD" w:rsidRDefault="003C5E0B">
            <w:pPr>
              <w:pStyle w:val="TableText0"/>
              <w:jc w:val="center"/>
            </w:pPr>
            <w:r w:rsidRPr="001310AD">
              <w:t>44.3</w:t>
            </w:r>
          </w:p>
          <w:p w14:paraId="4D492BC5" w14:textId="77777777" w:rsidR="00FE0C89" w:rsidRPr="001310AD" w:rsidRDefault="003C5E0B">
            <w:pPr>
              <w:pStyle w:val="TableText0"/>
              <w:jc w:val="center"/>
            </w:pPr>
            <w:r w:rsidRPr="001310AD">
              <w:t xml:space="preserve">95% CI: </w:t>
            </w:r>
          </w:p>
          <w:p w14:paraId="7C4D2A58" w14:textId="5512CCD7" w:rsidR="003C5E0B" w:rsidRPr="001310AD" w:rsidRDefault="003C5E0B">
            <w:pPr>
              <w:pStyle w:val="TableText0"/>
              <w:jc w:val="center"/>
            </w:pPr>
            <w:r w:rsidRPr="001310AD">
              <w:t>33.2, 53.7</w:t>
            </w:r>
          </w:p>
        </w:tc>
      </w:tr>
      <w:tr w:rsidR="003C5E0B" w:rsidRPr="001310AD" w14:paraId="1A650DB8" w14:textId="77777777" w:rsidTr="004E5F5A">
        <w:trPr>
          <w:trHeight w:val="284"/>
        </w:trPr>
        <w:tc>
          <w:tcPr>
            <w:tcW w:w="391" w:type="pct"/>
            <w:vMerge/>
            <w:shd w:val="clear" w:color="auto" w:fill="B8CCE4" w:themeFill="accent1" w:themeFillTint="66"/>
            <w:vAlign w:val="center"/>
          </w:tcPr>
          <w:p w14:paraId="3AAE31FE" w14:textId="77777777" w:rsidR="003C5E0B" w:rsidRPr="001310AD" w:rsidRDefault="003C5E0B">
            <w:pPr>
              <w:pStyle w:val="TableText0"/>
            </w:pPr>
          </w:p>
        </w:tc>
        <w:tc>
          <w:tcPr>
            <w:tcW w:w="351" w:type="pct"/>
            <w:shd w:val="clear" w:color="auto" w:fill="B8CCE4" w:themeFill="accent1" w:themeFillTint="66"/>
            <w:vAlign w:val="center"/>
          </w:tcPr>
          <w:p w14:paraId="47C0C2E0" w14:textId="77777777" w:rsidR="003C5E0B" w:rsidRPr="001310AD" w:rsidRDefault="003C5E0B">
            <w:pPr>
              <w:pStyle w:val="TableText0"/>
              <w:jc w:val="center"/>
            </w:pPr>
            <w:r w:rsidRPr="001310AD">
              <w:t>70-79 YOA</w:t>
            </w:r>
          </w:p>
        </w:tc>
        <w:tc>
          <w:tcPr>
            <w:tcW w:w="373" w:type="pct"/>
            <w:vMerge/>
            <w:shd w:val="clear" w:color="auto" w:fill="B8CCE4" w:themeFill="accent1" w:themeFillTint="66"/>
            <w:vAlign w:val="center"/>
          </w:tcPr>
          <w:p w14:paraId="4900F0E7" w14:textId="77777777" w:rsidR="003C5E0B" w:rsidRPr="001310AD" w:rsidRDefault="003C5E0B">
            <w:pPr>
              <w:pStyle w:val="TableText0"/>
              <w:jc w:val="center"/>
            </w:pPr>
          </w:p>
        </w:tc>
        <w:tc>
          <w:tcPr>
            <w:tcW w:w="603" w:type="pct"/>
            <w:shd w:val="clear" w:color="auto" w:fill="B8CCE4" w:themeFill="accent1" w:themeFillTint="66"/>
            <w:vAlign w:val="center"/>
          </w:tcPr>
          <w:p w14:paraId="35CFC047" w14:textId="77777777" w:rsidR="006E2913" w:rsidRPr="001310AD" w:rsidRDefault="003C5E0B">
            <w:pPr>
              <w:pStyle w:val="TableText0"/>
              <w:jc w:val="center"/>
            </w:pPr>
            <w:r w:rsidRPr="001310AD">
              <w:t>74.9</w:t>
            </w:r>
            <w:r w:rsidRPr="001310AD">
              <w:br/>
              <w:t>95% CI:</w:t>
            </w:r>
          </w:p>
          <w:p w14:paraId="4426AC7A" w14:textId="7D941AA9" w:rsidR="003C5E0B" w:rsidRPr="001310AD" w:rsidRDefault="003C5E0B">
            <w:pPr>
              <w:pStyle w:val="TableText0"/>
              <w:jc w:val="center"/>
            </w:pPr>
            <w:r w:rsidRPr="001310AD">
              <w:t>48.4, 89.2</w:t>
            </w:r>
          </w:p>
        </w:tc>
        <w:tc>
          <w:tcPr>
            <w:tcW w:w="625" w:type="pct"/>
            <w:shd w:val="clear" w:color="auto" w:fill="B8CCE4" w:themeFill="accent1" w:themeFillTint="66"/>
            <w:vAlign w:val="center"/>
          </w:tcPr>
          <w:p w14:paraId="0A5DEA55" w14:textId="77777777" w:rsidR="00A2220F" w:rsidRPr="001310AD" w:rsidRDefault="003C5E0B">
            <w:pPr>
              <w:pStyle w:val="TableText0"/>
              <w:jc w:val="center"/>
            </w:pPr>
            <w:r w:rsidRPr="001310AD">
              <w:t>80.7</w:t>
            </w:r>
            <w:r w:rsidRPr="001310AD">
              <w:br/>
              <w:t xml:space="preserve">95% CI: </w:t>
            </w:r>
          </w:p>
          <w:p w14:paraId="1AB3A701" w14:textId="3017567E" w:rsidR="003C5E0B" w:rsidRPr="001310AD" w:rsidRDefault="003C5E0B">
            <w:pPr>
              <w:pStyle w:val="TableText0"/>
              <w:jc w:val="center"/>
            </w:pPr>
            <w:r w:rsidRPr="001310AD">
              <w:t>60.6, 91.6</w:t>
            </w:r>
          </w:p>
        </w:tc>
        <w:tc>
          <w:tcPr>
            <w:tcW w:w="547" w:type="pct"/>
            <w:shd w:val="clear" w:color="auto" w:fill="B8CCE4" w:themeFill="accent1" w:themeFillTint="66"/>
            <w:vAlign w:val="center"/>
          </w:tcPr>
          <w:p w14:paraId="791A8D4E" w14:textId="77777777" w:rsidR="003C5E0B" w:rsidRPr="001310AD" w:rsidRDefault="003C5E0B">
            <w:pPr>
              <w:pStyle w:val="TableText0"/>
              <w:jc w:val="center"/>
            </w:pPr>
            <w:r w:rsidRPr="001310AD">
              <w:t>NR</w:t>
            </w:r>
          </w:p>
        </w:tc>
        <w:tc>
          <w:tcPr>
            <w:tcW w:w="391" w:type="pct"/>
            <w:vMerge/>
            <w:shd w:val="clear" w:color="auto" w:fill="B8CCE4" w:themeFill="accent1" w:themeFillTint="66"/>
            <w:vAlign w:val="center"/>
          </w:tcPr>
          <w:p w14:paraId="0AABCF2B" w14:textId="77777777" w:rsidR="003C5E0B" w:rsidRPr="001310AD" w:rsidRDefault="003C5E0B">
            <w:pPr>
              <w:pStyle w:val="TableText0"/>
              <w:jc w:val="center"/>
            </w:pPr>
          </w:p>
        </w:tc>
        <w:tc>
          <w:tcPr>
            <w:tcW w:w="625" w:type="pct"/>
            <w:vAlign w:val="center"/>
          </w:tcPr>
          <w:p w14:paraId="17C30E86" w14:textId="77777777" w:rsidR="00A2220F" w:rsidRPr="001310AD" w:rsidRDefault="003C5E0B">
            <w:pPr>
              <w:pStyle w:val="TableText0"/>
              <w:jc w:val="center"/>
            </w:pPr>
            <w:r w:rsidRPr="001310AD">
              <w:t xml:space="preserve">62.5 </w:t>
            </w:r>
            <w:r w:rsidRPr="001310AD">
              <w:br/>
              <w:t xml:space="preserve">95% CI: </w:t>
            </w:r>
          </w:p>
          <w:p w14:paraId="7C375266" w14:textId="60F0FA66" w:rsidR="003C5E0B" w:rsidRPr="001310AD" w:rsidRDefault="003C5E0B">
            <w:pPr>
              <w:pStyle w:val="TableText0"/>
              <w:jc w:val="center"/>
            </w:pPr>
            <w:r w:rsidRPr="001310AD">
              <w:t>30.6, 80.8</w:t>
            </w:r>
          </w:p>
        </w:tc>
        <w:tc>
          <w:tcPr>
            <w:tcW w:w="625" w:type="pct"/>
            <w:vAlign w:val="center"/>
          </w:tcPr>
          <w:p w14:paraId="6EA05C47" w14:textId="77777777" w:rsidR="00A2220F" w:rsidRPr="001310AD" w:rsidRDefault="003C5E0B">
            <w:pPr>
              <w:pStyle w:val="TableText0"/>
              <w:jc w:val="center"/>
            </w:pPr>
            <w:r w:rsidRPr="001310AD">
              <w:t xml:space="preserve">72.7 </w:t>
            </w:r>
            <w:r w:rsidRPr="001310AD">
              <w:br/>
              <w:t xml:space="preserve">95% CI: </w:t>
            </w:r>
          </w:p>
          <w:p w14:paraId="71611294" w14:textId="3110DAA3" w:rsidR="003C5E0B" w:rsidRPr="001310AD" w:rsidRDefault="003C5E0B">
            <w:pPr>
              <w:pStyle w:val="TableText0"/>
              <w:jc w:val="center"/>
            </w:pPr>
            <w:r w:rsidRPr="001310AD">
              <w:t>-3.2, 95.1</w:t>
            </w:r>
          </w:p>
        </w:tc>
        <w:tc>
          <w:tcPr>
            <w:tcW w:w="469" w:type="pct"/>
            <w:vAlign w:val="center"/>
          </w:tcPr>
          <w:p w14:paraId="3412BDF7" w14:textId="77777777" w:rsidR="003C5E0B" w:rsidRPr="001310AD" w:rsidRDefault="003C5E0B">
            <w:pPr>
              <w:pStyle w:val="TableText0"/>
              <w:jc w:val="center"/>
            </w:pPr>
            <w:r w:rsidRPr="001310AD">
              <w:t>43.8</w:t>
            </w:r>
          </w:p>
          <w:p w14:paraId="0EC94B0E" w14:textId="77777777" w:rsidR="00FE0C89" w:rsidRPr="001310AD" w:rsidRDefault="003C5E0B">
            <w:pPr>
              <w:pStyle w:val="TableText0"/>
              <w:jc w:val="center"/>
            </w:pPr>
            <w:r w:rsidRPr="001310AD">
              <w:t xml:space="preserve">95% CI: </w:t>
            </w:r>
          </w:p>
          <w:p w14:paraId="4E0E6C7E" w14:textId="0B211257" w:rsidR="003C5E0B" w:rsidRPr="001310AD" w:rsidRDefault="003C5E0B">
            <w:pPr>
              <w:pStyle w:val="TableText0"/>
              <w:jc w:val="center"/>
            </w:pPr>
            <w:r w:rsidRPr="001310AD">
              <w:t>19.7, 61.1</w:t>
            </w:r>
          </w:p>
        </w:tc>
      </w:tr>
      <w:tr w:rsidR="003C5E0B" w:rsidRPr="001310AD" w14:paraId="072066F8" w14:textId="77777777" w:rsidTr="004E5F5A">
        <w:trPr>
          <w:trHeight w:val="284"/>
        </w:trPr>
        <w:tc>
          <w:tcPr>
            <w:tcW w:w="391" w:type="pct"/>
            <w:vMerge/>
            <w:shd w:val="clear" w:color="auto" w:fill="B8CCE4" w:themeFill="accent1" w:themeFillTint="66"/>
            <w:vAlign w:val="center"/>
          </w:tcPr>
          <w:p w14:paraId="31CC0D8F" w14:textId="77777777" w:rsidR="003C5E0B" w:rsidRPr="001310AD" w:rsidRDefault="003C5E0B">
            <w:pPr>
              <w:pStyle w:val="TableText0"/>
            </w:pPr>
          </w:p>
        </w:tc>
        <w:tc>
          <w:tcPr>
            <w:tcW w:w="351" w:type="pct"/>
            <w:shd w:val="clear" w:color="auto" w:fill="B8CCE4" w:themeFill="accent1" w:themeFillTint="66"/>
            <w:vAlign w:val="center"/>
          </w:tcPr>
          <w:p w14:paraId="7C30E5E3" w14:textId="77777777" w:rsidR="003C5E0B" w:rsidRPr="001310AD" w:rsidRDefault="003C5E0B">
            <w:pPr>
              <w:pStyle w:val="TableText0"/>
              <w:jc w:val="center"/>
            </w:pPr>
            <w:r w:rsidRPr="001310AD">
              <w:t>≥ 60 YOA</w:t>
            </w:r>
          </w:p>
        </w:tc>
        <w:tc>
          <w:tcPr>
            <w:tcW w:w="373" w:type="pct"/>
            <w:tcBorders>
              <w:bottom w:val="single" w:sz="12" w:space="0" w:color="000000" w:themeColor="text1"/>
            </w:tcBorders>
            <w:shd w:val="clear" w:color="auto" w:fill="B8CCE4" w:themeFill="accent1" w:themeFillTint="66"/>
            <w:vAlign w:val="center"/>
          </w:tcPr>
          <w:p w14:paraId="7AF0257B" w14:textId="77777777" w:rsidR="003C5E0B" w:rsidRPr="001310AD" w:rsidRDefault="003C5E0B">
            <w:pPr>
              <w:pStyle w:val="TableText0"/>
              <w:jc w:val="center"/>
            </w:pPr>
            <w:r w:rsidRPr="001310AD">
              <w:t>23.3 m</w:t>
            </w:r>
          </w:p>
          <w:p w14:paraId="69DACECD" w14:textId="77777777" w:rsidR="003C5E0B" w:rsidRPr="001310AD" w:rsidRDefault="003C5E0B">
            <w:pPr>
              <w:pStyle w:val="TableText0"/>
              <w:jc w:val="center"/>
            </w:pPr>
            <w:r w:rsidRPr="001310AD">
              <w:t>(NH/SH)</w:t>
            </w:r>
          </w:p>
        </w:tc>
        <w:tc>
          <w:tcPr>
            <w:tcW w:w="603" w:type="pct"/>
            <w:tcBorders>
              <w:bottom w:val="single" w:sz="12" w:space="0" w:color="000000" w:themeColor="text1"/>
            </w:tcBorders>
            <w:shd w:val="clear" w:color="auto" w:fill="B8CCE4" w:themeFill="accent1" w:themeFillTint="66"/>
            <w:vAlign w:val="center"/>
          </w:tcPr>
          <w:p w14:paraId="0A3C76B4" w14:textId="77777777" w:rsidR="003C5E0B" w:rsidRPr="001310AD" w:rsidRDefault="003C5E0B">
            <w:pPr>
              <w:pStyle w:val="TableText0"/>
              <w:jc w:val="center"/>
            </w:pPr>
            <w:r w:rsidRPr="001310AD">
              <w:t>67.7</w:t>
            </w:r>
          </w:p>
          <w:p w14:paraId="4F7848C4" w14:textId="77777777" w:rsidR="006E2913" w:rsidRPr="001310AD" w:rsidRDefault="003C5E0B">
            <w:pPr>
              <w:pStyle w:val="TableText0"/>
              <w:jc w:val="center"/>
            </w:pPr>
            <w:r w:rsidRPr="001310AD">
              <w:t xml:space="preserve">95% CI: </w:t>
            </w:r>
          </w:p>
          <w:p w14:paraId="4CA27DE7" w14:textId="7E10396F" w:rsidR="003C5E0B" w:rsidRPr="001310AD" w:rsidRDefault="003C5E0B">
            <w:pPr>
              <w:pStyle w:val="TableText0"/>
              <w:jc w:val="center"/>
            </w:pPr>
            <w:r w:rsidRPr="001310AD">
              <w:t>52.3, 78.7</w:t>
            </w:r>
          </w:p>
        </w:tc>
        <w:tc>
          <w:tcPr>
            <w:tcW w:w="625" w:type="pct"/>
            <w:tcBorders>
              <w:bottom w:val="single" w:sz="12" w:space="0" w:color="000000" w:themeColor="text1"/>
            </w:tcBorders>
            <w:shd w:val="clear" w:color="auto" w:fill="B8CCE4" w:themeFill="accent1" w:themeFillTint="66"/>
            <w:vAlign w:val="center"/>
          </w:tcPr>
          <w:p w14:paraId="10C4EEB2" w14:textId="77777777" w:rsidR="003C5E0B" w:rsidRPr="001310AD" w:rsidRDefault="003C5E0B">
            <w:pPr>
              <w:pStyle w:val="TableText0"/>
              <w:jc w:val="center"/>
            </w:pPr>
            <w:r w:rsidRPr="001310AD">
              <w:t>73.3</w:t>
            </w:r>
          </w:p>
          <w:p w14:paraId="47ED1073" w14:textId="77777777" w:rsidR="00A2220F" w:rsidRPr="001310AD" w:rsidRDefault="003C5E0B">
            <w:pPr>
              <w:pStyle w:val="TableText0"/>
              <w:jc w:val="center"/>
            </w:pPr>
            <w:r w:rsidRPr="001310AD">
              <w:t xml:space="preserve">95% CI: </w:t>
            </w:r>
          </w:p>
          <w:p w14:paraId="6E05EC17" w14:textId="4FF36817" w:rsidR="003C5E0B" w:rsidRPr="001310AD" w:rsidRDefault="003C5E0B">
            <w:pPr>
              <w:pStyle w:val="TableText0"/>
              <w:jc w:val="center"/>
            </w:pPr>
            <w:r w:rsidRPr="001310AD">
              <w:t>60.7, 82.4</w:t>
            </w:r>
          </w:p>
        </w:tc>
        <w:tc>
          <w:tcPr>
            <w:tcW w:w="547" w:type="pct"/>
            <w:tcBorders>
              <w:bottom w:val="single" w:sz="12" w:space="0" w:color="000000" w:themeColor="text1"/>
            </w:tcBorders>
            <w:shd w:val="clear" w:color="auto" w:fill="B8CCE4" w:themeFill="accent1" w:themeFillTint="66"/>
            <w:vAlign w:val="center"/>
          </w:tcPr>
          <w:p w14:paraId="743F2EDB" w14:textId="77777777" w:rsidR="003C5E0B" w:rsidRPr="001310AD" w:rsidRDefault="003C5E0B">
            <w:pPr>
              <w:pStyle w:val="TableText0"/>
              <w:jc w:val="center"/>
            </w:pPr>
            <w:r w:rsidRPr="001310AD">
              <w:t>52.0</w:t>
            </w:r>
          </w:p>
          <w:p w14:paraId="45C453F6" w14:textId="77777777" w:rsidR="00A2220F" w:rsidRPr="001310AD" w:rsidRDefault="003C5E0B">
            <w:pPr>
              <w:pStyle w:val="TableText0"/>
              <w:jc w:val="center"/>
            </w:pPr>
            <w:r w:rsidRPr="001310AD">
              <w:t xml:space="preserve">95% CI: </w:t>
            </w:r>
          </w:p>
          <w:p w14:paraId="36F5752E" w14:textId="30ABB17A" w:rsidR="003C5E0B" w:rsidRPr="001310AD" w:rsidRDefault="003C5E0B">
            <w:pPr>
              <w:pStyle w:val="TableText0"/>
              <w:jc w:val="center"/>
            </w:pPr>
            <w:r w:rsidRPr="001310AD">
              <w:t>39.5, 62.1</w:t>
            </w:r>
          </w:p>
        </w:tc>
        <w:tc>
          <w:tcPr>
            <w:tcW w:w="2110" w:type="pct"/>
            <w:gridSpan w:val="4"/>
            <w:tcBorders>
              <w:bottom w:val="single" w:sz="12" w:space="0" w:color="000000" w:themeColor="text1"/>
            </w:tcBorders>
            <w:vAlign w:val="center"/>
          </w:tcPr>
          <w:p w14:paraId="019D35AA" w14:textId="77777777" w:rsidR="003C5E0B" w:rsidRPr="001310AD" w:rsidRDefault="003C5E0B">
            <w:pPr>
              <w:pStyle w:val="TableText0"/>
              <w:jc w:val="center"/>
            </w:pPr>
            <w:r w:rsidRPr="001310AD">
              <w:t>Data not reported over similar duration of follow-up</w:t>
            </w:r>
          </w:p>
        </w:tc>
      </w:tr>
      <w:tr w:rsidR="003C5E0B" w:rsidRPr="001310AD" w14:paraId="5BC0AA81" w14:textId="77777777" w:rsidTr="004E5F5A">
        <w:trPr>
          <w:trHeight w:val="284"/>
        </w:trPr>
        <w:tc>
          <w:tcPr>
            <w:tcW w:w="391" w:type="pct"/>
            <w:vMerge w:val="restart"/>
            <w:tcBorders>
              <w:top w:val="single" w:sz="12" w:space="0" w:color="000000" w:themeColor="text1"/>
            </w:tcBorders>
            <w:shd w:val="clear" w:color="auto" w:fill="FFFFFF" w:themeFill="background1"/>
            <w:vAlign w:val="center"/>
          </w:tcPr>
          <w:p w14:paraId="011AF205" w14:textId="028F3874" w:rsidR="003C5E0B" w:rsidRPr="001310AD" w:rsidRDefault="007D0CA6">
            <w:pPr>
              <w:pStyle w:val="TableText0"/>
            </w:pPr>
            <w:r w:rsidRPr="001310AD">
              <w:t xml:space="preserve">Over </w:t>
            </w:r>
            <w:r w:rsidR="003C5E0B" w:rsidRPr="001310AD">
              <w:t xml:space="preserve">Season </w:t>
            </w:r>
            <w:r w:rsidRPr="001310AD">
              <w:t>1, 2 &amp; 3</w:t>
            </w:r>
          </w:p>
          <w:p w14:paraId="3D311B41" w14:textId="0066A2DE" w:rsidR="003C5E0B" w:rsidRPr="001310AD" w:rsidRDefault="003C5E0B">
            <w:pPr>
              <w:pStyle w:val="TableText0"/>
            </w:pPr>
            <w:r w:rsidRPr="001310AD">
              <w:t>VE</w:t>
            </w:r>
          </w:p>
        </w:tc>
        <w:tc>
          <w:tcPr>
            <w:tcW w:w="351" w:type="pct"/>
            <w:tcBorders>
              <w:top w:val="single" w:sz="12" w:space="0" w:color="000000" w:themeColor="text1"/>
            </w:tcBorders>
            <w:vAlign w:val="center"/>
          </w:tcPr>
          <w:p w14:paraId="1FEF609C" w14:textId="77777777" w:rsidR="003C5E0B" w:rsidRPr="001310AD" w:rsidRDefault="003C5E0B">
            <w:pPr>
              <w:pStyle w:val="TableText0"/>
              <w:jc w:val="center"/>
            </w:pPr>
            <w:r w:rsidRPr="001310AD">
              <w:t>≥ 60 YOA</w:t>
            </w:r>
          </w:p>
        </w:tc>
        <w:tc>
          <w:tcPr>
            <w:tcW w:w="373" w:type="pct"/>
            <w:vMerge w:val="restart"/>
            <w:tcBorders>
              <w:top w:val="single" w:sz="12" w:space="0" w:color="000000" w:themeColor="text1"/>
            </w:tcBorders>
            <w:vAlign w:val="center"/>
          </w:tcPr>
          <w:p w14:paraId="3D59F4E6" w14:textId="77777777" w:rsidR="003C5E0B" w:rsidRPr="001310AD" w:rsidRDefault="003C5E0B">
            <w:pPr>
              <w:pStyle w:val="TableText0"/>
              <w:jc w:val="center"/>
            </w:pPr>
            <w:r w:rsidRPr="001310AD">
              <w:t>30.6 m</w:t>
            </w:r>
            <w:r w:rsidRPr="001310AD">
              <w:br/>
              <w:t>(NH)</w:t>
            </w:r>
          </w:p>
        </w:tc>
        <w:tc>
          <w:tcPr>
            <w:tcW w:w="603" w:type="pct"/>
            <w:tcBorders>
              <w:top w:val="single" w:sz="12" w:space="0" w:color="000000" w:themeColor="text1"/>
            </w:tcBorders>
            <w:vAlign w:val="center"/>
          </w:tcPr>
          <w:p w14:paraId="3F14E62F" w14:textId="77777777" w:rsidR="003C5E0B" w:rsidRPr="001310AD" w:rsidRDefault="003C5E0B">
            <w:pPr>
              <w:pStyle w:val="TableText0"/>
              <w:jc w:val="center"/>
            </w:pPr>
            <w:r w:rsidRPr="001310AD">
              <w:t>62.9</w:t>
            </w:r>
          </w:p>
          <w:p w14:paraId="1FCF6F9E" w14:textId="77777777" w:rsidR="003C5E0B" w:rsidRPr="001310AD" w:rsidRDefault="003C5E0B">
            <w:pPr>
              <w:pStyle w:val="TableText0"/>
              <w:jc w:val="center"/>
            </w:pPr>
            <w:r w:rsidRPr="001310AD">
              <w:t>97.5% CI: 46.7, 74.8</w:t>
            </w:r>
          </w:p>
        </w:tc>
        <w:tc>
          <w:tcPr>
            <w:tcW w:w="625" w:type="pct"/>
            <w:tcBorders>
              <w:top w:val="single" w:sz="12" w:space="0" w:color="000000" w:themeColor="text1"/>
            </w:tcBorders>
            <w:vAlign w:val="center"/>
          </w:tcPr>
          <w:p w14:paraId="73F9D25E" w14:textId="77777777" w:rsidR="003C5E0B" w:rsidRPr="001310AD" w:rsidRDefault="003C5E0B">
            <w:pPr>
              <w:pStyle w:val="TableText0"/>
              <w:jc w:val="center"/>
            </w:pPr>
            <w:r w:rsidRPr="001310AD">
              <w:t>69.1</w:t>
            </w:r>
          </w:p>
          <w:p w14:paraId="586FA399" w14:textId="77777777" w:rsidR="00A2220F" w:rsidRPr="001310AD" w:rsidRDefault="003C5E0B">
            <w:pPr>
              <w:pStyle w:val="TableText0"/>
              <w:jc w:val="center"/>
            </w:pPr>
            <w:r w:rsidRPr="001310AD">
              <w:t xml:space="preserve">97.5% CI: </w:t>
            </w:r>
          </w:p>
          <w:p w14:paraId="52085569" w14:textId="6C9CDA4D" w:rsidR="003C5E0B" w:rsidRPr="001310AD" w:rsidRDefault="003C5E0B">
            <w:pPr>
              <w:pStyle w:val="TableText0"/>
              <w:jc w:val="center"/>
            </w:pPr>
            <w:r w:rsidRPr="001310AD">
              <w:t>46.7, 74.8</w:t>
            </w:r>
          </w:p>
        </w:tc>
        <w:tc>
          <w:tcPr>
            <w:tcW w:w="547" w:type="pct"/>
            <w:tcBorders>
              <w:top w:val="single" w:sz="12" w:space="0" w:color="000000" w:themeColor="text1"/>
            </w:tcBorders>
            <w:vAlign w:val="center"/>
          </w:tcPr>
          <w:p w14:paraId="24C18153" w14:textId="77777777" w:rsidR="003C5E0B" w:rsidRPr="001310AD" w:rsidRDefault="003C5E0B">
            <w:pPr>
              <w:pStyle w:val="TableText0"/>
              <w:jc w:val="center"/>
            </w:pPr>
            <w:r w:rsidRPr="001310AD">
              <w:t>51.1</w:t>
            </w:r>
          </w:p>
          <w:p w14:paraId="4CD208E2" w14:textId="77777777" w:rsidR="00A2220F" w:rsidRPr="001310AD" w:rsidRDefault="003C5E0B">
            <w:pPr>
              <w:pStyle w:val="TableText0"/>
              <w:jc w:val="center"/>
            </w:pPr>
            <w:r w:rsidRPr="001310AD">
              <w:t xml:space="preserve">95% CI: </w:t>
            </w:r>
          </w:p>
          <w:p w14:paraId="2E8B2160" w14:textId="622F54B8" w:rsidR="003C5E0B" w:rsidRPr="001310AD" w:rsidRDefault="003C5E0B">
            <w:pPr>
              <w:pStyle w:val="TableText0"/>
              <w:jc w:val="center"/>
            </w:pPr>
            <w:r w:rsidRPr="001310AD">
              <w:t>40.3, 60.2</w:t>
            </w:r>
          </w:p>
        </w:tc>
        <w:tc>
          <w:tcPr>
            <w:tcW w:w="2110" w:type="pct"/>
            <w:gridSpan w:val="4"/>
            <w:vMerge w:val="restart"/>
            <w:tcBorders>
              <w:top w:val="single" w:sz="12" w:space="0" w:color="000000" w:themeColor="text1"/>
            </w:tcBorders>
            <w:vAlign w:val="center"/>
          </w:tcPr>
          <w:p w14:paraId="2A8C19A5" w14:textId="77777777" w:rsidR="003C5E0B" w:rsidRPr="001310AD" w:rsidRDefault="003C5E0B">
            <w:pPr>
              <w:pStyle w:val="TableText0"/>
              <w:jc w:val="center"/>
            </w:pPr>
            <w:r w:rsidRPr="001310AD">
              <w:t>No protocol-specified follow-up of VE beyond 24 months</w:t>
            </w:r>
          </w:p>
        </w:tc>
      </w:tr>
      <w:tr w:rsidR="003C5E0B" w:rsidRPr="001310AD" w14:paraId="2407E1D3" w14:textId="77777777" w:rsidTr="004E5F5A">
        <w:trPr>
          <w:trHeight w:val="284"/>
        </w:trPr>
        <w:tc>
          <w:tcPr>
            <w:tcW w:w="391" w:type="pct"/>
            <w:vMerge/>
            <w:vAlign w:val="center"/>
          </w:tcPr>
          <w:p w14:paraId="0959EF5B" w14:textId="77777777" w:rsidR="003C5E0B" w:rsidRPr="001310AD" w:rsidRDefault="003C5E0B">
            <w:pPr>
              <w:pStyle w:val="TableText0"/>
              <w:rPr>
                <w:sz w:val="18"/>
                <w:szCs w:val="18"/>
              </w:rPr>
            </w:pPr>
          </w:p>
        </w:tc>
        <w:tc>
          <w:tcPr>
            <w:tcW w:w="351" w:type="pct"/>
            <w:vAlign w:val="center"/>
          </w:tcPr>
          <w:p w14:paraId="5A403D64" w14:textId="77777777" w:rsidR="003C5E0B" w:rsidRPr="001310AD" w:rsidRDefault="003C5E0B">
            <w:pPr>
              <w:pStyle w:val="TableText0"/>
              <w:jc w:val="center"/>
            </w:pPr>
            <w:r w:rsidRPr="001310AD">
              <w:t>70-79 YOA</w:t>
            </w:r>
          </w:p>
        </w:tc>
        <w:tc>
          <w:tcPr>
            <w:tcW w:w="373" w:type="pct"/>
            <w:vMerge/>
            <w:vAlign w:val="center"/>
          </w:tcPr>
          <w:p w14:paraId="6D7FFC2B" w14:textId="77777777" w:rsidR="003C5E0B" w:rsidRPr="001310AD" w:rsidRDefault="003C5E0B">
            <w:pPr>
              <w:pStyle w:val="TableText0"/>
              <w:jc w:val="center"/>
            </w:pPr>
          </w:p>
        </w:tc>
        <w:tc>
          <w:tcPr>
            <w:tcW w:w="603" w:type="pct"/>
            <w:vAlign w:val="center"/>
          </w:tcPr>
          <w:p w14:paraId="287F3427" w14:textId="77777777" w:rsidR="006E2913" w:rsidRPr="001310AD" w:rsidRDefault="003C5E0B">
            <w:pPr>
              <w:pStyle w:val="TableText0"/>
              <w:jc w:val="center"/>
            </w:pPr>
            <w:r w:rsidRPr="001310AD">
              <w:t>70.6</w:t>
            </w:r>
            <w:r w:rsidRPr="001310AD">
              <w:br/>
              <w:t xml:space="preserve">95% CI: </w:t>
            </w:r>
          </w:p>
          <w:p w14:paraId="61F9EB77" w14:textId="548C6157" w:rsidR="003C5E0B" w:rsidRPr="001310AD" w:rsidRDefault="003C5E0B">
            <w:pPr>
              <w:pStyle w:val="TableText0"/>
              <w:jc w:val="center"/>
            </w:pPr>
            <w:r w:rsidRPr="001310AD">
              <w:t>48.4, 84.3</w:t>
            </w:r>
          </w:p>
        </w:tc>
        <w:tc>
          <w:tcPr>
            <w:tcW w:w="625" w:type="pct"/>
            <w:vAlign w:val="center"/>
          </w:tcPr>
          <w:p w14:paraId="4BCB1929" w14:textId="77777777" w:rsidR="003C5E0B" w:rsidRPr="001310AD" w:rsidRDefault="003C5E0B">
            <w:pPr>
              <w:pStyle w:val="TableText0"/>
              <w:jc w:val="center"/>
            </w:pPr>
            <w:r w:rsidRPr="001310AD">
              <w:t>75.6</w:t>
            </w:r>
          </w:p>
          <w:p w14:paraId="3FDAB8F0" w14:textId="77777777" w:rsidR="00A2220F" w:rsidRPr="001310AD" w:rsidRDefault="003C5E0B">
            <w:pPr>
              <w:pStyle w:val="TableText0"/>
              <w:jc w:val="center"/>
            </w:pPr>
            <w:r w:rsidRPr="001310AD">
              <w:t xml:space="preserve">95% CI: </w:t>
            </w:r>
          </w:p>
          <w:p w14:paraId="49910712" w14:textId="4DE40683" w:rsidR="003C5E0B" w:rsidRPr="001310AD" w:rsidRDefault="003C5E0B">
            <w:pPr>
              <w:pStyle w:val="TableText0"/>
              <w:jc w:val="center"/>
            </w:pPr>
            <w:r w:rsidRPr="001310AD">
              <w:t>57.5, 86.9</w:t>
            </w:r>
          </w:p>
        </w:tc>
        <w:tc>
          <w:tcPr>
            <w:tcW w:w="547" w:type="pct"/>
            <w:vAlign w:val="center"/>
          </w:tcPr>
          <w:p w14:paraId="5BC91AD3" w14:textId="77777777" w:rsidR="003C5E0B" w:rsidRPr="001310AD" w:rsidRDefault="003C5E0B">
            <w:pPr>
              <w:pStyle w:val="TableText0"/>
              <w:jc w:val="center"/>
            </w:pPr>
            <w:r w:rsidRPr="001310AD">
              <w:t>62.3</w:t>
            </w:r>
          </w:p>
          <w:p w14:paraId="219B699C" w14:textId="77777777" w:rsidR="00A2220F" w:rsidRPr="001310AD" w:rsidRDefault="003C5E0B">
            <w:pPr>
              <w:pStyle w:val="TableText0"/>
              <w:jc w:val="center"/>
            </w:pPr>
            <w:r w:rsidRPr="001310AD">
              <w:t xml:space="preserve">95% CI: </w:t>
            </w:r>
          </w:p>
          <w:p w14:paraId="4D16EFF6" w14:textId="44F5B7DD" w:rsidR="003C5E0B" w:rsidRPr="001310AD" w:rsidRDefault="003C5E0B">
            <w:pPr>
              <w:pStyle w:val="TableText0"/>
              <w:jc w:val="center"/>
            </w:pPr>
            <w:r w:rsidRPr="001310AD">
              <w:t>45.6, 74.4</w:t>
            </w:r>
          </w:p>
        </w:tc>
        <w:tc>
          <w:tcPr>
            <w:tcW w:w="2110" w:type="pct"/>
            <w:gridSpan w:val="4"/>
            <w:vMerge/>
            <w:vAlign w:val="center"/>
          </w:tcPr>
          <w:p w14:paraId="04008C02" w14:textId="77777777" w:rsidR="003C5E0B" w:rsidRPr="001310AD" w:rsidRDefault="003C5E0B">
            <w:pPr>
              <w:pStyle w:val="TableText0"/>
              <w:rPr>
                <w:sz w:val="18"/>
                <w:szCs w:val="18"/>
              </w:rPr>
            </w:pPr>
          </w:p>
        </w:tc>
      </w:tr>
    </w:tbl>
    <w:p w14:paraId="5D6F1EDD" w14:textId="77777777" w:rsidR="003C5E0B" w:rsidRPr="001310AD" w:rsidRDefault="003C5E0B" w:rsidP="003C5E0B">
      <w:pPr>
        <w:pStyle w:val="FooterTableFigure"/>
      </w:pPr>
      <w:r w:rsidRPr="001310AD">
        <w:t xml:space="preserve">Source: Table 2-36, p144 of the resubmission. </w:t>
      </w:r>
    </w:p>
    <w:p w14:paraId="0AFFDB81" w14:textId="2B202D95" w:rsidR="003C5E0B" w:rsidRPr="001310AD" w:rsidRDefault="003C5E0B" w:rsidP="003C5E0B">
      <w:pPr>
        <w:pStyle w:val="FooterTableFigure"/>
      </w:pPr>
      <w:r w:rsidRPr="001310AD">
        <w:t xml:space="preserve">ARI = acute respiratory infection; CI = confidence interval; FUP = follow up; LRTD/LRTI = lower respiratory tract disease/infection; m = months; NA = not applicable; NH = Northern Hemisphere; NR = not reported; S = season; S= Southern Hemisphere; </w:t>
      </w:r>
      <w:r w:rsidR="00476D75" w:rsidRPr="001310AD">
        <w:t xml:space="preserve">RSVPreF = recombinant RSV prefusion F protein vaccine; </w:t>
      </w:r>
      <w:r w:rsidR="003344F8" w:rsidRPr="001310AD">
        <w:t xml:space="preserve">RSVPreF3 OA = RSV </w:t>
      </w:r>
      <w:r w:rsidR="00835250" w:rsidRPr="001310AD">
        <w:t>p</w:t>
      </w:r>
      <w:r w:rsidR="003344F8" w:rsidRPr="001310AD">
        <w:t xml:space="preserve">re-fusion protein 3 older adult; </w:t>
      </w:r>
      <w:r w:rsidRPr="001310AD">
        <w:t xml:space="preserve">VE = vaccine efficacy; YOA = years of age. </w:t>
      </w:r>
    </w:p>
    <w:p w14:paraId="1494A7D4" w14:textId="45A12D46" w:rsidR="003C5E0B" w:rsidRDefault="003C5E0B" w:rsidP="003C5E0B">
      <w:pPr>
        <w:pStyle w:val="FooterTableFigure"/>
      </w:pPr>
      <w:r w:rsidRPr="001310AD">
        <w:t>Blue shading reflect data previously seen by the PBAC.</w:t>
      </w:r>
    </w:p>
    <w:p w14:paraId="0C0750FA" w14:textId="6EE6F654" w:rsidR="005138C4" w:rsidRPr="005138C4" w:rsidRDefault="005138C4" w:rsidP="003C5E0B">
      <w:pPr>
        <w:pStyle w:val="FooterTableFigure"/>
        <w:rPr>
          <w:i/>
          <w:iCs/>
        </w:rPr>
      </w:pPr>
      <w:r w:rsidRPr="005138C4">
        <w:rPr>
          <w:i/>
          <w:iCs/>
        </w:rPr>
        <w:t>Note that the results for the naïve indirect treatment comparison presented, including the post-hoc analysis of RSVPreF3 OA VE without season as a covariate, are derived from ad-hoc/post-hoc analyses specifically for the purposes of informing the PBAC consideration. These analyses were not part of the pre-specified statistical plan for RSV OA=ADJ-006 or RENOIR. Interpretation of the results and their application should therefore be limited to seeking to understand the basis for the PBAC outcome and should not be used for any other purpose.</w:t>
      </w:r>
    </w:p>
    <w:p w14:paraId="186FF104" w14:textId="77777777" w:rsidR="00F34F50" w:rsidRDefault="00F34F50" w:rsidP="00F34F50">
      <w:pPr>
        <w:pStyle w:val="3-BodyText"/>
        <w:numPr>
          <w:ilvl w:val="0"/>
          <w:numId w:val="0"/>
        </w:numPr>
        <w:ind w:left="720"/>
      </w:pPr>
    </w:p>
    <w:p w14:paraId="51F0C0C5" w14:textId="64A49188" w:rsidR="008C43DD" w:rsidRPr="001310AD" w:rsidRDefault="008C43DD" w:rsidP="007E4EBA">
      <w:pPr>
        <w:pStyle w:val="3-BodyText"/>
      </w:pPr>
      <w:r w:rsidRPr="001310AD">
        <w:t xml:space="preserve">The </w:t>
      </w:r>
      <w:r w:rsidR="00A77690" w:rsidRPr="001310AD">
        <w:t>following can be drawn from the results presented in Table 10</w:t>
      </w:r>
      <w:r w:rsidR="00F34F50">
        <w:rPr>
          <w:rStyle w:val="FootnoteReference"/>
        </w:rPr>
        <w:footnoteReference w:id="5"/>
      </w:r>
      <w:r w:rsidRPr="001310AD">
        <w:t xml:space="preserve">: </w:t>
      </w:r>
    </w:p>
    <w:p w14:paraId="3D015D47" w14:textId="5F814FA0" w:rsidR="003F2147" w:rsidRPr="001310AD" w:rsidRDefault="00A77690">
      <w:pPr>
        <w:pStyle w:val="3-BodyText"/>
        <w:numPr>
          <w:ilvl w:val="3"/>
          <w:numId w:val="6"/>
        </w:numPr>
        <w:ind w:left="1134"/>
      </w:pPr>
      <w:r w:rsidRPr="001310AD">
        <w:t xml:space="preserve">The resubmission stated that </w:t>
      </w:r>
      <w:r w:rsidR="008C43DD" w:rsidRPr="001310AD">
        <w:t>RSVPre</w:t>
      </w:r>
      <w:r w:rsidR="00C81658" w:rsidRPr="001310AD">
        <w:t>F</w:t>
      </w:r>
      <w:r w:rsidR="008C43DD" w:rsidRPr="001310AD">
        <w:t>3 OA and RSVpreF vaccine</w:t>
      </w:r>
      <w:r w:rsidR="009B4BD3" w:rsidRPr="001310AD">
        <w:t>s</w:t>
      </w:r>
      <w:r w:rsidR="008C43DD" w:rsidRPr="001310AD">
        <w:t xml:space="preserve"> appear to have similar VE against RSV-LRTD in adults ≥60 YOA for the primary analysis (Season 1) and for RSV Season 2 after similar periods of follow-up (</w:t>
      </w:r>
      <w:r w:rsidR="00960E32" w:rsidRPr="001310AD">
        <w:t>approximately</w:t>
      </w:r>
      <w:r w:rsidR="0037439E" w:rsidRPr="001310AD">
        <w:t xml:space="preserve"> </w:t>
      </w:r>
      <w:r w:rsidR="008C43DD" w:rsidRPr="001310AD">
        <w:t xml:space="preserve">18 </w:t>
      </w:r>
      <w:r w:rsidR="008C43DD" w:rsidRPr="001310AD">
        <w:lastRenderedPageBreak/>
        <w:t xml:space="preserve">months). ATAGI concurred stating that, noting limitations in the naïve </w:t>
      </w:r>
      <w:r w:rsidR="0014193A" w:rsidRPr="001310AD">
        <w:t>ITC</w:t>
      </w:r>
      <w:r w:rsidR="008C43DD" w:rsidRPr="001310AD">
        <w:t xml:space="preserve"> presented, VE against RSV-LRTD was similar for RSVPreF3 OA compared with RSVpreF ( ATAGI advice, March 2025). </w:t>
      </w:r>
    </w:p>
    <w:p w14:paraId="67044556" w14:textId="7245E7D8" w:rsidR="003F2147" w:rsidRPr="001310AD" w:rsidRDefault="00565D50">
      <w:pPr>
        <w:pStyle w:val="3-BodyText"/>
        <w:numPr>
          <w:ilvl w:val="3"/>
          <w:numId w:val="6"/>
        </w:numPr>
        <w:ind w:left="1134"/>
      </w:pPr>
      <w:r w:rsidRPr="001310AD">
        <w:t xml:space="preserve">The resubmission stated that RSVPreF3 OA </w:t>
      </w:r>
      <w:r w:rsidR="001D2A8A" w:rsidRPr="001310AD">
        <w:t xml:space="preserve">has demonstrated </w:t>
      </w:r>
      <w:r w:rsidR="008C43DD" w:rsidRPr="001310AD">
        <w:t xml:space="preserve">durable clinically meaningful VE against RSV-LRTD in adults ≥60 YOA over a median </w:t>
      </w:r>
      <w:r w:rsidR="00AD1F18" w:rsidRPr="001310AD">
        <w:t xml:space="preserve">30.6 </w:t>
      </w:r>
      <w:r w:rsidR="008C43DD" w:rsidRPr="001310AD">
        <w:t>months of follow-up (VE = 69%, without season as covariate). Data are not publicly reported for RSVpreF beyond a mean of 16 months of follow-up, therefore, an indirect comparison of VE c</w:t>
      </w:r>
      <w:r w:rsidR="00F85071" w:rsidRPr="001310AD">
        <w:t>ould not</w:t>
      </w:r>
      <w:r w:rsidR="008C43DD" w:rsidRPr="001310AD">
        <w:t xml:space="preserve"> be made for RSVPreF3 OA compared with RSVpreF beyond the first 16 months after vaccination.</w:t>
      </w:r>
      <w:r w:rsidR="008C43DD" w:rsidRPr="001310AD">
        <w:rPr>
          <w:i/>
          <w:iCs/>
        </w:rPr>
        <w:t xml:space="preserve"> </w:t>
      </w:r>
      <w:r w:rsidR="00D70F75" w:rsidRPr="001310AD">
        <w:t>T</w:t>
      </w:r>
      <w:r w:rsidR="00B76CE0" w:rsidRPr="001310AD">
        <w:t>he</w:t>
      </w:r>
      <w:r w:rsidR="0088512F" w:rsidRPr="001310AD">
        <w:t xml:space="preserve"> evaluation noted that the</w:t>
      </w:r>
      <w:r w:rsidR="00B76CE0" w:rsidRPr="001310AD">
        <w:t xml:space="preserve"> absence of </w:t>
      </w:r>
      <w:r w:rsidR="00D70F75" w:rsidRPr="001310AD">
        <w:t>longer</w:t>
      </w:r>
      <w:r w:rsidR="00334721" w:rsidRPr="001310AD">
        <w:t>-</w:t>
      </w:r>
      <w:r w:rsidR="00D70F75" w:rsidRPr="001310AD">
        <w:t xml:space="preserve">term VE </w:t>
      </w:r>
      <w:r w:rsidR="00B76CE0" w:rsidRPr="001310AD">
        <w:t>data does not mean RSVPreF is no</w:t>
      </w:r>
      <w:r w:rsidR="00D70F75" w:rsidRPr="001310AD">
        <w:t>t</w:t>
      </w:r>
      <w:r w:rsidR="00B76CE0" w:rsidRPr="001310AD">
        <w:t xml:space="preserve"> effective beyond 16 months. </w:t>
      </w:r>
    </w:p>
    <w:p w14:paraId="55A9FAD4" w14:textId="322AB71E" w:rsidR="0085154B" w:rsidRPr="001310AD" w:rsidRDefault="008C43DD">
      <w:pPr>
        <w:pStyle w:val="3-BodyText"/>
        <w:numPr>
          <w:ilvl w:val="3"/>
          <w:numId w:val="6"/>
        </w:numPr>
        <w:ind w:left="1134"/>
      </w:pPr>
      <w:r w:rsidRPr="001310AD">
        <w:t xml:space="preserve">The ATAGI </w:t>
      </w:r>
      <w:r w:rsidR="008C4792" w:rsidRPr="001310AD">
        <w:t xml:space="preserve">stated </w:t>
      </w:r>
      <w:r w:rsidRPr="001310AD">
        <w:t>that n</w:t>
      </w:r>
      <w:r w:rsidRPr="001310AD">
        <w:rPr>
          <w:rFonts w:ascii="Calibri" w:hAnsi="Calibri"/>
          <w:lang w:eastAsia="en-GB"/>
        </w:rPr>
        <w:t>umerically, VE against RSV-LRTD is higher with RSVPreF3 OA compared with RSVpreF in adults aged 70-79 YOA (</w:t>
      </w:r>
      <w:r w:rsidRPr="001310AD">
        <w:t xml:space="preserve">ATAGI advice, March 2025). </w:t>
      </w:r>
      <w:r w:rsidR="008C4792" w:rsidRPr="001310AD">
        <w:t>However,</w:t>
      </w:r>
      <w:r w:rsidR="006C1109" w:rsidRPr="001310AD">
        <w:t xml:space="preserve"> the evaluation noted that</w:t>
      </w:r>
      <w:r w:rsidR="008C4792" w:rsidRPr="001310AD">
        <w:t xml:space="preserve"> these comparisons </w:t>
      </w:r>
      <w:r w:rsidRPr="001310AD">
        <w:t xml:space="preserve">should be interpreted with caution given they are based on subgroup analyses with small sample sizes, </w:t>
      </w:r>
      <w:r w:rsidR="008C4792" w:rsidRPr="001310AD">
        <w:t xml:space="preserve">a </w:t>
      </w:r>
      <w:r w:rsidRPr="001310AD">
        <w:t>limited number of cases</w:t>
      </w:r>
      <w:r w:rsidR="009E19D7" w:rsidRPr="001310AD">
        <w:t>,</w:t>
      </w:r>
      <w:r w:rsidRPr="001310AD">
        <w:t xml:space="preserve"> and </w:t>
      </w:r>
      <w:r w:rsidR="008C4792" w:rsidRPr="001310AD">
        <w:t xml:space="preserve">are subject to </w:t>
      </w:r>
      <w:r w:rsidRPr="001310AD">
        <w:t>differences between trials</w:t>
      </w:r>
      <w:r w:rsidR="008C4792" w:rsidRPr="001310AD">
        <w:t xml:space="preserve"> (in endpoint definitions and durations)</w:t>
      </w:r>
      <w:r w:rsidR="00864507" w:rsidRPr="001310AD">
        <w:t>.</w:t>
      </w:r>
      <w:r w:rsidRPr="001310AD">
        <w:t xml:space="preserve"> The</w:t>
      </w:r>
      <w:r w:rsidR="00146AF2" w:rsidRPr="001310AD">
        <w:t xml:space="preserve"> evaluation considered that the</w:t>
      </w:r>
      <w:r w:rsidRPr="001310AD">
        <w:t xml:space="preserve"> evidence presented does not support superior efficacy</w:t>
      </w:r>
      <w:r w:rsidR="00D95822" w:rsidRPr="001310AD">
        <w:t xml:space="preserve"> of </w:t>
      </w:r>
      <w:r w:rsidR="00D95822" w:rsidRPr="001310AD">
        <w:rPr>
          <w:rFonts w:ascii="Calibri" w:hAnsi="Calibri"/>
          <w:lang w:eastAsia="en-GB"/>
        </w:rPr>
        <w:t>RSVPreF3 OA</w:t>
      </w:r>
      <w:r w:rsidRPr="001310AD">
        <w:t xml:space="preserve"> against RSVPreF for adults aged 70-79</w:t>
      </w:r>
      <w:r w:rsidR="00077BC6" w:rsidRPr="001310AD">
        <w:t>,</w:t>
      </w:r>
      <w:r w:rsidRPr="001310AD">
        <w:t xml:space="preserve"> given that the </w:t>
      </w:r>
      <w:r w:rsidR="00864507" w:rsidRPr="001310AD">
        <w:t>ITCs</w:t>
      </w:r>
      <w:r w:rsidR="00B5700E" w:rsidRPr="001310AD">
        <w:t xml:space="preserve"> </w:t>
      </w:r>
      <w:r w:rsidR="00C64E10" w:rsidRPr="001310AD">
        <w:t>were</w:t>
      </w:r>
      <w:r w:rsidR="00B5700E" w:rsidRPr="001310AD">
        <w:t xml:space="preserve"> unanchored and unadjusted</w:t>
      </w:r>
      <w:r w:rsidR="00D2238A" w:rsidRPr="001310AD">
        <w:t xml:space="preserve"> and </w:t>
      </w:r>
      <w:proofErr w:type="gramStart"/>
      <w:r w:rsidR="00D2238A" w:rsidRPr="001310AD">
        <w:t>by definition</w:t>
      </w:r>
      <w:r w:rsidRPr="001310AD">
        <w:t xml:space="preserve"> were</w:t>
      </w:r>
      <w:proofErr w:type="gramEnd"/>
      <w:r w:rsidRPr="001310AD">
        <w:t xml:space="preserve"> not powered for claims of superiority.</w:t>
      </w:r>
    </w:p>
    <w:p w14:paraId="195FBE85" w14:textId="157FD421" w:rsidR="00147F1F" w:rsidRPr="001310AD" w:rsidRDefault="00B76CE0">
      <w:pPr>
        <w:pStyle w:val="3-BodyText"/>
        <w:numPr>
          <w:ilvl w:val="3"/>
          <w:numId w:val="6"/>
        </w:numPr>
        <w:ind w:left="1134"/>
      </w:pPr>
      <w:r w:rsidRPr="001310AD">
        <w:t xml:space="preserve">The resubmission stated that </w:t>
      </w:r>
      <w:r w:rsidR="008C43DD" w:rsidRPr="001310AD">
        <w:t>due to the different case definitions of ARI between the trials, conclusions on the comparative VE of RSVPre</w:t>
      </w:r>
      <w:r w:rsidR="006D2710" w:rsidRPr="001310AD">
        <w:t>F</w:t>
      </w:r>
      <w:r w:rsidR="008C43DD" w:rsidRPr="001310AD">
        <w:t>3 OA and RSVpreF could not be made. Th</w:t>
      </w:r>
      <w:r w:rsidR="00C83FE2" w:rsidRPr="001310AD">
        <w:t>e evaluation considered that th</w:t>
      </w:r>
      <w:r w:rsidR="008C43DD" w:rsidRPr="001310AD">
        <w:t>is was not reasonable. While the RSV-ARI definition used in the AReSVi-006 trial appears more stringent than that in</w:t>
      </w:r>
      <w:r w:rsidR="00CE3940" w:rsidRPr="001310AD">
        <w:t xml:space="preserve"> the RSVpreF</w:t>
      </w:r>
      <w:r w:rsidR="008C43DD" w:rsidRPr="001310AD">
        <w:t xml:space="preserve"> RENOIR</w:t>
      </w:r>
      <w:r w:rsidR="00CE3940" w:rsidRPr="001310AD">
        <w:t xml:space="preserve"> trial</w:t>
      </w:r>
      <w:r w:rsidR="008C43DD" w:rsidRPr="001310AD">
        <w:t>, potentially leading to fewer cases being classified as disease, this would impact the comparison of absolute case numbers across trials but not the relative difference between the vaccine and placebo</w:t>
      </w:r>
      <w:r w:rsidR="00402F5F" w:rsidRPr="001310AD">
        <w:t xml:space="preserve"> arms</w:t>
      </w:r>
      <w:r w:rsidR="008C43DD" w:rsidRPr="001310AD">
        <w:t xml:space="preserve"> </w:t>
      </w:r>
      <w:r w:rsidR="005D0EFB" w:rsidRPr="001310AD">
        <w:t xml:space="preserve">within </w:t>
      </w:r>
      <w:r w:rsidR="008C43DD" w:rsidRPr="001310AD">
        <w:t xml:space="preserve">the trials. </w:t>
      </w:r>
      <w:r w:rsidR="00D121E6" w:rsidRPr="001310AD">
        <w:t>Notwithstanding, the evaluation considered that w</w:t>
      </w:r>
      <w:r w:rsidR="00717BEC" w:rsidRPr="001310AD">
        <w:t xml:space="preserve">hile there is an apparent </w:t>
      </w:r>
      <w:r w:rsidR="00162446" w:rsidRPr="001310AD">
        <w:t xml:space="preserve">numerical </w:t>
      </w:r>
      <w:r w:rsidR="0043667B" w:rsidRPr="001310AD">
        <w:t>difference</w:t>
      </w:r>
      <w:r w:rsidR="00D2437C" w:rsidRPr="001310AD">
        <w:t xml:space="preserve"> </w:t>
      </w:r>
      <w:r w:rsidR="0095214F" w:rsidRPr="001310AD">
        <w:t>in VE in</w:t>
      </w:r>
      <w:r w:rsidR="00D2437C" w:rsidRPr="001310AD">
        <w:t xml:space="preserve"> favour </w:t>
      </w:r>
      <w:r w:rsidR="0095214F" w:rsidRPr="001310AD">
        <w:t xml:space="preserve">of </w:t>
      </w:r>
      <w:r w:rsidR="00D2437C" w:rsidRPr="001310AD">
        <w:t>RSVPreF3 OA</w:t>
      </w:r>
      <w:r w:rsidR="00E63124" w:rsidRPr="001310AD">
        <w:t xml:space="preserve">, </w:t>
      </w:r>
      <w:r w:rsidR="00BA10A5" w:rsidRPr="001310AD">
        <w:t xml:space="preserve">the </w:t>
      </w:r>
      <w:r w:rsidR="009160DC" w:rsidRPr="001310AD">
        <w:t>CIs</w:t>
      </w:r>
      <w:r w:rsidR="001863CA" w:rsidRPr="001310AD">
        <w:t xml:space="preserve"> overlap </w:t>
      </w:r>
      <w:r w:rsidR="0012553E" w:rsidRPr="001310AD">
        <w:t xml:space="preserve">and </w:t>
      </w:r>
      <w:r w:rsidR="009160DC" w:rsidRPr="001310AD">
        <w:t>the difference</w:t>
      </w:r>
      <w:r w:rsidR="0012553E" w:rsidRPr="001310AD">
        <w:t xml:space="preserve"> could be due to random variation.</w:t>
      </w:r>
    </w:p>
    <w:p w14:paraId="285DC828" w14:textId="4429659A" w:rsidR="00AE6A87" w:rsidRPr="001310AD" w:rsidRDefault="00147F1F">
      <w:pPr>
        <w:pStyle w:val="3-BodyText"/>
        <w:numPr>
          <w:ilvl w:val="3"/>
          <w:numId w:val="6"/>
        </w:numPr>
        <w:ind w:left="1134"/>
      </w:pPr>
      <w:r w:rsidRPr="001310AD">
        <w:t xml:space="preserve">Due to </w:t>
      </w:r>
      <w:r w:rsidR="008313E2" w:rsidRPr="001310AD">
        <w:t xml:space="preserve">differences in the </w:t>
      </w:r>
      <w:r w:rsidRPr="001310AD">
        <w:t>case definition of severe RSV</w:t>
      </w:r>
      <w:r w:rsidR="008313E2" w:rsidRPr="001310AD">
        <w:t xml:space="preserve"> across the trials</w:t>
      </w:r>
      <w:r w:rsidRPr="001310AD">
        <w:t>, the resubmission did not present a</w:t>
      </w:r>
      <w:r w:rsidR="00B422BF" w:rsidRPr="001310AD">
        <w:t>n</w:t>
      </w:r>
      <w:r w:rsidRPr="001310AD">
        <w:t xml:space="preserve"> ITC for this outcome. ATAGI stated that these differences would not preclude conduct of a naïve </w:t>
      </w:r>
      <w:r w:rsidR="00CB5AB8" w:rsidRPr="001310AD">
        <w:t>ITC</w:t>
      </w:r>
      <w:r w:rsidRPr="001310AD">
        <w:t xml:space="preserve"> (ATAGI advice, March 2025).</w:t>
      </w:r>
      <w:r w:rsidRPr="001310AD">
        <w:rPr>
          <w:color w:val="0066FF"/>
        </w:rPr>
        <w:t xml:space="preserve"> </w:t>
      </w:r>
    </w:p>
    <w:p w14:paraId="1452C351" w14:textId="5CE2D8AA" w:rsidR="00B60939" w:rsidRPr="001310AD" w:rsidRDefault="00B60939" w:rsidP="00D86231">
      <w:pPr>
        <w:pStyle w:val="4-SubsectionHeading"/>
      </w:pPr>
      <w:bookmarkStart w:id="39" w:name="_Toc22897642"/>
      <w:bookmarkStart w:id="40" w:name="_Toc198731702"/>
      <w:r w:rsidRPr="001310AD">
        <w:t>Comparative harms</w:t>
      </w:r>
      <w:bookmarkEnd w:id="39"/>
      <w:bookmarkEnd w:id="40"/>
    </w:p>
    <w:p w14:paraId="411ED178" w14:textId="43917D45" w:rsidR="00292F78" w:rsidRPr="001310AD" w:rsidRDefault="00292F78" w:rsidP="00292F78">
      <w:pPr>
        <w:pStyle w:val="5-SubsectionSubheading"/>
        <w:rPr>
          <w:i/>
          <w:iCs/>
        </w:rPr>
      </w:pPr>
      <w:bookmarkStart w:id="41" w:name="_Toc198731703"/>
      <w:r w:rsidRPr="001310AD">
        <w:t>RSVPreF3 OA (Arexvy) versus placebo</w:t>
      </w:r>
      <w:bookmarkEnd w:id="41"/>
    </w:p>
    <w:p w14:paraId="46FC47D6" w14:textId="56F83E84" w:rsidR="00E80B52" w:rsidRPr="001310AD" w:rsidRDefault="00E80B52" w:rsidP="00E80B52">
      <w:pPr>
        <w:pStyle w:val="3-BodyText"/>
      </w:pPr>
      <w:r w:rsidRPr="001310AD">
        <w:t xml:space="preserve">A summary of the solicited </w:t>
      </w:r>
      <w:r w:rsidR="00B6653C" w:rsidRPr="001310AD">
        <w:t>adverse events (</w:t>
      </w:r>
      <w:r w:rsidRPr="001310AD">
        <w:t>AEs</w:t>
      </w:r>
      <w:r w:rsidR="00B6653C" w:rsidRPr="001310AD">
        <w:t>)</w:t>
      </w:r>
      <w:r w:rsidRPr="001310AD">
        <w:t xml:space="preserve"> </w:t>
      </w:r>
      <w:r w:rsidR="00360C93" w:rsidRPr="001310AD">
        <w:t>comprising</w:t>
      </w:r>
      <w:r w:rsidRPr="001310AD">
        <w:t xml:space="preserve"> any AE, administration site</w:t>
      </w:r>
      <w:r w:rsidR="00243784" w:rsidRPr="001310AD">
        <w:t xml:space="preserve"> AE,</w:t>
      </w:r>
      <w:r w:rsidRPr="001310AD">
        <w:t xml:space="preserve"> systemic AE</w:t>
      </w:r>
      <w:r w:rsidR="00E35F19" w:rsidRPr="001310AD">
        <w:t>,</w:t>
      </w:r>
      <w:r w:rsidRPr="001310AD">
        <w:t xml:space="preserve"> and Grade 3 AEs is presented in </w:t>
      </w:r>
      <w:r w:rsidR="005E4870" w:rsidRPr="001310AD">
        <w:fldChar w:fldCharType="begin"/>
      </w:r>
      <w:r w:rsidR="005E4870" w:rsidRPr="001310AD">
        <w:instrText xml:space="preserve"> REF _Ref196920933 \h </w:instrText>
      </w:r>
      <w:r w:rsidR="005E4870" w:rsidRPr="001310AD">
        <w:fldChar w:fldCharType="separate"/>
      </w:r>
      <w:r w:rsidR="001F75E0" w:rsidRPr="001310AD">
        <w:t>Table 10</w:t>
      </w:r>
      <w:r w:rsidR="005E4870" w:rsidRPr="001310AD">
        <w:fldChar w:fldCharType="end"/>
      </w:r>
      <w:r w:rsidRPr="001310AD">
        <w:t>.</w:t>
      </w:r>
      <w:r w:rsidRPr="001310AD">
        <w:rPr>
          <w:i/>
          <w:iCs/>
        </w:rPr>
        <w:t xml:space="preserve"> </w:t>
      </w:r>
      <w:r w:rsidR="00CC33FF" w:rsidRPr="001310AD">
        <w:t xml:space="preserve">These results remain unchanged from the July 2024 submission. </w:t>
      </w:r>
    </w:p>
    <w:p w14:paraId="6AEF8A0D" w14:textId="3205067E" w:rsidR="00B32DCB" w:rsidRPr="001310AD" w:rsidRDefault="005E4870" w:rsidP="005E4870">
      <w:pPr>
        <w:pStyle w:val="Caption"/>
        <w:jc w:val="left"/>
      </w:pPr>
      <w:bookmarkStart w:id="42" w:name="_Ref196920933"/>
      <w:r w:rsidRPr="001310AD">
        <w:lastRenderedPageBreak/>
        <w:t xml:space="preserve">Table </w:t>
      </w:r>
      <w:fldSimple w:instr=" SEQ Table \* ARABIC ">
        <w:r w:rsidR="001F75E0" w:rsidRPr="001310AD">
          <w:t>10</w:t>
        </w:r>
      </w:fldSimple>
      <w:bookmarkEnd w:id="42"/>
      <w:r w:rsidR="00F26518" w:rsidRPr="001310AD">
        <w:t>:</w:t>
      </w:r>
      <w:r w:rsidR="00B32DCB" w:rsidRPr="001310AD">
        <w:t xml:space="preserve"> Summary of solicited adverse events, any Grade and Grade 3, within 4-days following each dose and overall (SSS)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Caption w:val="Table 10: Summary of solicited adverse events, any Grade and Grade 3, within 4-days following each dose and overall (SSS)"/>
      </w:tblPr>
      <w:tblGrid>
        <w:gridCol w:w="2679"/>
        <w:gridCol w:w="3169"/>
        <w:gridCol w:w="3169"/>
      </w:tblGrid>
      <w:tr w:rsidR="00B32DCB" w:rsidRPr="001310AD" w14:paraId="2AA93527" w14:textId="77777777">
        <w:trPr>
          <w:tblHeader/>
        </w:trPr>
        <w:tc>
          <w:tcPr>
            <w:tcW w:w="1486" w:type="pct"/>
            <w:tcBorders>
              <w:bottom w:val="single" w:sz="4" w:space="0" w:color="auto"/>
            </w:tcBorders>
            <w:shd w:val="clear" w:color="auto" w:fill="B8CCE4" w:themeFill="accent1" w:themeFillTint="66"/>
            <w:vAlign w:val="center"/>
          </w:tcPr>
          <w:p w14:paraId="028FFA8E" w14:textId="77777777" w:rsidR="00B32DCB" w:rsidRPr="001310AD" w:rsidRDefault="00B32DCB" w:rsidP="00F13684">
            <w:pPr>
              <w:pStyle w:val="In-tableHeading"/>
            </w:pPr>
            <w:r w:rsidRPr="001310AD">
              <w:t>Trial ID</w:t>
            </w:r>
          </w:p>
        </w:tc>
        <w:tc>
          <w:tcPr>
            <w:tcW w:w="1757" w:type="pct"/>
            <w:tcBorders>
              <w:bottom w:val="single" w:sz="4" w:space="0" w:color="auto"/>
            </w:tcBorders>
            <w:shd w:val="clear" w:color="auto" w:fill="B8CCE4" w:themeFill="accent1" w:themeFillTint="66"/>
            <w:vAlign w:val="center"/>
          </w:tcPr>
          <w:p w14:paraId="688BC75D" w14:textId="77777777" w:rsidR="00B32DCB" w:rsidRPr="001310AD" w:rsidRDefault="00B32DCB" w:rsidP="00F13684">
            <w:pPr>
              <w:pStyle w:val="In-tableHeading"/>
            </w:pPr>
            <w:r w:rsidRPr="001310AD">
              <w:t>RSVPreF3 OA (overall)</w:t>
            </w:r>
          </w:p>
          <w:p w14:paraId="556C3A51" w14:textId="77777777" w:rsidR="00B32DCB" w:rsidRPr="001310AD" w:rsidRDefault="00B32DCB" w:rsidP="00F13684">
            <w:pPr>
              <w:pStyle w:val="In-tableHeading"/>
            </w:pPr>
            <w:r w:rsidRPr="001310AD">
              <w:t>n with event/N (%)</w:t>
            </w:r>
          </w:p>
        </w:tc>
        <w:tc>
          <w:tcPr>
            <w:tcW w:w="1757" w:type="pct"/>
            <w:tcBorders>
              <w:bottom w:val="single" w:sz="4" w:space="0" w:color="auto"/>
            </w:tcBorders>
            <w:shd w:val="clear" w:color="auto" w:fill="B8CCE4" w:themeFill="accent1" w:themeFillTint="66"/>
            <w:vAlign w:val="center"/>
          </w:tcPr>
          <w:p w14:paraId="340605C0" w14:textId="77777777" w:rsidR="00B32DCB" w:rsidRPr="001310AD" w:rsidRDefault="00B32DCB" w:rsidP="00F13684">
            <w:pPr>
              <w:pStyle w:val="In-tableHeading"/>
            </w:pPr>
            <w:r w:rsidRPr="001310AD">
              <w:t>Placebo</w:t>
            </w:r>
          </w:p>
          <w:p w14:paraId="661765CC" w14:textId="77777777" w:rsidR="00B32DCB" w:rsidRPr="001310AD" w:rsidRDefault="00B32DCB" w:rsidP="00F13684">
            <w:pPr>
              <w:pStyle w:val="In-tableHeading"/>
            </w:pPr>
            <w:r w:rsidRPr="001310AD">
              <w:t>n with event/N (%)</w:t>
            </w:r>
          </w:p>
        </w:tc>
      </w:tr>
      <w:tr w:rsidR="00B32DCB" w:rsidRPr="001310AD" w14:paraId="3BDA7245" w14:textId="77777777">
        <w:tc>
          <w:tcPr>
            <w:tcW w:w="1486" w:type="pct"/>
            <w:tcBorders>
              <w:right w:val="nil"/>
            </w:tcBorders>
            <w:shd w:val="clear" w:color="auto" w:fill="B8CCE4" w:themeFill="accent1" w:themeFillTint="66"/>
            <w:vAlign w:val="center"/>
          </w:tcPr>
          <w:p w14:paraId="3868DE2D" w14:textId="77777777" w:rsidR="00B32DCB" w:rsidRPr="001310AD" w:rsidRDefault="00B32DCB">
            <w:pPr>
              <w:pStyle w:val="TableText0"/>
              <w:rPr>
                <w:rFonts w:eastAsia="Times New Roman" w:cs="Calibri"/>
                <w:b/>
                <w:color w:val="000000"/>
              </w:rPr>
            </w:pPr>
            <w:r w:rsidRPr="001310AD">
              <w:rPr>
                <w:rFonts w:eastAsia="Times New Roman" w:cs="Calibri"/>
                <w:b/>
                <w:color w:val="000000"/>
              </w:rPr>
              <w:t>Any grade</w:t>
            </w:r>
          </w:p>
        </w:tc>
        <w:tc>
          <w:tcPr>
            <w:tcW w:w="1757" w:type="pct"/>
            <w:tcBorders>
              <w:left w:val="nil"/>
              <w:right w:val="nil"/>
            </w:tcBorders>
            <w:shd w:val="clear" w:color="auto" w:fill="B8CCE4" w:themeFill="accent1" w:themeFillTint="66"/>
            <w:vAlign w:val="center"/>
          </w:tcPr>
          <w:p w14:paraId="2A20495A" w14:textId="77777777" w:rsidR="00B32DCB" w:rsidRPr="001310AD" w:rsidRDefault="00B32DCB">
            <w:pPr>
              <w:pStyle w:val="TableText0"/>
              <w:jc w:val="center"/>
            </w:pPr>
          </w:p>
        </w:tc>
        <w:tc>
          <w:tcPr>
            <w:tcW w:w="1757" w:type="pct"/>
            <w:tcBorders>
              <w:left w:val="nil"/>
            </w:tcBorders>
            <w:shd w:val="clear" w:color="auto" w:fill="B8CCE4" w:themeFill="accent1" w:themeFillTint="66"/>
            <w:vAlign w:val="center"/>
          </w:tcPr>
          <w:p w14:paraId="33AAD5D7" w14:textId="77777777" w:rsidR="00B32DCB" w:rsidRPr="001310AD" w:rsidRDefault="00B32DCB">
            <w:pPr>
              <w:pStyle w:val="TableText0"/>
              <w:jc w:val="center"/>
            </w:pPr>
          </w:p>
        </w:tc>
      </w:tr>
      <w:tr w:rsidR="00B32DCB" w:rsidRPr="001310AD" w14:paraId="2D83F1F3" w14:textId="77777777">
        <w:tc>
          <w:tcPr>
            <w:tcW w:w="1486" w:type="pct"/>
            <w:shd w:val="clear" w:color="auto" w:fill="B8CCE4" w:themeFill="accent1" w:themeFillTint="66"/>
            <w:vAlign w:val="center"/>
          </w:tcPr>
          <w:p w14:paraId="465EA0C0" w14:textId="77777777" w:rsidR="00B32DCB" w:rsidRPr="001310AD" w:rsidRDefault="00B32DCB">
            <w:pPr>
              <w:pStyle w:val="TableText0"/>
            </w:pPr>
            <w:r w:rsidRPr="001310AD">
              <w:rPr>
                <w:rFonts w:eastAsia="Times New Roman" w:cs="Calibri"/>
                <w:color w:val="000000"/>
              </w:rPr>
              <w:t>Any AE</w:t>
            </w:r>
          </w:p>
        </w:tc>
        <w:tc>
          <w:tcPr>
            <w:tcW w:w="1757" w:type="pct"/>
            <w:shd w:val="clear" w:color="auto" w:fill="B8CCE4" w:themeFill="accent1" w:themeFillTint="66"/>
            <w:vAlign w:val="center"/>
          </w:tcPr>
          <w:p w14:paraId="3749BDDE" w14:textId="77777777" w:rsidR="00B32DCB" w:rsidRPr="001310AD" w:rsidRDefault="00B32DCB">
            <w:pPr>
              <w:pStyle w:val="TableText0"/>
              <w:jc w:val="center"/>
            </w:pPr>
            <w:r w:rsidRPr="001310AD">
              <w:t>632/879 (71.9)</w:t>
            </w:r>
          </w:p>
        </w:tc>
        <w:tc>
          <w:tcPr>
            <w:tcW w:w="1757" w:type="pct"/>
            <w:shd w:val="clear" w:color="auto" w:fill="B8CCE4" w:themeFill="accent1" w:themeFillTint="66"/>
            <w:vAlign w:val="center"/>
          </w:tcPr>
          <w:p w14:paraId="2305B881" w14:textId="77777777" w:rsidR="00B32DCB" w:rsidRPr="001310AD" w:rsidRDefault="00B32DCB">
            <w:pPr>
              <w:pStyle w:val="TableText0"/>
              <w:jc w:val="center"/>
            </w:pPr>
            <w:r w:rsidRPr="001310AD">
              <w:t>245/878 (27.9)</w:t>
            </w:r>
          </w:p>
        </w:tc>
      </w:tr>
      <w:tr w:rsidR="00B32DCB" w:rsidRPr="001310AD" w14:paraId="4C472A70" w14:textId="77777777">
        <w:tc>
          <w:tcPr>
            <w:tcW w:w="1486" w:type="pct"/>
            <w:shd w:val="clear" w:color="auto" w:fill="B8CCE4" w:themeFill="accent1" w:themeFillTint="66"/>
            <w:vAlign w:val="center"/>
          </w:tcPr>
          <w:p w14:paraId="39E5BCE3" w14:textId="77777777" w:rsidR="00B32DCB" w:rsidRPr="001310AD" w:rsidRDefault="00B32DCB">
            <w:pPr>
              <w:pStyle w:val="TableText0"/>
            </w:pPr>
            <w:r w:rsidRPr="001310AD">
              <w:rPr>
                <w:rFonts w:eastAsia="Times New Roman" w:cs="Calibri"/>
                <w:color w:val="000000"/>
              </w:rPr>
              <w:t>Admin-site AE</w:t>
            </w:r>
          </w:p>
        </w:tc>
        <w:tc>
          <w:tcPr>
            <w:tcW w:w="1757" w:type="pct"/>
            <w:shd w:val="clear" w:color="auto" w:fill="B8CCE4" w:themeFill="accent1" w:themeFillTint="66"/>
            <w:vAlign w:val="center"/>
          </w:tcPr>
          <w:p w14:paraId="3D8C207D" w14:textId="77777777" w:rsidR="00B32DCB" w:rsidRPr="001310AD" w:rsidRDefault="00B32DCB">
            <w:pPr>
              <w:pStyle w:val="TableText0"/>
              <w:jc w:val="center"/>
            </w:pPr>
            <w:r w:rsidRPr="001310AD">
              <w:t>548/879 (62.3)</w:t>
            </w:r>
          </w:p>
        </w:tc>
        <w:tc>
          <w:tcPr>
            <w:tcW w:w="1757" w:type="pct"/>
            <w:shd w:val="clear" w:color="auto" w:fill="B8CCE4" w:themeFill="accent1" w:themeFillTint="66"/>
            <w:vAlign w:val="center"/>
          </w:tcPr>
          <w:p w14:paraId="43C734F3" w14:textId="77777777" w:rsidR="00B32DCB" w:rsidRPr="001310AD" w:rsidRDefault="00B32DCB">
            <w:pPr>
              <w:pStyle w:val="TableText0"/>
              <w:jc w:val="center"/>
            </w:pPr>
            <w:r w:rsidRPr="001310AD">
              <w:t>87/878 (9.9)</w:t>
            </w:r>
          </w:p>
        </w:tc>
      </w:tr>
      <w:tr w:rsidR="00B32DCB" w:rsidRPr="001310AD" w14:paraId="37CA35A1" w14:textId="77777777">
        <w:tc>
          <w:tcPr>
            <w:tcW w:w="1486" w:type="pct"/>
            <w:tcBorders>
              <w:bottom w:val="single" w:sz="4" w:space="0" w:color="auto"/>
            </w:tcBorders>
            <w:shd w:val="clear" w:color="auto" w:fill="B8CCE4" w:themeFill="accent1" w:themeFillTint="66"/>
            <w:vAlign w:val="center"/>
          </w:tcPr>
          <w:p w14:paraId="6133F48F" w14:textId="77777777" w:rsidR="00B32DCB" w:rsidRPr="001310AD" w:rsidRDefault="00B32DCB">
            <w:pPr>
              <w:pStyle w:val="TableText0"/>
            </w:pPr>
            <w:r w:rsidRPr="001310AD">
              <w:rPr>
                <w:rFonts w:eastAsia="Times New Roman" w:cs="Calibri"/>
                <w:color w:val="000000"/>
              </w:rPr>
              <w:t>Systemic AE</w:t>
            </w:r>
          </w:p>
        </w:tc>
        <w:tc>
          <w:tcPr>
            <w:tcW w:w="1757" w:type="pct"/>
            <w:tcBorders>
              <w:bottom w:val="single" w:sz="4" w:space="0" w:color="auto"/>
            </w:tcBorders>
            <w:shd w:val="clear" w:color="auto" w:fill="B8CCE4" w:themeFill="accent1" w:themeFillTint="66"/>
            <w:vAlign w:val="center"/>
          </w:tcPr>
          <w:p w14:paraId="213A050B" w14:textId="77777777" w:rsidR="00B32DCB" w:rsidRPr="001310AD" w:rsidRDefault="00B32DCB">
            <w:pPr>
              <w:pStyle w:val="TableText0"/>
              <w:jc w:val="center"/>
            </w:pPr>
            <w:r w:rsidRPr="001310AD">
              <w:t>435/879 (49.5)</w:t>
            </w:r>
          </w:p>
        </w:tc>
        <w:tc>
          <w:tcPr>
            <w:tcW w:w="1757" w:type="pct"/>
            <w:tcBorders>
              <w:bottom w:val="single" w:sz="4" w:space="0" w:color="auto"/>
            </w:tcBorders>
            <w:shd w:val="clear" w:color="auto" w:fill="B8CCE4" w:themeFill="accent1" w:themeFillTint="66"/>
            <w:vAlign w:val="center"/>
          </w:tcPr>
          <w:p w14:paraId="49E02A79" w14:textId="77777777" w:rsidR="00B32DCB" w:rsidRPr="001310AD" w:rsidRDefault="00B32DCB">
            <w:pPr>
              <w:pStyle w:val="TableText0"/>
              <w:jc w:val="center"/>
            </w:pPr>
            <w:r w:rsidRPr="001310AD">
              <w:t>204/878 (23.2)</w:t>
            </w:r>
          </w:p>
        </w:tc>
      </w:tr>
      <w:tr w:rsidR="00B32DCB" w:rsidRPr="001310AD" w14:paraId="78522305" w14:textId="77777777">
        <w:tc>
          <w:tcPr>
            <w:tcW w:w="1486" w:type="pct"/>
            <w:tcBorders>
              <w:right w:val="nil"/>
            </w:tcBorders>
            <w:shd w:val="clear" w:color="auto" w:fill="B8CCE4" w:themeFill="accent1" w:themeFillTint="66"/>
            <w:vAlign w:val="center"/>
          </w:tcPr>
          <w:p w14:paraId="63783AE0" w14:textId="77777777" w:rsidR="00B32DCB" w:rsidRPr="001310AD" w:rsidRDefault="00B32DCB">
            <w:pPr>
              <w:pStyle w:val="TableText0"/>
              <w:rPr>
                <w:rFonts w:eastAsia="Times New Roman" w:cs="Calibri"/>
                <w:b/>
                <w:color w:val="000000"/>
              </w:rPr>
            </w:pPr>
            <w:r w:rsidRPr="001310AD">
              <w:rPr>
                <w:rFonts w:eastAsia="Times New Roman" w:cs="Calibri"/>
                <w:b/>
                <w:color w:val="000000"/>
              </w:rPr>
              <w:t>Grade 3</w:t>
            </w:r>
          </w:p>
        </w:tc>
        <w:tc>
          <w:tcPr>
            <w:tcW w:w="1757" w:type="pct"/>
            <w:tcBorders>
              <w:left w:val="nil"/>
              <w:right w:val="nil"/>
            </w:tcBorders>
            <w:shd w:val="clear" w:color="auto" w:fill="B8CCE4" w:themeFill="accent1" w:themeFillTint="66"/>
            <w:vAlign w:val="center"/>
          </w:tcPr>
          <w:p w14:paraId="167797F7" w14:textId="77777777" w:rsidR="00B32DCB" w:rsidRPr="001310AD" w:rsidRDefault="00B32DCB">
            <w:pPr>
              <w:pStyle w:val="TableText0"/>
              <w:jc w:val="center"/>
            </w:pPr>
          </w:p>
        </w:tc>
        <w:tc>
          <w:tcPr>
            <w:tcW w:w="1757" w:type="pct"/>
            <w:tcBorders>
              <w:left w:val="nil"/>
            </w:tcBorders>
            <w:shd w:val="clear" w:color="auto" w:fill="B8CCE4" w:themeFill="accent1" w:themeFillTint="66"/>
            <w:vAlign w:val="center"/>
          </w:tcPr>
          <w:p w14:paraId="050DAA7D" w14:textId="77777777" w:rsidR="00B32DCB" w:rsidRPr="001310AD" w:rsidRDefault="00B32DCB">
            <w:pPr>
              <w:pStyle w:val="TableText0"/>
              <w:jc w:val="center"/>
            </w:pPr>
          </w:p>
        </w:tc>
      </w:tr>
      <w:tr w:rsidR="00B32DCB" w:rsidRPr="001310AD" w14:paraId="67046AA6" w14:textId="77777777">
        <w:tc>
          <w:tcPr>
            <w:tcW w:w="1486" w:type="pct"/>
            <w:shd w:val="clear" w:color="auto" w:fill="B8CCE4" w:themeFill="accent1" w:themeFillTint="66"/>
            <w:vAlign w:val="center"/>
          </w:tcPr>
          <w:p w14:paraId="02167E11" w14:textId="77777777" w:rsidR="00B32DCB" w:rsidRPr="001310AD" w:rsidRDefault="00B32DCB">
            <w:pPr>
              <w:pStyle w:val="TableText0"/>
            </w:pPr>
            <w:r w:rsidRPr="001310AD">
              <w:rPr>
                <w:rFonts w:eastAsia="Times New Roman" w:cs="Calibri"/>
                <w:color w:val="000000"/>
              </w:rPr>
              <w:t>Any AE</w:t>
            </w:r>
          </w:p>
        </w:tc>
        <w:tc>
          <w:tcPr>
            <w:tcW w:w="1757" w:type="pct"/>
            <w:shd w:val="clear" w:color="auto" w:fill="B8CCE4" w:themeFill="accent1" w:themeFillTint="66"/>
            <w:vAlign w:val="center"/>
          </w:tcPr>
          <w:p w14:paraId="33EF0068" w14:textId="77777777" w:rsidR="00B32DCB" w:rsidRPr="001310AD" w:rsidRDefault="00B32DCB">
            <w:pPr>
              <w:pStyle w:val="TableText0"/>
              <w:jc w:val="center"/>
            </w:pPr>
            <w:r w:rsidRPr="001310AD">
              <w:t>36/879 (4.1)</w:t>
            </w:r>
          </w:p>
        </w:tc>
        <w:tc>
          <w:tcPr>
            <w:tcW w:w="1757" w:type="pct"/>
            <w:shd w:val="clear" w:color="auto" w:fill="B8CCE4" w:themeFill="accent1" w:themeFillTint="66"/>
            <w:vAlign w:val="center"/>
          </w:tcPr>
          <w:p w14:paraId="72EF7264" w14:textId="77777777" w:rsidR="00B32DCB" w:rsidRPr="001310AD" w:rsidRDefault="00B32DCB">
            <w:pPr>
              <w:pStyle w:val="TableText0"/>
              <w:jc w:val="center"/>
            </w:pPr>
            <w:r w:rsidRPr="001310AD">
              <w:t>8/878 (0.9)</w:t>
            </w:r>
          </w:p>
        </w:tc>
      </w:tr>
      <w:tr w:rsidR="00B32DCB" w:rsidRPr="001310AD" w14:paraId="4853A16E" w14:textId="77777777">
        <w:tc>
          <w:tcPr>
            <w:tcW w:w="1486" w:type="pct"/>
            <w:shd w:val="clear" w:color="auto" w:fill="B8CCE4" w:themeFill="accent1" w:themeFillTint="66"/>
            <w:vAlign w:val="center"/>
          </w:tcPr>
          <w:p w14:paraId="2F7C5A1E" w14:textId="77777777" w:rsidR="00B32DCB" w:rsidRPr="001310AD" w:rsidRDefault="00B32DCB">
            <w:pPr>
              <w:pStyle w:val="TableText0"/>
            </w:pPr>
            <w:r w:rsidRPr="001310AD">
              <w:rPr>
                <w:rFonts w:eastAsia="Times New Roman" w:cs="Calibri"/>
                <w:color w:val="000000"/>
              </w:rPr>
              <w:t>Admin-site AE</w:t>
            </w:r>
          </w:p>
        </w:tc>
        <w:tc>
          <w:tcPr>
            <w:tcW w:w="1757" w:type="pct"/>
            <w:shd w:val="clear" w:color="auto" w:fill="B8CCE4" w:themeFill="accent1" w:themeFillTint="66"/>
            <w:vAlign w:val="center"/>
          </w:tcPr>
          <w:p w14:paraId="5099F562" w14:textId="77777777" w:rsidR="00B32DCB" w:rsidRPr="001310AD" w:rsidRDefault="00B32DCB">
            <w:pPr>
              <w:pStyle w:val="TableText0"/>
              <w:jc w:val="center"/>
            </w:pPr>
            <w:r w:rsidRPr="001310AD">
              <w:t>13</w:t>
            </w:r>
            <w:r w:rsidRPr="001310AD">
              <w:rPr>
                <w:vertAlign w:val="superscript"/>
              </w:rPr>
              <w:t xml:space="preserve"> a</w:t>
            </w:r>
          </w:p>
        </w:tc>
        <w:tc>
          <w:tcPr>
            <w:tcW w:w="1757" w:type="pct"/>
            <w:shd w:val="clear" w:color="auto" w:fill="B8CCE4" w:themeFill="accent1" w:themeFillTint="66"/>
            <w:vAlign w:val="center"/>
          </w:tcPr>
          <w:p w14:paraId="3D678B31" w14:textId="77777777" w:rsidR="00B32DCB" w:rsidRPr="001310AD" w:rsidRDefault="00B32DCB">
            <w:pPr>
              <w:pStyle w:val="TableText0"/>
              <w:jc w:val="center"/>
            </w:pPr>
            <w:r w:rsidRPr="001310AD">
              <w:t>13</w:t>
            </w:r>
            <w:r w:rsidRPr="001310AD">
              <w:rPr>
                <w:vertAlign w:val="superscript"/>
              </w:rPr>
              <w:t xml:space="preserve"> a</w:t>
            </w:r>
          </w:p>
        </w:tc>
      </w:tr>
      <w:tr w:rsidR="00B32DCB" w:rsidRPr="001310AD" w14:paraId="5DAEB8C1" w14:textId="77777777">
        <w:tc>
          <w:tcPr>
            <w:tcW w:w="1486" w:type="pct"/>
            <w:shd w:val="clear" w:color="auto" w:fill="B8CCE4" w:themeFill="accent1" w:themeFillTint="66"/>
            <w:vAlign w:val="center"/>
          </w:tcPr>
          <w:p w14:paraId="4B64CF81" w14:textId="77777777" w:rsidR="00B32DCB" w:rsidRPr="001310AD" w:rsidRDefault="00B32DCB">
            <w:pPr>
              <w:pStyle w:val="TableText0"/>
            </w:pPr>
            <w:r w:rsidRPr="001310AD">
              <w:rPr>
                <w:rFonts w:eastAsia="Times New Roman" w:cs="Calibri"/>
                <w:color w:val="000000"/>
              </w:rPr>
              <w:t>Systemic AE</w:t>
            </w:r>
          </w:p>
        </w:tc>
        <w:tc>
          <w:tcPr>
            <w:tcW w:w="1757" w:type="pct"/>
            <w:shd w:val="clear" w:color="auto" w:fill="B8CCE4" w:themeFill="accent1" w:themeFillTint="66"/>
            <w:vAlign w:val="center"/>
          </w:tcPr>
          <w:p w14:paraId="757959D5" w14:textId="77777777" w:rsidR="00B32DCB" w:rsidRPr="001310AD" w:rsidRDefault="00B32DCB">
            <w:pPr>
              <w:pStyle w:val="TableText0"/>
              <w:jc w:val="center"/>
            </w:pPr>
            <w:r w:rsidRPr="001310AD">
              <w:t>29/879 (3.3)</w:t>
            </w:r>
          </w:p>
        </w:tc>
        <w:tc>
          <w:tcPr>
            <w:tcW w:w="1757" w:type="pct"/>
            <w:shd w:val="clear" w:color="auto" w:fill="B8CCE4" w:themeFill="accent1" w:themeFillTint="66"/>
            <w:vAlign w:val="center"/>
          </w:tcPr>
          <w:p w14:paraId="4B7835A4" w14:textId="77777777" w:rsidR="00B32DCB" w:rsidRPr="001310AD" w:rsidRDefault="00B32DCB">
            <w:pPr>
              <w:pStyle w:val="TableText0"/>
              <w:jc w:val="center"/>
            </w:pPr>
            <w:r w:rsidRPr="001310AD">
              <w:t>8/878 (0.9)</w:t>
            </w:r>
          </w:p>
        </w:tc>
      </w:tr>
    </w:tbl>
    <w:p w14:paraId="12F2BEB3" w14:textId="77777777" w:rsidR="00B32DCB" w:rsidRPr="001310AD" w:rsidRDefault="00B32DCB" w:rsidP="00B32DCB">
      <w:pPr>
        <w:pStyle w:val="FooterTableFigure"/>
      </w:pPr>
      <w:r w:rsidRPr="001310AD">
        <w:t xml:space="preserve">Source: Table 2-27 and Table 2-28, p102-103 of the resubmission. </w:t>
      </w:r>
    </w:p>
    <w:p w14:paraId="058A92CD" w14:textId="0791712A" w:rsidR="00B32DCB" w:rsidRPr="001310AD" w:rsidRDefault="00B32DCB" w:rsidP="00B32DCB">
      <w:pPr>
        <w:pStyle w:val="FooterTableFigure"/>
      </w:pPr>
      <w:r w:rsidRPr="001310AD">
        <w:t>AE = adverse event; N = number of participants with a diary card; RSVPreF3</w:t>
      </w:r>
      <w:r w:rsidR="00B6653C" w:rsidRPr="001310AD">
        <w:t xml:space="preserve"> OA</w:t>
      </w:r>
      <w:r w:rsidRPr="001310AD">
        <w:t xml:space="preserve">= </w:t>
      </w:r>
      <w:r w:rsidR="00F26518" w:rsidRPr="001310AD">
        <w:t>RSV</w:t>
      </w:r>
      <w:r w:rsidRPr="001310AD">
        <w:t xml:space="preserve"> </w:t>
      </w:r>
      <w:r w:rsidR="00F26518" w:rsidRPr="001310AD">
        <w:t>p</w:t>
      </w:r>
      <w:r w:rsidRPr="001310AD">
        <w:t xml:space="preserve">refusion F </w:t>
      </w:r>
      <w:r w:rsidR="00F26518" w:rsidRPr="001310AD">
        <w:t>p</w:t>
      </w:r>
      <w:r w:rsidRPr="001310AD">
        <w:t xml:space="preserve">rotein </w:t>
      </w:r>
      <w:r w:rsidR="00B6653C" w:rsidRPr="001310AD">
        <w:t xml:space="preserve">older adult </w:t>
      </w:r>
      <w:r w:rsidRPr="001310AD">
        <w:t>vaccine (RSV_annual + RSV_1dose); SSS = solicited safety set</w:t>
      </w:r>
    </w:p>
    <w:p w14:paraId="01B1D9FB" w14:textId="4426288F" w:rsidR="00B32DCB" w:rsidRPr="001310AD" w:rsidRDefault="00B32DCB" w:rsidP="00B32DCB">
      <w:pPr>
        <w:pStyle w:val="FooterTableFigure"/>
        <w:rPr>
          <w:rFonts w:eastAsia="Calibri"/>
        </w:rPr>
      </w:pPr>
      <w:r w:rsidRPr="001310AD">
        <w:rPr>
          <w:rFonts w:eastAsia="Calibri"/>
          <w:vertAlign w:val="superscript"/>
        </w:rPr>
        <w:t>a</w:t>
      </w:r>
      <w:r w:rsidRPr="001310AD">
        <w:rPr>
          <w:rFonts w:eastAsia="Calibri"/>
        </w:rPr>
        <w:t xml:space="preserve"> Due to the small number of events, events are represented across all study arms </w:t>
      </w:r>
      <w:proofErr w:type="gramStart"/>
      <w:r w:rsidRPr="001310AD">
        <w:rPr>
          <w:rFonts w:eastAsia="Calibri"/>
        </w:rPr>
        <w:t>in order to</w:t>
      </w:r>
      <w:proofErr w:type="gramEnd"/>
      <w:r w:rsidRPr="001310AD">
        <w:rPr>
          <w:rFonts w:eastAsia="Calibri"/>
        </w:rPr>
        <w:t xml:space="preserve"> maintain blinding</w:t>
      </w:r>
      <w:r w:rsidR="009663FE" w:rsidRPr="001310AD">
        <w:rPr>
          <w:rFonts w:eastAsia="Calibri"/>
        </w:rPr>
        <w:t>.</w:t>
      </w:r>
      <w:r w:rsidRPr="001310AD">
        <w:rPr>
          <w:rFonts w:eastAsia="Calibri"/>
        </w:rPr>
        <w:t xml:space="preserve"> </w:t>
      </w:r>
    </w:p>
    <w:p w14:paraId="1F041328" w14:textId="77777777" w:rsidR="00B32DCB" w:rsidRPr="001310AD" w:rsidRDefault="00B32DCB" w:rsidP="00B32DCB">
      <w:pPr>
        <w:pStyle w:val="FooterTableFigure"/>
        <w:rPr>
          <w:rFonts w:eastAsia="Calibri"/>
        </w:rPr>
      </w:pPr>
      <w:r w:rsidRPr="001310AD">
        <w:rPr>
          <w:rFonts w:eastAsia="Calibri"/>
        </w:rPr>
        <w:t>RSVPreF3 OA includes the single dose and the first vaccination of the revaccination arm</w:t>
      </w:r>
    </w:p>
    <w:p w14:paraId="7A5F9602" w14:textId="77777777" w:rsidR="00B32DCB" w:rsidRPr="001310AD" w:rsidRDefault="00B32DCB" w:rsidP="00B32DCB">
      <w:pPr>
        <w:pStyle w:val="FooterTableFigure"/>
      </w:pPr>
      <w:r w:rsidRPr="001310AD">
        <w:t xml:space="preserve">Bue shading shows results previously seen by the PBAC. </w:t>
      </w:r>
    </w:p>
    <w:p w14:paraId="3C938BB0" w14:textId="3C9F7C2A" w:rsidR="00A85DE8" w:rsidRPr="001310AD" w:rsidRDefault="00A85DE8" w:rsidP="00A85DE8">
      <w:pPr>
        <w:pStyle w:val="3-BodyText"/>
        <w:rPr>
          <w:i/>
          <w:iCs/>
        </w:rPr>
      </w:pPr>
      <w:r w:rsidRPr="001310AD">
        <w:t xml:space="preserve">A summary of unsolicited AEs occurring within 30 days following vaccination </w:t>
      </w:r>
      <w:r w:rsidR="0008092B" w:rsidRPr="001310AD">
        <w:t>was</w:t>
      </w:r>
      <w:r w:rsidR="002471FE" w:rsidRPr="001310AD">
        <w:t xml:space="preserve"> </w:t>
      </w:r>
      <w:r w:rsidRPr="001310AD">
        <w:t>reported in the exposed set (</w:t>
      </w:r>
      <w:r w:rsidR="005E4870" w:rsidRPr="001310AD">
        <w:fldChar w:fldCharType="begin"/>
      </w:r>
      <w:r w:rsidR="005E4870" w:rsidRPr="001310AD">
        <w:instrText xml:space="preserve"> REF _Ref196920957 \h </w:instrText>
      </w:r>
      <w:r w:rsidR="005E4870" w:rsidRPr="001310AD">
        <w:fldChar w:fldCharType="separate"/>
      </w:r>
      <w:r w:rsidR="001F75E0" w:rsidRPr="001310AD">
        <w:t>Table 11</w:t>
      </w:r>
      <w:r w:rsidR="005E4870" w:rsidRPr="001310AD">
        <w:fldChar w:fldCharType="end"/>
      </w:r>
      <w:r w:rsidRPr="001310AD">
        <w:t xml:space="preserve">). The majority (93%) of participants in the RSVPreF3 OA exposed set (who were not included in the </w:t>
      </w:r>
      <w:r w:rsidR="004F0077" w:rsidRPr="001310AD">
        <w:t xml:space="preserve">solicited safety set, </w:t>
      </w:r>
      <w:r w:rsidRPr="001310AD">
        <w:t xml:space="preserve">SSS) recorded all AEs experienced within 30 days as unsolicited AEs, including reactogenicity events. </w:t>
      </w:r>
    </w:p>
    <w:p w14:paraId="5DC20D14" w14:textId="6EF6460F" w:rsidR="00A85DE8" w:rsidRPr="001310AD" w:rsidRDefault="005E4870" w:rsidP="00F82E93">
      <w:pPr>
        <w:pStyle w:val="Caption"/>
      </w:pPr>
      <w:bookmarkStart w:id="43" w:name="_Ref196920957"/>
      <w:r w:rsidRPr="001310AD">
        <w:t xml:space="preserve">Table </w:t>
      </w:r>
      <w:fldSimple w:instr=" SEQ Table \* ARABIC ">
        <w:r w:rsidR="001F75E0" w:rsidRPr="001310AD">
          <w:t>11</w:t>
        </w:r>
      </w:fldSimple>
      <w:bookmarkEnd w:id="43"/>
      <w:r w:rsidR="00B36627">
        <w:t xml:space="preserve">: </w:t>
      </w:r>
      <w:r w:rsidR="00A85DE8" w:rsidRPr="001310AD">
        <w:t>Summary of unsolicited AEs following vaccination, exposed set</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unsolicited AEs following vaccination, exposed set"/>
      </w:tblPr>
      <w:tblGrid>
        <w:gridCol w:w="3256"/>
        <w:gridCol w:w="2409"/>
        <w:gridCol w:w="1701"/>
        <w:gridCol w:w="1624"/>
      </w:tblGrid>
      <w:tr w:rsidR="00A85DE8" w:rsidRPr="001310AD" w14:paraId="61F7CE7D" w14:textId="77777777" w:rsidTr="00B6653C">
        <w:trPr>
          <w:cantSplit/>
          <w:trHeight w:val="260"/>
          <w:tblHeader/>
        </w:trPr>
        <w:tc>
          <w:tcPr>
            <w:tcW w:w="1811" w:type="pct"/>
            <w:vAlign w:val="center"/>
          </w:tcPr>
          <w:p w14:paraId="787C9AA5" w14:textId="77777777" w:rsidR="00A85DE8" w:rsidRPr="001310AD" w:rsidRDefault="00A85DE8" w:rsidP="00F82E93">
            <w:pPr>
              <w:pStyle w:val="In-tableHeading"/>
            </w:pPr>
          </w:p>
        </w:tc>
        <w:tc>
          <w:tcPr>
            <w:tcW w:w="1340" w:type="pct"/>
            <w:vAlign w:val="center"/>
          </w:tcPr>
          <w:p w14:paraId="5F4598BC" w14:textId="77777777" w:rsidR="00A85DE8" w:rsidRPr="001310AD" w:rsidRDefault="00A85DE8" w:rsidP="00F82E93">
            <w:pPr>
              <w:pStyle w:val="In-tableHeading"/>
            </w:pPr>
            <w:r w:rsidRPr="001310AD">
              <w:t>RSVPreF3 OA (overall)</w:t>
            </w:r>
          </w:p>
          <w:p w14:paraId="0C015A9D" w14:textId="77777777" w:rsidR="00A85DE8" w:rsidRPr="001310AD" w:rsidRDefault="00A85DE8" w:rsidP="00F82E93">
            <w:pPr>
              <w:pStyle w:val="In-tableHeading"/>
            </w:pPr>
            <w:r w:rsidRPr="001310AD">
              <w:t>n with event/N (%)</w:t>
            </w:r>
          </w:p>
        </w:tc>
        <w:tc>
          <w:tcPr>
            <w:tcW w:w="946" w:type="pct"/>
            <w:vAlign w:val="center"/>
          </w:tcPr>
          <w:p w14:paraId="2AFDE53F" w14:textId="77777777" w:rsidR="00A85DE8" w:rsidRPr="001310AD" w:rsidRDefault="00A85DE8" w:rsidP="00F82E93">
            <w:pPr>
              <w:pStyle w:val="In-tableHeading"/>
            </w:pPr>
            <w:r w:rsidRPr="001310AD">
              <w:t>Placebo</w:t>
            </w:r>
          </w:p>
          <w:p w14:paraId="69505BCE" w14:textId="77777777" w:rsidR="00A85DE8" w:rsidRPr="001310AD" w:rsidRDefault="00A85DE8" w:rsidP="00F82E93">
            <w:pPr>
              <w:pStyle w:val="In-tableHeading"/>
            </w:pPr>
            <w:r w:rsidRPr="001310AD">
              <w:t>n with event/N (%)</w:t>
            </w:r>
          </w:p>
        </w:tc>
        <w:tc>
          <w:tcPr>
            <w:tcW w:w="903" w:type="pct"/>
            <w:vAlign w:val="center"/>
          </w:tcPr>
          <w:p w14:paraId="4ADED756" w14:textId="77777777" w:rsidR="00A85DE8" w:rsidRPr="001310AD" w:rsidRDefault="00A85DE8" w:rsidP="00F82E93">
            <w:pPr>
              <w:pStyle w:val="In-tableHeading"/>
            </w:pPr>
            <w:proofErr w:type="spellStart"/>
            <w:r w:rsidRPr="001310AD">
              <w:t>RR</w:t>
            </w:r>
            <w:r w:rsidRPr="001310AD">
              <w:rPr>
                <w:vertAlign w:val="superscript"/>
              </w:rPr>
              <w:t>a</w:t>
            </w:r>
            <w:proofErr w:type="spellEnd"/>
            <w:r w:rsidRPr="001310AD">
              <w:t xml:space="preserve"> (95% CI)</w:t>
            </w:r>
          </w:p>
        </w:tc>
      </w:tr>
      <w:tr w:rsidR="00A85DE8" w:rsidRPr="001310AD" w14:paraId="4FFBC221" w14:textId="77777777">
        <w:trPr>
          <w:cantSplit/>
          <w:trHeight w:val="224"/>
        </w:trPr>
        <w:tc>
          <w:tcPr>
            <w:tcW w:w="4097" w:type="pct"/>
            <w:gridSpan w:val="3"/>
            <w:vAlign w:val="center"/>
          </w:tcPr>
          <w:p w14:paraId="7AB97FDA" w14:textId="77777777" w:rsidR="00A85DE8" w:rsidRPr="001310AD" w:rsidRDefault="00A85DE8" w:rsidP="00F82E93">
            <w:pPr>
              <w:pStyle w:val="TableText0"/>
            </w:pPr>
            <w:r w:rsidRPr="001310AD">
              <w:rPr>
                <w:rFonts w:eastAsia="Times New Roman" w:cs="Calibri"/>
                <w:b/>
                <w:bCs w:val="0"/>
                <w:color w:val="000000"/>
              </w:rPr>
              <w:t xml:space="preserve">Unsolicited AEs within 30 days post-vaccination </w:t>
            </w:r>
          </w:p>
        </w:tc>
        <w:tc>
          <w:tcPr>
            <w:tcW w:w="903" w:type="pct"/>
          </w:tcPr>
          <w:p w14:paraId="396AC45C" w14:textId="77777777" w:rsidR="00A85DE8" w:rsidRPr="001310AD" w:rsidRDefault="00A85DE8" w:rsidP="00F82E93">
            <w:pPr>
              <w:pStyle w:val="TableText0"/>
              <w:rPr>
                <w:rFonts w:eastAsia="Times New Roman" w:cs="Calibri"/>
                <w:b/>
                <w:bCs w:val="0"/>
                <w:color w:val="000000"/>
              </w:rPr>
            </w:pPr>
          </w:p>
        </w:tc>
      </w:tr>
      <w:tr w:rsidR="00A85DE8" w:rsidRPr="001310AD" w14:paraId="6D7BC9EA" w14:textId="77777777">
        <w:trPr>
          <w:cantSplit/>
          <w:trHeight w:val="224"/>
        </w:trPr>
        <w:tc>
          <w:tcPr>
            <w:tcW w:w="1811" w:type="pct"/>
            <w:shd w:val="clear" w:color="auto" w:fill="B8CCE4" w:themeFill="accent1" w:themeFillTint="66"/>
            <w:vAlign w:val="center"/>
          </w:tcPr>
          <w:p w14:paraId="08535B7C" w14:textId="77777777" w:rsidR="00A85DE8" w:rsidRPr="001310AD" w:rsidRDefault="00A85DE8" w:rsidP="00F82E93">
            <w:pPr>
              <w:pStyle w:val="TableText0"/>
              <w:rPr>
                <w:rFonts w:eastAsia="Times New Roman" w:cs="Calibri"/>
                <w:color w:val="000000"/>
              </w:rPr>
            </w:pPr>
            <w:r w:rsidRPr="001310AD">
              <w:rPr>
                <w:rFonts w:eastAsia="Times New Roman" w:cs="Calibri"/>
                <w:color w:val="000000"/>
              </w:rPr>
              <w:t xml:space="preserve">Any grade AE </w:t>
            </w:r>
          </w:p>
        </w:tc>
        <w:tc>
          <w:tcPr>
            <w:tcW w:w="1340" w:type="pct"/>
            <w:shd w:val="clear" w:color="auto" w:fill="B8CCE4" w:themeFill="accent1" w:themeFillTint="66"/>
            <w:vAlign w:val="center"/>
          </w:tcPr>
          <w:p w14:paraId="00E96251" w14:textId="77777777" w:rsidR="00A85DE8" w:rsidRPr="001310AD" w:rsidRDefault="00A85DE8" w:rsidP="00F82E93">
            <w:pPr>
              <w:pStyle w:val="TableText0"/>
              <w:jc w:val="center"/>
            </w:pPr>
            <w:r w:rsidRPr="001310AD">
              <w:t>4,285/12,469 (34.4)</w:t>
            </w:r>
          </w:p>
        </w:tc>
        <w:tc>
          <w:tcPr>
            <w:tcW w:w="946" w:type="pct"/>
            <w:shd w:val="clear" w:color="auto" w:fill="B8CCE4" w:themeFill="accent1" w:themeFillTint="66"/>
            <w:vAlign w:val="center"/>
          </w:tcPr>
          <w:p w14:paraId="146D6EBB" w14:textId="77777777" w:rsidR="00A85DE8" w:rsidRPr="001310AD" w:rsidRDefault="00A85DE8" w:rsidP="00F82E93">
            <w:pPr>
              <w:pStyle w:val="TableText0"/>
              <w:jc w:val="center"/>
            </w:pPr>
            <w:r w:rsidRPr="001310AD">
              <w:t>2,334/12,503 (18.6)</w:t>
            </w:r>
          </w:p>
        </w:tc>
        <w:tc>
          <w:tcPr>
            <w:tcW w:w="903" w:type="pct"/>
            <w:shd w:val="clear" w:color="auto" w:fill="B8CCE4" w:themeFill="accent1" w:themeFillTint="66"/>
          </w:tcPr>
          <w:p w14:paraId="453DC357" w14:textId="068324A7" w:rsidR="00A85DE8" w:rsidRPr="001310AD" w:rsidRDefault="00A85DE8" w:rsidP="00F82E93">
            <w:pPr>
              <w:pStyle w:val="TableText0"/>
              <w:jc w:val="center"/>
            </w:pPr>
            <w:r w:rsidRPr="001310AD">
              <w:t>1.84 (1.75, 1.9</w:t>
            </w:r>
            <w:r w:rsidR="00FC172F" w:rsidRPr="001310AD">
              <w:t>4</w:t>
            </w:r>
            <w:r w:rsidRPr="001310AD">
              <w:t xml:space="preserve">) </w:t>
            </w:r>
          </w:p>
        </w:tc>
      </w:tr>
      <w:tr w:rsidR="00A85DE8" w:rsidRPr="001310AD" w14:paraId="2B1A3530" w14:textId="77777777">
        <w:trPr>
          <w:cantSplit/>
          <w:trHeight w:val="224"/>
        </w:trPr>
        <w:tc>
          <w:tcPr>
            <w:tcW w:w="1811" w:type="pct"/>
            <w:shd w:val="clear" w:color="auto" w:fill="B8CCE4" w:themeFill="accent1" w:themeFillTint="66"/>
            <w:vAlign w:val="center"/>
          </w:tcPr>
          <w:p w14:paraId="40FE0E58" w14:textId="0B52C1E4" w:rsidR="00A85DE8" w:rsidRPr="001310AD" w:rsidRDefault="008227E9" w:rsidP="00F82E93">
            <w:pPr>
              <w:pStyle w:val="TableText0"/>
            </w:pPr>
            <w:r w:rsidRPr="001310AD">
              <w:rPr>
                <w:rFonts w:eastAsia="Times New Roman" w:cs="Calibri"/>
                <w:color w:val="000000"/>
              </w:rPr>
              <w:t>A</w:t>
            </w:r>
            <w:r w:rsidRPr="001310AD">
              <w:rPr>
                <w:color w:val="000000"/>
              </w:rPr>
              <w:t xml:space="preserve">ny </w:t>
            </w:r>
            <w:r w:rsidR="00A85DE8" w:rsidRPr="001310AD">
              <w:rPr>
                <w:rFonts w:eastAsia="Times New Roman" w:cs="Calibri"/>
                <w:color w:val="000000"/>
              </w:rPr>
              <w:t xml:space="preserve">Grade 3 AE </w:t>
            </w:r>
          </w:p>
        </w:tc>
        <w:tc>
          <w:tcPr>
            <w:tcW w:w="1340" w:type="pct"/>
            <w:shd w:val="clear" w:color="auto" w:fill="B8CCE4" w:themeFill="accent1" w:themeFillTint="66"/>
            <w:vAlign w:val="center"/>
          </w:tcPr>
          <w:p w14:paraId="6D791504" w14:textId="77777777" w:rsidR="00A85DE8" w:rsidRPr="001310AD" w:rsidRDefault="00A85DE8" w:rsidP="00F82E93">
            <w:pPr>
              <w:pStyle w:val="TableText0"/>
              <w:jc w:val="center"/>
            </w:pPr>
            <w:r w:rsidRPr="001310AD">
              <w:t>251/12,469 (2.0)</w:t>
            </w:r>
          </w:p>
        </w:tc>
        <w:tc>
          <w:tcPr>
            <w:tcW w:w="946" w:type="pct"/>
            <w:shd w:val="clear" w:color="auto" w:fill="B8CCE4" w:themeFill="accent1" w:themeFillTint="66"/>
            <w:vAlign w:val="center"/>
          </w:tcPr>
          <w:p w14:paraId="59282C7E" w14:textId="77777777" w:rsidR="00A85DE8" w:rsidRPr="001310AD" w:rsidRDefault="00A85DE8" w:rsidP="00F82E93">
            <w:pPr>
              <w:pStyle w:val="TableText0"/>
              <w:jc w:val="center"/>
            </w:pPr>
            <w:r w:rsidRPr="001310AD">
              <w:t>158/12,503 (1.3)</w:t>
            </w:r>
          </w:p>
        </w:tc>
        <w:tc>
          <w:tcPr>
            <w:tcW w:w="903" w:type="pct"/>
            <w:shd w:val="clear" w:color="auto" w:fill="B8CCE4" w:themeFill="accent1" w:themeFillTint="66"/>
          </w:tcPr>
          <w:p w14:paraId="753FC94B" w14:textId="77777777" w:rsidR="00A85DE8" w:rsidRPr="001310AD" w:rsidRDefault="00A85DE8" w:rsidP="00F82E93">
            <w:pPr>
              <w:pStyle w:val="TableText0"/>
              <w:jc w:val="center"/>
            </w:pPr>
            <w:r w:rsidRPr="001310AD">
              <w:t>1.59 (1.30. 1.96)</w:t>
            </w:r>
          </w:p>
        </w:tc>
      </w:tr>
      <w:tr w:rsidR="00A85DE8" w:rsidRPr="001310AD" w14:paraId="692F59C4" w14:textId="77777777">
        <w:trPr>
          <w:cantSplit/>
          <w:trHeight w:val="64"/>
        </w:trPr>
        <w:tc>
          <w:tcPr>
            <w:tcW w:w="1811" w:type="pct"/>
            <w:shd w:val="clear" w:color="auto" w:fill="B8CCE4" w:themeFill="accent1" w:themeFillTint="66"/>
            <w:vAlign w:val="center"/>
          </w:tcPr>
          <w:p w14:paraId="27773E7E" w14:textId="77777777" w:rsidR="00A85DE8" w:rsidRPr="001310AD" w:rsidRDefault="00A85DE8" w:rsidP="00F82E93">
            <w:pPr>
              <w:pStyle w:val="TableText0"/>
              <w:rPr>
                <w:rFonts w:eastAsia="Times New Roman" w:cs="Calibri"/>
                <w:color w:val="000000"/>
              </w:rPr>
            </w:pPr>
            <w:r w:rsidRPr="001310AD">
              <w:rPr>
                <w:rFonts w:eastAsia="Times New Roman" w:cs="Calibri"/>
                <w:color w:val="000000"/>
              </w:rPr>
              <w:t>A</w:t>
            </w:r>
            <w:r w:rsidRPr="001310AD">
              <w:rPr>
                <w:rFonts w:cs="Calibri"/>
                <w:color w:val="000000"/>
              </w:rPr>
              <w:t xml:space="preserve">ny AE </w:t>
            </w:r>
            <w:r w:rsidRPr="001310AD">
              <w:rPr>
                <w:rFonts w:eastAsia="Times New Roman" w:cs="Calibri"/>
                <w:color w:val="000000"/>
              </w:rPr>
              <w:t xml:space="preserve">related to the intervention </w:t>
            </w:r>
          </w:p>
        </w:tc>
        <w:tc>
          <w:tcPr>
            <w:tcW w:w="1340" w:type="pct"/>
            <w:shd w:val="clear" w:color="auto" w:fill="B8CCE4" w:themeFill="accent1" w:themeFillTint="66"/>
            <w:vAlign w:val="center"/>
          </w:tcPr>
          <w:p w14:paraId="24A52943" w14:textId="77777777" w:rsidR="00A85DE8" w:rsidRPr="001310AD" w:rsidRDefault="00A85DE8" w:rsidP="00F82E93">
            <w:pPr>
              <w:pStyle w:val="TableText0"/>
              <w:jc w:val="center"/>
            </w:pPr>
            <w:r w:rsidRPr="001310AD">
              <w:t>3,226/12,469 (25.9)</w:t>
            </w:r>
          </w:p>
        </w:tc>
        <w:tc>
          <w:tcPr>
            <w:tcW w:w="946" w:type="pct"/>
            <w:shd w:val="clear" w:color="auto" w:fill="B8CCE4" w:themeFill="accent1" w:themeFillTint="66"/>
            <w:vAlign w:val="center"/>
          </w:tcPr>
          <w:p w14:paraId="6F2CBFBC" w14:textId="77777777" w:rsidR="00A85DE8" w:rsidRPr="001310AD" w:rsidRDefault="00A85DE8" w:rsidP="00F82E93">
            <w:pPr>
              <w:pStyle w:val="TableText0"/>
              <w:jc w:val="center"/>
            </w:pPr>
            <w:r w:rsidRPr="001310AD">
              <w:t>760/12,503 (6.1)</w:t>
            </w:r>
          </w:p>
        </w:tc>
        <w:tc>
          <w:tcPr>
            <w:tcW w:w="903" w:type="pct"/>
            <w:shd w:val="clear" w:color="auto" w:fill="B8CCE4" w:themeFill="accent1" w:themeFillTint="66"/>
          </w:tcPr>
          <w:p w14:paraId="22C48BAE" w14:textId="77777777" w:rsidR="00A85DE8" w:rsidRPr="001310AD" w:rsidRDefault="00A85DE8" w:rsidP="00F82E93">
            <w:pPr>
              <w:pStyle w:val="TableText0"/>
              <w:jc w:val="center"/>
            </w:pPr>
            <w:r w:rsidRPr="001310AD">
              <w:t>NR</w:t>
            </w:r>
          </w:p>
        </w:tc>
      </w:tr>
      <w:tr w:rsidR="00A85DE8" w:rsidRPr="001310AD" w14:paraId="4DFAC3F1" w14:textId="77777777">
        <w:trPr>
          <w:cantSplit/>
          <w:trHeight w:val="60"/>
        </w:trPr>
        <w:tc>
          <w:tcPr>
            <w:tcW w:w="1811" w:type="pct"/>
            <w:shd w:val="clear" w:color="auto" w:fill="B8CCE4" w:themeFill="accent1" w:themeFillTint="66"/>
            <w:vAlign w:val="center"/>
          </w:tcPr>
          <w:p w14:paraId="58939FF3" w14:textId="77777777" w:rsidR="00A85DE8" w:rsidRPr="001310AD" w:rsidRDefault="00A85DE8" w:rsidP="00F82E93">
            <w:pPr>
              <w:pStyle w:val="TableText0"/>
            </w:pPr>
            <w:r w:rsidRPr="001310AD">
              <w:rPr>
                <w:rFonts w:eastAsia="Times New Roman" w:cs="Calibri"/>
                <w:color w:val="000000"/>
              </w:rPr>
              <w:t>Any Grade 3 related to the intervention</w:t>
            </w:r>
          </w:p>
        </w:tc>
        <w:tc>
          <w:tcPr>
            <w:tcW w:w="1340" w:type="pct"/>
            <w:shd w:val="clear" w:color="auto" w:fill="B8CCE4" w:themeFill="accent1" w:themeFillTint="66"/>
            <w:vAlign w:val="center"/>
          </w:tcPr>
          <w:p w14:paraId="326C0EC3" w14:textId="77777777" w:rsidR="00A85DE8" w:rsidRPr="001310AD" w:rsidRDefault="00A85DE8" w:rsidP="00F82E93">
            <w:pPr>
              <w:pStyle w:val="TableText0"/>
              <w:jc w:val="center"/>
            </w:pPr>
            <w:r w:rsidRPr="001310AD">
              <w:t>110/12,469 (0.9)</w:t>
            </w:r>
          </w:p>
        </w:tc>
        <w:tc>
          <w:tcPr>
            <w:tcW w:w="946" w:type="pct"/>
            <w:shd w:val="clear" w:color="auto" w:fill="B8CCE4" w:themeFill="accent1" w:themeFillTint="66"/>
            <w:vAlign w:val="center"/>
          </w:tcPr>
          <w:p w14:paraId="767F0E60" w14:textId="77777777" w:rsidR="00A85DE8" w:rsidRPr="001310AD" w:rsidRDefault="00A85DE8" w:rsidP="00F82E93">
            <w:pPr>
              <w:pStyle w:val="TableText0"/>
              <w:jc w:val="center"/>
            </w:pPr>
            <w:r w:rsidRPr="001310AD">
              <w:t>23/12,503 (0.2)</w:t>
            </w:r>
          </w:p>
        </w:tc>
        <w:tc>
          <w:tcPr>
            <w:tcW w:w="903" w:type="pct"/>
            <w:shd w:val="clear" w:color="auto" w:fill="B8CCE4" w:themeFill="accent1" w:themeFillTint="66"/>
          </w:tcPr>
          <w:p w14:paraId="03577A48" w14:textId="77777777" w:rsidR="00A85DE8" w:rsidRPr="001310AD" w:rsidRDefault="00A85DE8" w:rsidP="00F82E93">
            <w:pPr>
              <w:pStyle w:val="TableText0"/>
              <w:jc w:val="center"/>
            </w:pPr>
            <w:r w:rsidRPr="001310AD">
              <w:t>NR</w:t>
            </w:r>
          </w:p>
        </w:tc>
      </w:tr>
      <w:tr w:rsidR="00B61CA4" w:rsidRPr="001310AD" w14:paraId="59CB1B29" w14:textId="77777777" w:rsidTr="000E35C3">
        <w:trPr>
          <w:cantSplit/>
          <w:trHeight w:val="60"/>
        </w:trPr>
        <w:tc>
          <w:tcPr>
            <w:tcW w:w="1811" w:type="pct"/>
            <w:vAlign w:val="center"/>
          </w:tcPr>
          <w:p w14:paraId="2F97A979" w14:textId="07FEC59E" w:rsidR="00B61CA4" w:rsidRPr="001310AD" w:rsidRDefault="00B61CA4" w:rsidP="00F82E93">
            <w:pPr>
              <w:pStyle w:val="TableText0"/>
              <w:rPr>
                <w:rFonts w:eastAsia="Times New Roman" w:cs="Calibri"/>
                <w:color w:val="000000"/>
                <w:vertAlign w:val="superscript"/>
              </w:rPr>
            </w:pPr>
            <w:r w:rsidRPr="001310AD">
              <w:rPr>
                <w:rFonts w:eastAsia="Times New Roman" w:cs="Calibri"/>
                <w:color w:val="000000"/>
              </w:rPr>
              <w:t xml:space="preserve">Atrial </w:t>
            </w:r>
            <w:proofErr w:type="spellStart"/>
            <w:r w:rsidRPr="001310AD">
              <w:rPr>
                <w:rFonts w:eastAsia="Times New Roman" w:cs="Calibri"/>
                <w:color w:val="000000"/>
              </w:rPr>
              <w:t>fibrillation</w:t>
            </w:r>
            <w:r w:rsidR="00583E4E" w:rsidRPr="001310AD">
              <w:rPr>
                <w:rFonts w:eastAsia="Times New Roman" w:cs="Calibri"/>
                <w:color w:val="000000"/>
                <w:vertAlign w:val="superscript"/>
              </w:rPr>
              <w:t>b</w:t>
            </w:r>
            <w:proofErr w:type="spellEnd"/>
          </w:p>
        </w:tc>
        <w:tc>
          <w:tcPr>
            <w:tcW w:w="1340" w:type="pct"/>
            <w:vAlign w:val="center"/>
          </w:tcPr>
          <w:p w14:paraId="684D534F" w14:textId="4EDF3588" w:rsidR="00B61CA4" w:rsidRPr="001310AD" w:rsidRDefault="00B61CA4" w:rsidP="00F82E93">
            <w:pPr>
              <w:pStyle w:val="TableText0"/>
              <w:jc w:val="center"/>
            </w:pPr>
            <w:r w:rsidRPr="001310AD">
              <w:t xml:space="preserve">11/12,469 </w:t>
            </w:r>
            <w:r w:rsidR="00DB065F" w:rsidRPr="001310AD">
              <w:t>(0.1)</w:t>
            </w:r>
          </w:p>
        </w:tc>
        <w:tc>
          <w:tcPr>
            <w:tcW w:w="946" w:type="pct"/>
            <w:vAlign w:val="center"/>
          </w:tcPr>
          <w:p w14:paraId="7981DB0F" w14:textId="78ABA90B" w:rsidR="00B61CA4" w:rsidRPr="001310AD" w:rsidRDefault="00B61CA4" w:rsidP="00F82E93">
            <w:pPr>
              <w:pStyle w:val="TableText0"/>
              <w:jc w:val="center"/>
            </w:pPr>
            <w:r w:rsidRPr="001310AD">
              <w:t>4/12,503</w:t>
            </w:r>
            <w:r w:rsidR="00DB065F" w:rsidRPr="001310AD">
              <w:t xml:space="preserve"> (0.0)</w:t>
            </w:r>
          </w:p>
        </w:tc>
        <w:tc>
          <w:tcPr>
            <w:tcW w:w="903" w:type="pct"/>
          </w:tcPr>
          <w:p w14:paraId="05BDB4BB" w14:textId="767F3D4B" w:rsidR="00B61CA4" w:rsidRPr="001310AD" w:rsidRDefault="00B61CA4" w:rsidP="00F82E93">
            <w:pPr>
              <w:pStyle w:val="TableText0"/>
              <w:jc w:val="center"/>
            </w:pPr>
            <w:r w:rsidRPr="001310AD">
              <w:t>2.</w:t>
            </w:r>
            <w:r w:rsidR="00DB065F" w:rsidRPr="001310AD">
              <w:t>76 (0.82,11.87)</w:t>
            </w:r>
          </w:p>
        </w:tc>
      </w:tr>
      <w:tr w:rsidR="00B61CA4" w:rsidRPr="001310AD" w14:paraId="064EFA23" w14:textId="77777777">
        <w:trPr>
          <w:cantSplit/>
          <w:trHeight w:val="224"/>
        </w:trPr>
        <w:tc>
          <w:tcPr>
            <w:tcW w:w="4097" w:type="pct"/>
            <w:gridSpan w:val="3"/>
            <w:vAlign w:val="center"/>
          </w:tcPr>
          <w:p w14:paraId="283BDFB3" w14:textId="77777777" w:rsidR="00B61CA4" w:rsidRPr="001310AD" w:rsidRDefault="00B61CA4" w:rsidP="00F82E93">
            <w:pPr>
              <w:pStyle w:val="TableText0"/>
            </w:pPr>
            <w:r w:rsidRPr="001310AD">
              <w:rPr>
                <w:rFonts w:eastAsia="Times New Roman" w:cs="Calibri"/>
                <w:b/>
                <w:bCs w:val="0"/>
                <w:color w:val="000000"/>
              </w:rPr>
              <w:t>Unsolicited AEs up to 6 months post-vaccination</w:t>
            </w:r>
          </w:p>
        </w:tc>
        <w:tc>
          <w:tcPr>
            <w:tcW w:w="903" w:type="pct"/>
          </w:tcPr>
          <w:p w14:paraId="1C01A621" w14:textId="77777777" w:rsidR="00B61CA4" w:rsidRPr="001310AD" w:rsidRDefault="00B61CA4" w:rsidP="00F82E93">
            <w:pPr>
              <w:pStyle w:val="TableText0"/>
              <w:rPr>
                <w:rFonts w:eastAsia="Times New Roman" w:cs="Calibri"/>
                <w:b/>
                <w:bCs w:val="0"/>
                <w:color w:val="000000"/>
              </w:rPr>
            </w:pPr>
          </w:p>
        </w:tc>
      </w:tr>
      <w:tr w:rsidR="00B61CA4" w:rsidRPr="001310AD" w14:paraId="0CAE00D9" w14:textId="77777777">
        <w:trPr>
          <w:cantSplit/>
          <w:trHeight w:val="224"/>
        </w:trPr>
        <w:tc>
          <w:tcPr>
            <w:tcW w:w="1811" w:type="pct"/>
            <w:shd w:val="clear" w:color="auto" w:fill="B8CCE4" w:themeFill="accent1" w:themeFillTint="66"/>
            <w:vAlign w:val="center"/>
          </w:tcPr>
          <w:p w14:paraId="1EDEC265" w14:textId="77777777" w:rsidR="00B61CA4" w:rsidRPr="001310AD" w:rsidRDefault="00B61CA4" w:rsidP="00F82E93">
            <w:pPr>
              <w:pStyle w:val="TableText0"/>
            </w:pPr>
            <w:r w:rsidRPr="001310AD">
              <w:rPr>
                <w:rFonts w:eastAsia="Times New Roman" w:cs="Calibri"/>
                <w:color w:val="000000"/>
              </w:rPr>
              <w:t>Any SAE D1</w:t>
            </w:r>
          </w:p>
        </w:tc>
        <w:tc>
          <w:tcPr>
            <w:tcW w:w="1340" w:type="pct"/>
            <w:shd w:val="clear" w:color="auto" w:fill="B8CCE4" w:themeFill="accent1" w:themeFillTint="66"/>
            <w:vAlign w:val="center"/>
          </w:tcPr>
          <w:p w14:paraId="62D46093" w14:textId="77777777" w:rsidR="00B61CA4" w:rsidRPr="001310AD" w:rsidRDefault="00B61CA4" w:rsidP="00F82E93">
            <w:pPr>
              <w:pStyle w:val="TableText0"/>
              <w:jc w:val="center"/>
            </w:pPr>
            <w:r w:rsidRPr="001310AD">
              <w:t>548/12,469 (4.4)</w:t>
            </w:r>
          </w:p>
        </w:tc>
        <w:tc>
          <w:tcPr>
            <w:tcW w:w="946" w:type="pct"/>
            <w:shd w:val="clear" w:color="auto" w:fill="B8CCE4" w:themeFill="accent1" w:themeFillTint="66"/>
            <w:vAlign w:val="center"/>
          </w:tcPr>
          <w:p w14:paraId="0889D6F9" w14:textId="77777777" w:rsidR="00B61CA4" w:rsidRPr="001310AD" w:rsidRDefault="00B61CA4" w:rsidP="00F82E93">
            <w:pPr>
              <w:pStyle w:val="TableText0"/>
              <w:jc w:val="center"/>
            </w:pPr>
            <w:r w:rsidRPr="001310AD">
              <w:t xml:space="preserve">541/12,503 (4.3) </w:t>
            </w:r>
          </w:p>
        </w:tc>
        <w:tc>
          <w:tcPr>
            <w:tcW w:w="903" w:type="pct"/>
            <w:shd w:val="clear" w:color="auto" w:fill="B8CCE4" w:themeFill="accent1" w:themeFillTint="66"/>
          </w:tcPr>
          <w:p w14:paraId="2B08D3B1" w14:textId="5CE847DC" w:rsidR="00B61CA4" w:rsidRPr="001310AD" w:rsidRDefault="00711804" w:rsidP="00F82E93">
            <w:pPr>
              <w:pStyle w:val="TableText0"/>
              <w:jc w:val="center"/>
              <w:rPr>
                <w:bCs w:val="0"/>
              </w:rPr>
            </w:pPr>
            <w:r w:rsidRPr="001310AD">
              <w:rPr>
                <w:bCs w:val="0"/>
              </w:rPr>
              <w:t xml:space="preserve">1.02 (0.94, 1.10) </w:t>
            </w:r>
          </w:p>
        </w:tc>
      </w:tr>
      <w:tr w:rsidR="00B61CA4" w:rsidRPr="001310AD" w14:paraId="24A10D32" w14:textId="77777777">
        <w:trPr>
          <w:cantSplit/>
          <w:trHeight w:val="237"/>
        </w:trPr>
        <w:tc>
          <w:tcPr>
            <w:tcW w:w="1811" w:type="pct"/>
            <w:shd w:val="clear" w:color="auto" w:fill="B8CCE4" w:themeFill="accent1" w:themeFillTint="66"/>
            <w:vAlign w:val="center"/>
          </w:tcPr>
          <w:p w14:paraId="0A634C9E" w14:textId="77777777" w:rsidR="00B61CA4" w:rsidRPr="001310AD" w:rsidRDefault="00B61CA4" w:rsidP="00F82E93">
            <w:pPr>
              <w:pStyle w:val="TableText0"/>
              <w:rPr>
                <w:rFonts w:eastAsia="Times New Roman" w:cs="Calibri"/>
                <w:color w:val="000000"/>
              </w:rPr>
            </w:pPr>
            <w:r w:rsidRPr="001310AD">
              <w:rPr>
                <w:rFonts w:eastAsia="Times New Roman" w:cs="Calibri"/>
                <w:color w:val="000000"/>
              </w:rPr>
              <w:t>Any pIMD D1</w:t>
            </w:r>
          </w:p>
        </w:tc>
        <w:tc>
          <w:tcPr>
            <w:tcW w:w="1340" w:type="pct"/>
            <w:shd w:val="clear" w:color="auto" w:fill="B8CCE4" w:themeFill="accent1" w:themeFillTint="66"/>
            <w:vAlign w:val="center"/>
          </w:tcPr>
          <w:p w14:paraId="1E7EFD53" w14:textId="77777777" w:rsidR="00B61CA4" w:rsidRPr="001310AD" w:rsidRDefault="00B61CA4" w:rsidP="00F82E93">
            <w:pPr>
              <w:pStyle w:val="TableText0"/>
              <w:jc w:val="center"/>
            </w:pPr>
            <w:r w:rsidRPr="001310AD">
              <w:t>46/12,469 (0.4)</w:t>
            </w:r>
          </w:p>
        </w:tc>
        <w:tc>
          <w:tcPr>
            <w:tcW w:w="946" w:type="pct"/>
            <w:shd w:val="clear" w:color="auto" w:fill="B8CCE4" w:themeFill="accent1" w:themeFillTint="66"/>
            <w:vAlign w:val="center"/>
          </w:tcPr>
          <w:p w14:paraId="08C92E46" w14:textId="77777777" w:rsidR="00B61CA4" w:rsidRPr="001310AD" w:rsidRDefault="00B61CA4" w:rsidP="00F82E93">
            <w:pPr>
              <w:pStyle w:val="TableText0"/>
              <w:jc w:val="center"/>
            </w:pPr>
            <w:r w:rsidRPr="001310AD">
              <w:t>39/12,503 (0.3)</w:t>
            </w:r>
          </w:p>
        </w:tc>
        <w:tc>
          <w:tcPr>
            <w:tcW w:w="903" w:type="pct"/>
            <w:shd w:val="clear" w:color="auto" w:fill="B8CCE4" w:themeFill="accent1" w:themeFillTint="66"/>
          </w:tcPr>
          <w:p w14:paraId="2900F418" w14:textId="5619B57C" w:rsidR="00B61CA4" w:rsidRPr="001310AD" w:rsidRDefault="00087D36" w:rsidP="00F82E93">
            <w:pPr>
              <w:pStyle w:val="TableText0"/>
              <w:jc w:val="center"/>
              <w:rPr>
                <w:bCs w:val="0"/>
              </w:rPr>
            </w:pPr>
            <w:r w:rsidRPr="001310AD">
              <w:rPr>
                <w:bCs w:val="0"/>
              </w:rPr>
              <w:t xml:space="preserve">1.18 (0.87, 1.60) </w:t>
            </w:r>
          </w:p>
        </w:tc>
      </w:tr>
      <w:tr w:rsidR="00B61CA4" w:rsidRPr="001310AD" w14:paraId="5D523016" w14:textId="77777777">
        <w:trPr>
          <w:cantSplit/>
          <w:trHeight w:val="79"/>
        </w:trPr>
        <w:tc>
          <w:tcPr>
            <w:tcW w:w="1811" w:type="pct"/>
            <w:shd w:val="clear" w:color="auto" w:fill="B8CCE4" w:themeFill="accent1" w:themeFillTint="66"/>
            <w:vAlign w:val="center"/>
          </w:tcPr>
          <w:p w14:paraId="5183EDC9" w14:textId="77777777" w:rsidR="00B61CA4" w:rsidRPr="001310AD" w:rsidRDefault="00B61CA4" w:rsidP="00F82E93">
            <w:pPr>
              <w:pStyle w:val="TableText0"/>
              <w:rPr>
                <w:rFonts w:eastAsia="Times New Roman" w:cs="Calibri"/>
                <w:color w:val="000000"/>
              </w:rPr>
            </w:pPr>
            <w:r w:rsidRPr="001310AD">
              <w:rPr>
                <w:rFonts w:eastAsia="Times New Roman" w:cs="Calibri"/>
                <w:color w:val="000000"/>
              </w:rPr>
              <w:t>Any pIMD related to the intervention</w:t>
            </w:r>
          </w:p>
        </w:tc>
        <w:tc>
          <w:tcPr>
            <w:tcW w:w="1340" w:type="pct"/>
            <w:shd w:val="clear" w:color="auto" w:fill="B8CCE4" w:themeFill="accent1" w:themeFillTint="66"/>
            <w:vAlign w:val="center"/>
          </w:tcPr>
          <w:p w14:paraId="4D4621D1" w14:textId="77777777" w:rsidR="00B61CA4" w:rsidRPr="001310AD" w:rsidRDefault="00B61CA4" w:rsidP="00F82E93">
            <w:pPr>
              <w:pStyle w:val="TableText0"/>
              <w:jc w:val="center"/>
            </w:pPr>
            <w:r w:rsidRPr="001310AD">
              <w:t>8/12,469 (0.1)</w:t>
            </w:r>
          </w:p>
        </w:tc>
        <w:tc>
          <w:tcPr>
            <w:tcW w:w="946" w:type="pct"/>
            <w:shd w:val="clear" w:color="auto" w:fill="B8CCE4" w:themeFill="accent1" w:themeFillTint="66"/>
            <w:vAlign w:val="center"/>
          </w:tcPr>
          <w:p w14:paraId="168C3B0D" w14:textId="77777777" w:rsidR="00B61CA4" w:rsidRPr="001310AD" w:rsidRDefault="00B61CA4" w:rsidP="00F82E93">
            <w:pPr>
              <w:pStyle w:val="TableText0"/>
              <w:jc w:val="center"/>
            </w:pPr>
            <w:r w:rsidRPr="001310AD">
              <w:t>7/12,503 (0.1)</w:t>
            </w:r>
          </w:p>
        </w:tc>
        <w:tc>
          <w:tcPr>
            <w:tcW w:w="903" w:type="pct"/>
            <w:shd w:val="clear" w:color="auto" w:fill="B8CCE4" w:themeFill="accent1" w:themeFillTint="66"/>
          </w:tcPr>
          <w:p w14:paraId="1CC21952" w14:textId="77777777" w:rsidR="00B61CA4" w:rsidRPr="001310AD" w:rsidRDefault="00B61CA4" w:rsidP="00F82E93">
            <w:pPr>
              <w:pStyle w:val="TableText0"/>
              <w:jc w:val="center"/>
            </w:pPr>
          </w:p>
        </w:tc>
      </w:tr>
      <w:tr w:rsidR="00B61CA4" w:rsidRPr="001310AD" w14:paraId="18F5B8C0" w14:textId="77777777">
        <w:trPr>
          <w:cantSplit/>
          <w:trHeight w:val="60"/>
        </w:trPr>
        <w:tc>
          <w:tcPr>
            <w:tcW w:w="5000" w:type="pct"/>
            <w:gridSpan w:val="4"/>
            <w:vAlign w:val="center"/>
          </w:tcPr>
          <w:p w14:paraId="350B98E7" w14:textId="77777777" w:rsidR="00B61CA4" w:rsidRPr="001310AD" w:rsidRDefault="00B61CA4" w:rsidP="00F82E93">
            <w:pPr>
              <w:pStyle w:val="TableText0"/>
              <w:rPr>
                <w:b/>
                <w:bCs w:val="0"/>
              </w:rPr>
            </w:pPr>
            <w:r w:rsidRPr="001310AD">
              <w:rPr>
                <w:rFonts w:eastAsia="Times New Roman" w:cs="Calibri"/>
                <w:b/>
                <w:bCs w:val="0"/>
                <w:color w:val="000000"/>
              </w:rPr>
              <w:t>Unsolicited events post each dose up to end of Season 3</w:t>
            </w:r>
          </w:p>
        </w:tc>
      </w:tr>
      <w:tr w:rsidR="00B61CA4" w:rsidRPr="001310AD" w14:paraId="0DAD8062" w14:textId="77777777">
        <w:trPr>
          <w:cantSplit/>
          <w:trHeight w:val="224"/>
        </w:trPr>
        <w:tc>
          <w:tcPr>
            <w:tcW w:w="1811" w:type="pct"/>
            <w:vAlign w:val="center"/>
          </w:tcPr>
          <w:p w14:paraId="25BD67A2" w14:textId="77777777" w:rsidR="00B61CA4" w:rsidRPr="001310AD" w:rsidRDefault="00B61CA4" w:rsidP="00F82E93">
            <w:pPr>
              <w:pStyle w:val="TableText0"/>
              <w:rPr>
                <w:rFonts w:eastAsia="Times New Roman" w:cs="Calibri"/>
                <w:color w:val="000000"/>
              </w:rPr>
            </w:pPr>
            <w:r w:rsidRPr="001310AD">
              <w:rPr>
                <w:rFonts w:eastAsia="Times New Roman" w:cs="Calibri"/>
                <w:color w:val="000000"/>
              </w:rPr>
              <w:t>Any fatal SAE</w:t>
            </w:r>
          </w:p>
        </w:tc>
        <w:tc>
          <w:tcPr>
            <w:tcW w:w="1340" w:type="pct"/>
            <w:vAlign w:val="center"/>
          </w:tcPr>
          <w:p w14:paraId="6E3D6912" w14:textId="77777777" w:rsidR="00B61CA4" w:rsidRPr="001310AD" w:rsidRDefault="00B61CA4" w:rsidP="00F82E93">
            <w:pPr>
              <w:pStyle w:val="TableText0"/>
              <w:jc w:val="center"/>
            </w:pPr>
            <w:r w:rsidRPr="001310AD">
              <w:t>231/12,469 (1.9)</w:t>
            </w:r>
          </w:p>
        </w:tc>
        <w:tc>
          <w:tcPr>
            <w:tcW w:w="946" w:type="pct"/>
            <w:vAlign w:val="center"/>
          </w:tcPr>
          <w:p w14:paraId="44F4D2B9" w14:textId="77777777" w:rsidR="00B61CA4" w:rsidRPr="001310AD" w:rsidRDefault="00B61CA4" w:rsidP="00F82E93">
            <w:pPr>
              <w:pStyle w:val="TableText0"/>
              <w:jc w:val="center"/>
            </w:pPr>
            <w:r w:rsidRPr="001310AD">
              <w:t>265/12,503 (2.1)</w:t>
            </w:r>
          </w:p>
        </w:tc>
        <w:tc>
          <w:tcPr>
            <w:tcW w:w="903" w:type="pct"/>
          </w:tcPr>
          <w:p w14:paraId="7F44CE5B" w14:textId="77777777" w:rsidR="00B61CA4" w:rsidRPr="001310AD" w:rsidRDefault="00B61CA4" w:rsidP="00F82E93">
            <w:pPr>
              <w:pStyle w:val="TableText0"/>
              <w:jc w:val="center"/>
            </w:pPr>
            <w:r w:rsidRPr="001310AD">
              <w:t>NR</w:t>
            </w:r>
          </w:p>
        </w:tc>
      </w:tr>
      <w:tr w:rsidR="00B61CA4" w:rsidRPr="001310AD" w14:paraId="0F87958E" w14:textId="77777777" w:rsidTr="00110D8E">
        <w:trPr>
          <w:cantSplit/>
          <w:trHeight w:val="224"/>
        </w:trPr>
        <w:tc>
          <w:tcPr>
            <w:tcW w:w="5000" w:type="pct"/>
            <w:gridSpan w:val="4"/>
            <w:vAlign w:val="center"/>
          </w:tcPr>
          <w:p w14:paraId="691CC392" w14:textId="0A8DE8EC" w:rsidR="00B61CA4" w:rsidRPr="001310AD" w:rsidRDefault="00B61CA4" w:rsidP="00F82E93">
            <w:pPr>
              <w:pStyle w:val="TableText0"/>
              <w:rPr>
                <w:b/>
                <w:bCs w:val="0"/>
              </w:rPr>
            </w:pPr>
            <w:r w:rsidRPr="001310AD">
              <w:rPr>
                <w:rFonts w:eastAsia="Times New Roman" w:cs="Calibri"/>
                <w:b/>
                <w:bCs w:val="0"/>
                <w:color w:val="000000"/>
              </w:rPr>
              <w:t xml:space="preserve">SAE of atrial fibrillation </w:t>
            </w:r>
            <w:r w:rsidRPr="001310AD">
              <w:rPr>
                <w:b/>
                <w:bCs w:val="0"/>
              </w:rPr>
              <w:t>within 6 months post vaccination</w:t>
            </w:r>
          </w:p>
        </w:tc>
      </w:tr>
      <w:tr w:rsidR="00B61CA4" w:rsidRPr="001310AD" w14:paraId="7B36E99E" w14:textId="77777777">
        <w:trPr>
          <w:cantSplit/>
          <w:trHeight w:val="224"/>
        </w:trPr>
        <w:tc>
          <w:tcPr>
            <w:tcW w:w="1811" w:type="pct"/>
          </w:tcPr>
          <w:p w14:paraId="40F3A6AE" w14:textId="03646E13" w:rsidR="00B61CA4" w:rsidRPr="001310AD" w:rsidRDefault="00B61CA4" w:rsidP="00F82E93">
            <w:pPr>
              <w:pStyle w:val="TableText0"/>
              <w:rPr>
                <w:rFonts w:eastAsia="Times New Roman" w:cs="Calibri"/>
                <w:color w:val="000000"/>
              </w:rPr>
            </w:pPr>
            <w:r w:rsidRPr="001310AD">
              <w:t>D1</w:t>
            </w:r>
          </w:p>
        </w:tc>
        <w:tc>
          <w:tcPr>
            <w:tcW w:w="1340" w:type="pct"/>
          </w:tcPr>
          <w:p w14:paraId="5E4E34AE" w14:textId="3EDF733E" w:rsidR="00B61CA4" w:rsidRPr="001310AD" w:rsidRDefault="00B61CA4" w:rsidP="00F82E93">
            <w:pPr>
              <w:pStyle w:val="TableText0"/>
              <w:jc w:val="center"/>
            </w:pPr>
            <w:r w:rsidRPr="001310AD">
              <w:t>15/12,469 (0.1)</w:t>
            </w:r>
          </w:p>
        </w:tc>
        <w:tc>
          <w:tcPr>
            <w:tcW w:w="946" w:type="pct"/>
          </w:tcPr>
          <w:p w14:paraId="7947DE62" w14:textId="1D54EF09" w:rsidR="00B61CA4" w:rsidRPr="001310AD" w:rsidRDefault="00B61CA4" w:rsidP="00F82E93">
            <w:pPr>
              <w:pStyle w:val="TableText0"/>
              <w:jc w:val="center"/>
            </w:pPr>
            <w:r w:rsidRPr="001310AD">
              <w:t>16/12,503 (0.1)</w:t>
            </w:r>
          </w:p>
        </w:tc>
        <w:tc>
          <w:tcPr>
            <w:tcW w:w="903" w:type="pct"/>
          </w:tcPr>
          <w:p w14:paraId="552B5A60" w14:textId="5E62FA1E" w:rsidR="00B61CA4" w:rsidRPr="001310AD" w:rsidRDefault="00B61CA4" w:rsidP="00F82E93">
            <w:pPr>
              <w:pStyle w:val="TableText0"/>
              <w:jc w:val="center"/>
            </w:pPr>
            <w:r w:rsidRPr="001310AD">
              <w:t>0.94 (0.56, 1.59)</w:t>
            </w:r>
          </w:p>
        </w:tc>
      </w:tr>
      <w:tr w:rsidR="00B61CA4" w:rsidRPr="001310AD" w14:paraId="178634A0" w14:textId="77777777">
        <w:trPr>
          <w:cantSplit/>
          <w:trHeight w:val="224"/>
        </w:trPr>
        <w:tc>
          <w:tcPr>
            <w:tcW w:w="1811" w:type="pct"/>
          </w:tcPr>
          <w:p w14:paraId="42792775" w14:textId="1622468A" w:rsidR="00B61CA4" w:rsidRPr="001310AD" w:rsidRDefault="00B61CA4" w:rsidP="00F82E93">
            <w:pPr>
              <w:pStyle w:val="TableText0"/>
              <w:rPr>
                <w:rFonts w:eastAsia="Times New Roman" w:cs="Calibri"/>
                <w:color w:val="000000"/>
              </w:rPr>
            </w:pPr>
            <w:r w:rsidRPr="001310AD">
              <w:t>D2</w:t>
            </w:r>
          </w:p>
        </w:tc>
        <w:tc>
          <w:tcPr>
            <w:tcW w:w="1340" w:type="pct"/>
          </w:tcPr>
          <w:p w14:paraId="3CEB9596" w14:textId="3BF8D65A" w:rsidR="00B61CA4" w:rsidRPr="001310AD" w:rsidRDefault="00B61CA4" w:rsidP="00F82E93">
            <w:pPr>
              <w:pStyle w:val="TableText0"/>
              <w:jc w:val="center"/>
            </w:pPr>
            <w:r w:rsidRPr="001310AD">
              <w:t>11/4,968 (0.2)</w:t>
            </w:r>
          </w:p>
        </w:tc>
        <w:tc>
          <w:tcPr>
            <w:tcW w:w="946" w:type="pct"/>
          </w:tcPr>
          <w:p w14:paraId="34D66C6A" w14:textId="544419B4" w:rsidR="00B61CA4" w:rsidRPr="001310AD" w:rsidRDefault="00B61CA4" w:rsidP="00F82E93">
            <w:pPr>
              <w:pStyle w:val="TableText0"/>
              <w:jc w:val="center"/>
            </w:pPr>
            <w:r w:rsidRPr="001310AD">
              <w:t>13/10,033 (0.1)</w:t>
            </w:r>
          </w:p>
        </w:tc>
        <w:tc>
          <w:tcPr>
            <w:tcW w:w="903" w:type="pct"/>
          </w:tcPr>
          <w:p w14:paraId="2109FEF1" w14:textId="539AF484" w:rsidR="00B61CA4" w:rsidRPr="001310AD" w:rsidRDefault="00B61CA4" w:rsidP="00F82E93">
            <w:pPr>
              <w:pStyle w:val="TableText0"/>
              <w:jc w:val="center"/>
            </w:pPr>
            <w:r w:rsidRPr="001310AD">
              <w:t>1.71 (0.93, 3.13)</w:t>
            </w:r>
          </w:p>
        </w:tc>
      </w:tr>
      <w:tr w:rsidR="00B61CA4" w:rsidRPr="001310AD" w14:paraId="34659951" w14:textId="77777777">
        <w:trPr>
          <w:cantSplit/>
          <w:trHeight w:val="224"/>
        </w:trPr>
        <w:tc>
          <w:tcPr>
            <w:tcW w:w="1811" w:type="pct"/>
          </w:tcPr>
          <w:p w14:paraId="57DF9C7C" w14:textId="7AA35BE5" w:rsidR="00B61CA4" w:rsidRPr="001310AD" w:rsidRDefault="00B61CA4" w:rsidP="00F82E93">
            <w:pPr>
              <w:pStyle w:val="TableText0"/>
              <w:rPr>
                <w:rFonts w:eastAsia="Times New Roman" w:cs="Calibri"/>
                <w:color w:val="000000"/>
              </w:rPr>
            </w:pPr>
            <w:r w:rsidRPr="001310AD">
              <w:t>D3</w:t>
            </w:r>
          </w:p>
        </w:tc>
        <w:tc>
          <w:tcPr>
            <w:tcW w:w="1340" w:type="pct"/>
          </w:tcPr>
          <w:p w14:paraId="3883382F" w14:textId="68094844" w:rsidR="00B61CA4" w:rsidRPr="001310AD" w:rsidRDefault="00B61CA4" w:rsidP="00F82E93">
            <w:pPr>
              <w:pStyle w:val="TableText0"/>
              <w:jc w:val="center"/>
            </w:pPr>
            <w:r w:rsidRPr="001310AD">
              <w:t>4/1,409 (0.3)</w:t>
            </w:r>
          </w:p>
        </w:tc>
        <w:tc>
          <w:tcPr>
            <w:tcW w:w="946" w:type="pct"/>
          </w:tcPr>
          <w:p w14:paraId="1D0F3593" w14:textId="47263E15" w:rsidR="00B61CA4" w:rsidRPr="001310AD" w:rsidRDefault="00B61CA4" w:rsidP="00F82E93">
            <w:pPr>
              <w:pStyle w:val="TableText0"/>
              <w:jc w:val="center"/>
            </w:pPr>
            <w:r w:rsidRPr="001310AD">
              <w:t>16/2,866 (0.6)</w:t>
            </w:r>
          </w:p>
        </w:tc>
        <w:tc>
          <w:tcPr>
            <w:tcW w:w="903" w:type="pct"/>
          </w:tcPr>
          <w:p w14:paraId="6B86FB5A" w14:textId="21287C41" w:rsidR="00B61CA4" w:rsidRPr="001310AD" w:rsidRDefault="00B61CA4" w:rsidP="00F82E93">
            <w:pPr>
              <w:pStyle w:val="TableText0"/>
              <w:jc w:val="center"/>
            </w:pPr>
            <w:r w:rsidRPr="001310AD">
              <w:t>0.51 (0.2, 1.15)</w:t>
            </w:r>
          </w:p>
        </w:tc>
      </w:tr>
    </w:tbl>
    <w:p w14:paraId="5422E4E0" w14:textId="43EE18E6" w:rsidR="00A85DE8" w:rsidRPr="001310AD" w:rsidRDefault="00A85DE8" w:rsidP="00F82E93">
      <w:pPr>
        <w:pStyle w:val="FooterTableFigure"/>
        <w:keepNext/>
        <w:keepLines/>
        <w:rPr>
          <w:rFonts w:eastAsia="Calibri"/>
        </w:rPr>
      </w:pPr>
      <w:r w:rsidRPr="001310AD">
        <w:rPr>
          <w:rFonts w:eastAsia="Calibri"/>
        </w:rPr>
        <w:t>Source: Compiled during the evaluation from information provided in the resubmission, pp106-110. End of Study CSR, pp441-442; pp448-449</w:t>
      </w:r>
      <w:r w:rsidR="00A74A54" w:rsidRPr="001310AD">
        <w:rPr>
          <w:rFonts w:eastAsia="Calibri"/>
        </w:rPr>
        <w:t>,</w:t>
      </w:r>
      <w:r w:rsidR="00732965" w:rsidRPr="001310AD">
        <w:rPr>
          <w:rFonts w:eastAsia="Calibri"/>
        </w:rPr>
        <w:t xml:space="preserve"> p495, </w:t>
      </w:r>
      <w:r w:rsidR="00DD62FD" w:rsidRPr="001310AD">
        <w:rPr>
          <w:rFonts w:eastAsia="Calibri"/>
        </w:rPr>
        <w:t>p</w:t>
      </w:r>
      <w:r w:rsidR="00732965" w:rsidRPr="001310AD">
        <w:rPr>
          <w:rFonts w:eastAsia="Calibri"/>
        </w:rPr>
        <w:t xml:space="preserve">583, </w:t>
      </w:r>
      <w:r w:rsidRPr="001310AD">
        <w:rPr>
          <w:rFonts w:eastAsia="Calibri"/>
        </w:rPr>
        <w:t>pp48-53</w:t>
      </w:r>
      <w:r w:rsidR="00732965" w:rsidRPr="001310AD">
        <w:rPr>
          <w:rFonts w:eastAsia="Calibri"/>
        </w:rPr>
        <w:t>,</w:t>
      </w:r>
      <w:r w:rsidR="00A74A54" w:rsidRPr="001310AD">
        <w:rPr>
          <w:rFonts w:eastAsia="Calibri"/>
        </w:rPr>
        <w:t xml:space="preserve"> </w:t>
      </w:r>
      <w:r w:rsidR="003A5BA9" w:rsidRPr="001310AD">
        <w:rPr>
          <w:rFonts w:eastAsia="Calibri"/>
        </w:rPr>
        <w:t>p</w:t>
      </w:r>
      <w:r w:rsidR="00A74A54" w:rsidRPr="001310AD">
        <w:rPr>
          <w:rFonts w:eastAsia="Calibri"/>
        </w:rPr>
        <w:t>p</w:t>
      </w:r>
      <w:r w:rsidR="003A5BA9" w:rsidRPr="001310AD">
        <w:rPr>
          <w:rFonts w:eastAsia="Calibri"/>
        </w:rPr>
        <w:t>3764</w:t>
      </w:r>
      <w:r w:rsidR="004C6462" w:rsidRPr="001310AD">
        <w:rPr>
          <w:rFonts w:eastAsia="Calibri"/>
        </w:rPr>
        <w:t>-3765</w:t>
      </w:r>
      <w:r w:rsidR="00732965" w:rsidRPr="001310AD">
        <w:rPr>
          <w:rFonts w:eastAsia="Calibri"/>
        </w:rPr>
        <w:t xml:space="preserve"> and </w:t>
      </w:r>
      <w:r w:rsidR="00DD62FD" w:rsidRPr="001310AD">
        <w:rPr>
          <w:rFonts w:eastAsia="Calibri"/>
        </w:rPr>
        <w:t>p9357.</w:t>
      </w:r>
    </w:p>
    <w:p w14:paraId="59B344D5" w14:textId="4C703231" w:rsidR="00A85DE8" w:rsidRPr="001310AD" w:rsidRDefault="00A85DE8" w:rsidP="00F82E93">
      <w:pPr>
        <w:pStyle w:val="FooterTableFigure"/>
        <w:keepNext/>
        <w:keepLines/>
        <w:rPr>
          <w:rFonts w:eastAsia="Calibri"/>
        </w:rPr>
      </w:pPr>
      <w:r w:rsidRPr="001310AD">
        <w:rPr>
          <w:rFonts w:eastAsia="Calibri"/>
        </w:rPr>
        <w:t xml:space="preserve">AE = adverse event; CI = confidence interval; </w:t>
      </w:r>
      <w:r w:rsidR="00FC63DC" w:rsidRPr="001310AD">
        <w:rPr>
          <w:rFonts w:eastAsia="Calibri"/>
        </w:rPr>
        <w:t>CSR = clinical study report;</w:t>
      </w:r>
      <w:r w:rsidR="00174545" w:rsidRPr="001310AD">
        <w:rPr>
          <w:rFonts w:eastAsia="Calibri"/>
        </w:rPr>
        <w:t xml:space="preserve"> D = dose;</w:t>
      </w:r>
      <w:r w:rsidR="00FC63DC" w:rsidRPr="001310AD">
        <w:rPr>
          <w:rFonts w:eastAsia="Calibri"/>
        </w:rPr>
        <w:t xml:space="preserve"> </w:t>
      </w:r>
      <w:r w:rsidRPr="001310AD">
        <w:rPr>
          <w:rFonts w:eastAsia="Calibri"/>
        </w:rPr>
        <w:t xml:space="preserve">n = number of participants reporting data in at least one event; N = total participants in group; pIMD = potential immune-mediated disorders; NR = not reported; </w:t>
      </w:r>
      <w:r w:rsidRPr="001310AD">
        <w:t xml:space="preserve">RSVPreF3 OA= RSV pre-fusion protein 3 older adult; RR = relative risk; </w:t>
      </w:r>
      <w:r w:rsidRPr="001310AD">
        <w:rPr>
          <w:rFonts w:eastAsia="Calibri"/>
        </w:rPr>
        <w:t>SAE = serious adverse events.</w:t>
      </w:r>
    </w:p>
    <w:p w14:paraId="24E6CFDC" w14:textId="68ABC045" w:rsidR="00A85DE8" w:rsidRPr="001310AD" w:rsidRDefault="00A85DE8" w:rsidP="00F82E93">
      <w:pPr>
        <w:pStyle w:val="FooterTableFigure"/>
        <w:keepNext/>
        <w:keepLines/>
      </w:pPr>
      <w:r w:rsidRPr="001310AD">
        <w:rPr>
          <w:vertAlign w:val="superscript"/>
        </w:rPr>
        <w:t>a</w:t>
      </w:r>
      <w:r w:rsidRPr="001310AD">
        <w:t xml:space="preserve"> RR only included if reported in the resubmission</w:t>
      </w:r>
      <w:r w:rsidR="009945AB" w:rsidRPr="001310AD">
        <w:t xml:space="preserve"> or CSR</w:t>
      </w:r>
      <w:r w:rsidRPr="001310AD">
        <w:t>.</w:t>
      </w:r>
    </w:p>
    <w:p w14:paraId="45C0EEE2" w14:textId="5B172F2A" w:rsidR="00A85DE8" w:rsidRPr="001310AD" w:rsidRDefault="00A85DE8" w:rsidP="00F82E93">
      <w:pPr>
        <w:pStyle w:val="FooterTableFigure"/>
        <w:keepNext/>
        <w:keepLines/>
      </w:pPr>
      <w:r w:rsidRPr="001310AD">
        <w:rPr>
          <w:vertAlign w:val="superscript"/>
        </w:rPr>
        <w:t xml:space="preserve">b </w:t>
      </w:r>
      <w:r w:rsidR="00583E4E" w:rsidRPr="001310AD">
        <w:t xml:space="preserve">Includes </w:t>
      </w:r>
      <w:r w:rsidR="003751F1" w:rsidRPr="001310AD">
        <w:t xml:space="preserve">serious and non-serious AEs. </w:t>
      </w:r>
    </w:p>
    <w:p w14:paraId="15992447" w14:textId="77777777" w:rsidR="00A85DE8" w:rsidRPr="001310AD" w:rsidRDefault="00A85DE8" w:rsidP="00F82E93">
      <w:pPr>
        <w:pStyle w:val="FooterTableFigure"/>
        <w:keepNext/>
        <w:keepLines/>
      </w:pPr>
      <w:r w:rsidRPr="001310AD">
        <w:t xml:space="preserve">Blue shading reflect data previously seen by the PBAC </w:t>
      </w:r>
    </w:p>
    <w:p w14:paraId="651D40BD" w14:textId="226FCE87" w:rsidR="00BB06F3" w:rsidRPr="001310AD" w:rsidRDefault="007E1852" w:rsidP="00BB06F3">
      <w:pPr>
        <w:pStyle w:val="3-BodyText"/>
      </w:pPr>
      <w:r w:rsidRPr="001310AD">
        <w:rPr>
          <w:rStyle w:val="3-BodyTextChar"/>
        </w:rPr>
        <w:t xml:space="preserve">Atrial </w:t>
      </w:r>
      <w:r w:rsidR="00433555" w:rsidRPr="001310AD">
        <w:rPr>
          <w:rStyle w:val="3-BodyTextChar"/>
        </w:rPr>
        <w:t>fibrillation</w:t>
      </w:r>
      <w:r w:rsidRPr="001310AD">
        <w:rPr>
          <w:rStyle w:val="3-BodyTextChar"/>
        </w:rPr>
        <w:t xml:space="preserve"> (AF) </w:t>
      </w:r>
      <w:r w:rsidR="00B37BEF" w:rsidRPr="001310AD">
        <w:rPr>
          <w:rStyle w:val="3-BodyTextChar"/>
        </w:rPr>
        <w:t>was</w:t>
      </w:r>
      <w:r w:rsidRPr="001310AD">
        <w:rPr>
          <w:rStyle w:val="3-BodyTextChar"/>
        </w:rPr>
        <w:t xml:space="preserve"> a specific A</w:t>
      </w:r>
      <w:r w:rsidR="00AC2E46" w:rsidRPr="001310AD">
        <w:rPr>
          <w:rStyle w:val="3-BodyTextChar"/>
        </w:rPr>
        <w:t>E</w:t>
      </w:r>
      <w:r w:rsidRPr="001310AD">
        <w:rPr>
          <w:rStyle w:val="3-BodyTextChar"/>
        </w:rPr>
        <w:t xml:space="preserve"> of interest</w:t>
      </w:r>
      <w:r w:rsidR="00976F60" w:rsidRPr="001310AD">
        <w:rPr>
          <w:rStyle w:val="3-BodyTextChar"/>
        </w:rPr>
        <w:t>, with more cases among</w:t>
      </w:r>
      <w:r w:rsidR="00BB06F3" w:rsidRPr="001310AD">
        <w:rPr>
          <w:rStyle w:val="3-BodyTextChar"/>
        </w:rPr>
        <w:t xml:space="preserve"> RSVPre</w:t>
      </w:r>
      <w:r w:rsidR="00B37BEF" w:rsidRPr="001310AD">
        <w:rPr>
          <w:rStyle w:val="3-BodyTextChar"/>
        </w:rPr>
        <w:t>F</w:t>
      </w:r>
      <w:r w:rsidR="00BB06F3" w:rsidRPr="001310AD">
        <w:rPr>
          <w:rStyle w:val="3-BodyTextChar"/>
        </w:rPr>
        <w:t xml:space="preserve">3 OA versus placebo (11 and 4 cases, respectively) post vaccination. Most </w:t>
      </w:r>
      <w:r w:rsidR="00976F60" w:rsidRPr="001310AD">
        <w:rPr>
          <w:rStyle w:val="3-BodyTextChar"/>
        </w:rPr>
        <w:t xml:space="preserve">AF </w:t>
      </w:r>
      <w:r w:rsidR="00BB06F3" w:rsidRPr="001310AD">
        <w:rPr>
          <w:rStyle w:val="3-BodyTextChar"/>
        </w:rPr>
        <w:t xml:space="preserve">events </w:t>
      </w:r>
      <w:r w:rsidR="00BB06F3" w:rsidRPr="001310AD">
        <w:rPr>
          <w:rStyle w:val="3-BodyTextChar"/>
        </w:rPr>
        <w:lastRenderedPageBreak/>
        <w:t>were mild or moderate</w:t>
      </w:r>
      <w:r w:rsidR="003E61B4" w:rsidRPr="001310AD">
        <w:rPr>
          <w:rStyle w:val="3-BodyTextChar"/>
        </w:rPr>
        <w:t xml:space="preserve"> (7</w:t>
      </w:r>
      <w:r w:rsidR="00D65F9D" w:rsidRPr="001310AD">
        <w:rPr>
          <w:rStyle w:val="3-BodyTextChar"/>
        </w:rPr>
        <w:t xml:space="preserve"> of the </w:t>
      </w:r>
      <w:r w:rsidR="003E61B4" w:rsidRPr="001310AD">
        <w:rPr>
          <w:rStyle w:val="3-BodyTextChar"/>
        </w:rPr>
        <w:t>11)</w:t>
      </w:r>
      <w:r w:rsidR="00BB06F3" w:rsidRPr="001310AD">
        <w:rPr>
          <w:rStyle w:val="3-BodyTextChar"/>
        </w:rPr>
        <w:t xml:space="preserve">, none </w:t>
      </w:r>
      <w:r w:rsidR="00FF199B" w:rsidRPr="001310AD">
        <w:rPr>
          <w:rStyle w:val="3-BodyTextChar"/>
        </w:rPr>
        <w:t xml:space="preserve">resulted in </w:t>
      </w:r>
      <w:r w:rsidR="00BB06F3" w:rsidRPr="001310AD">
        <w:rPr>
          <w:rStyle w:val="3-BodyTextChar"/>
        </w:rPr>
        <w:t>withdr</w:t>
      </w:r>
      <w:r w:rsidR="00FF199B" w:rsidRPr="001310AD">
        <w:rPr>
          <w:rStyle w:val="3-BodyTextChar"/>
        </w:rPr>
        <w:t>a</w:t>
      </w:r>
      <w:r w:rsidR="00BB06F3" w:rsidRPr="001310AD">
        <w:rPr>
          <w:rStyle w:val="3-BodyTextChar"/>
        </w:rPr>
        <w:t>w</w:t>
      </w:r>
      <w:r w:rsidR="00FF199B" w:rsidRPr="001310AD">
        <w:rPr>
          <w:rStyle w:val="3-BodyTextChar"/>
        </w:rPr>
        <w:t>al,</w:t>
      </w:r>
      <w:r w:rsidR="00BB06F3" w:rsidRPr="001310AD">
        <w:rPr>
          <w:rStyle w:val="3-BodyTextChar"/>
        </w:rPr>
        <w:t xml:space="preserve"> and almost all </w:t>
      </w:r>
      <w:r w:rsidR="00FF199B" w:rsidRPr="001310AD">
        <w:rPr>
          <w:rStyle w:val="3-BodyTextChar"/>
        </w:rPr>
        <w:t>resolved (</w:t>
      </w:r>
      <w:r w:rsidR="00BB06F3" w:rsidRPr="001310AD">
        <w:rPr>
          <w:rStyle w:val="3-BodyTextChar"/>
        </w:rPr>
        <w:t>10 of the 11 in the RSVPreF3 OA arm and 3 of 4 in the placebo arm</w:t>
      </w:r>
      <w:r w:rsidR="00FF199B" w:rsidRPr="001310AD">
        <w:rPr>
          <w:rStyle w:val="3-BodyTextChar"/>
        </w:rPr>
        <w:t>)</w:t>
      </w:r>
      <w:r w:rsidR="00BB06F3" w:rsidRPr="001310AD">
        <w:rPr>
          <w:rStyle w:val="3-BodyTextChar"/>
        </w:rPr>
        <w:t>. SAEs within 6 months were balanced between the arms and the</w:t>
      </w:r>
      <w:r w:rsidR="00BB06F3" w:rsidRPr="001310AD">
        <w:t xml:space="preserve"> incidence was low. </w:t>
      </w:r>
    </w:p>
    <w:p w14:paraId="0E4C4432" w14:textId="1FE22A0B" w:rsidR="003D0E3D" w:rsidRPr="001310AD" w:rsidRDefault="003D0E3D" w:rsidP="003D0E3D">
      <w:pPr>
        <w:pStyle w:val="5-SubsectionSubheading"/>
      </w:pPr>
      <w:bookmarkStart w:id="44" w:name="_Toc198731704"/>
      <w:r w:rsidRPr="001310AD">
        <w:t>Indirect treatment comparison – RSVPreF3 OA (Arexvy) vs RSVPreF (Abrysvo)</w:t>
      </w:r>
      <w:bookmarkEnd w:id="44"/>
    </w:p>
    <w:p w14:paraId="3039DBA2" w14:textId="6E505902" w:rsidR="00E80B52" w:rsidRPr="001310AD" w:rsidRDefault="00274C2A" w:rsidP="00A85DE8">
      <w:pPr>
        <w:pStyle w:val="3-BodyText"/>
      </w:pPr>
      <w:r w:rsidRPr="001310AD">
        <w:t xml:space="preserve">The </w:t>
      </w:r>
      <w:r w:rsidR="008745B8" w:rsidRPr="001310AD">
        <w:t xml:space="preserve">resubmission </w:t>
      </w:r>
      <w:r w:rsidR="0014071C" w:rsidRPr="001310AD">
        <w:t xml:space="preserve">stated </w:t>
      </w:r>
      <w:r w:rsidR="008745B8" w:rsidRPr="001310AD">
        <w:t xml:space="preserve">that the results of the </w:t>
      </w:r>
      <w:r w:rsidR="002C24D8" w:rsidRPr="001310AD">
        <w:t>unanchored unadjusted</w:t>
      </w:r>
      <w:r w:rsidRPr="001310AD">
        <w:t xml:space="preserve"> ITC of solicited AEs and unsolicited AEs for RSVPreF3 OA and RSVPreF </w:t>
      </w:r>
      <w:r w:rsidR="008745B8" w:rsidRPr="001310AD">
        <w:t xml:space="preserve">showed </w:t>
      </w:r>
      <w:r w:rsidR="006E66E3" w:rsidRPr="001310AD">
        <w:t>a similar overall safety profile</w:t>
      </w:r>
      <w:r w:rsidR="00CB4DF7" w:rsidRPr="001310AD">
        <w:t xml:space="preserve">. </w:t>
      </w:r>
      <w:r w:rsidR="00E77BDB" w:rsidRPr="001310AD">
        <w:t xml:space="preserve">The resubmission noted that collection of unsolicited AEs in the overall safety population differed for AReSVi-006 (all AEs including reactogenicity events were recorded as unsolicited in 93% of the cohort not included in the SSS) </w:t>
      </w:r>
      <w:r w:rsidR="000E6858" w:rsidRPr="001310AD">
        <w:t xml:space="preserve">versus </w:t>
      </w:r>
      <w:r w:rsidR="00E77BDB" w:rsidRPr="001310AD">
        <w:t>RENOIR (</w:t>
      </w:r>
      <w:r w:rsidR="00A22F4B" w:rsidRPr="001310AD">
        <w:t xml:space="preserve">approximately </w:t>
      </w:r>
      <w:r w:rsidR="00E77BDB" w:rsidRPr="001310AD">
        <w:t>80% not in the SSS), resulting in higher rates of unsolicited AEs in AReSVi-006, the majority of which were reactogenicity events</w:t>
      </w:r>
      <w:r w:rsidR="0027672D" w:rsidRPr="001310AD">
        <w:t xml:space="preserve"> (comparative data not shown)</w:t>
      </w:r>
      <w:r w:rsidR="00E77BDB" w:rsidRPr="001310AD">
        <w:t>. Rates of solicited and unsolicited AEs were broadly similar in the common reference placebo arms of AReSVi-006 and RENOIR</w:t>
      </w:r>
      <w:r w:rsidR="001A0879" w:rsidRPr="001310AD">
        <w:t>.</w:t>
      </w:r>
    </w:p>
    <w:p w14:paraId="2E842E85" w14:textId="53717DE0" w:rsidR="00102A5E" w:rsidRPr="001310AD" w:rsidRDefault="009A7A09" w:rsidP="00A85DE8">
      <w:pPr>
        <w:pStyle w:val="3-BodyText"/>
      </w:pPr>
      <w:r w:rsidRPr="001310AD">
        <w:t xml:space="preserve">The safety results from RSV OA=ADJ-004 </w:t>
      </w:r>
      <w:r w:rsidR="002C1CAD" w:rsidRPr="001310AD">
        <w:t xml:space="preserve">were </w:t>
      </w:r>
      <w:r w:rsidR="00F97CC5" w:rsidRPr="001310AD">
        <w:t>comparable</w:t>
      </w:r>
      <w:r w:rsidR="002C1CAD" w:rsidRPr="001310AD">
        <w:t xml:space="preserve"> to those reported in </w:t>
      </w:r>
      <w:r w:rsidR="00EE6322" w:rsidRPr="001310AD">
        <w:t xml:space="preserve">AReSVi-006 for any AEs. However, </w:t>
      </w:r>
      <w:r w:rsidR="00A001E4" w:rsidRPr="001310AD">
        <w:t xml:space="preserve">a higher proportion of participants experienced a Grade 3 AE in RSV OA=ADJ-004 (11%) compared to AReSVi-006 (4.1%). </w:t>
      </w:r>
      <w:r w:rsidR="00102A5E" w:rsidRPr="001310AD">
        <w:t>In the July 2024 PBAC consideration, it was noted that data from RSV OA=ADJ-004 showed reactogenicity and safety profiles for revaccination at 12 and 24 months</w:t>
      </w:r>
      <w:r w:rsidR="00EE2AEB" w:rsidRPr="001310AD">
        <w:t xml:space="preserve"> were</w:t>
      </w:r>
      <w:r w:rsidR="00102A5E" w:rsidRPr="001310AD">
        <w:t xml:space="preserve"> </w:t>
      </w:r>
      <w:proofErr w:type="gramStart"/>
      <w:r w:rsidR="00102A5E" w:rsidRPr="001310AD">
        <w:t>similar to</w:t>
      </w:r>
      <w:proofErr w:type="gramEnd"/>
      <w:r w:rsidR="00102A5E" w:rsidRPr="001310AD">
        <w:t xml:space="preserve"> those at the first dose (para</w:t>
      </w:r>
      <w:r w:rsidR="00171684" w:rsidRPr="001310AD">
        <w:t>graph</w:t>
      </w:r>
      <w:r w:rsidR="00102A5E" w:rsidRPr="001310AD">
        <w:t xml:space="preserve"> 6.22, RSVPre</w:t>
      </w:r>
      <w:r w:rsidR="00946F2D" w:rsidRPr="001310AD">
        <w:t>F</w:t>
      </w:r>
      <w:r w:rsidR="00102A5E" w:rsidRPr="001310AD">
        <w:t>3 OA PSD, July 2024).</w:t>
      </w:r>
    </w:p>
    <w:p w14:paraId="04908C7F" w14:textId="415B9B7D" w:rsidR="007F1017" w:rsidRPr="001310AD" w:rsidRDefault="007F1017" w:rsidP="00D86231">
      <w:pPr>
        <w:pStyle w:val="4-SubsectionHeading"/>
      </w:pPr>
      <w:bookmarkStart w:id="45" w:name="_Toc22897643"/>
      <w:bookmarkStart w:id="46" w:name="_Toc198731705"/>
      <w:r w:rsidRPr="001310AD">
        <w:t>Benefits/harms</w:t>
      </w:r>
      <w:bookmarkEnd w:id="45"/>
      <w:bookmarkEnd w:id="46"/>
    </w:p>
    <w:p w14:paraId="3E7F1DFA" w14:textId="4273A8CF" w:rsidR="00F05394" w:rsidRPr="001310AD" w:rsidRDefault="00F05394" w:rsidP="00CC082C">
      <w:pPr>
        <w:pStyle w:val="5-SubsectionSubheading"/>
        <w:spacing w:after="120"/>
        <w:rPr>
          <w:rFonts w:ascii="Arial Narrow" w:hAnsi="Arial Narrow"/>
          <w:color w:val="0066FF"/>
          <w:sz w:val="20"/>
          <w:szCs w:val="16"/>
        </w:rPr>
      </w:pPr>
      <w:bookmarkStart w:id="47" w:name="_Toc198731706"/>
      <w:bookmarkStart w:id="48" w:name="_Ref165828332"/>
      <w:r w:rsidRPr="001310AD">
        <w:t>RSVPreF3 OA (Arexvy) versus placebo</w:t>
      </w:r>
      <w:bookmarkEnd w:id="47"/>
    </w:p>
    <w:p w14:paraId="48E9505D" w14:textId="10120437" w:rsidR="00140646" w:rsidRPr="001310AD" w:rsidRDefault="00140646" w:rsidP="003D48B5">
      <w:pPr>
        <w:pStyle w:val="3-BodyText"/>
        <w:rPr>
          <w:rStyle w:val="CommentReference"/>
          <w:rFonts w:asciiTheme="minorHAnsi" w:hAnsiTheme="minorHAnsi" w:cstheme="minorHAnsi"/>
          <w:color w:val="0066FF"/>
          <w:sz w:val="24"/>
          <w:szCs w:val="24"/>
        </w:rPr>
      </w:pPr>
      <w:r w:rsidRPr="001310AD">
        <w:t xml:space="preserve">A summary of the comparative benefits and harms for RSVPreF3 OA versus placebo is presented in </w:t>
      </w:r>
      <w:r w:rsidR="005E4870" w:rsidRPr="001310AD">
        <w:fldChar w:fldCharType="begin"/>
      </w:r>
      <w:r w:rsidR="005E4870" w:rsidRPr="001310AD">
        <w:instrText xml:space="preserve"> REF _Ref196921019 \h </w:instrText>
      </w:r>
      <w:r w:rsidR="005E4870" w:rsidRPr="001310AD">
        <w:fldChar w:fldCharType="separate"/>
      </w:r>
      <w:r w:rsidR="001F75E0" w:rsidRPr="001310AD">
        <w:t>Table 12</w:t>
      </w:r>
      <w:r w:rsidR="005E4870" w:rsidRPr="001310AD">
        <w:fldChar w:fldCharType="end"/>
      </w:r>
      <w:r w:rsidRPr="001310AD">
        <w:t>.</w:t>
      </w:r>
    </w:p>
    <w:p w14:paraId="57D55DEB" w14:textId="08549491" w:rsidR="00E42A62" w:rsidRPr="001310AD" w:rsidRDefault="005E4870" w:rsidP="005E4870">
      <w:pPr>
        <w:pStyle w:val="Caption"/>
        <w:rPr>
          <w:rStyle w:val="CommentReference"/>
          <w:b/>
          <w:szCs w:val="24"/>
        </w:rPr>
      </w:pPr>
      <w:bookmarkStart w:id="49" w:name="_Ref196921019"/>
      <w:bookmarkEnd w:id="48"/>
      <w:r w:rsidRPr="001310AD">
        <w:lastRenderedPageBreak/>
        <w:t xml:space="preserve">Table </w:t>
      </w:r>
      <w:fldSimple w:instr=" SEQ Table \* ARABIC ">
        <w:r w:rsidR="001F75E0" w:rsidRPr="001310AD">
          <w:t>12</w:t>
        </w:r>
      </w:fldSimple>
      <w:bookmarkEnd w:id="49"/>
      <w:r w:rsidR="00B36627">
        <w:t>:</w:t>
      </w:r>
      <w:r w:rsidRPr="001310AD">
        <w:t xml:space="preserve"> </w:t>
      </w:r>
      <w:r w:rsidR="00E42A62" w:rsidRPr="001310AD">
        <w:t>Summary of comparative benefits and harms for RSV</w:t>
      </w:r>
      <w:r w:rsidR="00A065B7" w:rsidRPr="001310AD">
        <w:t>P</w:t>
      </w:r>
      <w:r w:rsidR="00E42A62" w:rsidRPr="001310AD">
        <w:t>reF3 OA and placebo</w:t>
      </w:r>
    </w:p>
    <w:tbl>
      <w:tblPr>
        <w:tblStyle w:val="TableGrid"/>
        <w:tblW w:w="5000" w:type="pct"/>
        <w:tblLayout w:type="fixed"/>
        <w:tblCellMar>
          <w:left w:w="28" w:type="dxa"/>
          <w:right w:w="28" w:type="dxa"/>
        </w:tblCellMar>
        <w:tblLook w:val="04A0" w:firstRow="1" w:lastRow="0" w:firstColumn="1" w:lastColumn="0" w:noHBand="0" w:noVBand="1"/>
      </w:tblPr>
      <w:tblGrid>
        <w:gridCol w:w="2125"/>
        <w:gridCol w:w="1417"/>
        <w:gridCol w:w="1556"/>
        <w:gridCol w:w="1560"/>
        <w:gridCol w:w="2359"/>
      </w:tblGrid>
      <w:tr w:rsidR="00E42A62" w:rsidRPr="001310AD" w14:paraId="7C79C436" w14:textId="77777777">
        <w:trPr>
          <w:trHeight w:val="20"/>
        </w:trPr>
        <w:tc>
          <w:tcPr>
            <w:tcW w:w="5000" w:type="pct"/>
            <w:gridSpan w:val="5"/>
          </w:tcPr>
          <w:p w14:paraId="2F80D50B" w14:textId="77777777" w:rsidR="00E42A62" w:rsidRPr="001310AD" w:rsidRDefault="00E42A62" w:rsidP="00313C15">
            <w:pPr>
              <w:pStyle w:val="In-tableHeading"/>
            </w:pPr>
            <w:r w:rsidRPr="001310AD">
              <w:t>Benefits</w:t>
            </w:r>
          </w:p>
        </w:tc>
      </w:tr>
      <w:tr w:rsidR="00E42A62" w:rsidRPr="001310AD" w14:paraId="6D1C10A9" w14:textId="77777777">
        <w:trPr>
          <w:trHeight w:val="20"/>
        </w:trPr>
        <w:tc>
          <w:tcPr>
            <w:tcW w:w="5000" w:type="pct"/>
            <w:gridSpan w:val="5"/>
          </w:tcPr>
          <w:p w14:paraId="666934D1" w14:textId="77777777" w:rsidR="00E42A62" w:rsidRPr="001310AD" w:rsidRDefault="00E42A62" w:rsidP="00313C15">
            <w:pPr>
              <w:pStyle w:val="In-tableHeading"/>
            </w:pPr>
            <w:r w:rsidRPr="001310AD">
              <w:t>RT-PCR confirmed RSV-LRTD</w:t>
            </w:r>
          </w:p>
        </w:tc>
      </w:tr>
      <w:tr w:rsidR="00E42A62" w:rsidRPr="001310AD" w14:paraId="2FFB56C3" w14:textId="77777777">
        <w:trPr>
          <w:trHeight w:val="20"/>
        </w:trPr>
        <w:tc>
          <w:tcPr>
            <w:tcW w:w="1178" w:type="pct"/>
            <w:tcBorders>
              <w:bottom w:val="single" w:sz="4" w:space="0" w:color="auto"/>
            </w:tcBorders>
          </w:tcPr>
          <w:p w14:paraId="68B82252" w14:textId="77777777" w:rsidR="00E42A62" w:rsidRPr="001310AD" w:rsidRDefault="00E42A62" w:rsidP="00313C15">
            <w:pPr>
              <w:pStyle w:val="In-tableHeading"/>
            </w:pPr>
            <w:r w:rsidRPr="001310AD">
              <w:t>Event</w:t>
            </w:r>
          </w:p>
        </w:tc>
        <w:tc>
          <w:tcPr>
            <w:tcW w:w="786" w:type="pct"/>
            <w:tcBorders>
              <w:bottom w:val="single" w:sz="4" w:space="0" w:color="auto"/>
            </w:tcBorders>
            <w:vAlign w:val="center"/>
          </w:tcPr>
          <w:p w14:paraId="7B099899" w14:textId="77777777" w:rsidR="00E42A62" w:rsidRPr="001310AD" w:rsidRDefault="00E42A62" w:rsidP="00313C15">
            <w:pPr>
              <w:pStyle w:val="In-tableHeading"/>
            </w:pPr>
            <w:r w:rsidRPr="001310AD">
              <w:t>RSVPreF3 OA</w:t>
            </w:r>
          </w:p>
        </w:tc>
        <w:tc>
          <w:tcPr>
            <w:tcW w:w="863" w:type="pct"/>
            <w:tcBorders>
              <w:bottom w:val="single" w:sz="4" w:space="0" w:color="auto"/>
            </w:tcBorders>
            <w:vAlign w:val="center"/>
          </w:tcPr>
          <w:p w14:paraId="3A302C9A" w14:textId="77777777" w:rsidR="00E42A62" w:rsidRPr="001310AD" w:rsidRDefault="00E42A62" w:rsidP="00313C15">
            <w:pPr>
              <w:pStyle w:val="In-tableHeading"/>
            </w:pPr>
            <w:r w:rsidRPr="001310AD">
              <w:t>Placebo</w:t>
            </w:r>
          </w:p>
        </w:tc>
        <w:tc>
          <w:tcPr>
            <w:tcW w:w="865" w:type="pct"/>
            <w:tcBorders>
              <w:bottom w:val="single" w:sz="4" w:space="0" w:color="auto"/>
            </w:tcBorders>
            <w:vAlign w:val="center"/>
          </w:tcPr>
          <w:p w14:paraId="652BF612" w14:textId="77777777" w:rsidR="00E42A62" w:rsidRPr="001310AD" w:rsidRDefault="00E42A62" w:rsidP="00313C15">
            <w:pPr>
              <w:pStyle w:val="In-tableHeading"/>
              <w:rPr>
                <w:rFonts w:asciiTheme="minorHAnsi" w:hAnsiTheme="minorHAnsi"/>
              </w:rPr>
            </w:pPr>
            <w:r w:rsidRPr="001310AD">
              <w:t>Absolute Difference</w:t>
            </w:r>
          </w:p>
        </w:tc>
        <w:tc>
          <w:tcPr>
            <w:tcW w:w="1308" w:type="pct"/>
            <w:tcBorders>
              <w:bottom w:val="single" w:sz="4" w:space="0" w:color="auto"/>
            </w:tcBorders>
            <w:vAlign w:val="center"/>
          </w:tcPr>
          <w:p w14:paraId="628C007B" w14:textId="42C4D052" w:rsidR="00E42A62" w:rsidRPr="001310AD" w:rsidRDefault="00E42A62" w:rsidP="00313C15">
            <w:pPr>
              <w:pStyle w:val="In-tableHeading"/>
            </w:pPr>
          </w:p>
        </w:tc>
      </w:tr>
      <w:tr w:rsidR="00F36848" w:rsidRPr="001310AD" w14:paraId="554E9AAD" w14:textId="77777777" w:rsidTr="00F36848">
        <w:trPr>
          <w:trHeight w:val="20"/>
        </w:trPr>
        <w:tc>
          <w:tcPr>
            <w:tcW w:w="1964" w:type="pct"/>
            <w:gridSpan w:val="2"/>
            <w:tcBorders>
              <w:bottom w:val="single" w:sz="4" w:space="0" w:color="auto"/>
              <w:right w:val="nil"/>
            </w:tcBorders>
            <w:vAlign w:val="center"/>
          </w:tcPr>
          <w:p w14:paraId="18E80350" w14:textId="14B851A7" w:rsidR="00F36848" w:rsidRPr="001310AD" w:rsidRDefault="00F36848" w:rsidP="00313C15">
            <w:pPr>
              <w:pStyle w:val="TableText0"/>
              <w:widowControl w:val="0"/>
            </w:pPr>
            <w:r w:rsidRPr="001310AD">
              <w:rPr>
                <w:b/>
                <w:bCs w:val="0"/>
              </w:rPr>
              <w:t xml:space="preserve">≥60 YOA over </w:t>
            </w:r>
            <w:r w:rsidRPr="001310AD">
              <w:rPr>
                <w:b/>
              </w:rPr>
              <w:t>cumulative</w:t>
            </w:r>
            <w:r w:rsidRPr="001310AD">
              <w:rPr>
                <w:b/>
                <w:bCs w:val="0"/>
              </w:rPr>
              <w:t xml:space="preserve"> seasons</w:t>
            </w:r>
          </w:p>
        </w:tc>
        <w:tc>
          <w:tcPr>
            <w:tcW w:w="863" w:type="pct"/>
            <w:tcBorders>
              <w:left w:val="nil"/>
              <w:bottom w:val="single" w:sz="4" w:space="0" w:color="auto"/>
              <w:right w:val="nil"/>
            </w:tcBorders>
          </w:tcPr>
          <w:p w14:paraId="17D3DCBF" w14:textId="77777777" w:rsidR="00F36848" w:rsidRPr="001310AD" w:rsidRDefault="00F36848" w:rsidP="00313C15">
            <w:pPr>
              <w:pStyle w:val="TableText0"/>
              <w:widowControl w:val="0"/>
              <w:jc w:val="center"/>
            </w:pPr>
          </w:p>
        </w:tc>
        <w:tc>
          <w:tcPr>
            <w:tcW w:w="865" w:type="pct"/>
            <w:tcBorders>
              <w:left w:val="nil"/>
              <w:bottom w:val="single" w:sz="4" w:space="0" w:color="auto"/>
              <w:right w:val="nil"/>
            </w:tcBorders>
          </w:tcPr>
          <w:p w14:paraId="35C84635" w14:textId="77777777" w:rsidR="00F36848" w:rsidRPr="001310AD" w:rsidRDefault="00F36848" w:rsidP="00313C15">
            <w:pPr>
              <w:pStyle w:val="TableText0"/>
              <w:widowControl w:val="0"/>
              <w:jc w:val="center"/>
            </w:pPr>
          </w:p>
        </w:tc>
        <w:tc>
          <w:tcPr>
            <w:tcW w:w="1308" w:type="pct"/>
            <w:tcBorders>
              <w:left w:val="nil"/>
              <w:bottom w:val="single" w:sz="4" w:space="0" w:color="auto"/>
            </w:tcBorders>
            <w:vAlign w:val="center"/>
          </w:tcPr>
          <w:p w14:paraId="5F3A2948" w14:textId="2C36325B" w:rsidR="00F36848" w:rsidRPr="001310AD" w:rsidRDefault="00F36848" w:rsidP="00313C15">
            <w:pPr>
              <w:pStyle w:val="TableText0"/>
              <w:widowControl w:val="0"/>
              <w:jc w:val="center"/>
              <w:rPr>
                <w:b/>
                <w:bCs w:val="0"/>
              </w:rPr>
            </w:pPr>
            <w:r w:rsidRPr="001310AD">
              <w:rPr>
                <w:b/>
                <w:bCs w:val="0"/>
              </w:rPr>
              <w:t xml:space="preserve">Cumulative VE% (CI </w:t>
            </w:r>
            <w:r w:rsidRPr="001310AD">
              <w:rPr>
                <w:b/>
                <w:bCs w:val="0"/>
                <w:vertAlign w:val="superscript"/>
              </w:rPr>
              <w:t>a</w:t>
            </w:r>
            <w:r w:rsidRPr="001310AD">
              <w:rPr>
                <w:b/>
                <w:bCs w:val="0"/>
              </w:rPr>
              <w:t>)</w:t>
            </w:r>
          </w:p>
        </w:tc>
      </w:tr>
      <w:tr w:rsidR="00E42A62" w:rsidRPr="001310AD" w14:paraId="2769BD9B" w14:textId="77777777" w:rsidTr="006A2783">
        <w:trPr>
          <w:trHeight w:val="20"/>
        </w:trPr>
        <w:tc>
          <w:tcPr>
            <w:tcW w:w="1178" w:type="pct"/>
            <w:tcBorders>
              <w:bottom w:val="single" w:sz="4" w:space="0" w:color="auto"/>
              <w:right w:val="single" w:sz="4" w:space="0" w:color="auto"/>
            </w:tcBorders>
            <w:shd w:val="clear" w:color="auto" w:fill="B8CCE4" w:themeFill="accent1" w:themeFillTint="66"/>
            <w:vAlign w:val="center"/>
          </w:tcPr>
          <w:p w14:paraId="4390D1CA" w14:textId="3D77709F" w:rsidR="00E42A62" w:rsidRPr="001310AD" w:rsidRDefault="00253834" w:rsidP="00313C15">
            <w:pPr>
              <w:pStyle w:val="TableText0"/>
              <w:widowControl w:val="0"/>
            </w:pPr>
            <w:r w:rsidRPr="001310AD">
              <w:t xml:space="preserve">Over </w:t>
            </w:r>
            <w:r w:rsidR="009D06C5" w:rsidRPr="001310AD">
              <w:t>Season</w:t>
            </w:r>
            <w:r w:rsidR="00E42A62" w:rsidRPr="001310AD">
              <w:t xml:space="preserve"> 1</w:t>
            </w:r>
          </w:p>
        </w:tc>
        <w:tc>
          <w:tcPr>
            <w:tcW w:w="786" w:type="pct"/>
            <w:tcBorders>
              <w:left w:val="single" w:sz="4" w:space="0" w:color="auto"/>
              <w:bottom w:val="single" w:sz="4" w:space="0" w:color="auto"/>
              <w:right w:val="single" w:sz="4" w:space="0" w:color="auto"/>
            </w:tcBorders>
            <w:shd w:val="clear" w:color="auto" w:fill="B8CCE4" w:themeFill="accent1" w:themeFillTint="66"/>
          </w:tcPr>
          <w:p w14:paraId="25CCFE49" w14:textId="77777777" w:rsidR="00E42A62" w:rsidRPr="001310AD" w:rsidRDefault="00E42A62" w:rsidP="00313C15">
            <w:pPr>
              <w:pStyle w:val="TableText0"/>
              <w:widowControl w:val="0"/>
              <w:jc w:val="center"/>
            </w:pPr>
            <w:r w:rsidRPr="001310AD">
              <w:t>7/12,466 (0.1%)</w:t>
            </w:r>
          </w:p>
        </w:tc>
        <w:tc>
          <w:tcPr>
            <w:tcW w:w="863" w:type="pct"/>
            <w:tcBorders>
              <w:left w:val="single" w:sz="4" w:space="0" w:color="auto"/>
              <w:bottom w:val="single" w:sz="4" w:space="0" w:color="auto"/>
              <w:right w:val="single" w:sz="4" w:space="0" w:color="auto"/>
            </w:tcBorders>
            <w:shd w:val="clear" w:color="auto" w:fill="B8CCE4" w:themeFill="accent1" w:themeFillTint="66"/>
          </w:tcPr>
          <w:p w14:paraId="4444106F" w14:textId="77777777" w:rsidR="00E42A62" w:rsidRPr="001310AD" w:rsidRDefault="00E42A62" w:rsidP="00313C15">
            <w:pPr>
              <w:pStyle w:val="TableText0"/>
              <w:widowControl w:val="0"/>
              <w:jc w:val="center"/>
            </w:pPr>
            <w:r w:rsidRPr="001310AD">
              <w:t>40/12,494 (0.3%)</w:t>
            </w:r>
          </w:p>
        </w:tc>
        <w:tc>
          <w:tcPr>
            <w:tcW w:w="865" w:type="pct"/>
            <w:tcBorders>
              <w:left w:val="single" w:sz="4" w:space="0" w:color="auto"/>
              <w:bottom w:val="single" w:sz="4" w:space="0" w:color="auto"/>
              <w:right w:val="single" w:sz="4" w:space="0" w:color="auto"/>
            </w:tcBorders>
            <w:shd w:val="clear" w:color="auto" w:fill="B8CCE4" w:themeFill="accent1" w:themeFillTint="66"/>
          </w:tcPr>
          <w:p w14:paraId="02374AF8" w14:textId="77777777" w:rsidR="00E42A62" w:rsidRPr="001310AD" w:rsidRDefault="00E42A62" w:rsidP="00313C15">
            <w:pPr>
              <w:pStyle w:val="TableText0"/>
              <w:widowControl w:val="0"/>
              <w:jc w:val="center"/>
            </w:pPr>
            <w:r w:rsidRPr="001310AD">
              <w:t>33 (0.3%)</w:t>
            </w:r>
          </w:p>
        </w:tc>
        <w:tc>
          <w:tcPr>
            <w:tcW w:w="1308" w:type="pct"/>
            <w:tcBorders>
              <w:left w:val="single" w:sz="4" w:space="0" w:color="auto"/>
              <w:bottom w:val="single" w:sz="4" w:space="0" w:color="auto"/>
            </w:tcBorders>
            <w:shd w:val="clear" w:color="auto" w:fill="B8CCE4" w:themeFill="accent1" w:themeFillTint="66"/>
            <w:vAlign w:val="center"/>
          </w:tcPr>
          <w:p w14:paraId="1E43BB00" w14:textId="4BF7BA80" w:rsidR="00E42A62" w:rsidRPr="001310AD" w:rsidRDefault="00E42A62" w:rsidP="00313C15">
            <w:pPr>
              <w:pStyle w:val="TableText0"/>
              <w:widowControl w:val="0"/>
              <w:jc w:val="center"/>
              <w:rPr>
                <w:b/>
                <w:bCs w:val="0"/>
              </w:rPr>
            </w:pPr>
            <w:r w:rsidRPr="001310AD">
              <w:rPr>
                <w:b/>
                <w:bCs w:val="0"/>
              </w:rPr>
              <w:t>82.</w:t>
            </w:r>
            <w:r w:rsidR="00914B04" w:rsidRPr="001310AD">
              <w:rPr>
                <w:b/>
                <w:bCs w:val="0"/>
              </w:rPr>
              <w:t>6</w:t>
            </w:r>
            <w:r w:rsidRPr="001310AD">
              <w:rPr>
                <w:b/>
                <w:bCs w:val="0"/>
              </w:rPr>
              <w:t xml:space="preserve"> (57.</w:t>
            </w:r>
            <w:r w:rsidR="00914B04" w:rsidRPr="001310AD">
              <w:rPr>
                <w:b/>
                <w:bCs w:val="0"/>
              </w:rPr>
              <w:t>9</w:t>
            </w:r>
            <w:r w:rsidRPr="001310AD">
              <w:rPr>
                <w:b/>
                <w:bCs w:val="0"/>
              </w:rPr>
              <w:t>, 94.</w:t>
            </w:r>
            <w:r w:rsidR="00914B04" w:rsidRPr="001310AD">
              <w:rPr>
                <w:b/>
                <w:bCs w:val="0"/>
              </w:rPr>
              <w:t>1</w:t>
            </w:r>
            <w:r w:rsidRPr="001310AD">
              <w:rPr>
                <w:b/>
                <w:bCs w:val="0"/>
              </w:rPr>
              <w:t>)</w:t>
            </w:r>
          </w:p>
        </w:tc>
      </w:tr>
      <w:tr w:rsidR="00CF777F" w:rsidRPr="001310AD" w14:paraId="5882FA59" w14:textId="77777777" w:rsidTr="006A2783">
        <w:trPr>
          <w:trHeight w:val="20"/>
        </w:trPr>
        <w:tc>
          <w:tcPr>
            <w:tcW w:w="1178" w:type="pct"/>
            <w:tcBorders>
              <w:bottom w:val="single" w:sz="4" w:space="0" w:color="auto"/>
              <w:right w:val="single" w:sz="4" w:space="0" w:color="auto"/>
            </w:tcBorders>
            <w:shd w:val="clear" w:color="auto" w:fill="B8CCE4" w:themeFill="accent1" w:themeFillTint="66"/>
            <w:vAlign w:val="center"/>
          </w:tcPr>
          <w:p w14:paraId="1E9B9C2E" w14:textId="79BA9EC2" w:rsidR="00CF777F" w:rsidRPr="001310AD" w:rsidRDefault="00884DBB" w:rsidP="00313C15">
            <w:pPr>
              <w:pStyle w:val="TableText0"/>
              <w:widowControl w:val="0"/>
            </w:pPr>
            <w:r w:rsidRPr="001310AD">
              <w:t>Over</w:t>
            </w:r>
            <w:r w:rsidR="00CF777F" w:rsidRPr="001310AD">
              <w:t xml:space="preserve"> Season </w:t>
            </w:r>
            <w:r w:rsidRPr="001310AD">
              <w:t xml:space="preserve">1 &amp; </w:t>
            </w:r>
            <w:r w:rsidR="00CF777F" w:rsidRPr="001310AD">
              <w:t>2</w:t>
            </w:r>
          </w:p>
        </w:tc>
        <w:tc>
          <w:tcPr>
            <w:tcW w:w="786" w:type="pct"/>
            <w:tcBorders>
              <w:left w:val="single" w:sz="4" w:space="0" w:color="auto"/>
              <w:bottom w:val="single" w:sz="4" w:space="0" w:color="auto"/>
              <w:right w:val="single" w:sz="4" w:space="0" w:color="auto"/>
            </w:tcBorders>
            <w:shd w:val="clear" w:color="auto" w:fill="B8CCE4" w:themeFill="accent1" w:themeFillTint="66"/>
          </w:tcPr>
          <w:p w14:paraId="52C36561" w14:textId="0E8DFD10" w:rsidR="00CF777F" w:rsidRPr="001310AD" w:rsidRDefault="00CF777F" w:rsidP="00313C15">
            <w:pPr>
              <w:pStyle w:val="TableText0"/>
              <w:widowControl w:val="0"/>
              <w:jc w:val="center"/>
            </w:pPr>
            <w:r w:rsidRPr="001310AD">
              <w:t>30/12,469 (0.2%)</w:t>
            </w:r>
          </w:p>
        </w:tc>
        <w:tc>
          <w:tcPr>
            <w:tcW w:w="863" w:type="pct"/>
            <w:tcBorders>
              <w:left w:val="single" w:sz="4" w:space="0" w:color="auto"/>
              <w:bottom w:val="single" w:sz="4" w:space="0" w:color="auto"/>
              <w:right w:val="single" w:sz="4" w:space="0" w:color="auto"/>
            </w:tcBorders>
            <w:shd w:val="clear" w:color="auto" w:fill="B8CCE4" w:themeFill="accent1" w:themeFillTint="66"/>
          </w:tcPr>
          <w:p w14:paraId="2D151DD2" w14:textId="7831FFD0" w:rsidR="00CF777F" w:rsidRPr="001310AD" w:rsidRDefault="00CF777F" w:rsidP="00313C15">
            <w:pPr>
              <w:pStyle w:val="TableText0"/>
              <w:widowControl w:val="0"/>
              <w:jc w:val="center"/>
            </w:pPr>
            <w:r w:rsidRPr="001310AD">
              <w:t>139/12,498 (1.1%)</w:t>
            </w:r>
          </w:p>
        </w:tc>
        <w:tc>
          <w:tcPr>
            <w:tcW w:w="865" w:type="pct"/>
            <w:tcBorders>
              <w:left w:val="single" w:sz="4" w:space="0" w:color="auto"/>
              <w:bottom w:val="single" w:sz="4" w:space="0" w:color="auto"/>
              <w:right w:val="single" w:sz="4" w:space="0" w:color="auto"/>
            </w:tcBorders>
            <w:shd w:val="clear" w:color="auto" w:fill="B8CCE4" w:themeFill="accent1" w:themeFillTint="66"/>
          </w:tcPr>
          <w:p w14:paraId="1E25C421" w14:textId="312FC6D3" w:rsidR="00CF777F" w:rsidRPr="001310AD" w:rsidRDefault="00CF777F" w:rsidP="00313C15">
            <w:pPr>
              <w:pStyle w:val="TableText0"/>
              <w:widowControl w:val="0"/>
              <w:jc w:val="center"/>
            </w:pPr>
            <w:r w:rsidRPr="001310AD">
              <w:t>109 (0.9%)</w:t>
            </w:r>
          </w:p>
        </w:tc>
        <w:tc>
          <w:tcPr>
            <w:tcW w:w="1308" w:type="pct"/>
            <w:tcBorders>
              <w:top w:val="single" w:sz="4" w:space="0" w:color="auto"/>
              <w:left w:val="single" w:sz="4" w:space="0" w:color="auto"/>
              <w:bottom w:val="single" w:sz="4" w:space="0" w:color="auto"/>
            </w:tcBorders>
            <w:shd w:val="clear" w:color="auto" w:fill="B8CCE4" w:themeFill="accent1" w:themeFillTint="66"/>
            <w:vAlign w:val="center"/>
          </w:tcPr>
          <w:p w14:paraId="29E1DA5D" w14:textId="0BB49323" w:rsidR="00CF777F" w:rsidRPr="001310AD" w:rsidRDefault="00CF777F" w:rsidP="00313C15">
            <w:pPr>
              <w:pStyle w:val="TableText0"/>
              <w:widowControl w:val="0"/>
              <w:jc w:val="center"/>
              <w:rPr>
                <w:b/>
                <w:bCs w:val="0"/>
              </w:rPr>
            </w:pPr>
            <w:r w:rsidRPr="001310AD">
              <w:rPr>
                <w:b/>
                <w:bCs w:val="0"/>
              </w:rPr>
              <w:t>67.</w:t>
            </w:r>
            <w:r w:rsidR="00914B04" w:rsidRPr="001310AD">
              <w:rPr>
                <w:b/>
                <w:bCs w:val="0"/>
              </w:rPr>
              <w:t>2</w:t>
            </w:r>
            <w:r w:rsidRPr="001310AD">
              <w:rPr>
                <w:b/>
                <w:bCs w:val="0"/>
              </w:rPr>
              <w:t xml:space="preserve"> (48.</w:t>
            </w:r>
            <w:r w:rsidR="00914B04" w:rsidRPr="001310AD">
              <w:rPr>
                <w:b/>
                <w:bCs w:val="0"/>
              </w:rPr>
              <w:t>2</w:t>
            </w:r>
            <w:r w:rsidRPr="001310AD">
              <w:rPr>
                <w:b/>
                <w:bCs w:val="0"/>
              </w:rPr>
              <w:t>, 80.0)</w:t>
            </w:r>
          </w:p>
        </w:tc>
      </w:tr>
      <w:tr w:rsidR="00CF777F" w:rsidRPr="001310AD" w14:paraId="4ACED83F" w14:textId="77777777">
        <w:trPr>
          <w:trHeight w:val="20"/>
        </w:trPr>
        <w:tc>
          <w:tcPr>
            <w:tcW w:w="1178" w:type="pct"/>
            <w:tcBorders>
              <w:top w:val="single" w:sz="4" w:space="0" w:color="auto"/>
              <w:bottom w:val="single" w:sz="4" w:space="0" w:color="auto"/>
              <w:right w:val="single" w:sz="4" w:space="0" w:color="auto"/>
            </w:tcBorders>
            <w:vAlign w:val="center"/>
          </w:tcPr>
          <w:p w14:paraId="33CB1CFF" w14:textId="1FCBC027" w:rsidR="00CF777F" w:rsidRPr="001310AD" w:rsidRDefault="00884DBB" w:rsidP="00313C15">
            <w:pPr>
              <w:pStyle w:val="TableText0"/>
              <w:widowControl w:val="0"/>
            </w:pPr>
            <w:r w:rsidRPr="001310AD">
              <w:t>Over</w:t>
            </w:r>
            <w:r w:rsidR="00CF777F" w:rsidRPr="001310AD">
              <w:t xml:space="preserve"> Season </w:t>
            </w:r>
            <w:r w:rsidRPr="001310AD">
              <w:t>1,</w:t>
            </w:r>
            <w:r w:rsidR="00526958" w:rsidRPr="001310AD">
              <w:t xml:space="preserve"> </w:t>
            </w:r>
            <w:r w:rsidRPr="001310AD">
              <w:t xml:space="preserve">2 &amp; </w:t>
            </w:r>
            <w:r w:rsidR="00CF777F" w:rsidRPr="001310AD">
              <w:t>3</w:t>
            </w:r>
          </w:p>
        </w:tc>
        <w:tc>
          <w:tcPr>
            <w:tcW w:w="786" w:type="pct"/>
            <w:tcBorders>
              <w:top w:val="single" w:sz="4" w:space="0" w:color="auto"/>
              <w:left w:val="single" w:sz="4" w:space="0" w:color="auto"/>
              <w:bottom w:val="single" w:sz="4" w:space="0" w:color="auto"/>
              <w:right w:val="single" w:sz="4" w:space="0" w:color="auto"/>
            </w:tcBorders>
          </w:tcPr>
          <w:p w14:paraId="1224355C" w14:textId="5D0FB766" w:rsidR="00CF777F" w:rsidRPr="001310AD" w:rsidRDefault="00CF777F" w:rsidP="00313C15">
            <w:pPr>
              <w:pStyle w:val="TableText0"/>
              <w:widowControl w:val="0"/>
              <w:jc w:val="center"/>
            </w:pPr>
            <w:r w:rsidRPr="001310AD">
              <w:t>48</w:t>
            </w:r>
            <w:r w:rsidR="00871CF3" w:rsidRPr="001310AD">
              <w:t>/12,468</w:t>
            </w:r>
            <w:r w:rsidR="00EA0CDC" w:rsidRPr="001310AD">
              <w:t xml:space="preserve"> (0.4%)</w:t>
            </w:r>
          </w:p>
        </w:tc>
        <w:tc>
          <w:tcPr>
            <w:tcW w:w="863" w:type="pct"/>
            <w:tcBorders>
              <w:top w:val="single" w:sz="4" w:space="0" w:color="auto"/>
              <w:left w:val="single" w:sz="4" w:space="0" w:color="auto"/>
              <w:bottom w:val="single" w:sz="4" w:space="0" w:color="auto"/>
              <w:right w:val="single" w:sz="4" w:space="0" w:color="auto"/>
            </w:tcBorders>
          </w:tcPr>
          <w:p w14:paraId="121FD248" w14:textId="75D153F8" w:rsidR="00CF777F" w:rsidRPr="001310AD" w:rsidRDefault="00871CF3" w:rsidP="00313C15">
            <w:pPr>
              <w:pStyle w:val="TableText0"/>
              <w:widowControl w:val="0"/>
              <w:jc w:val="center"/>
            </w:pPr>
            <w:r w:rsidRPr="001310AD">
              <w:t>215/12,498</w:t>
            </w:r>
            <w:r w:rsidR="00616044" w:rsidRPr="001310AD">
              <w:t xml:space="preserve"> (1.7%)</w:t>
            </w:r>
          </w:p>
        </w:tc>
        <w:tc>
          <w:tcPr>
            <w:tcW w:w="865" w:type="pct"/>
            <w:tcBorders>
              <w:top w:val="single" w:sz="4" w:space="0" w:color="auto"/>
              <w:left w:val="single" w:sz="4" w:space="0" w:color="auto"/>
              <w:bottom w:val="single" w:sz="4" w:space="0" w:color="auto"/>
              <w:right w:val="single" w:sz="4" w:space="0" w:color="auto"/>
            </w:tcBorders>
          </w:tcPr>
          <w:p w14:paraId="69D2CF0C" w14:textId="098E5B30" w:rsidR="00CF777F" w:rsidRPr="001310AD" w:rsidRDefault="00105D52" w:rsidP="00313C15">
            <w:pPr>
              <w:pStyle w:val="TableText0"/>
              <w:widowControl w:val="0"/>
              <w:jc w:val="center"/>
            </w:pPr>
            <w:r w:rsidRPr="001310AD">
              <w:t>167 (</w:t>
            </w:r>
            <w:r w:rsidR="00616044" w:rsidRPr="001310AD">
              <w:t>1.3%)</w:t>
            </w:r>
          </w:p>
        </w:tc>
        <w:tc>
          <w:tcPr>
            <w:tcW w:w="1308" w:type="pct"/>
            <w:tcBorders>
              <w:top w:val="single" w:sz="4" w:space="0" w:color="auto"/>
              <w:left w:val="single" w:sz="4" w:space="0" w:color="auto"/>
              <w:bottom w:val="single" w:sz="4" w:space="0" w:color="auto"/>
            </w:tcBorders>
            <w:vAlign w:val="center"/>
          </w:tcPr>
          <w:p w14:paraId="575DF6B8" w14:textId="1B62CCEA" w:rsidR="00CF777F" w:rsidRPr="001310AD" w:rsidRDefault="00CF777F" w:rsidP="00313C15">
            <w:pPr>
              <w:pStyle w:val="TableText0"/>
              <w:widowControl w:val="0"/>
              <w:jc w:val="center"/>
              <w:rPr>
                <w:b/>
                <w:bCs w:val="0"/>
              </w:rPr>
            </w:pPr>
            <w:r w:rsidRPr="001310AD">
              <w:rPr>
                <w:rFonts w:cs="Calibri"/>
                <w:b/>
                <w:color w:val="000000"/>
              </w:rPr>
              <w:t>62.9 (46.7, 74.</w:t>
            </w:r>
            <w:r w:rsidR="00914B04" w:rsidRPr="001310AD">
              <w:rPr>
                <w:rFonts w:cs="Calibri"/>
                <w:b/>
                <w:color w:val="000000"/>
              </w:rPr>
              <w:t>8</w:t>
            </w:r>
            <w:r w:rsidRPr="001310AD">
              <w:rPr>
                <w:rFonts w:cs="Calibri"/>
                <w:b/>
                <w:color w:val="000000"/>
              </w:rPr>
              <w:t>)</w:t>
            </w:r>
          </w:p>
        </w:tc>
      </w:tr>
      <w:tr w:rsidR="008B2B2A" w:rsidRPr="001310AD" w14:paraId="790B02FA" w14:textId="77777777" w:rsidTr="008B2B2A">
        <w:trPr>
          <w:trHeight w:val="20"/>
        </w:trPr>
        <w:tc>
          <w:tcPr>
            <w:tcW w:w="1964" w:type="pct"/>
            <w:gridSpan w:val="2"/>
            <w:tcBorders>
              <w:top w:val="single" w:sz="4" w:space="0" w:color="auto"/>
              <w:bottom w:val="single" w:sz="4" w:space="0" w:color="auto"/>
              <w:right w:val="single" w:sz="4" w:space="0" w:color="auto"/>
            </w:tcBorders>
            <w:vAlign w:val="center"/>
          </w:tcPr>
          <w:p w14:paraId="2001EB74" w14:textId="7E213FF1" w:rsidR="008B2B2A" w:rsidRPr="001310AD" w:rsidRDefault="008B2B2A" w:rsidP="00313C15">
            <w:pPr>
              <w:pStyle w:val="TableText0"/>
              <w:widowControl w:val="0"/>
            </w:pPr>
            <w:r w:rsidRPr="001310AD">
              <w:rPr>
                <w:b/>
                <w:bCs w:val="0"/>
              </w:rPr>
              <w:t xml:space="preserve">≥60 YOA by </w:t>
            </w:r>
            <w:r w:rsidRPr="001310AD">
              <w:rPr>
                <w:b/>
              </w:rPr>
              <w:t>individual</w:t>
            </w:r>
            <w:r w:rsidRPr="001310AD">
              <w:rPr>
                <w:b/>
                <w:bCs w:val="0"/>
              </w:rPr>
              <w:t xml:space="preserve"> season</w:t>
            </w:r>
          </w:p>
        </w:tc>
        <w:tc>
          <w:tcPr>
            <w:tcW w:w="863" w:type="pct"/>
            <w:tcBorders>
              <w:top w:val="single" w:sz="4" w:space="0" w:color="auto"/>
              <w:left w:val="single" w:sz="4" w:space="0" w:color="auto"/>
              <w:bottom w:val="single" w:sz="4" w:space="0" w:color="auto"/>
              <w:right w:val="single" w:sz="4" w:space="0" w:color="auto"/>
            </w:tcBorders>
          </w:tcPr>
          <w:p w14:paraId="04B2924B" w14:textId="77777777" w:rsidR="008B2B2A" w:rsidRPr="001310AD" w:rsidRDefault="008B2B2A" w:rsidP="00313C15">
            <w:pPr>
              <w:pStyle w:val="TableText0"/>
              <w:widowControl w:val="0"/>
              <w:jc w:val="center"/>
            </w:pPr>
          </w:p>
        </w:tc>
        <w:tc>
          <w:tcPr>
            <w:tcW w:w="865" w:type="pct"/>
            <w:tcBorders>
              <w:top w:val="single" w:sz="4" w:space="0" w:color="auto"/>
              <w:left w:val="single" w:sz="4" w:space="0" w:color="auto"/>
              <w:bottom w:val="single" w:sz="4" w:space="0" w:color="auto"/>
              <w:right w:val="single" w:sz="4" w:space="0" w:color="auto"/>
            </w:tcBorders>
          </w:tcPr>
          <w:p w14:paraId="51A2EFDB" w14:textId="77777777" w:rsidR="008B2B2A" w:rsidRPr="001310AD" w:rsidRDefault="008B2B2A" w:rsidP="00313C15">
            <w:pPr>
              <w:pStyle w:val="TableText0"/>
              <w:widowControl w:val="0"/>
              <w:jc w:val="center"/>
            </w:pPr>
          </w:p>
        </w:tc>
        <w:tc>
          <w:tcPr>
            <w:tcW w:w="1308" w:type="pct"/>
            <w:tcBorders>
              <w:top w:val="single" w:sz="4" w:space="0" w:color="auto"/>
              <w:left w:val="single" w:sz="4" w:space="0" w:color="auto"/>
              <w:bottom w:val="single" w:sz="4" w:space="0" w:color="auto"/>
            </w:tcBorders>
            <w:vAlign w:val="center"/>
          </w:tcPr>
          <w:p w14:paraId="72D88FA1" w14:textId="7CA529D7" w:rsidR="008B2B2A" w:rsidRPr="001310AD" w:rsidRDefault="008B2B2A" w:rsidP="00313C15">
            <w:pPr>
              <w:pStyle w:val="TableText0"/>
              <w:widowControl w:val="0"/>
              <w:jc w:val="center"/>
              <w:rPr>
                <w:rFonts w:cs="Calibri"/>
                <w:b/>
                <w:color w:val="000000"/>
              </w:rPr>
            </w:pPr>
            <w:r w:rsidRPr="001310AD">
              <w:rPr>
                <w:rFonts w:cs="Calibri"/>
                <w:b/>
                <w:color w:val="000000"/>
              </w:rPr>
              <w:t xml:space="preserve">VE% by season (CI </w:t>
            </w:r>
            <w:r w:rsidRPr="001310AD">
              <w:rPr>
                <w:rFonts w:cs="Calibri"/>
                <w:b/>
                <w:color w:val="000000"/>
                <w:vertAlign w:val="superscript"/>
              </w:rPr>
              <w:t>a</w:t>
            </w:r>
            <w:r w:rsidRPr="001310AD">
              <w:rPr>
                <w:rFonts w:cs="Calibri"/>
                <w:b/>
                <w:color w:val="000000"/>
              </w:rPr>
              <w:t>)</w:t>
            </w:r>
          </w:p>
        </w:tc>
      </w:tr>
      <w:tr w:rsidR="005B4F6C" w:rsidRPr="001310AD" w14:paraId="16A6FB4C" w14:textId="77777777" w:rsidTr="00763B8A">
        <w:trPr>
          <w:trHeight w:val="20"/>
        </w:trPr>
        <w:tc>
          <w:tcPr>
            <w:tcW w:w="1178" w:type="pct"/>
            <w:tcBorders>
              <w:top w:val="single" w:sz="4" w:space="0" w:color="auto"/>
              <w:bottom w:val="single" w:sz="4" w:space="0" w:color="auto"/>
              <w:right w:val="single" w:sz="4" w:space="0" w:color="auto"/>
            </w:tcBorders>
            <w:shd w:val="clear" w:color="auto" w:fill="B8CCE4" w:themeFill="accent1" w:themeFillTint="66"/>
            <w:vAlign w:val="center"/>
          </w:tcPr>
          <w:p w14:paraId="2B966051" w14:textId="42945961" w:rsidR="005B4F6C" w:rsidRPr="001310AD" w:rsidRDefault="005B4F6C" w:rsidP="00313C15">
            <w:pPr>
              <w:pStyle w:val="TableText0"/>
              <w:widowControl w:val="0"/>
            </w:pPr>
            <w:r w:rsidRPr="001310AD">
              <w:t>End of Season 1</w:t>
            </w:r>
          </w:p>
        </w:tc>
        <w:tc>
          <w:tcPr>
            <w:tcW w:w="78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F9C4EA" w14:textId="5035C843" w:rsidR="005B4F6C" w:rsidRPr="001310AD" w:rsidRDefault="005B4F6C" w:rsidP="00313C15">
            <w:pPr>
              <w:pStyle w:val="TableText0"/>
              <w:widowControl w:val="0"/>
              <w:jc w:val="center"/>
            </w:pPr>
            <w:r w:rsidRPr="001310AD">
              <w:t>7/12,466 (0.1%)</w:t>
            </w:r>
          </w:p>
        </w:tc>
        <w:tc>
          <w:tcPr>
            <w:tcW w:w="86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041569" w14:textId="5A9BC481" w:rsidR="005B4F6C" w:rsidRPr="001310AD" w:rsidRDefault="00734F84" w:rsidP="00313C15">
            <w:pPr>
              <w:pStyle w:val="TableText0"/>
              <w:widowControl w:val="0"/>
              <w:jc w:val="center"/>
            </w:pPr>
            <w:r w:rsidRPr="001310AD">
              <w:t>3</w:t>
            </w:r>
            <w:r w:rsidR="00CB7D32" w:rsidRPr="001310AD">
              <w:t>6</w:t>
            </w:r>
            <w:r w:rsidR="005B4F6C" w:rsidRPr="001310AD">
              <w:t>/12,49</w:t>
            </w:r>
            <w:r w:rsidR="00BA6521" w:rsidRPr="001310AD">
              <w:t>8</w:t>
            </w:r>
            <w:r w:rsidR="005B4F6C" w:rsidRPr="001310AD">
              <w:t xml:space="preserve"> (0.3%)</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60CCC" w14:textId="742B4F02" w:rsidR="005B4F6C" w:rsidRPr="001310AD" w:rsidRDefault="00B86A4C" w:rsidP="00313C15">
            <w:pPr>
              <w:pStyle w:val="TableText0"/>
              <w:widowControl w:val="0"/>
              <w:jc w:val="center"/>
            </w:pPr>
            <w:r w:rsidRPr="001310AD">
              <w:t>29</w:t>
            </w:r>
            <w:r w:rsidR="005B4F6C" w:rsidRPr="001310AD">
              <w:t xml:space="preserve"> (0.</w:t>
            </w:r>
            <w:r w:rsidRPr="001310AD">
              <w:t>2</w:t>
            </w:r>
            <w:r w:rsidR="005B4F6C" w:rsidRPr="001310AD">
              <w:t>%)</w:t>
            </w:r>
          </w:p>
        </w:tc>
        <w:tc>
          <w:tcPr>
            <w:tcW w:w="1308" w:type="pct"/>
            <w:tcBorders>
              <w:top w:val="single" w:sz="4" w:space="0" w:color="auto"/>
              <w:left w:val="single" w:sz="4" w:space="0" w:color="auto"/>
              <w:bottom w:val="single" w:sz="4" w:space="0" w:color="auto"/>
            </w:tcBorders>
            <w:shd w:val="clear" w:color="auto" w:fill="B8CCE4" w:themeFill="accent1" w:themeFillTint="66"/>
            <w:vAlign w:val="center"/>
          </w:tcPr>
          <w:p w14:paraId="3915DC08" w14:textId="08034A76" w:rsidR="005B4F6C" w:rsidRPr="001310AD" w:rsidRDefault="00EC10FF" w:rsidP="00313C15">
            <w:pPr>
              <w:pStyle w:val="TableText0"/>
              <w:widowControl w:val="0"/>
              <w:jc w:val="center"/>
              <w:rPr>
                <w:rFonts w:cs="Calibri"/>
                <w:b/>
                <w:color w:val="000000"/>
              </w:rPr>
            </w:pPr>
            <w:r w:rsidRPr="001310AD">
              <w:rPr>
                <w:b/>
                <w:bCs w:val="0"/>
              </w:rPr>
              <w:t>80.6</w:t>
            </w:r>
            <w:r w:rsidR="005B4F6C" w:rsidRPr="001310AD">
              <w:rPr>
                <w:b/>
                <w:bCs w:val="0"/>
              </w:rPr>
              <w:t xml:space="preserve"> (</w:t>
            </w:r>
            <w:r w:rsidR="001D74A1" w:rsidRPr="001310AD">
              <w:rPr>
                <w:b/>
                <w:bCs w:val="0"/>
              </w:rPr>
              <w:t>55.9</w:t>
            </w:r>
            <w:r w:rsidR="005B4F6C" w:rsidRPr="001310AD">
              <w:rPr>
                <w:b/>
                <w:bCs w:val="0"/>
              </w:rPr>
              <w:t xml:space="preserve">, </w:t>
            </w:r>
            <w:r w:rsidR="00072A50" w:rsidRPr="001310AD">
              <w:rPr>
                <w:b/>
                <w:bCs w:val="0"/>
              </w:rPr>
              <w:t>92.7</w:t>
            </w:r>
            <w:r w:rsidR="005B4F6C" w:rsidRPr="001310AD">
              <w:rPr>
                <w:b/>
                <w:bCs w:val="0"/>
              </w:rPr>
              <w:t>)</w:t>
            </w:r>
          </w:p>
        </w:tc>
      </w:tr>
      <w:tr w:rsidR="005B4F6C" w:rsidRPr="001310AD" w14:paraId="385D2F6B" w14:textId="77777777" w:rsidTr="00763B8A">
        <w:trPr>
          <w:trHeight w:val="20"/>
        </w:trPr>
        <w:tc>
          <w:tcPr>
            <w:tcW w:w="1178" w:type="pct"/>
            <w:tcBorders>
              <w:top w:val="single" w:sz="4" w:space="0" w:color="auto"/>
              <w:bottom w:val="single" w:sz="4" w:space="0" w:color="auto"/>
              <w:right w:val="single" w:sz="4" w:space="0" w:color="auto"/>
            </w:tcBorders>
            <w:shd w:val="clear" w:color="auto" w:fill="B8CCE4" w:themeFill="accent1" w:themeFillTint="66"/>
            <w:vAlign w:val="center"/>
          </w:tcPr>
          <w:p w14:paraId="167F0391" w14:textId="3D755ABB" w:rsidR="005B4F6C" w:rsidRPr="001310AD" w:rsidRDefault="005B4F6C" w:rsidP="00313C15">
            <w:pPr>
              <w:pStyle w:val="TableText0"/>
              <w:widowControl w:val="0"/>
            </w:pPr>
            <w:r w:rsidRPr="001310AD">
              <w:t>End of Season 2</w:t>
            </w:r>
          </w:p>
        </w:tc>
        <w:tc>
          <w:tcPr>
            <w:tcW w:w="786"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B897D0" w14:textId="36EC6043" w:rsidR="005B4F6C" w:rsidRPr="001310AD" w:rsidRDefault="00EB0DB8" w:rsidP="00313C15">
            <w:pPr>
              <w:pStyle w:val="TableText0"/>
              <w:widowControl w:val="0"/>
              <w:jc w:val="center"/>
            </w:pPr>
            <w:r w:rsidRPr="001310AD">
              <w:t>19</w:t>
            </w:r>
            <w:r w:rsidR="005B4F6C" w:rsidRPr="001310AD">
              <w:t>/</w:t>
            </w:r>
            <w:r w:rsidR="00134F56" w:rsidRPr="001310AD">
              <w:t xml:space="preserve">4,988 </w:t>
            </w:r>
            <w:r w:rsidR="005B4F6C" w:rsidRPr="001310AD">
              <w:t>(0.</w:t>
            </w:r>
            <w:r w:rsidR="00037004" w:rsidRPr="001310AD">
              <w:t>4</w:t>
            </w:r>
            <w:r w:rsidR="005B4F6C" w:rsidRPr="001310AD">
              <w:t>%)</w:t>
            </w:r>
          </w:p>
        </w:tc>
        <w:tc>
          <w:tcPr>
            <w:tcW w:w="86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A4BAA3" w14:textId="2DD15643" w:rsidR="005B4F6C" w:rsidRPr="001310AD" w:rsidRDefault="002D71F3" w:rsidP="00313C15">
            <w:pPr>
              <w:pStyle w:val="TableText0"/>
              <w:widowControl w:val="0"/>
              <w:jc w:val="center"/>
            </w:pPr>
            <w:r w:rsidRPr="001310AD">
              <w:t>98</w:t>
            </w:r>
            <w:r w:rsidR="005B4F6C" w:rsidRPr="001310AD">
              <w:t>/</w:t>
            </w:r>
            <w:r w:rsidR="0030090A" w:rsidRPr="001310AD">
              <w:t>10,031</w:t>
            </w:r>
            <w:r w:rsidR="005B4F6C" w:rsidRPr="001310AD">
              <w:t xml:space="preserve"> (</w:t>
            </w:r>
            <w:r w:rsidR="00511E5A" w:rsidRPr="001310AD">
              <w:t>1.0</w:t>
            </w:r>
            <w:r w:rsidR="005B4F6C" w:rsidRPr="001310AD">
              <w:t>%)</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98E245" w14:textId="57282F4C" w:rsidR="005B4F6C" w:rsidRPr="001310AD" w:rsidRDefault="003C6D41" w:rsidP="00313C15">
            <w:pPr>
              <w:pStyle w:val="TableText0"/>
              <w:widowControl w:val="0"/>
              <w:jc w:val="center"/>
            </w:pPr>
            <w:r w:rsidRPr="001310AD">
              <w:t>7</w:t>
            </w:r>
            <w:r w:rsidR="005B4F6C" w:rsidRPr="001310AD">
              <w:t>9 (0.</w:t>
            </w:r>
            <w:r w:rsidR="00604DC3" w:rsidRPr="001310AD">
              <w:t>6</w:t>
            </w:r>
            <w:r w:rsidR="005B4F6C" w:rsidRPr="001310AD">
              <w:t>%)</w:t>
            </w:r>
          </w:p>
        </w:tc>
        <w:tc>
          <w:tcPr>
            <w:tcW w:w="1308" w:type="pct"/>
            <w:tcBorders>
              <w:top w:val="single" w:sz="4" w:space="0" w:color="auto"/>
              <w:left w:val="single" w:sz="4" w:space="0" w:color="auto"/>
              <w:bottom w:val="single" w:sz="4" w:space="0" w:color="auto"/>
            </w:tcBorders>
            <w:shd w:val="clear" w:color="auto" w:fill="B8CCE4" w:themeFill="accent1" w:themeFillTint="66"/>
            <w:vAlign w:val="center"/>
          </w:tcPr>
          <w:p w14:paraId="6F2D4FD9" w14:textId="64FCF559" w:rsidR="005B4F6C" w:rsidRPr="001310AD" w:rsidRDefault="005B4F6C" w:rsidP="00313C15">
            <w:pPr>
              <w:pStyle w:val="TableText0"/>
              <w:widowControl w:val="0"/>
              <w:jc w:val="center"/>
              <w:rPr>
                <w:rFonts w:cs="Calibri"/>
                <w:b/>
                <w:color w:val="000000"/>
              </w:rPr>
            </w:pPr>
            <w:r w:rsidRPr="001310AD">
              <w:rPr>
                <w:b/>
                <w:bCs w:val="0"/>
              </w:rPr>
              <w:t>6</w:t>
            </w:r>
            <w:r w:rsidR="007164BB" w:rsidRPr="001310AD">
              <w:rPr>
                <w:b/>
                <w:bCs w:val="0"/>
              </w:rPr>
              <w:t>1</w:t>
            </w:r>
            <w:r w:rsidRPr="001310AD">
              <w:rPr>
                <w:b/>
                <w:bCs w:val="0"/>
              </w:rPr>
              <w:t>.</w:t>
            </w:r>
            <w:r w:rsidR="007164BB" w:rsidRPr="001310AD">
              <w:rPr>
                <w:b/>
                <w:bCs w:val="0"/>
              </w:rPr>
              <w:t>4</w:t>
            </w:r>
            <w:r w:rsidRPr="001310AD">
              <w:rPr>
                <w:b/>
                <w:bCs w:val="0"/>
              </w:rPr>
              <w:t xml:space="preserve"> (</w:t>
            </w:r>
            <w:r w:rsidR="006B0A4F" w:rsidRPr="001310AD">
              <w:rPr>
                <w:b/>
                <w:bCs w:val="0"/>
              </w:rPr>
              <w:t>36.4</w:t>
            </w:r>
            <w:r w:rsidRPr="001310AD">
              <w:rPr>
                <w:b/>
                <w:bCs w:val="0"/>
              </w:rPr>
              <w:t xml:space="preserve">, </w:t>
            </w:r>
            <w:r w:rsidR="00360D7A" w:rsidRPr="001310AD">
              <w:rPr>
                <w:b/>
                <w:bCs w:val="0"/>
              </w:rPr>
              <w:t>77.7</w:t>
            </w:r>
            <w:r w:rsidRPr="001310AD">
              <w:rPr>
                <w:b/>
                <w:bCs w:val="0"/>
              </w:rPr>
              <w:t>)</w:t>
            </w:r>
          </w:p>
        </w:tc>
      </w:tr>
      <w:tr w:rsidR="005B4F6C" w:rsidRPr="001310AD" w14:paraId="1E0C0844" w14:textId="77777777">
        <w:trPr>
          <w:trHeight w:val="20"/>
        </w:trPr>
        <w:tc>
          <w:tcPr>
            <w:tcW w:w="1178" w:type="pct"/>
            <w:tcBorders>
              <w:top w:val="single" w:sz="4" w:space="0" w:color="auto"/>
              <w:bottom w:val="single" w:sz="4" w:space="0" w:color="auto"/>
              <w:right w:val="single" w:sz="4" w:space="0" w:color="auto"/>
            </w:tcBorders>
            <w:vAlign w:val="center"/>
          </w:tcPr>
          <w:p w14:paraId="4707CB02" w14:textId="3AE5A8E1" w:rsidR="005B4F6C" w:rsidRPr="001310AD" w:rsidRDefault="005B4F6C" w:rsidP="00313C15">
            <w:pPr>
              <w:pStyle w:val="TableText0"/>
              <w:widowControl w:val="0"/>
            </w:pPr>
            <w:r w:rsidRPr="001310AD">
              <w:t>End of Season 3</w:t>
            </w:r>
          </w:p>
        </w:tc>
        <w:tc>
          <w:tcPr>
            <w:tcW w:w="786" w:type="pct"/>
            <w:tcBorders>
              <w:top w:val="single" w:sz="4" w:space="0" w:color="auto"/>
              <w:left w:val="single" w:sz="4" w:space="0" w:color="auto"/>
              <w:bottom w:val="single" w:sz="4" w:space="0" w:color="auto"/>
              <w:right w:val="single" w:sz="4" w:space="0" w:color="auto"/>
            </w:tcBorders>
          </w:tcPr>
          <w:p w14:paraId="1103D589" w14:textId="178C8919" w:rsidR="005B4F6C" w:rsidRPr="001310AD" w:rsidRDefault="005B4F6C" w:rsidP="00313C15">
            <w:pPr>
              <w:pStyle w:val="TableText0"/>
              <w:widowControl w:val="0"/>
              <w:jc w:val="center"/>
            </w:pPr>
            <w:r w:rsidRPr="001310AD">
              <w:t xml:space="preserve">16/4,988 (0.3%) </w:t>
            </w:r>
          </w:p>
        </w:tc>
        <w:tc>
          <w:tcPr>
            <w:tcW w:w="863" w:type="pct"/>
            <w:tcBorders>
              <w:top w:val="single" w:sz="4" w:space="0" w:color="auto"/>
              <w:left w:val="single" w:sz="4" w:space="0" w:color="auto"/>
              <w:bottom w:val="single" w:sz="4" w:space="0" w:color="auto"/>
              <w:right w:val="single" w:sz="4" w:space="0" w:color="auto"/>
            </w:tcBorders>
          </w:tcPr>
          <w:p w14:paraId="5B239906" w14:textId="057430E5" w:rsidR="005B4F6C" w:rsidRPr="001310AD" w:rsidRDefault="005B4F6C" w:rsidP="00313C15">
            <w:pPr>
              <w:pStyle w:val="TableText0"/>
              <w:widowControl w:val="0"/>
              <w:jc w:val="center"/>
            </w:pPr>
            <w:r w:rsidRPr="001310AD">
              <w:t>60/10,031 (0.6%)</w:t>
            </w:r>
          </w:p>
        </w:tc>
        <w:tc>
          <w:tcPr>
            <w:tcW w:w="865" w:type="pct"/>
            <w:tcBorders>
              <w:top w:val="single" w:sz="4" w:space="0" w:color="auto"/>
              <w:left w:val="single" w:sz="4" w:space="0" w:color="auto"/>
              <w:bottom w:val="single" w:sz="4" w:space="0" w:color="auto"/>
              <w:right w:val="single" w:sz="4" w:space="0" w:color="auto"/>
            </w:tcBorders>
          </w:tcPr>
          <w:p w14:paraId="7FB2541E" w14:textId="55846621" w:rsidR="005B4F6C" w:rsidRPr="001310AD" w:rsidRDefault="005B4F6C" w:rsidP="00313C15">
            <w:pPr>
              <w:pStyle w:val="TableText0"/>
              <w:widowControl w:val="0"/>
              <w:jc w:val="center"/>
            </w:pPr>
            <w:r w:rsidRPr="001310AD">
              <w:t>44 (0.3%)</w:t>
            </w:r>
          </w:p>
        </w:tc>
        <w:tc>
          <w:tcPr>
            <w:tcW w:w="1308" w:type="pct"/>
            <w:tcBorders>
              <w:top w:val="single" w:sz="4" w:space="0" w:color="auto"/>
              <w:left w:val="single" w:sz="4" w:space="0" w:color="auto"/>
              <w:bottom w:val="single" w:sz="4" w:space="0" w:color="auto"/>
            </w:tcBorders>
            <w:vAlign w:val="center"/>
          </w:tcPr>
          <w:p w14:paraId="7751F40A" w14:textId="534EEEE2" w:rsidR="005B4F6C" w:rsidRPr="001310AD" w:rsidRDefault="005B4F6C" w:rsidP="00313C15">
            <w:pPr>
              <w:pStyle w:val="TableText0"/>
              <w:widowControl w:val="0"/>
              <w:jc w:val="center"/>
              <w:rPr>
                <w:rFonts w:cs="Calibri"/>
                <w:b/>
                <w:color w:val="000000"/>
              </w:rPr>
            </w:pPr>
            <w:r w:rsidRPr="001310AD">
              <w:rPr>
                <w:rFonts w:cs="Calibri"/>
                <w:b/>
                <w:color w:val="000000"/>
              </w:rPr>
              <w:t>47.2 (7.1, 71.6)</w:t>
            </w:r>
          </w:p>
        </w:tc>
      </w:tr>
    </w:tbl>
    <w:tbl>
      <w:tblPr>
        <w:tblW w:w="5000" w:type="pct"/>
        <w:tblLayout w:type="fixed"/>
        <w:tblCellMar>
          <w:left w:w="28" w:type="dxa"/>
          <w:right w:w="28" w:type="dxa"/>
        </w:tblCellMar>
        <w:tblLook w:val="04A0" w:firstRow="1" w:lastRow="0" w:firstColumn="1" w:lastColumn="0" w:noHBand="0" w:noVBand="1"/>
        <w:tblCaption w:val="Table 12: Summary of comparative benefits and harms for RSVPreF3 OA and placebo"/>
      </w:tblPr>
      <w:tblGrid>
        <w:gridCol w:w="1150"/>
        <w:gridCol w:w="1141"/>
        <w:gridCol w:w="1284"/>
        <w:gridCol w:w="1555"/>
        <w:gridCol w:w="1133"/>
        <w:gridCol w:w="1246"/>
        <w:gridCol w:w="1508"/>
      </w:tblGrid>
      <w:tr w:rsidR="00E42A62" w:rsidRPr="001310AD" w14:paraId="4B25781A" w14:textId="77777777">
        <w:tc>
          <w:tcPr>
            <w:tcW w:w="5000" w:type="pct"/>
            <w:gridSpan w:val="7"/>
            <w:tcBorders>
              <w:top w:val="double" w:sz="4" w:space="0" w:color="auto"/>
              <w:left w:val="single" w:sz="4" w:space="0" w:color="auto"/>
              <w:bottom w:val="single" w:sz="4" w:space="0" w:color="auto"/>
              <w:right w:val="single" w:sz="4" w:space="0" w:color="auto"/>
            </w:tcBorders>
            <w:vAlign w:val="center"/>
          </w:tcPr>
          <w:p w14:paraId="4546E0A8" w14:textId="6491D468" w:rsidR="00E42A62" w:rsidRPr="001310AD" w:rsidRDefault="00E42A62" w:rsidP="00F13684">
            <w:pPr>
              <w:pStyle w:val="In-tableHeading"/>
            </w:pPr>
            <w:r w:rsidRPr="001310AD">
              <w:t xml:space="preserve">Harms </w:t>
            </w:r>
            <w:r w:rsidR="00F40421" w:rsidRPr="001310AD">
              <w:t>≥60 YOA</w:t>
            </w:r>
          </w:p>
        </w:tc>
      </w:tr>
      <w:tr w:rsidR="00E42A62" w:rsidRPr="001310AD" w14:paraId="3492C35A" w14:textId="77777777" w:rsidTr="00B04C15">
        <w:trPr>
          <w:trHeight w:val="70"/>
        </w:trPr>
        <w:tc>
          <w:tcPr>
            <w:tcW w:w="638" w:type="pct"/>
            <w:vMerge w:val="restart"/>
            <w:tcBorders>
              <w:top w:val="single" w:sz="4" w:space="0" w:color="auto"/>
              <w:left w:val="single" w:sz="4" w:space="0" w:color="auto"/>
              <w:bottom w:val="single" w:sz="4" w:space="0" w:color="auto"/>
              <w:right w:val="single" w:sz="4" w:space="0" w:color="auto"/>
            </w:tcBorders>
            <w:vAlign w:val="center"/>
          </w:tcPr>
          <w:p w14:paraId="777D6CF0" w14:textId="77777777" w:rsidR="00E42A62" w:rsidRPr="001310AD" w:rsidRDefault="00E42A62" w:rsidP="00F13684">
            <w:pPr>
              <w:pStyle w:val="In-tableHeading"/>
            </w:pPr>
            <w:r w:rsidRPr="001310AD">
              <w:t>AReSVi-006</w:t>
            </w:r>
          </w:p>
        </w:tc>
        <w:tc>
          <w:tcPr>
            <w:tcW w:w="633" w:type="pct"/>
            <w:vMerge w:val="restart"/>
            <w:tcBorders>
              <w:top w:val="single" w:sz="4" w:space="0" w:color="auto"/>
              <w:left w:val="single" w:sz="4" w:space="0" w:color="auto"/>
              <w:bottom w:val="single" w:sz="4" w:space="0" w:color="auto"/>
              <w:right w:val="single" w:sz="4" w:space="0" w:color="auto"/>
            </w:tcBorders>
            <w:vAlign w:val="center"/>
          </w:tcPr>
          <w:p w14:paraId="21C917D2" w14:textId="26F08B53" w:rsidR="00E42A62" w:rsidRPr="001310AD" w:rsidRDefault="00E42A62" w:rsidP="00F13684">
            <w:pPr>
              <w:pStyle w:val="In-tableHeading"/>
            </w:pPr>
            <w:r w:rsidRPr="001310AD">
              <w:t>RSV</w:t>
            </w:r>
            <w:r w:rsidR="00A065B7" w:rsidRPr="001310AD">
              <w:t>P</w:t>
            </w:r>
            <w:r w:rsidRPr="001310AD">
              <w:t>reF3 OA</w:t>
            </w:r>
          </w:p>
          <w:p w14:paraId="3AA384AB" w14:textId="77777777" w:rsidR="00E42A62" w:rsidRPr="001310AD" w:rsidRDefault="00E42A62" w:rsidP="00F13684">
            <w:pPr>
              <w:pStyle w:val="In-tableHeading"/>
            </w:pPr>
            <w:r w:rsidRPr="001310AD">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2E25627F" w14:textId="77777777" w:rsidR="00E42A62" w:rsidRPr="001310AD" w:rsidRDefault="00E42A62" w:rsidP="00F13684">
            <w:pPr>
              <w:pStyle w:val="In-tableHeading"/>
            </w:pPr>
            <w:r w:rsidRPr="001310AD">
              <w:t>Placebo</w:t>
            </w:r>
          </w:p>
          <w:p w14:paraId="6B407BD3" w14:textId="77777777" w:rsidR="00E42A62" w:rsidRPr="001310AD" w:rsidRDefault="00E42A62" w:rsidP="00F13684">
            <w:pPr>
              <w:pStyle w:val="In-tableHeading"/>
            </w:pPr>
            <w:r w:rsidRPr="001310AD">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23DB37C1" w14:textId="77777777" w:rsidR="00E42A62" w:rsidRPr="001310AD" w:rsidRDefault="00E42A62" w:rsidP="00F13684">
            <w:pPr>
              <w:pStyle w:val="In-tableHeading"/>
            </w:pPr>
            <w:r w:rsidRPr="001310AD">
              <w:t>RR</w:t>
            </w:r>
          </w:p>
          <w:p w14:paraId="2BF6A262" w14:textId="77777777" w:rsidR="00E42A62" w:rsidRPr="001310AD" w:rsidRDefault="00E42A62" w:rsidP="00F13684">
            <w:pPr>
              <w:pStyle w:val="In-tableHeading"/>
            </w:pPr>
            <w:r w:rsidRPr="001310AD">
              <w:t>(95% CI)</w:t>
            </w:r>
          </w:p>
        </w:tc>
        <w:tc>
          <w:tcPr>
            <w:tcW w:w="1319" w:type="pct"/>
            <w:gridSpan w:val="2"/>
            <w:tcBorders>
              <w:top w:val="single" w:sz="4" w:space="0" w:color="auto"/>
              <w:left w:val="single" w:sz="4" w:space="0" w:color="auto"/>
              <w:bottom w:val="single" w:sz="4" w:space="0" w:color="auto"/>
              <w:right w:val="single" w:sz="4" w:space="0" w:color="auto"/>
            </w:tcBorders>
            <w:vAlign w:val="center"/>
          </w:tcPr>
          <w:p w14:paraId="2FC05714" w14:textId="77777777" w:rsidR="00E42A62" w:rsidRPr="001310AD" w:rsidRDefault="00E42A62" w:rsidP="00F13684">
            <w:pPr>
              <w:pStyle w:val="In-tableHeading"/>
            </w:pPr>
            <w:r w:rsidRPr="001310AD">
              <w:t>Event rate/100 patients</w:t>
            </w:r>
          </w:p>
        </w:tc>
        <w:tc>
          <w:tcPr>
            <w:tcW w:w="836" w:type="pct"/>
            <w:vMerge w:val="restart"/>
            <w:tcBorders>
              <w:top w:val="single" w:sz="4" w:space="0" w:color="auto"/>
              <w:left w:val="single" w:sz="4" w:space="0" w:color="auto"/>
              <w:bottom w:val="single" w:sz="4" w:space="0" w:color="auto"/>
              <w:right w:val="single" w:sz="4" w:space="0" w:color="auto"/>
            </w:tcBorders>
            <w:vAlign w:val="center"/>
          </w:tcPr>
          <w:p w14:paraId="00D96D11" w14:textId="77777777" w:rsidR="00E42A62" w:rsidRPr="001310AD" w:rsidRDefault="00E42A62" w:rsidP="00F13684">
            <w:pPr>
              <w:pStyle w:val="In-tableHeading"/>
            </w:pPr>
            <w:r w:rsidRPr="001310AD">
              <w:t>RD</w:t>
            </w:r>
          </w:p>
          <w:p w14:paraId="3039CDA3" w14:textId="77777777" w:rsidR="00E42A62" w:rsidRPr="001310AD" w:rsidRDefault="00E42A62" w:rsidP="00F13684">
            <w:pPr>
              <w:pStyle w:val="In-tableHeading"/>
            </w:pPr>
            <w:r w:rsidRPr="001310AD">
              <w:t>(95% CI)</w:t>
            </w:r>
          </w:p>
        </w:tc>
      </w:tr>
      <w:tr w:rsidR="00E42A62" w:rsidRPr="001310AD" w14:paraId="19AF276E" w14:textId="77777777" w:rsidTr="00B04C15">
        <w:trPr>
          <w:trHeight w:val="390"/>
        </w:trPr>
        <w:tc>
          <w:tcPr>
            <w:tcW w:w="638" w:type="pct"/>
            <w:vMerge/>
            <w:tcBorders>
              <w:top w:val="single" w:sz="4" w:space="0" w:color="auto"/>
              <w:left w:val="single" w:sz="4" w:space="0" w:color="auto"/>
              <w:bottom w:val="single" w:sz="4" w:space="0" w:color="auto"/>
              <w:right w:val="single" w:sz="4" w:space="0" w:color="auto"/>
            </w:tcBorders>
            <w:vAlign w:val="center"/>
          </w:tcPr>
          <w:p w14:paraId="7D5D3091" w14:textId="77777777" w:rsidR="00E42A62" w:rsidRPr="001310AD" w:rsidRDefault="00E42A62" w:rsidP="00F13684">
            <w:pPr>
              <w:pStyle w:val="In-tableHeading"/>
            </w:pPr>
          </w:p>
        </w:tc>
        <w:tc>
          <w:tcPr>
            <w:tcW w:w="633" w:type="pct"/>
            <w:vMerge/>
            <w:tcBorders>
              <w:top w:val="single" w:sz="4" w:space="0" w:color="auto"/>
              <w:left w:val="single" w:sz="4" w:space="0" w:color="auto"/>
              <w:bottom w:val="single" w:sz="4" w:space="0" w:color="auto"/>
              <w:right w:val="single" w:sz="4" w:space="0" w:color="auto"/>
            </w:tcBorders>
            <w:vAlign w:val="center"/>
          </w:tcPr>
          <w:p w14:paraId="7B1D1D33" w14:textId="77777777" w:rsidR="00E42A62" w:rsidRPr="001310AD" w:rsidRDefault="00E42A62" w:rsidP="00F13684">
            <w:pPr>
              <w:pStyle w:val="In-tableHeading"/>
            </w:pPr>
          </w:p>
        </w:tc>
        <w:tc>
          <w:tcPr>
            <w:tcW w:w="712" w:type="pct"/>
            <w:vMerge/>
            <w:tcBorders>
              <w:top w:val="single" w:sz="4" w:space="0" w:color="auto"/>
              <w:left w:val="single" w:sz="4" w:space="0" w:color="auto"/>
              <w:bottom w:val="single" w:sz="4" w:space="0" w:color="auto"/>
              <w:right w:val="single" w:sz="4" w:space="0" w:color="auto"/>
            </w:tcBorders>
            <w:vAlign w:val="center"/>
          </w:tcPr>
          <w:p w14:paraId="26F63320" w14:textId="77777777" w:rsidR="00E42A62" w:rsidRPr="001310AD" w:rsidRDefault="00E42A62" w:rsidP="00F13684">
            <w:pPr>
              <w:pStyle w:val="In-tableHeading"/>
            </w:pPr>
          </w:p>
        </w:tc>
        <w:tc>
          <w:tcPr>
            <w:tcW w:w="862" w:type="pct"/>
            <w:vMerge/>
            <w:tcBorders>
              <w:top w:val="single" w:sz="4" w:space="0" w:color="auto"/>
              <w:left w:val="single" w:sz="4" w:space="0" w:color="auto"/>
              <w:bottom w:val="single" w:sz="4" w:space="0" w:color="auto"/>
              <w:right w:val="single" w:sz="4" w:space="0" w:color="auto"/>
            </w:tcBorders>
            <w:vAlign w:val="center"/>
          </w:tcPr>
          <w:p w14:paraId="4E14275E" w14:textId="77777777" w:rsidR="00E42A62" w:rsidRPr="001310AD" w:rsidRDefault="00E42A62" w:rsidP="00F13684">
            <w:pPr>
              <w:pStyle w:val="In-tableHeading"/>
            </w:pPr>
          </w:p>
        </w:tc>
        <w:tc>
          <w:tcPr>
            <w:tcW w:w="628" w:type="pct"/>
            <w:tcBorders>
              <w:top w:val="single" w:sz="4" w:space="0" w:color="auto"/>
              <w:left w:val="single" w:sz="4" w:space="0" w:color="auto"/>
              <w:bottom w:val="single" w:sz="4" w:space="0" w:color="auto"/>
              <w:right w:val="single" w:sz="4" w:space="0" w:color="auto"/>
            </w:tcBorders>
            <w:vAlign w:val="center"/>
          </w:tcPr>
          <w:p w14:paraId="76372BB2" w14:textId="10D75F6B" w:rsidR="00E42A62" w:rsidRPr="001310AD" w:rsidRDefault="00E42A62" w:rsidP="00F13684">
            <w:pPr>
              <w:pStyle w:val="In-tableHeading"/>
            </w:pPr>
            <w:r w:rsidRPr="001310AD">
              <w:t>RSV</w:t>
            </w:r>
            <w:r w:rsidR="00A065B7" w:rsidRPr="001310AD">
              <w:t>P</w:t>
            </w:r>
            <w:r w:rsidRPr="001310AD">
              <w:t>reF3 OA</w:t>
            </w:r>
          </w:p>
        </w:tc>
        <w:tc>
          <w:tcPr>
            <w:tcW w:w="691" w:type="pct"/>
            <w:tcBorders>
              <w:top w:val="single" w:sz="4" w:space="0" w:color="auto"/>
              <w:left w:val="single" w:sz="4" w:space="0" w:color="auto"/>
              <w:bottom w:val="single" w:sz="4" w:space="0" w:color="auto"/>
              <w:right w:val="single" w:sz="4" w:space="0" w:color="auto"/>
            </w:tcBorders>
            <w:vAlign w:val="center"/>
          </w:tcPr>
          <w:p w14:paraId="3D9430BE" w14:textId="77777777" w:rsidR="00E42A62" w:rsidRPr="001310AD" w:rsidRDefault="00E42A62" w:rsidP="00F13684">
            <w:pPr>
              <w:pStyle w:val="In-tableHeading"/>
            </w:pPr>
            <w:r w:rsidRPr="001310AD">
              <w:t>Comparator/</w:t>
            </w:r>
          </w:p>
          <w:p w14:paraId="791EC435" w14:textId="77777777" w:rsidR="00E42A62" w:rsidRPr="001310AD" w:rsidRDefault="00E42A62" w:rsidP="00F13684">
            <w:pPr>
              <w:pStyle w:val="In-tableHeading"/>
            </w:pPr>
            <w:r w:rsidRPr="001310AD">
              <w:t>Placebo</w:t>
            </w:r>
          </w:p>
        </w:tc>
        <w:tc>
          <w:tcPr>
            <w:tcW w:w="836" w:type="pct"/>
            <w:vMerge/>
            <w:tcBorders>
              <w:top w:val="single" w:sz="4" w:space="0" w:color="auto"/>
              <w:left w:val="single" w:sz="4" w:space="0" w:color="auto"/>
              <w:bottom w:val="single" w:sz="4" w:space="0" w:color="auto"/>
              <w:right w:val="single" w:sz="4" w:space="0" w:color="auto"/>
            </w:tcBorders>
            <w:vAlign w:val="center"/>
          </w:tcPr>
          <w:p w14:paraId="2C5A27A1" w14:textId="77777777" w:rsidR="00E42A62" w:rsidRPr="001310AD" w:rsidRDefault="00E42A62" w:rsidP="00F13684">
            <w:pPr>
              <w:pStyle w:val="In-tableHeading"/>
            </w:pPr>
          </w:p>
        </w:tc>
      </w:tr>
      <w:tr w:rsidR="00E42A62" w:rsidRPr="001310AD" w14:paraId="5C4774C4" w14:textId="77777777" w:rsidTr="006A2783">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885590" w14:textId="77777777" w:rsidR="00E42A62" w:rsidRPr="001310AD" w:rsidRDefault="00E42A62" w:rsidP="002A7D21">
            <w:pPr>
              <w:pStyle w:val="In-tableHeading"/>
              <w:jc w:val="left"/>
            </w:pPr>
            <w:r w:rsidRPr="001310AD">
              <w:t>Solicited Grade 3 events within 4 days following dose 1</w:t>
            </w:r>
          </w:p>
        </w:tc>
      </w:tr>
      <w:tr w:rsidR="00E42A62" w:rsidRPr="001310AD" w14:paraId="771696C0"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575BFE" w14:textId="77777777" w:rsidR="00E42A62" w:rsidRPr="001310AD" w:rsidRDefault="00E42A62">
            <w:pPr>
              <w:pStyle w:val="TableText0"/>
            </w:pPr>
            <w:r w:rsidRPr="001310AD">
              <w:rPr>
                <w:rFonts w:eastAsia="Times New Roman" w:cs="Calibri"/>
                <w:color w:val="000000"/>
              </w:rPr>
              <w:t>Any AE</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71027A" w14:textId="4763BA7A" w:rsidR="00E42A62" w:rsidRPr="001310AD" w:rsidRDefault="00E42A62">
            <w:pPr>
              <w:pStyle w:val="TableText0"/>
              <w:jc w:val="center"/>
            </w:pPr>
            <w:r w:rsidRPr="001310AD">
              <w:t>36/879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78EF0A" w14:textId="77777777" w:rsidR="00E42A62" w:rsidRPr="001310AD" w:rsidRDefault="00E42A62">
            <w:pPr>
              <w:pStyle w:val="TableText0"/>
              <w:jc w:val="center"/>
            </w:pPr>
            <w:r w:rsidRPr="001310AD">
              <w:t>8/878</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77420D" w14:textId="77777777" w:rsidR="00E42A62" w:rsidRPr="001310AD" w:rsidRDefault="00E42A62">
            <w:pPr>
              <w:pStyle w:val="TableText0"/>
              <w:jc w:val="center"/>
            </w:pPr>
            <w:r w:rsidRPr="001310AD">
              <w:t>4.49 (2.10, 9.62)</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2DCA62" w14:textId="77777777" w:rsidR="00E42A62" w:rsidRPr="001310AD" w:rsidRDefault="00E42A62">
            <w:pPr>
              <w:pStyle w:val="TableText0"/>
              <w:jc w:val="center"/>
            </w:pPr>
            <w:r w:rsidRPr="001310AD">
              <w:t>4.10</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3B9ED63" w14:textId="77777777" w:rsidR="00E42A62" w:rsidRPr="001310AD" w:rsidRDefault="00E42A62">
            <w:pPr>
              <w:pStyle w:val="TableText0"/>
              <w:jc w:val="center"/>
            </w:pPr>
            <w:r w:rsidRPr="001310AD">
              <w:t>0.91</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D4DC5C" w14:textId="2A986AA0" w:rsidR="00E42A62" w:rsidRPr="001310AD" w:rsidRDefault="00E42A62">
            <w:pPr>
              <w:pStyle w:val="TableText0"/>
              <w:jc w:val="center"/>
              <w:rPr>
                <w:bCs w:val="0"/>
              </w:rPr>
            </w:pPr>
            <w:r w:rsidRPr="001310AD">
              <w:rPr>
                <w:bCs w:val="0"/>
              </w:rPr>
              <w:t>0.03</w:t>
            </w:r>
            <w:r w:rsidR="000E6721" w:rsidRPr="001310AD">
              <w:rPr>
                <w:bCs w:val="0"/>
              </w:rPr>
              <w:t>2</w:t>
            </w:r>
            <w:r w:rsidRPr="001310AD">
              <w:rPr>
                <w:bCs w:val="0"/>
              </w:rPr>
              <w:t xml:space="preserve"> (0.02, 0.05)</w:t>
            </w:r>
          </w:p>
        </w:tc>
      </w:tr>
      <w:tr w:rsidR="00E42A62" w:rsidRPr="001310AD" w14:paraId="11D4966D"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A24228" w14:textId="77777777" w:rsidR="00E42A62" w:rsidRPr="001310AD" w:rsidRDefault="00E42A62">
            <w:pPr>
              <w:pStyle w:val="TableText0"/>
            </w:pPr>
            <w:r w:rsidRPr="001310AD">
              <w:rPr>
                <w:rFonts w:eastAsia="Times New Roman" w:cs="Calibri"/>
                <w:color w:val="000000"/>
              </w:rPr>
              <w:t>Admin-site AE</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D0BC7E" w14:textId="77777777" w:rsidR="00E42A62" w:rsidRPr="001310AD" w:rsidRDefault="00E42A62">
            <w:pPr>
              <w:pStyle w:val="TableText0"/>
              <w:jc w:val="center"/>
            </w:pPr>
            <w:r w:rsidRPr="001310AD">
              <w:t xml:space="preserve">13 </w:t>
            </w:r>
            <w:r w:rsidRPr="001310AD">
              <w:rPr>
                <w:vertAlign w:val="superscript"/>
              </w:rPr>
              <w:t>b</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DBFDF3" w14:textId="77777777" w:rsidR="00E42A62" w:rsidRPr="001310AD" w:rsidRDefault="00E42A62">
            <w:pPr>
              <w:pStyle w:val="TableText0"/>
              <w:jc w:val="center"/>
            </w:pPr>
            <w:r w:rsidRPr="001310AD">
              <w:t xml:space="preserve">13 </w:t>
            </w:r>
            <w:r w:rsidRPr="001310AD">
              <w:rPr>
                <w:vertAlign w:val="superscript"/>
              </w:rPr>
              <w:t>b</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AA1464" w14:textId="77777777" w:rsidR="00E42A62" w:rsidRPr="001310AD" w:rsidRDefault="00E42A62">
            <w:pPr>
              <w:pStyle w:val="TableText0"/>
              <w:jc w:val="center"/>
            </w:pPr>
            <w:r w:rsidRPr="001310AD">
              <w:t>NA</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DD143F" w14:textId="77777777" w:rsidR="00E42A62" w:rsidRPr="001310AD" w:rsidRDefault="00E42A62">
            <w:pPr>
              <w:pStyle w:val="TableText0"/>
              <w:jc w:val="center"/>
            </w:pPr>
            <w:r w:rsidRPr="001310AD">
              <w:t>NA</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5E9F82" w14:textId="77777777" w:rsidR="00E42A62" w:rsidRPr="001310AD" w:rsidRDefault="00E42A62">
            <w:pPr>
              <w:pStyle w:val="TableText0"/>
              <w:jc w:val="center"/>
            </w:pPr>
            <w:r w:rsidRPr="001310AD">
              <w:t>NA</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1A2A47" w14:textId="77777777" w:rsidR="00E42A62" w:rsidRPr="001310AD" w:rsidRDefault="00E42A62">
            <w:pPr>
              <w:pStyle w:val="TableText0"/>
              <w:jc w:val="center"/>
              <w:rPr>
                <w:bCs w:val="0"/>
              </w:rPr>
            </w:pPr>
            <w:r w:rsidRPr="001310AD">
              <w:rPr>
                <w:bCs w:val="0"/>
              </w:rPr>
              <w:t>NA</w:t>
            </w:r>
          </w:p>
        </w:tc>
      </w:tr>
      <w:tr w:rsidR="00E42A62" w:rsidRPr="001310AD" w14:paraId="0C472473"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9B82A8" w14:textId="77777777" w:rsidR="00E42A62" w:rsidRPr="001310AD" w:rsidRDefault="00E42A62">
            <w:pPr>
              <w:pStyle w:val="TableText0"/>
            </w:pPr>
            <w:r w:rsidRPr="001310AD">
              <w:rPr>
                <w:rFonts w:eastAsia="Times New Roman" w:cs="Calibri"/>
                <w:color w:val="000000"/>
              </w:rPr>
              <w:t>Systemic AE</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F01D35" w14:textId="77777777" w:rsidR="00E42A62" w:rsidRPr="001310AD" w:rsidRDefault="00E42A62">
            <w:pPr>
              <w:pStyle w:val="TableText0"/>
              <w:jc w:val="center"/>
            </w:pPr>
            <w:r w:rsidRPr="001310AD">
              <w:t>29/879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9D3A3E" w14:textId="77777777" w:rsidR="00E42A62" w:rsidRPr="001310AD" w:rsidRDefault="00E42A62">
            <w:pPr>
              <w:pStyle w:val="TableText0"/>
              <w:jc w:val="center"/>
            </w:pPr>
            <w:r w:rsidRPr="001310AD">
              <w:t xml:space="preserve">8/878 </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D03B01" w14:textId="77777777" w:rsidR="00E42A62" w:rsidRPr="001310AD" w:rsidRDefault="00E42A62">
            <w:pPr>
              <w:pStyle w:val="TableText0"/>
              <w:jc w:val="center"/>
            </w:pPr>
            <w:r w:rsidRPr="001310AD">
              <w:t>3.62 (1.67, 7.88)</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749770" w14:textId="77777777" w:rsidR="00E42A62" w:rsidRPr="001310AD" w:rsidRDefault="00E42A62">
            <w:pPr>
              <w:pStyle w:val="TableText0"/>
              <w:jc w:val="center"/>
            </w:pPr>
            <w:r w:rsidRPr="001310AD">
              <w:t>3.30</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E28A1C" w14:textId="77777777" w:rsidR="00E42A62" w:rsidRPr="001310AD" w:rsidRDefault="00E42A62">
            <w:pPr>
              <w:pStyle w:val="TableText0"/>
              <w:jc w:val="center"/>
            </w:pPr>
            <w:r w:rsidRPr="001310AD">
              <w:t>0.91</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D9600F" w14:textId="2A2C6C13" w:rsidR="00E42A62" w:rsidRPr="001310AD" w:rsidRDefault="00E42A62">
            <w:pPr>
              <w:pStyle w:val="TableText0"/>
              <w:jc w:val="center"/>
              <w:rPr>
                <w:bCs w:val="0"/>
              </w:rPr>
            </w:pPr>
            <w:r w:rsidRPr="001310AD">
              <w:rPr>
                <w:bCs w:val="0"/>
              </w:rPr>
              <w:t>0.02</w:t>
            </w:r>
            <w:r w:rsidR="0015407D" w:rsidRPr="001310AD">
              <w:rPr>
                <w:bCs w:val="0"/>
              </w:rPr>
              <w:t>4</w:t>
            </w:r>
            <w:r w:rsidRPr="001310AD">
              <w:rPr>
                <w:bCs w:val="0"/>
              </w:rPr>
              <w:t xml:space="preserve"> (0.01, 0.04)</w:t>
            </w:r>
          </w:p>
        </w:tc>
      </w:tr>
      <w:tr w:rsidR="00E42A62" w:rsidRPr="001310AD" w14:paraId="6E410ADE" w14:textId="77777777" w:rsidTr="006A2783">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4E1324" w14:textId="77777777" w:rsidR="00E42A62" w:rsidRPr="001310AD" w:rsidRDefault="00E42A62">
            <w:pPr>
              <w:pStyle w:val="TableText0"/>
              <w:rPr>
                <w:b/>
                <w:bCs w:val="0"/>
              </w:rPr>
            </w:pPr>
            <w:r w:rsidRPr="001310AD">
              <w:rPr>
                <w:b/>
                <w:bCs w:val="0"/>
              </w:rPr>
              <w:t>Unsolicited AEs within 30 days post vaccination</w:t>
            </w:r>
          </w:p>
        </w:tc>
      </w:tr>
      <w:tr w:rsidR="00E42A62" w:rsidRPr="001310AD" w14:paraId="2002168A"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4AC8BB" w14:textId="77777777" w:rsidR="00E42A62" w:rsidRPr="001310AD" w:rsidRDefault="00E42A62">
            <w:pPr>
              <w:pStyle w:val="TableText0"/>
            </w:pPr>
            <w:r w:rsidRPr="001310AD">
              <w:rPr>
                <w:rFonts w:eastAsia="Times New Roman" w:cs="Calibri"/>
                <w:color w:val="000000"/>
              </w:rPr>
              <w:t>Any Grade 3</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0037EEE" w14:textId="7187CEC5" w:rsidR="00E42A62" w:rsidRPr="001310AD" w:rsidRDefault="00E42A62">
            <w:pPr>
              <w:pStyle w:val="TableText0"/>
              <w:jc w:val="center"/>
            </w:pPr>
            <w:r w:rsidRPr="001310AD">
              <w:t>251/12,4</w:t>
            </w:r>
            <w:r w:rsidR="009C387F" w:rsidRPr="001310AD">
              <w:t>69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12957DE" w14:textId="77777777" w:rsidR="00E42A62" w:rsidRPr="001310AD" w:rsidRDefault="00E42A62">
            <w:pPr>
              <w:pStyle w:val="TableText0"/>
              <w:jc w:val="center"/>
            </w:pPr>
            <w:r w:rsidRPr="001310AD">
              <w:t>158/12,503</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1C863D" w14:textId="77777777" w:rsidR="00E42A62" w:rsidRPr="001310AD" w:rsidRDefault="00E42A62">
            <w:pPr>
              <w:pStyle w:val="TableText0"/>
              <w:jc w:val="center"/>
              <w:rPr>
                <w:b/>
                <w:bCs w:val="0"/>
              </w:rPr>
            </w:pPr>
            <w:r w:rsidRPr="001310AD">
              <w:t>1.59 (1.31, 1.94)</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569A8B" w14:textId="77777777" w:rsidR="00E42A62" w:rsidRPr="001310AD" w:rsidRDefault="00E42A62">
            <w:pPr>
              <w:pStyle w:val="TableText0"/>
              <w:jc w:val="center"/>
            </w:pPr>
            <w:r w:rsidRPr="001310AD">
              <w:t>2.01</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73974E" w14:textId="77777777" w:rsidR="00E42A62" w:rsidRPr="001310AD" w:rsidRDefault="00E42A62">
            <w:pPr>
              <w:pStyle w:val="TableText0"/>
              <w:jc w:val="center"/>
            </w:pPr>
            <w:r w:rsidRPr="001310AD">
              <w:t>1.26</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807480" w14:textId="2016C533" w:rsidR="00E42A62" w:rsidRPr="001310AD" w:rsidRDefault="00E42A62">
            <w:pPr>
              <w:pStyle w:val="TableText0"/>
              <w:jc w:val="center"/>
              <w:rPr>
                <w:bCs w:val="0"/>
              </w:rPr>
            </w:pPr>
            <w:r w:rsidRPr="001310AD">
              <w:rPr>
                <w:bCs w:val="0"/>
              </w:rPr>
              <w:t>0.0</w:t>
            </w:r>
            <w:r w:rsidR="005E428B" w:rsidRPr="001310AD">
              <w:rPr>
                <w:bCs w:val="0"/>
              </w:rPr>
              <w:t>07</w:t>
            </w:r>
            <w:r w:rsidRPr="001310AD">
              <w:rPr>
                <w:bCs w:val="0"/>
              </w:rPr>
              <w:t xml:space="preserve"> (0.00, 0.01)</w:t>
            </w:r>
          </w:p>
        </w:tc>
      </w:tr>
      <w:tr w:rsidR="00E42A62" w:rsidRPr="001310AD" w14:paraId="14367710"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275CEA" w14:textId="77777777" w:rsidR="00E42A62" w:rsidRPr="001310AD" w:rsidRDefault="00E42A62">
            <w:pPr>
              <w:pStyle w:val="TableText0"/>
            </w:pPr>
            <w:r w:rsidRPr="001310AD">
              <w:rPr>
                <w:rFonts w:eastAsia="Times New Roman" w:cs="Calibri"/>
                <w:color w:val="000000"/>
              </w:rPr>
              <w:t>Any Grade 3 related to the intervention</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243A01" w14:textId="7FF41733" w:rsidR="00E42A62" w:rsidRPr="001310AD" w:rsidRDefault="00E42A62">
            <w:pPr>
              <w:pStyle w:val="TableText0"/>
              <w:jc w:val="center"/>
            </w:pPr>
            <w:r w:rsidRPr="001310AD">
              <w:t>110/12,</w:t>
            </w:r>
            <w:r w:rsidR="009C387F" w:rsidRPr="001310AD">
              <w:t>469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D1E64C" w14:textId="77777777" w:rsidR="00E42A62" w:rsidRPr="001310AD" w:rsidRDefault="00E42A62">
            <w:pPr>
              <w:pStyle w:val="TableText0"/>
              <w:jc w:val="center"/>
            </w:pPr>
            <w:r w:rsidRPr="001310AD">
              <w:t>23/12,503</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7CB259" w14:textId="77777777" w:rsidR="00E42A62" w:rsidRPr="001310AD" w:rsidRDefault="00E42A62">
            <w:pPr>
              <w:pStyle w:val="TableText0"/>
              <w:jc w:val="center"/>
            </w:pPr>
            <w:r w:rsidRPr="001310AD">
              <w:t>4.79 (3.06, 7.51)</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D2E627" w14:textId="77777777" w:rsidR="00E42A62" w:rsidRPr="001310AD" w:rsidRDefault="00E42A62">
            <w:pPr>
              <w:pStyle w:val="TableText0"/>
              <w:jc w:val="center"/>
            </w:pPr>
            <w:r w:rsidRPr="001310AD">
              <w:t>0.88</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D42B08" w14:textId="77777777" w:rsidR="00E42A62" w:rsidRPr="001310AD" w:rsidRDefault="00E42A62">
            <w:pPr>
              <w:pStyle w:val="TableText0"/>
              <w:jc w:val="center"/>
            </w:pPr>
            <w:r w:rsidRPr="001310AD">
              <w:t>0.18</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83829D" w14:textId="654DF54B" w:rsidR="00E42A62" w:rsidRPr="001310AD" w:rsidRDefault="00E42A62">
            <w:pPr>
              <w:pStyle w:val="TableText0"/>
              <w:jc w:val="center"/>
              <w:rPr>
                <w:bCs w:val="0"/>
              </w:rPr>
            </w:pPr>
            <w:r w:rsidRPr="001310AD">
              <w:rPr>
                <w:bCs w:val="0"/>
              </w:rPr>
              <w:t>0.0</w:t>
            </w:r>
            <w:r w:rsidR="0098289D" w:rsidRPr="001310AD">
              <w:rPr>
                <w:bCs w:val="0"/>
              </w:rPr>
              <w:t>07</w:t>
            </w:r>
            <w:r w:rsidRPr="001310AD">
              <w:rPr>
                <w:bCs w:val="0"/>
              </w:rPr>
              <w:t xml:space="preserve"> (0.0</w:t>
            </w:r>
            <w:r w:rsidR="00F7765F" w:rsidRPr="001310AD">
              <w:rPr>
                <w:bCs w:val="0"/>
              </w:rPr>
              <w:t>05</w:t>
            </w:r>
            <w:r w:rsidRPr="001310AD">
              <w:rPr>
                <w:bCs w:val="0"/>
              </w:rPr>
              <w:t>, 0.0</w:t>
            </w:r>
            <w:r w:rsidR="00CD12AC" w:rsidRPr="001310AD">
              <w:rPr>
                <w:bCs w:val="0"/>
              </w:rPr>
              <w:t>09</w:t>
            </w:r>
            <w:r w:rsidRPr="001310AD">
              <w:rPr>
                <w:bCs w:val="0"/>
              </w:rPr>
              <w:t>)</w:t>
            </w:r>
          </w:p>
        </w:tc>
      </w:tr>
      <w:tr w:rsidR="00E42A62" w:rsidRPr="001310AD" w14:paraId="317A17F0"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8252DE" w14:textId="77777777" w:rsidR="00E42A62" w:rsidRPr="001310AD" w:rsidRDefault="00E42A62">
            <w:pPr>
              <w:pStyle w:val="TableText0"/>
            </w:pPr>
            <w:r w:rsidRPr="001310AD">
              <w:rPr>
                <w:rFonts w:eastAsia="Times New Roman" w:cs="Calibri"/>
                <w:color w:val="000000"/>
              </w:rPr>
              <w:t>Any medically attended</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B1CF04" w14:textId="524475A9" w:rsidR="00E42A62" w:rsidRPr="001310AD" w:rsidRDefault="00E42A62">
            <w:pPr>
              <w:pStyle w:val="TableText0"/>
              <w:jc w:val="center"/>
            </w:pPr>
            <w:r w:rsidRPr="001310AD">
              <w:t>718/12,</w:t>
            </w:r>
            <w:r w:rsidR="009C387F" w:rsidRPr="001310AD">
              <w:t>469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5F810D" w14:textId="77777777" w:rsidR="00E42A62" w:rsidRPr="001310AD" w:rsidRDefault="00E42A62">
            <w:pPr>
              <w:pStyle w:val="TableText0"/>
              <w:jc w:val="center"/>
            </w:pPr>
            <w:r w:rsidRPr="001310AD">
              <w:t>722/12,503</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E6BD32" w14:textId="77777777" w:rsidR="00E42A62" w:rsidRPr="001310AD" w:rsidRDefault="00E42A62">
            <w:pPr>
              <w:pStyle w:val="TableText0"/>
              <w:jc w:val="center"/>
            </w:pPr>
            <w:r w:rsidRPr="001310AD">
              <w:t>1.00 (0.90, 1.10)</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F4E91A" w14:textId="77777777" w:rsidR="00E42A62" w:rsidRPr="001310AD" w:rsidRDefault="00E42A62">
            <w:pPr>
              <w:pStyle w:val="TableText0"/>
              <w:jc w:val="center"/>
            </w:pPr>
            <w:r w:rsidRPr="001310AD">
              <w:t>5.76</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9F5E4B" w14:textId="77777777" w:rsidR="00E42A62" w:rsidRPr="001310AD" w:rsidRDefault="00E42A62">
            <w:pPr>
              <w:pStyle w:val="TableText0"/>
              <w:jc w:val="center"/>
            </w:pPr>
            <w:r w:rsidRPr="001310AD">
              <w:t>5.77</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F1208B" w14:textId="187B29AB" w:rsidR="00E42A62" w:rsidRPr="001310AD" w:rsidRDefault="00E42A62">
            <w:pPr>
              <w:pStyle w:val="TableText0"/>
              <w:jc w:val="center"/>
            </w:pPr>
            <w:r w:rsidRPr="001310AD">
              <w:t>0.00</w:t>
            </w:r>
            <w:r w:rsidR="003E323A" w:rsidRPr="001310AD">
              <w:t>0</w:t>
            </w:r>
            <w:r w:rsidRPr="001310AD">
              <w:t xml:space="preserve"> (-0.01, 0.01)</w:t>
            </w:r>
          </w:p>
        </w:tc>
      </w:tr>
      <w:tr w:rsidR="00E42A62" w:rsidRPr="001310AD" w14:paraId="5F2B3FC6" w14:textId="77777777" w:rsidTr="006A2783">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F528CE" w14:textId="77777777" w:rsidR="00E42A62" w:rsidRPr="001310AD" w:rsidRDefault="00E42A62">
            <w:pPr>
              <w:pStyle w:val="TableText0"/>
            </w:pPr>
            <w:r w:rsidRPr="001310AD">
              <w:rPr>
                <w:b/>
                <w:bCs w:val="0"/>
              </w:rPr>
              <w:t>Unsolicited AEs within 6 months post vaccination</w:t>
            </w:r>
          </w:p>
        </w:tc>
      </w:tr>
      <w:tr w:rsidR="00E42A62" w:rsidRPr="001310AD" w14:paraId="119AA3A7"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3A8013" w14:textId="77777777" w:rsidR="00E42A62" w:rsidRPr="001310AD" w:rsidRDefault="00E42A62">
            <w:pPr>
              <w:pStyle w:val="TableText0"/>
              <w:rPr>
                <w:rFonts w:eastAsia="Times New Roman" w:cs="Calibri"/>
                <w:color w:val="000000"/>
              </w:rPr>
            </w:pPr>
            <w:r w:rsidRPr="001310AD">
              <w:rPr>
                <w:rFonts w:eastAsia="Times New Roman" w:cs="Calibri"/>
                <w:color w:val="000000"/>
              </w:rPr>
              <w:t>Any SAE</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501704" w14:textId="3698EC5B" w:rsidR="00E42A62" w:rsidRPr="001310AD" w:rsidRDefault="00E42A62">
            <w:pPr>
              <w:pStyle w:val="TableText0"/>
              <w:jc w:val="center"/>
            </w:pPr>
            <w:r w:rsidRPr="001310AD">
              <w:t>548/12,</w:t>
            </w:r>
            <w:r w:rsidR="009C387F" w:rsidRPr="001310AD">
              <w:t>469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8FE48C" w14:textId="77777777" w:rsidR="00E42A62" w:rsidRPr="001310AD" w:rsidRDefault="00E42A62">
            <w:pPr>
              <w:pStyle w:val="TableText0"/>
              <w:jc w:val="center"/>
            </w:pPr>
            <w:r w:rsidRPr="001310AD">
              <w:t xml:space="preserve">539/12,503 </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3F9E83" w14:textId="77777777" w:rsidR="00E42A62" w:rsidRPr="001310AD" w:rsidRDefault="00E42A62">
            <w:pPr>
              <w:pStyle w:val="TableText0"/>
              <w:jc w:val="center"/>
            </w:pPr>
            <w:r w:rsidRPr="001310AD">
              <w:t>1.02 (0.91, 1.15)</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B0BE4A" w14:textId="77777777" w:rsidR="00E42A62" w:rsidRPr="001310AD" w:rsidRDefault="00E42A62">
            <w:pPr>
              <w:pStyle w:val="TableText0"/>
              <w:jc w:val="center"/>
            </w:pPr>
            <w:r w:rsidRPr="001310AD">
              <w:t>4.39</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80E749" w14:textId="77777777" w:rsidR="00E42A62" w:rsidRPr="001310AD" w:rsidRDefault="00E42A62">
            <w:pPr>
              <w:pStyle w:val="TableText0"/>
              <w:jc w:val="center"/>
            </w:pPr>
            <w:r w:rsidRPr="001310AD">
              <w:t>4.31</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35C386" w14:textId="0CF14E2C" w:rsidR="00E42A62" w:rsidRPr="001310AD" w:rsidRDefault="00E42A62">
            <w:pPr>
              <w:pStyle w:val="TableText0"/>
              <w:jc w:val="center"/>
            </w:pPr>
            <w:r w:rsidRPr="001310AD">
              <w:t>0.00</w:t>
            </w:r>
            <w:r w:rsidR="00720042" w:rsidRPr="001310AD">
              <w:t>1</w:t>
            </w:r>
            <w:r w:rsidRPr="001310AD">
              <w:t xml:space="preserve"> (-0.00, 0.01)</w:t>
            </w:r>
          </w:p>
        </w:tc>
      </w:tr>
      <w:tr w:rsidR="00E42A62" w:rsidRPr="001310AD" w14:paraId="0FF00532"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850B71" w14:textId="77777777" w:rsidR="00E42A62" w:rsidRPr="001310AD" w:rsidRDefault="00E42A62">
            <w:pPr>
              <w:pStyle w:val="TableText0"/>
              <w:rPr>
                <w:rFonts w:eastAsia="Times New Roman" w:cs="Calibri"/>
                <w:color w:val="000000"/>
              </w:rPr>
            </w:pPr>
            <w:r w:rsidRPr="001310AD">
              <w:rPr>
                <w:rFonts w:eastAsia="Times New Roman" w:cs="Calibri"/>
                <w:color w:val="000000"/>
              </w:rPr>
              <w:t>Any SAE related to the intervention</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14DCB9" w14:textId="0DF65F44" w:rsidR="00E42A62" w:rsidRPr="001310AD" w:rsidRDefault="00E42A62">
            <w:pPr>
              <w:pStyle w:val="TableText0"/>
              <w:jc w:val="center"/>
            </w:pPr>
            <w:r w:rsidRPr="001310AD">
              <w:t>15/12,</w:t>
            </w:r>
            <w:r w:rsidR="009C387F" w:rsidRPr="001310AD">
              <w:t>469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E64639F" w14:textId="77777777" w:rsidR="00E42A62" w:rsidRPr="001310AD" w:rsidRDefault="00E42A62">
            <w:pPr>
              <w:pStyle w:val="TableText0"/>
              <w:jc w:val="center"/>
            </w:pPr>
            <w:r w:rsidRPr="001310AD">
              <w:t>10/12,503</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4EB05C" w14:textId="77777777" w:rsidR="00E42A62" w:rsidRPr="001310AD" w:rsidRDefault="00E42A62">
            <w:pPr>
              <w:pStyle w:val="TableText0"/>
              <w:jc w:val="center"/>
            </w:pPr>
            <w:r w:rsidRPr="001310AD">
              <w:t>1.50 (0.68, 3.35)</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D0C54F" w14:textId="77777777" w:rsidR="00E42A62" w:rsidRPr="001310AD" w:rsidRDefault="00E42A62">
            <w:pPr>
              <w:pStyle w:val="TableText0"/>
              <w:jc w:val="center"/>
            </w:pPr>
            <w:r w:rsidRPr="001310AD">
              <w:t>0.12</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2E6CB2" w14:textId="77777777" w:rsidR="00E42A62" w:rsidRPr="001310AD" w:rsidRDefault="00E42A62">
            <w:pPr>
              <w:pStyle w:val="TableText0"/>
              <w:jc w:val="center"/>
            </w:pPr>
            <w:r w:rsidRPr="001310AD">
              <w:t>0.08</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0CD264" w14:textId="06F8D293" w:rsidR="00E42A62" w:rsidRPr="001310AD" w:rsidRDefault="00E42A62">
            <w:pPr>
              <w:pStyle w:val="TableText0"/>
              <w:jc w:val="center"/>
              <w:rPr>
                <w:bCs w:val="0"/>
              </w:rPr>
            </w:pPr>
            <w:r w:rsidRPr="001310AD">
              <w:rPr>
                <w:bCs w:val="0"/>
              </w:rPr>
              <w:t>0.00</w:t>
            </w:r>
            <w:r w:rsidR="009B3F1B" w:rsidRPr="001310AD">
              <w:rPr>
                <w:bCs w:val="0"/>
              </w:rPr>
              <w:t>1</w:t>
            </w:r>
            <w:r w:rsidRPr="001310AD">
              <w:rPr>
                <w:bCs w:val="0"/>
              </w:rPr>
              <w:t xml:space="preserve"> (0.00,0.00)</w:t>
            </w:r>
          </w:p>
        </w:tc>
      </w:tr>
      <w:tr w:rsidR="00E42A62" w:rsidRPr="001310AD" w14:paraId="3086001F"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0411DB" w14:textId="77777777" w:rsidR="00E42A62" w:rsidRPr="001310AD" w:rsidRDefault="00E42A62">
            <w:pPr>
              <w:pStyle w:val="TableText0"/>
              <w:rPr>
                <w:rFonts w:eastAsia="Times New Roman" w:cs="Calibri"/>
                <w:color w:val="000000"/>
              </w:rPr>
            </w:pPr>
            <w:r w:rsidRPr="001310AD">
              <w:rPr>
                <w:rFonts w:eastAsia="Times New Roman" w:cs="Calibri"/>
                <w:color w:val="000000"/>
              </w:rPr>
              <w:t>Any pIMD</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2DA4FF" w14:textId="7D3F2ECC" w:rsidR="00E42A62" w:rsidRPr="001310AD" w:rsidRDefault="00E42A62">
            <w:pPr>
              <w:pStyle w:val="TableText0"/>
              <w:jc w:val="center"/>
            </w:pPr>
            <w:r w:rsidRPr="001310AD">
              <w:t>46/12,</w:t>
            </w:r>
            <w:r w:rsidR="009C387F" w:rsidRPr="001310AD">
              <w:t>469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1FAB72" w14:textId="77777777" w:rsidR="00E42A62" w:rsidRPr="001310AD" w:rsidRDefault="00E42A62">
            <w:pPr>
              <w:pStyle w:val="TableText0"/>
              <w:jc w:val="center"/>
            </w:pPr>
            <w:r w:rsidRPr="001310AD">
              <w:t>38/12,503</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0101F8" w14:textId="77777777" w:rsidR="00E42A62" w:rsidRPr="001310AD" w:rsidRDefault="00E42A62">
            <w:pPr>
              <w:pStyle w:val="TableText0"/>
              <w:jc w:val="center"/>
            </w:pPr>
            <w:r w:rsidRPr="001310AD">
              <w:t>1.21 (0.79, 1.86)</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EB53A7E" w14:textId="77777777" w:rsidR="00E42A62" w:rsidRPr="001310AD" w:rsidRDefault="00E42A62">
            <w:pPr>
              <w:pStyle w:val="TableText0"/>
              <w:jc w:val="center"/>
            </w:pPr>
            <w:r w:rsidRPr="001310AD">
              <w:t>0.37</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91E4D7" w14:textId="77777777" w:rsidR="00E42A62" w:rsidRPr="001310AD" w:rsidRDefault="00E42A62">
            <w:pPr>
              <w:pStyle w:val="TableText0"/>
              <w:jc w:val="center"/>
            </w:pPr>
            <w:r w:rsidRPr="001310AD">
              <w:t>0.30</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04E9B1" w14:textId="4C3B16E0" w:rsidR="00E42A62" w:rsidRPr="001310AD" w:rsidRDefault="00E42A62">
            <w:pPr>
              <w:pStyle w:val="TableText0"/>
              <w:jc w:val="center"/>
            </w:pPr>
            <w:r w:rsidRPr="001310AD">
              <w:t>0.00</w:t>
            </w:r>
            <w:r w:rsidR="004A0A21" w:rsidRPr="001310AD">
              <w:t>1</w:t>
            </w:r>
            <w:r w:rsidRPr="001310AD">
              <w:t xml:space="preserve"> (-0.00, 0.00)</w:t>
            </w:r>
          </w:p>
        </w:tc>
      </w:tr>
      <w:tr w:rsidR="00E42A62" w:rsidRPr="001310AD" w14:paraId="4BDE3BAF" w14:textId="77777777" w:rsidTr="00B04C15">
        <w:tc>
          <w:tcPr>
            <w:tcW w:w="63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BF706B" w14:textId="77777777" w:rsidR="00E42A62" w:rsidRPr="001310AD" w:rsidRDefault="00E42A62">
            <w:pPr>
              <w:pStyle w:val="TableText0"/>
              <w:rPr>
                <w:rFonts w:eastAsia="Times New Roman" w:cs="Calibri"/>
                <w:color w:val="000000"/>
              </w:rPr>
            </w:pPr>
            <w:r w:rsidRPr="001310AD">
              <w:rPr>
                <w:rFonts w:eastAsia="Times New Roman" w:cs="Calibri"/>
                <w:color w:val="000000"/>
              </w:rPr>
              <w:t>Any pIMD related to the intervention</w:t>
            </w:r>
          </w:p>
        </w:tc>
        <w:tc>
          <w:tcPr>
            <w:tcW w:w="6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E487378" w14:textId="73535EB3" w:rsidR="00E42A62" w:rsidRPr="001310AD" w:rsidRDefault="00E42A62">
            <w:pPr>
              <w:pStyle w:val="TableText0"/>
              <w:jc w:val="center"/>
            </w:pPr>
            <w:r w:rsidRPr="001310AD">
              <w:t>8/12,</w:t>
            </w:r>
            <w:r w:rsidR="009C387F" w:rsidRPr="001310AD">
              <w:t>469</w:t>
            </w:r>
          </w:p>
        </w:tc>
        <w:tc>
          <w:tcPr>
            <w:tcW w:w="71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8277B9" w14:textId="77777777" w:rsidR="00E42A62" w:rsidRPr="001310AD" w:rsidRDefault="00E42A62">
            <w:pPr>
              <w:pStyle w:val="TableText0"/>
              <w:jc w:val="center"/>
            </w:pPr>
            <w:r w:rsidRPr="001310AD">
              <w:t>7/12,503</w:t>
            </w:r>
          </w:p>
        </w:tc>
        <w:tc>
          <w:tcPr>
            <w:tcW w:w="8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379F5F" w14:textId="77777777" w:rsidR="00E42A62" w:rsidRPr="001310AD" w:rsidRDefault="00E42A62">
            <w:pPr>
              <w:pStyle w:val="TableText0"/>
              <w:jc w:val="center"/>
            </w:pPr>
            <w:r w:rsidRPr="001310AD">
              <w:t>1.15 (0.42, 3.16)</w:t>
            </w:r>
          </w:p>
        </w:tc>
        <w:tc>
          <w:tcPr>
            <w:tcW w:w="62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E9A499" w14:textId="77777777" w:rsidR="00E42A62" w:rsidRPr="001310AD" w:rsidRDefault="00E42A62">
            <w:pPr>
              <w:pStyle w:val="TableText0"/>
              <w:jc w:val="center"/>
            </w:pPr>
            <w:r w:rsidRPr="001310AD">
              <w:t>0.03</w:t>
            </w:r>
          </w:p>
        </w:tc>
        <w:tc>
          <w:tcPr>
            <w:tcW w:w="69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5C7E69" w14:textId="77777777" w:rsidR="00E42A62" w:rsidRPr="001310AD" w:rsidRDefault="00E42A62">
            <w:pPr>
              <w:pStyle w:val="TableText0"/>
              <w:jc w:val="center"/>
            </w:pPr>
            <w:r w:rsidRPr="001310AD">
              <w:t>0.06</w:t>
            </w:r>
          </w:p>
        </w:tc>
        <w:tc>
          <w:tcPr>
            <w:tcW w:w="83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6A7382" w14:textId="12DA9687" w:rsidR="00E42A62" w:rsidRPr="001310AD" w:rsidRDefault="00E42A62">
            <w:pPr>
              <w:pStyle w:val="TableText0"/>
              <w:jc w:val="center"/>
            </w:pPr>
            <w:r w:rsidRPr="001310AD">
              <w:t>0.00</w:t>
            </w:r>
            <w:r w:rsidR="005342CA" w:rsidRPr="001310AD">
              <w:t>0</w:t>
            </w:r>
            <w:r w:rsidRPr="001310AD">
              <w:t xml:space="preserve"> (-0.00, 0.00)</w:t>
            </w:r>
          </w:p>
        </w:tc>
      </w:tr>
      <w:tr w:rsidR="00E42A62" w:rsidRPr="001310AD" w14:paraId="7045F443" w14:textId="77777777" w:rsidTr="00B04C15">
        <w:tc>
          <w:tcPr>
            <w:tcW w:w="638" w:type="pct"/>
            <w:tcBorders>
              <w:top w:val="single" w:sz="4" w:space="0" w:color="auto"/>
              <w:left w:val="single" w:sz="4" w:space="0" w:color="auto"/>
              <w:bottom w:val="single" w:sz="4" w:space="0" w:color="auto"/>
              <w:right w:val="single" w:sz="4" w:space="0" w:color="auto"/>
            </w:tcBorders>
            <w:vAlign w:val="center"/>
          </w:tcPr>
          <w:p w14:paraId="27A49346" w14:textId="77777777" w:rsidR="00E42A62" w:rsidRPr="001310AD" w:rsidRDefault="00E42A62">
            <w:pPr>
              <w:pStyle w:val="TableText0"/>
              <w:rPr>
                <w:rFonts w:eastAsia="Times New Roman" w:cs="Calibri"/>
                <w:color w:val="000000"/>
              </w:rPr>
            </w:pPr>
            <w:r w:rsidRPr="001310AD">
              <w:rPr>
                <w:rFonts w:eastAsia="Times New Roman" w:cs="Calibri"/>
                <w:color w:val="000000"/>
              </w:rPr>
              <w:t>Any fatal SAE</w:t>
            </w:r>
          </w:p>
        </w:tc>
        <w:tc>
          <w:tcPr>
            <w:tcW w:w="633" w:type="pct"/>
            <w:tcBorders>
              <w:top w:val="single" w:sz="4" w:space="0" w:color="auto"/>
              <w:left w:val="single" w:sz="4" w:space="0" w:color="auto"/>
              <w:bottom w:val="single" w:sz="4" w:space="0" w:color="auto"/>
              <w:right w:val="single" w:sz="4" w:space="0" w:color="auto"/>
            </w:tcBorders>
            <w:vAlign w:val="center"/>
          </w:tcPr>
          <w:p w14:paraId="6FB2B114" w14:textId="3DC152CC" w:rsidR="00E42A62" w:rsidRPr="001310AD" w:rsidRDefault="006B276A">
            <w:pPr>
              <w:pStyle w:val="TableText0"/>
              <w:jc w:val="center"/>
            </w:pPr>
            <w:r w:rsidRPr="001310AD">
              <w:t>231</w:t>
            </w:r>
            <w:r w:rsidR="00E42A62" w:rsidRPr="001310AD">
              <w:t>/12,4</w:t>
            </w:r>
            <w:r w:rsidRPr="001310AD">
              <w:t>69</w:t>
            </w:r>
          </w:p>
        </w:tc>
        <w:tc>
          <w:tcPr>
            <w:tcW w:w="712" w:type="pct"/>
            <w:tcBorders>
              <w:top w:val="single" w:sz="4" w:space="0" w:color="auto"/>
              <w:left w:val="single" w:sz="4" w:space="0" w:color="auto"/>
              <w:bottom w:val="single" w:sz="4" w:space="0" w:color="auto"/>
              <w:right w:val="single" w:sz="4" w:space="0" w:color="auto"/>
            </w:tcBorders>
            <w:vAlign w:val="center"/>
          </w:tcPr>
          <w:p w14:paraId="35404580" w14:textId="4B97E71C" w:rsidR="00E42A62" w:rsidRPr="001310AD" w:rsidRDefault="006B276A">
            <w:pPr>
              <w:pStyle w:val="TableText0"/>
              <w:jc w:val="center"/>
            </w:pPr>
            <w:r w:rsidRPr="001310AD">
              <w:t>265</w:t>
            </w:r>
            <w:r w:rsidR="00E42A62" w:rsidRPr="001310AD">
              <w:t>/12,503</w:t>
            </w:r>
          </w:p>
        </w:tc>
        <w:tc>
          <w:tcPr>
            <w:tcW w:w="862" w:type="pct"/>
            <w:tcBorders>
              <w:top w:val="single" w:sz="4" w:space="0" w:color="auto"/>
              <w:left w:val="single" w:sz="4" w:space="0" w:color="auto"/>
              <w:bottom w:val="single" w:sz="4" w:space="0" w:color="auto"/>
              <w:right w:val="single" w:sz="4" w:space="0" w:color="auto"/>
            </w:tcBorders>
          </w:tcPr>
          <w:p w14:paraId="7DB71570" w14:textId="11CC65BA" w:rsidR="00E42A62" w:rsidRPr="001310AD" w:rsidRDefault="00A4275A">
            <w:pPr>
              <w:pStyle w:val="TableText0"/>
              <w:jc w:val="center"/>
            </w:pPr>
            <w:r w:rsidRPr="001310AD">
              <w:t>0.87</w:t>
            </w:r>
            <w:r w:rsidR="00E42A62" w:rsidRPr="001310AD">
              <w:t xml:space="preserve"> (0.7</w:t>
            </w:r>
            <w:r w:rsidR="00B3500B" w:rsidRPr="001310AD">
              <w:t>3</w:t>
            </w:r>
            <w:r w:rsidR="00E42A62" w:rsidRPr="001310AD">
              <w:t>, 1.</w:t>
            </w:r>
            <w:r w:rsidRPr="001310AD">
              <w:t>04</w:t>
            </w:r>
            <w:r w:rsidR="00E42A62" w:rsidRPr="001310AD">
              <w:t>)</w:t>
            </w:r>
          </w:p>
        </w:tc>
        <w:tc>
          <w:tcPr>
            <w:tcW w:w="628" w:type="pct"/>
            <w:tcBorders>
              <w:top w:val="single" w:sz="4" w:space="0" w:color="auto"/>
              <w:left w:val="single" w:sz="4" w:space="0" w:color="auto"/>
              <w:bottom w:val="single" w:sz="4" w:space="0" w:color="auto"/>
              <w:right w:val="single" w:sz="4" w:space="0" w:color="auto"/>
            </w:tcBorders>
            <w:vAlign w:val="center"/>
          </w:tcPr>
          <w:p w14:paraId="73BE7700" w14:textId="025E7CDF" w:rsidR="00E42A62" w:rsidRPr="001310AD" w:rsidRDefault="00E42A62">
            <w:pPr>
              <w:pStyle w:val="TableText0"/>
              <w:jc w:val="center"/>
            </w:pPr>
            <w:r w:rsidRPr="001310AD">
              <w:t>1.</w:t>
            </w:r>
            <w:r w:rsidR="00C60361" w:rsidRPr="001310AD">
              <w:t>85</w:t>
            </w:r>
          </w:p>
        </w:tc>
        <w:tc>
          <w:tcPr>
            <w:tcW w:w="691" w:type="pct"/>
            <w:tcBorders>
              <w:top w:val="single" w:sz="4" w:space="0" w:color="auto"/>
              <w:left w:val="single" w:sz="4" w:space="0" w:color="auto"/>
              <w:bottom w:val="single" w:sz="4" w:space="0" w:color="auto"/>
              <w:right w:val="single" w:sz="4" w:space="0" w:color="auto"/>
            </w:tcBorders>
            <w:vAlign w:val="center"/>
          </w:tcPr>
          <w:p w14:paraId="6CE82B04" w14:textId="3C96DEF1" w:rsidR="00E42A62" w:rsidRPr="001310AD" w:rsidRDefault="002945B5">
            <w:pPr>
              <w:pStyle w:val="TableText0"/>
              <w:jc w:val="center"/>
            </w:pPr>
            <w:r w:rsidRPr="001310AD">
              <w:t>2.1</w:t>
            </w:r>
            <w:r w:rsidR="00C60361" w:rsidRPr="001310AD">
              <w:t>2</w:t>
            </w:r>
          </w:p>
        </w:tc>
        <w:tc>
          <w:tcPr>
            <w:tcW w:w="836" w:type="pct"/>
            <w:tcBorders>
              <w:top w:val="single" w:sz="4" w:space="0" w:color="auto"/>
              <w:left w:val="single" w:sz="4" w:space="0" w:color="auto"/>
              <w:bottom w:val="single" w:sz="4" w:space="0" w:color="auto"/>
              <w:right w:val="single" w:sz="4" w:space="0" w:color="auto"/>
            </w:tcBorders>
            <w:vAlign w:val="center"/>
          </w:tcPr>
          <w:p w14:paraId="21C72793" w14:textId="375E7F9B" w:rsidR="00E42A62" w:rsidRPr="001310AD" w:rsidRDefault="00E42A62">
            <w:pPr>
              <w:pStyle w:val="TableText0"/>
              <w:jc w:val="center"/>
            </w:pPr>
            <w:r w:rsidRPr="001310AD">
              <w:t>-0.00</w:t>
            </w:r>
            <w:r w:rsidR="00FE0764" w:rsidRPr="001310AD">
              <w:t>3</w:t>
            </w:r>
            <w:r w:rsidRPr="001310AD">
              <w:t xml:space="preserve"> (-0.00, 0.00)</w:t>
            </w:r>
          </w:p>
        </w:tc>
      </w:tr>
    </w:tbl>
    <w:p w14:paraId="46B8A194" w14:textId="52A696E7" w:rsidR="00E42A62" w:rsidRPr="001310AD" w:rsidRDefault="00E42A62" w:rsidP="00E42A62">
      <w:pPr>
        <w:pStyle w:val="FooterTableFigure"/>
      </w:pPr>
      <w:r w:rsidRPr="001310AD">
        <w:t xml:space="preserve">Source: Table 2-19, p100; Table 22-20, </w:t>
      </w:r>
      <w:r w:rsidR="00A065B7" w:rsidRPr="001310AD">
        <w:t>p115</w:t>
      </w:r>
      <w:r w:rsidRPr="001310AD">
        <w:t>; Table 2-21, p103; Table 2-31, pp118-119 of the submission. Compiled during the evaluation from evaluation from Table 12.4, p296 of ‘RSV OA = Adj-006 Study Report (Blinded End of Season 2) 28 Jun 2023’ of the Submission.</w:t>
      </w:r>
    </w:p>
    <w:p w14:paraId="341B92B1" w14:textId="77777777" w:rsidR="00E42A62" w:rsidRPr="001310AD" w:rsidRDefault="00E42A62" w:rsidP="00E42A62">
      <w:pPr>
        <w:pStyle w:val="FooterTableFigure"/>
      </w:pPr>
      <w:r w:rsidRPr="001310AD">
        <w:rPr>
          <w:rFonts w:eastAsia="Calibri"/>
        </w:rPr>
        <w:t>admin = administration; AE = adverse event</w:t>
      </w:r>
      <w:r w:rsidRPr="001310AD">
        <w:t xml:space="preserve">; CI = confidence interval; ES = exposed set; mES = modified exposed set; N = number of participants; n = number of participants with at least one RT-PCR confirmed RSV-LRTD; LRTD = lower respiratory tract disease; n/T (per 1000) = incidence rate of participants reporting at least one event; RD = risk difference; </w:t>
      </w:r>
      <w:r w:rsidRPr="001310AD">
        <w:rPr>
          <w:rFonts w:eastAsia="Calibri"/>
        </w:rPr>
        <w:t>RR = relative risk</w:t>
      </w:r>
      <w:r w:rsidRPr="001310AD">
        <w:t xml:space="preserve">; RSV = respiratory syncytial virus; RSVPreF3 OA= RSV pre-fusion protein 3 older adult; RT-PCR = reverse transcription-polymerase chain reaction; T (year) = sum of follow-up time (from Day 15 post-vaccination till first occurrence of the event or till the efficacy data lock point or till drop-out date) expressed in years; VE = vaccine efficacy. </w:t>
      </w:r>
    </w:p>
    <w:p w14:paraId="20D767AB" w14:textId="29144A89" w:rsidR="00E42A62" w:rsidRPr="001310AD" w:rsidRDefault="00E42A62" w:rsidP="00E42A62">
      <w:pPr>
        <w:pStyle w:val="FooterTableFigure"/>
      </w:pPr>
      <w:r w:rsidRPr="001310AD">
        <w:t xml:space="preserve">Note: </w:t>
      </w:r>
    </w:p>
    <w:p w14:paraId="02B0DD06" w14:textId="2E5AF5A5" w:rsidR="00E42A62" w:rsidRPr="001310AD" w:rsidRDefault="00E42A62" w:rsidP="00E42A62">
      <w:pPr>
        <w:pStyle w:val="FooterTableFigure"/>
      </w:pPr>
      <w:r w:rsidRPr="001310AD">
        <w:rPr>
          <w:vertAlign w:val="superscript"/>
        </w:rPr>
        <w:t>a</w:t>
      </w:r>
      <w:r w:rsidRPr="001310AD">
        <w:t xml:space="preserve"> </w:t>
      </w:r>
      <w:r w:rsidRPr="001310AD">
        <w:rPr>
          <w:bCs/>
        </w:rPr>
        <w:t>≥ 60:</w:t>
      </w:r>
      <w:r w:rsidRPr="001310AD">
        <w:t xml:space="preserve"> VE analysis 1 = 96.95% CI; VE analysis 2 = 95% CI and VE analysis 3 = 97.5% CI. </w:t>
      </w:r>
      <w:r w:rsidRPr="001310AD">
        <w:rPr>
          <w:bCs/>
        </w:rPr>
        <w:t>≥ 60: VE analysis 1, 2 and 3 = 95% CI.</w:t>
      </w:r>
    </w:p>
    <w:p w14:paraId="561BD0BF" w14:textId="77777777" w:rsidR="00E42A62" w:rsidRPr="001310AD" w:rsidRDefault="00E42A62" w:rsidP="00E42A62">
      <w:pPr>
        <w:pStyle w:val="FooterTableFigure"/>
      </w:pPr>
      <w:r w:rsidRPr="001310AD">
        <w:rPr>
          <w:vertAlign w:val="superscript"/>
        </w:rPr>
        <w:t>b</w:t>
      </w:r>
      <w:r w:rsidRPr="001310AD">
        <w:t xml:space="preserve"> Due to the small number of events, events are represented across all study arms </w:t>
      </w:r>
      <w:proofErr w:type="gramStart"/>
      <w:r w:rsidRPr="001310AD">
        <w:t>in order to</w:t>
      </w:r>
      <w:proofErr w:type="gramEnd"/>
      <w:r w:rsidRPr="001310AD">
        <w:t xml:space="preserve"> maintain blinding.</w:t>
      </w:r>
    </w:p>
    <w:p w14:paraId="03E545BA" w14:textId="77777777" w:rsidR="006A2783" w:rsidRPr="001310AD" w:rsidRDefault="00E42A62" w:rsidP="00E42A62">
      <w:pPr>
        <w:pStyle w:val="FooterTableFigure"/>
      </w:pPr>
      <w:r w:rsidRPr="001310AD">
        <w:t>VE analysis 1: median duration of follow up = 6.7 months. VE analysis 1: median duration of follow up = 11.5 months. VE analysis 3: median duration of follow up = 17.8 months</w:t>
      </w:r>
    </w:p>
    <w:p w14:paraId="0424179E" w14:textId="7B5D121B" w:rsidR="00E42A62" w:rsidRPr="001310AD" w:rsidRDefault="006A2783" w:rsidP="00E42A62">
      <w:pPr>
        <w:pStyle w:val="FooterTableFigure"/>
      </w:pPr>
      <w:r w:rsidRPr="001310AD">
        <w:t>Blue shading reflects data previously seen by the PBAC.</w:t>
      </w:r>
    </w:p>
    <w:p w14:paraId="00A65A57" w14:textId="6B156EC9" w:rsidR="009C387F" w:rsidRPr="001310AD" w:rsidRDefault="003E15BB" w:rsidP="00E42A62">
      <w:pPr>
        <w:pStyle w:val="FooterTableFigure"/>
      </w:pPr>
      <w:r w:rsidRPr="001310AD">
        <w:t xml:space="preserve">RR and RD calculated for the evaluation </w:t>
      </w:r>
      <w:r w:rsidR="00D558FE" w:rsidRPr="001310AD">
        <w:t>and</w:t>
      </w:r>
      <w:r w:rsidRPr="001310AD">
        <w:t xml:space="preserve"> should be considered as indicative as the study was not powered for comparisons of safety</w:t>
      </w:r>
      <w:r w:rsidR="009C387F" w:rsidRPr="001310AD">
        <w:t xml:space="preserve">. </w:t>
      </w:r>
    </w:p>
    <w:p w14:paraId="77AAC5E9" w14:textId="1057500A" w:rsidR="00E42A62" w:rsidRPr="001310AD" w:rsidRDefault="00E42A62" w:rsidP="00E42A62">
      <w:pPr>
        <w:pStyle w:val="FooterTableFigure"/>
      </w:pPr>
      <w:r w:rsidRPr="001310AD">
        <w:rPr>
          <w:rFonts w:eastAsia="Calibri"/>
          <w:bCs/>
        </w:rPr>
        <w:t>Bold</w:t>
      </w:r>
      <w:r w:rsidRPr="001310AD">
        <w:rPr>
          <w:rFonts w:eastAsia="Calibri"/>
        </w:rPr>
        <w:t xml:space="preserve"> indicates statistically significant results.</w:t>
      </w:r>
    </w:p>
    <w:p w14:paraId="1340E917" w14:textId="3ED3F70C" w:rsidR="00C50E7F" w:rsidRPr="001310AD" w:rsidRDefault="00C50E7F" w:rsidP="00846D07">
      <w:pPr>
        <w:pStyle w:val="3-BodyText"/>
      </w:pPr>
      <w:proofErr w:type="gramStart"/>
      <w:r w:rsidRPr="001310AD">
        <w:lastRenderedPageBreak/>
        <w:t>On the basis of</w:t>
      </w:r>
      <w:proofErr w:type="gramEnd"/>
      <w:r w:rsidRPr="001310AD">
        <w:t xml:space="preserve"> direct evidence presented by the submission, for every 1,000 </w:t>
      </w:r>
      <w:r w:rsidR="00826880" w:rsidRPr="001310AD">
        <w:t>individuals</w:t>
      </w:r>
      <w:r w:rsidR="000C3CB2" w:rsidRPr="001310AD">
        <w:t xml:space="preserve"> </w:t>
      </w:r>
      <w:r w:rsidR="000C3CB2" w:rsidRPr="001310AD">
        <w:rPr>
          <w:rFonts w:cstheme="minorHAnsi"/>
        </w:rPr>
        <w:t>≥</w:t>
      </w:r>
      <w:r w:rsidR="000C3CB2" w:rsidRPr="001310AD">
        <w:t>60 YOA</w:t>
      </w:r>
      <w:r w:rsidR="00826880" w:rsidRPr="001310AD">
        <w:t xml:space="preserve"> </w:t>
      </w:r>
      <w:r w:rsidRPr="001310AD">
        <w:t>vaccinated with</w:t>
      </w:r>
      <w:r w:rsidR="00D0420B" w:rsidRPr="001310AD">
        <w:t xml:space="preserve"> a single dose of</w:t>
      </w:r>
      <w:r w:rsidRPr="001310AD">
        <w:t xml:space="preserve"> RSVPreF3 OA</w:t>
      </w:r>
      <w:r w:rsidR="0068270B" w:rsidRPr="001310AD">
        <w:t xml:space="preserve">, </w:t>
      </w:r>
      <w:r w:rsidRPr="001310AD">
        <w:t>in comparison with placebo (no vaccine):</w:t>
      </w:r>
    </w:p>
    <w:p w14:paraId="2386655E" w14:textId="04CF7E64" w:rsidR="002C4299" w:rsidRPr="001310AD" w:rsidRDefault="00F3733E" w:rsidP="002C4299">
      <w:pPr>
        <w:pStyle w:val="ListParagraph"/>
        <w:ind w:left="1134"/>
        <w:jc w:val="both"/>
      </w:pPr>
      <w:r w:rsidRPr="001310AD">
        <w:t>Approximately</w:t>
      </w:r>
      <w:r w:rsidR="006427BB" w:rsidRPr="001310AD">
        <w:t xml:space="preserve"> 13 </w:t>
      </w:r>
      <w:r w:rsidR="00997056" w:rsidRPr="001310AD">
        <w:t xml:space="preserve">fewer </w:t>
      </w:r>
      <w:r w:rsidR="002C4299" w:rsidRPr="001310AD">
        <w:t xml:space="preserve">adults will have RT-PCR confirmed RSV-LRTD </w:t>
      </w:r>
      <w:r w:rsidR="00997056" w:rsidRPr="001310AD">
        <w:t>over 3</w:t>
      </w:r>
      <w:r w:rsidR="00177CE0" w:rsidRPr="001310AD">
        <w:t xml:space="preserve"> cumulative</w:t>
      </w:r>
      <w:r w:rsidR="00E5751A" w:rsidRPr="001310AD">
        <w:t xml:space="preserve"> RSV infection</w:t>
      </w:r>
      <w:r w:rsidR="00997056" w:rsidRPr="001310AD">
        <w:t xml:space="preserve"> seasons</w:t>
      </w:r>
      <w:r w:rsidR="002C4299" w:rsidRPr="001310AD">
        <w:t>.</w:t>
      </w:r>
    </w:p>
    <w:p w14:paraId="6C8BAC91" w14:textId="67086AB7" w:rsidR="00C83D42" w:rsidRPr="001310AD" w:rsidRDefault="00C83D42" w:rsidP="00C83D42">
      <w:pPr>
        <w:pStyle w:val="ListParagraph"/>
        <w:ind w:left="1134"/>
        <w:jc w:val="both"/>
      </w:pPr>
      <w:r w:rsidRPr="001310AD">
        <w:t xml:space="preserve">Between 2 to 6 fewer adults will have RT-PCR confirmed RSV-LRTD per </w:t>
      </w:r>
      <w:r w:rsidR="00065E37" w:rsidRPr="001310AD">
        <w:t xml:space="preserve">individual </w:t>
      </w:r>
      <w:r w:rsidRPr="001310AD">
        <w:t>RSV infection season</w:t>
      </w:r>
      <w:r w:rsidR="0060544D" w:rsidRPr="001310AD">
        <w:t xml:space="preserve"> (over the first three seasons since vaccination)</w:t>
      </w:r>
      <w:r w:rsidRPr="001310AD">
        <w:t>.</w:t>
      </w:r>
    </w:p>
    <w:p w14:paraId="37DD0F88" w14:textId="33AD27F2" w:rsidR="00C50E7F" w:rsidRPr="001310AD" w:rsidRDefault="00C50E7F" w:rsidP="00C50E7F">
      <w:pPr>
        <w:pStyle w:val="ListParagraph"/>
        <w:ind w:left="1134"/>
        <w:jc w:val="both"/>
      </w:pPr>
      <w:r w:rsidRPr="001310AD">
        <w:t>Approximately 3</w:t>
      </w:r>
      <w:r w:rsidR="000E6721" w:rsidRPr="001310AD">
        <w:t>2</w:t>
      </w:r>
      <w:r w:rsidRPr="001310AD">
        <w:t xml:space="preserve"> additional adults would experience any Grade 3 solicited events within 4 days </w:t>
      </w:r>
      <w:r w:rsidR="00AF4293" w:rsidRPr="001310AD">
        <w:t xml:space="preserve">of </w:t>
      </w:r>
      <w:r w:rsidRPr="001310AD">
        <w:t>vaccination.</w:t>
      </w:r>
    </w:p>
    <w:p w14:paraId="36A9B1FE" w14:textId="4F24CBB8" w:rsidR="00C50E7F" w:rsidRPr="001310AD" w:rsidRDefault="00C50E7F" w:rsidP="00C50E7F">
      <w:pPr>
        <w:pStyle w:val="ListParagraph"/>
        <w:ind w:left="1134"/>
        <w:jc w:val="both"/>
      </w:pPr>
      <w:r w:rsidRPr="001310AD">
        <w:t>Approximately 2</w:t>
      </w:r>
      <w:r w:rsidR="000E6721" w:rsidRPr="001310AD">
        <w:t>4</w:t>
      </w:r>
      <w:r w:rsidRPr="001310AD">
        <w:t xml:space="preserve"> additional adults would experience grade 3 systemic solicited events within 4 days </w:t>
      </w:r>
      <w:r w:rsidR="00AF4293" w:rsidRPr="001310AD">
        <w:t xml:space="preserve">of </w:t>
      </w:r>
      <w:r w:rsidRPr="001310AD">
        <w:t>vaccination.</w:t>
      </w:r>
    </w:p>
    <w:p w14:paraId="271E3218" w14:textId="67598B9F" w:rsidR="00C50E7F" w:rsidRPr="001310AD" w:rsidRDefault="00C50E7F" w:rsidP="00C50E7F">
      <w:pPr>
        <w:pStyle w:val="ListParagraph"/>
        <w:ind w:left="1134"/>
        <w:jc w:val="both"/>
      </w:pPr>
      <w:r w:rsidRPr="001310AD">
        <w:t xml:space="preserve">Approximately 7 additional adults would experience any Grade 3 unsolicited AEs within 30 days </w:t>
      </w:r>
      <w:r w:rsidR="00AF4293" w:rsidRPr="001310AD">
        <w:t xml:space="preserve">of </w:t>
      </w:r>
      <w:r w:rsidRPr="001310AD">
        <w:t>vaccination.</w:t>
      </w:r>
    </w:p>
    <w:p w14:paraId="2F8A905F" w14:textId="23F08B43" w:rsidR="0099714F" w:rsidRPr="001310AD" w:rsidRDefault="00C50E7F" w:rsidP="0099714F">
      <w:pPr>
        <w:pStyle w:val="ListParagraph"/>
        <w:ind w:left="1134"/>
        <w:jc w:val="both"/>
      </w:pPr>
      <w:r w:rsidRPr="001310AD">
        <w:t xml:space="preserve">Approximately 7 additional adults would experience any Grade 3 unsolicited AEs related to RSVPreF3 OA within 30 days </w:t>
      </w:r>
      <w:r w:rsidR="00AF4293" w:rsidRPr="001310AD">
        <w:t xml:space="preserve">of </w:t>
      </w:r>
      <w:r w:rsidRPr="001310AD">
        <w:t>vaccination.</w:t>
      </w:r>
      <w:r w:rsidR="0099714F" w:rsidRPr="001310AD">
        <w:t xml:space="preserve"> </w:t>
      </w:r>
    </w:p>
    <w:p w14:paraId="7A1772B6" w14:textId="23BB3145" w:rsidR="00B60939" w:rsidRPr="001310AD" w:rsidRDefault="00B60939" w:rsidP="00E9094A">
      <w:pPr>
        <w:pStyle w:val="4-SubsectionHeading"/>
      </w:pPr>
      <w:bookmarkStart w:id="50" w:name="_Toc22897644"/>
      <w:bookmarkStart w:id="51" w:name="_Toc198731707"/>
      <w:r w:rsidRPr="001310AD">
        <w:t>Clinical claim</w:t>
      </w:r>
      <w:bookmarkEnd w:id="50"/>
      <w:bookmarkEnd w:id="51"/>
    </w:p>
    <w:p w14:paraId="3CD67242" w14:textId="6A1FEB9B" w:rsidR="00743D60" w:rsidRPr="001310AD" w:rsidRDefault="00743D60" w:rsidP="00743D60">
      <w:pPr>
        <w:pStyle w:val="5-SubsectionSubheading"/>
        <w:rPr>
          <w:lang w:eastAsia="en-US"/>
        </w:rPr>
      </w:pPr>
      <w:bookmarkStart w:id="52" w:name="_Toc198731708"/>
      <w:r w:rsidRPr="001310AD">
        <w:t>RSVPreF3 OA (Arexvy) versus placebo</w:t>
      </w:r>
      <w:bookmarkEnd w:id="52"/>
    </w:p>
    <w:p w14:paraId="3223BC10" w14:textId="6CABE7B9" w:rsidR="00C778F4" w:rsidRPr="001310AD" w:rsidRDefault="00BD27B4" w:rsidP="00BD27B4">
      <w:pPr>
        <w:pStyle w:val="3-BodyText"/>
      </w:pPr>
      <w:bookmarkStart w:id="53" w:name="_Ref201301638"/>
      <w:r w:rsidRPr="001310AD">
        <w:t>The submission described RSVPre</w:t>
      </w:r>
      <w:r w:rsidR="0063159C" w:rsidRPr="001310AD">
        <w:t>F</w:t>
      </w:r>
      <w:r w:rsidRPr="001310AD">
        <w:t>3 OA as superior in terms of VE compared with no vaccine.</w:t>
      </w:r>
      <w:r w:rsidRPr="001310AD">
        <w:rPr>
          <w:i/>
          <w:iCs/>
        </w:rPr>
        <w:t xml:space="preserve"> </w:t>
      </w:r>
      <w:r w:rsidR="008E10C9" w:rsidRPr="001310AD">
        <w:t xml:space="preserve">The ESC </w:t>
      </w:r>
      <w:r w:rsidR="007F049E" w:rsidRPr="001310AD">
        <w:t xml:space="preserve">and PBAC </w:t>
      </w:r>
      <w:r w:rsidR="008E10C9" w:rsidRPr="001310AD">
        <w:t xml:space="preserve">agreed with the evaluation that </w:t>
      </w:r>
      <w:r w:rsidR="008E10C9" w:rsidRPr="001310AD">
        <w:rPr>
          <w:rFonts w:eastAsia="Calibri"/>
        </w:rPr>
        <w:t>t</w:t>
      </w:r>
      <w:r w:rsidR="00882616" w:rsidRPr="001310AD">
        <w:rPr>
          <w:rFonts w:eastAsia="Calibri"/>
        </w:rPr>
        <w:t>his claim was adequately supported</w:t>
      </w:r>
      <w:r w:rsidR="00A061B8" w:rsidRPr="001310AD">
        <w:rPr>
          <w:rFonts w:eastAsia="Calibri"/>
        </w:rPr>
        <w:t>, h</w:t>
      </w:r>
      <w:r w:rsidR="000B3BEF" w:rsidRPr="001310AD">
        <w:rPr>
          <w:rFonts w:eastAsia="Calibri"/>
        </w:rPr>
        <w:t>owever, some</w:t>
      </w:r>
      <w:r w:rsidR="00347964" w:rsidRPr="001310AD">
        <w:rPr>
          <w:rFonts w:eastAsia="Calibri"/>
        </w:rPr>
        <w:t xml:space="preserve"> issues were</w:t>
      </w:r>
      <w:r w:rsidR="00125068" w:rsidRPr="001310AD">
        <w:rPr>
          <w:rFonts w:eastAsia="Calibri"/>
        </w:rPr>
        <w:t xml:space="preserve"> noted </w:t>
      </w:r>
      <w:r w:rsidR="00A061B8" w:rsidRPr="001310AD">
        <w:rPr>
          <w:rFonts w:eastAsia="Calibri"/>
        </w:rPr>
        <w:t>as follows</w:t>
      </w:r>
      <w:r w:rsidR="00347964" w:rsidRPr="001310AD">
        <w:rPr>
          <w:rFonts w:eastAsia="Calibri"/>
        </w:rPr>
        <w:t>:</w:t>
      </w:r>
      <w:bookmarkEnd w:id="53"/>
    </w:p>
    <w:p w14:paraId="2E825FC2" w14:textId="3A8301AF" w:rsidR="00371DAF" w:rsidRPr="001310AD" w:rsidRDefault="002E6DA5">
      <w:pPr>
        <w:pStyle w:val="3-BodyText"/>
        <w:numPr>
          <w:ilvl w:val="0"/>
          <w:numId w:val="12"/>
        </w:numPr>
      </w:pPr>
      <w:r w:rsidRPr="001310AD">
        <w:rPr>
          <w:rFonts w:eastAsia="Calibri"/>
        </w:rPr>
        <w:t>The cumulative estimate of VE over 3 seasons</w:t>
      </w:r>
      <w:r w:rsidR="005376BF" w:rsidRPr="001310AD">
        <w:rPr>
          <w:rFonts w:eastAsia="Calibri"/>
        </w:rPr>
        <w:t xml:space="preserve"> (62.9%)</w:t>
      </w:r>
      <w:r w:rsidRPr="001310AD">
        <w:rPr>
          <w:rFonts w:eastAsia="Calibri"/>
        </w:rPr>
        <w:t xml:space="preserve"> was lower than those reported at the end of Season 1</w:t>
      </w:r>
      <w:r w:rsidR="00AB3E18" w:rsidRPr="001310AD">
        <w:rPr>
          <w:rFonts w:eastAsia="Calibri"/>
        </w:rPr>
        <w:t xml:space="preserve"> (82.6%)</w:t>
      </w:r>
      <w:r w:rsidRPr="001310AD">
        <w:rPr>
          <w:rFonts w:eastAsia="Calibri"/>
        </w:rPr>
        <w:t xml:space="preserve"> and</w:t>
      </w:r>
      <w:r w:rsidR="00A52B47" w:rsidRPr="001310AD">
        <w:rPr>
          <w:rFonts w:eastAsia="Calibri"/>
        </w:rPr>
        <w:t xml:space="preserve"> Season</w:t>
      </w:r>
      <w:r w:rsidR="006328B2" w:rsidRPr="001310AD">
        <w:rPr>
          <w:rFonts w:eastAsia="Calibri"/>
        </w:rPr>
        <w:t>s 1 and</w:t>
      </w:r>
      <w:r w:rsidRPr="001310AD">
        <w:rPr>
          <w:rFonts w:eastAsia="Calibri"/>
        </w:rPr>
        <w:t xml:space="preserve"> 2</w:t>
      </w:r>
      <w:r w:rsidR="00AB3E18" w:rsidRPr="001310AD">
        <w:rPr>
          <w:rFonts w:eastAsia="Calibri"/>
        </w:rPr>
        <w:t xml:space="preserve"> (67.2%)</w:t>
      </w:r>
      <w:r w:rsidRPr="001310AD">
        <w:rPr>
          <w:rFonts w:eastAsia="Calibri"/>
        </w:rPr>
        <w:t xml:space="preserve"> in the AReSVi-006</w:t>
      </w:r>
      <w:r w:rsidR="00A52B47" w:rsidRPr="001310AD">
        <w:rPr>
          <w:rFonts w:eastAsia="Calibri"/>
        </w:rPr>
        <w:t xml:space="preserve"> trial</w:t>
      </w:r>
      <w:r w:rsidR="0066447A" w:rsidRPr="001310AD">
        <w:rPr>
          <w:rFonts w:eastAsia="Calibri"/>
        </w:rPr>
        <w:t xml:space="preserve"> (</w:t>
      </w:r>
      <w:r w:rsidR="0066447A" w:rsidRPr="001310AD">
        <w:rPr>
          <w:rFonts w:eastAsia="Calibri"/>
        </w:rPr>
        <w:fldChar w:fldCharType="begin"/>
      </w:r>
      <w:r w:rsidR="0066447A" w:rsidRPr="001310AD">
        <w:rPr>
          <w:rFonts w:eastAsia="Calibri"/>
        </w:rPr>
        <w:instrText xml:space="preserve"> REF _Ref196920684 \h  \* MERGEFORMAT </w:instrText>
      </w:r>
      <w:r w:rsidR="0066447A" w:rsidRPr="001310AD">
        <w:rPr>
          <w:rFonts w:eastAsia="Calibri"/>
        </w:rPr>
      </w:r>
      <w:r w:rsidR="0066447A" w:rsidRPr="001310AD">
        <w:rPr>
          <w:rFonts w:eastAsia="Calibri"/>
        </w:rPr>
        <w:fldChar w:fldCharType="separate"/>
      </w:r>
      <w:r w:rsidR="001F75E0" w:rsidRPr="001310AD">
        <w:t>Table 5</w:t>
      </w:r>
      <w:r w:rsidR="0066447A" w:rsidRPr="001310AD">
        <w:rPr>
          <w:rFonts w:eastAsia="Calibri"/>
        </w:rPr>
        <w:fldChar w:fldCharType="end"/>
      </w:r>
      <w:r w:rsidR="0066447A" w:rsidRPr="001310AD">
        <w:rPr>
          <w:rFonts w:eastAsia="Calibri"/>
        </w:rPr>
        <w:t>)</w:t>
      </w:r>
      <w:r w:rsidRPr="001310AD">
        <w:rPr>
          <w:rFonts w:eastAsia="Calibri"/>
        </w:rPr>
        <w:t xml:space="preserve">. This pattern of VE reflects the </w:t>
      </w:r>
      <w:r w:rsidRPr="001310AD">
        <w:rPr>
          <w:rFonts w:eastAsia="Calibri"/>
          <w:bCs/>
        </w:rPr>
        <w:t>waning over time of a single dose RSVPreF3 OA (</w:t>
      </w:r>
      <w:r w:rsidR="003D3565" w:rsidRPr="001310AD">
        <w:rPr>
          <w:rFonts w:eastAsia="Calibri"/>
          <w:bCs/>
        </w:rPr>
        <w:t>over a median follow-up of</w:t>
      </w:r>
      <w:r w:rsidRPr="001310AD">
        <w:rPr>
          <w:rFonts w:eastAsia="Calibri"/>
          <w:bCs/>
        </w:rPr>
        <w:t xml:space="preserve"> 6.7 months to 30.6 months).</w:t>
      </w:r>
      <w:r w:rsidR="005A2B69" w:rsidRPr="001310AD">
        <w:rPr>
          <w:rFonts w:eastAsia="Calibri"/>
          <w:bCs/>
        </w:rPr>
        <w:t xml:space="preserve"> </w:t>
      </w:r>
      <w:r w:rsidR="00D42A4D" w:rsidRPr="001310AD">
        <w:rPr>
          <w:rFonts w:eastAsia="Calibri"/>
        </w:rPr>
        <w:t>VE</w:t>
      </w:r>
      <w:r w:rsidR="00AC6CB0" w:rsidRPr="001310AD">
        <w:rPr>
          <w:rFonts w:eastAsia="Calibri"/>
        </w:rPr>
        <w:t xml:space="preserve"> beyond Season 3</w:t>
      </w:r>
      <w:r w:rsidR="00E70514" w:rsidRPr="001310AD">
        <w:rPr>
          <w:rFonts w:eastAsia="Calibri"/>
        </w:rPr>
        <w:t xml:space="preserve">, optimal </w:t>
      </w:r>
      <w:r w:rsidR="001D6EE8" w:rsidRPr="001310AD">
        <w:rPr>
          <w:rFonts w:eastAsia="Calibri"/>
        </w:rPr>
        <w:t xml:space="preserve">timing </w:t>
      </w:r>
      <w:r w:rsidR="00882616" w:rsidRPr="001310AD">
        <w:rPr>
          <w:rFonts w:eastAsia="Calibri"/>
        </w:rPr>
        <w:t>for revaccination</w:t>
      </w:r>
      <w:r w:rsidR="0064632E" w:rsidRPr="001310AD">
        <w:rPr>
          <w:rFonts w:eastAsia="Calibri"/>
        </w:rPr>
        <w:t>, and VE associated with revaccination</w:t>
      </w:r>
      <w:r w:rsidR="00977E8C" w:rsidRPr="001310AD">
        <w:rPr>
          <w:rFonts w:eastAsia="Calibri"/>
        </w:rPr>
        <w:t xml:space="preserve"> </w:t>
      </w:r>
      <w:r w:rsidR="00977E8C" w:rsidRPr="001310AD">
        <w:t>have not yet been determined and</w:t>
      </w:r>
      <w:r w:rsidR="00A0434D" w:rsidRPr="001310AD">
        <w:rPr>
          <w:rFonts w:eastAsia="Calibri"/>
        </w:rPr>
        <w:t xml:space="preserve"> remain</w:t>
      </w:r>
      <w:r w:rsidR="00882616" w:rsidRPr="001310AD">
        <w:rPr>
          <w:rFonts w:eastAsia="Calibri"/>
        </w:rPr>
        <w:t xml:space="preserve"> unknown</w:t>
      </w:r>
      <w:r w:rsidR="000E2A1D" w:rsidRPr="001310AD">
        <w:rPr>
          <w:rFonts w:eastAsia="Calibri"/>
        </w:rPr>
        <w:t>.</w:t>
      </w:r>
      <w:r w:rsidR="000E4C91" w:rsidRPr="001310AD">
        <w:rPr>
          <w:rFonts w:eastAsia="Calibri"/>
        </w:rPr>
        <w:t xml:space="preserve"> </w:t>
      </w:r>
      <w:r w:rsidR="00B22614" w:rsidRPr="001310AD">
        <w:rPr>
          <w:rFonts w:eastAsia="Calibri"/>
        </w:rPr>
        <w:t xml:space="preserve">The </w:t>
      </w:r>
      <w:r w:rsidR="00925415" w:rsidRPr="001310AD">
        <w:rPr>
          <w:rFonts w:eastAsia="Calibri"/>
        </w:rPr>
        <w:t xml:space="preserve">PSCR </w:t>
      </w:r>
      <w:r w:rsidR="000E4C91" w:rsidRPr="001310AD">
        <w:rPr>
          <w:rFonts w:eastAsia="Calibri"/>
        </w:rPr>
        <w:t xml:space="preserve">indicated </w:t>
      </w:r>
      <w:r w:rsidR="00925415" w:rsidRPr="001310AD">
        <w:rPr>
          <w:rFonts w:eastAsia="Calibri"/>
        </w:rPr>
        <w:t>that</w:t>
      </w:r>
      <w:r w:rsidR="00DE31B2" w:rsidRPr="001310AD">
        <w:rPr>
          <w:rFonts w:eastAsia="Calibri"/>
        </w:rPr>
        <w:t xml:space="preserve"> future follow-up from the pivotal immunogenicity trial, RSV OA=ADJ-004</w:t>
      </w:r>
      <w:r w:rsidR="001A3302" w:rsidRPr="001310AD">
        <w:rPr>
          <w:rFonts w:eastAsia="Calibri"/>
        </w:rPr>
        <w:t>,</w:t>
      </w:r>
      <w:r w:rsidR="00DE31B2" w:rsidRPr="001310AD">
        <w:rPr>
          <w:rFonts w:eastAsia="Calibri"/>
        </w:rPr>
        <w:t xml:space="preserve"> </w:t>
      </w:r>
      <w:r w:rsidR="00A642EE" w:rsidRPr="001310AD">
        <w:rPr>
          <w:rFonts w:eastAsia="Calibri"/>
        </w:rPr>
        <w:t>and</w:t>
      </w:r>
      <w:r w:rsidR="00DE31B2" w:rsidRPr="001310AD">
        <w:rPr>
          <w:rFonts w:eastAsia="Calibri"/>
        </w:rPr>
        <w:t xml:space="preserve"> an immunogenicity extension and crossover of </w:t>
      </w:r>
      <w:r w:rsidR="004C34E0" w:rsidRPr="001310AD">
        <w:rPr>
          <w:rFonts w:eastAsia="Calibri"/>
        </w:rPr>
        <w:t>AReSVi-</w:t>
      </w:r>
      <w:r w:rsidR="00DE31B2" w:rsidRPr="001310AD">
        <w:rPr>
          <w:rFonts w:eastAsia="Calibri"/>
        </w:rPr>
        <w:t>006 (RSV OA=ADJ-012</w:t>
      </w:r>
      <w:r w:rsidR="00A642EE" w:rsidRPr="001310AD">
        <w:rPr>
          <w:rFonts w:eastAsia="Calibri"/>
        </w:rPr>
        <w:t>)</w:t>
      </w:r>
      <w:r w:rsidR="00DE31B2" w:rsidRPr="001310AD">
        <w:rPr>
          <w:rFonts w:eastAsia="Calibri"/>
        </w:rPr>
        <w:t xml:space="preserve"> will assess the immune persistence of a single</w:t>
      </w:r>
      <w:r w:rsidR="001F1A42" w:rsidRPr="001310AD">
        <w:rPr>
          <w:rFonts w:eastAsia="Calibri"/>
        </w:rPr>
        <w:t xml:space="preserve"> vaccine</w:t>
      </w:r>
      <w:r w:rsidR="00DE31B2" w:rsidRPr="001310AD">
        <w:rPr>
          <w:rFonts w:eastAsia="Calibri"/>
        </w:rPr>
        <w:t xml:space="preserve"> dose </w:t>
      </w:r>
      <w:r w:rsidR="001F1A42" w:rsidRPr="001310AD">
        <w:rPr>
          <w:rFonts w:eastAsia="Calibri"/>
        </w:rPr>
        <w:t xml:space="preserve">and </w:t>
      </w:r>
      <w:r w:rsidR="00DE31B2" w:rsidRPr="001310AD">
        <w:rPr>
          <w:rFonts w:eastAsia="Calibri"/>
        </w:rPr>
        <w:t>alternate revaccination schedules up to Month 60 after initial vaccination.</w:t>
      </w:r>
      <w:r w:rsidR="006D1AD3" w:rsidRPr="001310AD">
        <w:rPr>
          <w:rFonts w:eastAsia="Calibri"/>
        </w:rPr>
        <w:t xml:space="preserve"> The</w:t>
      </w:r>
      <w:r w:rsidR="004C34E0" w:rsidRPr="001310AD">
        <w:rPr>
          <w:rFonts w:eastAsia="Calibri"/>
        </w:rPr>
        <w:t xml:space="preserve"> ESC noted these studies are ongoing and </w:t>
      </w:r>
      <w:r w:rsidR="00C42D87" w:rsidRPr="001310AD">
        <w:rPr>
          <w:rFonts w:eastAsia="Calibri"/>
        </w:rPr>
        <w:t>we</w:t>
      </w:r>
      <w:r w:rsidR="004C34E0" w:rsidRPr="001310AD">
        <w:rPr>
          <w:rFonts w:eastAsia="Calibri"/>
        </w:rPr>
        <w:t xml:space="preserve">re designed to </w:t>
      </w:r>
      <w:r w:rsidR="008B4455" w:rsidRPr="001310AD">
        <w:rPr>
          <w:rFonts w:eastAsia="Calibri"/>
        </w:rPr>
        <w:t xml:space="preserve">also </w:t>
      </w:r>
      <w:r w:rsidR="004C34E0" w:rsidRPr="001310AD">
        <w:rPr>
          <w:rFonts w:eastAsia="Calibri"/>
        </w:rPr>
        <w:t xml:space="preserve">include </w:t>
      </w:r>
      <w:r w:rsidR="006D1AD3" w:rsidRPr="001310AD">
        <w:rPr>
          <w:rFonts w:eastAsia="Calibri"/>
        </w:rPr>
        <w:t>alternate revaccination schedules at 24- or 36-month intervals (AReSVi-004) and before Seasons 4 or 5 (</w:t>
      </w:r>
      <w:r w:rsidR="004C34E0" w:rsidRPr="001310AD">
        <w:rPr>
          <w:rFonts w:eastAsia="Calibri"/>
        </w:rPr>
        <w:t>RSV OA=ADJ-012</w:t>
      </w:r>
      <w:r w:rsidR="006D1AD3" w:rsidRPr="001310AD">
        <w:rPr>
          <w:rFonts w:eastAsia="Calibri"/>
        </w:rPr>
        <w:t>)</w:t>
      </w:r>
      <w:r w:rsidR="004C34E0" w:rsidRPr="001310AD">
        <w:rPr>
          <w:rFonts w:eastAsia="Calibri"/>
        </w:rPr>
        <w:t>. Thus, the ESC reiterated that the optimal timing for revaccination is unknown</w:t>
      </w:r>
      <w:r w:rsidR="00FE4ABE" w:rsidRPr="001310AD">
        <w:rPr>
          <w:rFonts w:eastAsia="Calibri"/>
        </w:rPr>
        <w:t xml:space="preserve"> but </w:t>
      </w:r>
      <w:r w:rsidR="00FE4ABE" w:rsidRPr="001310AD">
        <w:t xml:space="preserve">revaccination at 3 and 4 years is being assessed in the clinical studies </w:t>
      </w:r>
      <w:r w:rsidR="008B4455" w:rsidRPr="001310AD">
        <w:t xml:space="preserve">(refer paragraph </w:t>
      </w:r>
      <w:r w:rsidR="008B4455" w:rsidRPr="001310AD">
        <w:fldChar w:fldCharType="begin"/>
      </w:r>
      <w:r w:rsidR="008B4455" w:rsidRPr="001310AD">
        <w:instrText xml:space="preserve"> REF _Ref201301569 \r \h </w:instrText>
      </w:r>
      <w:r w:rsidR="00324A5B" w:rsidRPr="001310AD">
        <w:instrText xml:space="preserve"> \* MERGEFORMAT </w:instrText>
      </w:r>
      <w:r w:rsidR="008B4455" w:rsidRPr="001310AD">
        <w:fldChar w:fldCharType="separate"/>
      </w:r>
      <w:r w:rsidR="001F75E0" w:rsidRPr="001310AD">
        <w:t>6.58</w:t>
      </w:r>
      <w:r w:rsidR="008B4455" w:rsidRPr="001310AD">
        <w:fldChar w:fldCharType="end"/>
      </w:r>
      <w:r w:rsidR="008B4455" w:rsidRPr="001310AD">
        <w:t>)</w:t>
      </w:r>
      <w:r w:rsidR="006D1AD3" w:rsidRPr="001310AD">
        <w:rPr>
          <w:rFonts w:eastAsia="Calibri"/>
        </w:rPr>
        <w:t>.</w:t>
      </w:r>
    </w:p>
    <w:p w14:paraId="18CDE3AB" w14:textId="537D5A4D" w:rsidR="002D4A12" w:rsidRPr="001310AD" w:rsidRDefault="00F453D4">
      <w:pPr>
        <w:pStyle w:val="3-BodyText"/>
        <w:numPr>
          <w:ilvl w:val="0"/>
          <w:numId w:val="12"/>
        </w:numPr>
      </w:pPr>
      <w:bookmarkStart w:id="54" w:name="_Hlk204187100"/>
      <w:r w:rsidRPr="001310AD">
        <w:t xml:space="preserve">For the Season 3 individual </w:t>
      </w:r>
      <w:r w:rsidR="006328B2" w:rsidRPr="001310AD">
        <w:t xml:space="preserve">season </w:t>
      </w:r>
      <w:r w:rsidRPr="001310AD">
        <w:t>results, the lower bound of the 95% CI did not exceed the pre-defined threshold of 20% for</w:t>
      </w:r>
      <w:r w:rsidR="006328B2" w:rsidRPr="001310AD">
        <w:t xml:space="preserve"> first occurrence of</w:t>
      </w:r>
      <w:r w:rsidRPr="001310AD">
        <w:t xml:space="preserve"> RSV-LRTD </w:t>
      </w:r>
      <w:r w:rsidRPr="001310AD">
        <w:lastRenderedPageBreak/>
        <w:t xml:space="preserve">(VE = </w:t>
      </w:r>
      <w:r w:rsidRPr="001310AD">
        <w:rPr>
          <w:rFonts w:cs="Calibri"/>
          <w:color w:val="000000"/>
        </w:rPr>
        <w:t>47.2; 95% CI 7.1, 71.6)</w:t>
      </w:r>
      <w:r w:rsidRPr="001310AD">
        <w:t xml:space="preserve"> and severe RSV-LRTD (VE = </w:t>
      </w:r>
      <w:r w:rsidRPr="001310AD">
        <w:rPr>
          <w:rFonts w:cs="Calibri"/>
          <w:color w:val="000000"/>
        </w:rPr>
        <w:t>43.3; 95% CI -45.3, 81.3)</w:t>
      </w:r>
      <w:r w:rsidRPr="001310AD">
        <w:t>. Comparison of season specific effects was an exploratory analysis within the AReSVi-006 trial.</w:t>
      </w:r>
      <w:r w:rsidR="001A3302" w:rsidRPr="001310AD">
        <w:t xml:space="preserve"> </w:t>
      </w:r>
    </w:p>
    <w:bookmarkEnd w:id="54"/>
    <w:p w14:paraId="4B91996D" w14:textId="56F5DCAF" w:rsidR="00BD27B4" w:rsidRPr="00B847E4" w:rsidRDefault="000E2A1D">
      <w:pPr>
        <w:pStyle w:val="3-BodyText"/>
        <w:numPr>
          <w:ilvl w:val="0"/>
          <w:numId w:val="12"/>
        </w:numPr>
      </w:pPr>
      <w:r w:rsidRPr="00B847E4">
        <w:t>N</w:t>
      </w:r>
      <w:r w:rsidR="0082163E" w:rsidRPr="00B847E4">
        <w:rPr>
          <w:rFonts w:eastAsia="Calibri"/>
        </w:rPr>
        <w:t xml:space="preserve">o data </w:t>
      </w:r>
      <w:r w:rsidR="00613234" w:rsidRPr="00B847E4">
        <w:rPr>
          <w:rFonts w:eastAsia="Calibri"/>
        </w:rPr>
        <w:t xml:space="preserve">were </w:t>
      </w:r>
      <w:r w:rsidR="00AC6CB0" w:rsidRPr="00B847E4">
        <w:rPr>
          <w:rFonts w:eastAsia="Calibri"/>
        </w:rPr>
        <w:t>presented</w:t>
      </w:r>
      <w:r w:rsidR="0082163E" w:rsidRPr="00B847E4">
        <w:rPr>
          <w:rFonts w:eastAsia="Calibri"/>
        </w:rPr>
        <w:t xml:space="preserve"> to support the </w:t>
      </w:r>
      <w:r w:rsidR="00B9099F" w:rsidRPr="00B847E4">
        <w:t xml:space="preserve">requested listing for Aboriginal and Torres Strait Islander people. However, VE as demonstrated in the AReSVi-006 trial is anticipated to be applicable to this high-risk group. Additionally, it is unlikely that direct evidence in this population will ever become available. </w:t>
      </w:r>
      <w:r w:rsidR="00A037BB" w:rsidRPr="00B847E4">
        <w:t>Thus, the evaluation considered that e</w:t>
      </w:r>
      <w:r w:rsidR="00B9099F" w:rsidRPr="00B847E4">
        <w:t xml:space="preserve">xtension of the clinical claim to Aboriginal and Torres Strait Islander people </w:t>
      </w:r>
      <w:r w:rsidR="0046785A" w:rsidRPr="00B847E4">
        <w:t>may be</w:t>
      </w:r>
      <w:r w:rsidR="00B9099F" w:rsidRPr="00B847E4">
        <w:t xml:space="preserve"> reasonable.</w:t>
      </w:r>
      <w:r w:rsidR="00BD27B4" w:rsidRPr="00B847E4">
        <w:t xml:space="preserve"> </w:t>
      </w:r>
    </w:p>
    <w:p w14:paraId="4DBBDCFF" w14:textId="430B4766" w:rsidR="00C9119E" w:rsidRPr="00B847E4" w:rsidRDefault="00C9119E" w:rsidP="0000080E">
      <w:pPr>
        <w:pStyle w:val="3-BodyText"/>
        <w:rPr>
          <w:rFonts w:eastAsia="Calibri"/>
          <w:szCs w:val="24"/>
        </w:rPr>
      </w:pPr>
      <w:bookmarkStart w:id="55" w:name="_Ref202900007"/>
      <w:r w:rsidRPr="00B847E4">
        <w:rPr>
          <w:rFonts w:eastAsia="Calibri"/>
          <w:iCs/>
          <w:szCs w:val="24"/>
        </w:rPr>
        <w:t>The pre-PBAC response</w:t>
      </w:r>
      <w:r w:rsidR="005C232A" w:rsidRPr="00B847E4">
        <w:rPr>
          <w:rFonts w:eastAsia="Calibri"/>
          <w:iCs/>
          <w:szCs w:val="24"/>
        </w:rPr>
        <w:t xml:space="preserve"> </w:t>
      </w:r>
      <w:r w:rsidR="008C3D01" w:rsidRPr="00B847E4">
        <w:rPr>
          <w:rFonts w:eastAsia="Calibri"/>
          <w:iCs/>
          <w:szCs w:val="24"/>
        </w:rPr>
        <w:t xml:space="preserve">provided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iCs/>
          <w:sz w:val="2"/>
          <w:szCs w:val="24"/>
          <w:highlight w:val="black"/>
        </w:rPr>
        <w:t>redacted content</w:t>
      </w:r>
      <w:r w:rsidR="00044091" w:rsidRPr="00044091">
        <w:rPr>
          <w:rFonts w:eastAsia="Calibri"/>
          <w:iCs/>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eastAsia="Calibri"/>
          <w:sz w:val="2"/>
          <w:szCs w:val="24"/>
          <w:highlight w:val="black"/>
        </w:rPr>
        <w:t>redacted content</w:t>
      </w:r>
      <w:r w:rsidR="00044091" w:rsidRPr="00044091">
        <w:rPr>
          <w:rFonts w:eastAsia="Calibri"/>
          <w:szCs w:val="24"/>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sz w:val="2"/>
          <w:szCs w:val="24"/>
          <w:highlight w:val="black"/>
        </w:rPr>
        <w:t>Redacted content</w:t>
      </w:r>
      <w:r w:rsidR="00044091" w:rsidRPr="00044091">
        <w:rPr>
          <w:szCs w:val="24"/>
        </w:rPr>
        <w:t xml:space="preserve"> </w:t>
      </w:r>
      <w:r w:rsidR="00044091" w:rsidRPr="00044091">
        <w:rPr>
          <w:sz w:val="2"/>
          <w:szCs w:val="24"/>
          <w:highlight w:val="black"/>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044091" w:rsidRPr="00044091">
        <w:rPr>
          <w:rFonts w:ascii="Calibri" w:eastAsia="Calibri" w:hAnsi="Calibri" w:cs="Arial"/>
          <w:szCs w:val="24"/>
          <w:lang w:eastAsia="en-US"/>
        </w:rPr>
        <w:t xml:space="preserve"> </w:t>
      </w:r>
      <w:r w:rsidR="00044091" w:rsidRPr="00044091">
        <w:rPr>
          <w:rFonts w:ascii="Calibri" w:eastAsia="Calibri" w:hAnsi="Calibri" w:cs="Arial"/>
          <w:sz w:val="2"/>
          <w:szCs w:val="24"/>
          <w:highlight w:val="black"/>
          <w:lang w:eastAsia="en-US"/>
        </w:rPr>
        <w:t>redacted content</w:t>
      </w:r>
      <w:r w:rsidR="001741C6" w:rsidRPr="00B847E4">
        <w:rPr>
          <w:rFonts w:ascii="Calibri" w:eastAsia="Calibri" w:hAnsi="Calibri" w:cs="Arial"/>
          <w:szCs w:val="24"/>
          <w:lang w:eastAsia="en-US"/>
        </w:rPr>
        <w:t>.</w:t>
      </w:r>
      <w:bookmarkEnd w:id="55"/>
    </w:p>
    <w:p w14:paraId="5C930031" w14:textId="68FF9C4C" w:rsidR="00BF29D0" w:rsidRPr="001310AD" w:rsidRDefault="00BF29D0" w:rsidP="00BF29D0">
      <w:pPr>
        <w:pStyle w:val="3-BodyText"/>
        <w:rPr>
          <w:rFonts w:eastAsia="Calibri"/>
          <w:iCs/>
        </w:rPr>
      </w:pPr>
      <w:r w:rsidRPr="001310AD">
        <w:t>The submission described RSVPre</w:t>
      </w:r>
      <w:r w:rsidR="008D4CEE" w:rsidRPr="001310AD">
        <w:t>F</w:t>
      </w:r>
      <w:r w:rsidRPr="001310AD">
        <w:t>3 OA as having an acceptable safety profile despite being more reactogenic compared to placebo</w:t>
      </w:r>
      <w:r w:rsidRPr="001310AD">
        <w:rPr>
          <w:rFonts w:eastAsia="Calibri"/>
        </w:rPr>
        <w:t xml:space="preserve">. </w:t>
      </w:r>
      <w:r w:rsidR="00B57F30" w:rsidRPr="001310AD">
        <w:rPr>
          <w:rFonts w:eastAsia="Calibri"/>
        </w:rPr>
        <w:t>The ESC</w:t>
      </w:r>
      <w:r w:rsidR="00EC4FB4" w:rsidRPr="001310AD">
        <w:rPr>
          <w:rFonts w:eastAsia="Calibri"/>
        </w:rPr>
        <w:t xml:space="preserve"> and the PBAC</w:t>
      </w:r>
      <w:r w:rsidR="00B57F30" w:rsidRPr="001310AD">
        <w:rPr>
          <w:rFonts w:eastAsia="Calibri"/>
        </w:rPr>
        <w:t xml:space="preserve"> agreed with the evaluation that </w:t>
      </w:r>
      <w:r w:rsidR="00B57F30" w:rsidRPr="001310AD">
        <w:rPr>
          <w:rFonts w:eastAsia="Calibri"/>
          <w:iCs/>
        </w:rPr>
        <w:t>t</w:t>
      </w:r>
      <w:r w:rsidRPr="001310AD">
        <w:rPr>
          <w:rFonts w:eastAsia="Calibri"/>
          <w:iCs/>
        </w:rPr>
        <w:t>his claim was adequately supported by the available evidence.</w:t>
      </w:r>
    </w:p>
    <w:p w14:paraId="267A9652" w14:textId="62FEFA0D" w:rsidR="00A33452" w:rsidRPr="001310AD" w:rsidRDefault="00A33452" w:rsidP="00A33452">
      <w:pPr>
        <w:pStyle w:val="5-SubsectionSubheading"/>
        <w:rPr>
          <w:i/>
          <w:iCs/>
        </w:rPr>
      </w:pPr>
      <w:bookmarkStart w:id="56" w:name="_Toc198731709"/>
      <w:r w:rsidRPr="001310AD">
        <w:t>Indirect treatment comparison – RSVPreF3 OA (Arexvy) v</w:t>
      </w:r>
      <w:r w:rsidR="00341E13" w:rsidRPr="001310AD">
        <w:t>ersu</w:t>
      </w:r>
      <w:r w:rsidRPr="001310AD">
        <w:t>s RSVPreF (Abrysvo)</w:t>
      </w:r>
      <w:bookmarkEnd w:id="56"/>
    </w:p>
    <w:p w14:paraId="76823D1E" w14:textId="51DE2DAF" w:rsidR="00893294" w:rsidRPr="001310AD" w:rsidRDefault="00BA3F09" w:rsidP="00BA3F09">
      <w:pPr>
        <w:pStyle w:val="3-BodyText"/>
      </w:pPr>
      <w:r w:rsidRPr="001310AD">
        <w:t>The resubmission stated that RSVPre</w:t>
      </w:r>
      <w:r w:rsidR="008D4CEE" w:rsidRPr="001310AD">
        <w:t>F</w:t>
      </w:r>
      <w:r w:rsidRPr="001310AD">
        <w:t>3 OA was the only vaccine that has demonstrated durable and clinically meaningful efficacy over 3 complete RSV seasons</w:t>
      </w:r>
      <w:r w:rsidR="001B2ADA" w:rsidRPr="001310AD">
        <w:t>,</w:t>
      </w:r>
      <w:r w:rsidRPr="001310AD">
        <w:t xml:space="preserve"> </w:t>
      </w:r>
      <w:r w:rsidR="001B2ADA" w:rsidRPr="001310AD">
        <w:t>while</w:t>
      </w:r>
      <w:r w:rsidRPr="001310AD">
        <w:t xml:space="preserve"> RSVPreF has </w:t>
      </w:r>
      <w:r w:rsidR="004C3419" w:rsidRPr="001310AD">
        <w:t xml:space="preserve">been </w:t>
      </w:r>
      <w:r w:rsidRPr="001310AD">
        <w:t>shown to be effective for 2 RSV seasons.</w:t>
      </w:r>
      <w:r w:rsidRPr="001310AD">
        <w:rPr>
          <w:rFonts w:ascii="Calibri" w:eastAsia="Times New Roman" w:hAnsi="Calibri" w:cs="Arial"/>
          <w:szCs w:val="24"/>
        </w:rPr>
        <w:t xml:space="preserve"> </w:t>
      </w:r>
      <w:r w:rsidR="00F10DBB" w:rsidRPr="001310AD">
        <w:rPr>
          <w:rFonts w:ascii="Calibri" w:eastAsia="Times New Roman" w:hAnsi="Calibri" w:cs="Arial"/>
          <w:szCs w:val="24"/>
        </w:rPr>
        <w:t xml:space="preserve">The evaluation </w:t>
      </w:r>
      <w:r w:rsidR="00F60E9C" w:rsidRPr="001310AD">
        <w:rPr>
          <w:rFonts w:ascii="Calibri" w:eastAsia="Times New Roman" w:hAnsi="Calibri" w:cs="Arial"/>
          <w:szCs w:val="24"/>
        </w:rPr>
        <w:t>consider</w:t>
      </w:r>
      <w:r w:rsidR="00F10DBB" w:rsidRPr="001310AD">
        <w:rPr>
          <w:rFonts w:ascii="Calibri" w:eastAsia="Times New Roman" w:hAnsi="Calibri" w:cs="Arial"/>
          <w:szCs w:val="24"/>
        </w:rPr>
        <w:t xml:space="preserve">ed that </w:t>
      </w:r>
      <w:r w:rsidR="00EB5DB2" w:rsidRPr="001310AD">
        <w:t>t</w:t>
      </w:r>
      <w:r w:rsidRPr="001310AD">
        <w:t>he lack of end-of</w:t>
      </w:r>
      <w:r w:rsidR="00AC50B5" w:rsidRPr="001310AD">
        <w:t>-</w:t>
      </w:r>
      <w:r w:rsidRPr="001310AD">
        <w:t>Season 3 data for RSVpreF should not be interpreted as indicative of inferior performance compared to RSV</w:t>
      </w:r>
      <w:r w:rsidR="00A065B7" w:rsidRPr="001310AD">
        <w:t>P</w:t>
      </w:r>
      <w:r w:rsidRPr="001310AD">
        <w:t>reF3 OA</w:t>
      </w:r>
      <w:r w:rsidR="00CD12B3" w:rsidRPr="001310AD">
        <w:t>;</w:t>
      </w:r>
      <w:r w:rsidRPr="001310AD">
        <w:t xml:space="preserve"> it reflects an absence of evidence, not evidence of </w:t>
      </w:r>
      <w:r w:rsidR="00BF2F52" w:rsidRPr="001310AD">
        <w:t>RSVpreF</w:t>
      </w:r>
      <w:r w:rsidR="00BF2F52" w:rsidRPr="001310AD" w:rsidDel="00BF2F52">
        <w:t xml:space="preserve"> </w:t>
      </w:r>
      <w:r w:rsidRPr="001310AD">
        <w:t xml:space="preserve">3 OA being superior. </w:t>
      </w:r>
    </w:p>
    <w:p w14:paraId="5F08530A" w14:textId="2772707D" w:rsidR="00656BFF" w:rsidRPr="001310AD" w:rsidRDefault="00796776" w:rsidP="00BA3F09">
      <w:pPr>
        <w:pStyle w:val="3-BodyText"/>
      </w:pPr>
      <w:r w:rsidRPr="001310AD">
        <w:t>The evaluation noted that a</w:t>
      </w:r>
      <w:r w:rsidR="00BA3F09" w:rsidRPr="001310AD">
        <w:t xml:space="preserve">ccording to ATAGI, results for the naïve </w:t>
      </w:r>
      <w:r w:rsidR="00E06A1E" w:rsidRPr="001310AD">
        <w:t xml:space="preserve">(i.e., </w:t>
      </w:r>
      <w:r w:rsidR="004B2A7A" w:rsidRPr="001310AD">
        <w:t>unadjusted unanchored</w:t>
      </w:r>
      <w:r w:rsidR="00E06A1E" w:rsidRPr="001310AD">
        <w:t>)</w:t>
      </w:r>
      <w:r w:rsidR="004B2A7A" w:rsidRPr="001310AD">
        <w:t xml:space="preserve"> </w:t>
      </w:r>
      <w:r w:rsidR="00BA3F09" w:rsidRPr="001310AD">
        <w:t>ITC are likely more supportive for a claim of non-inferiority</w:t>
      </w:r>
      <w:r w:rsidR="00FB6EA4" w:rsidRPr="001310AD">
        <w:t>,</w:t>
      </w:r>
      <w:r w:rsidR="00BA3F09" w:rsidRPr="001310AD">
        <w:t xml:space="preserve"> noting that the evidence presented for the duration of protection for the vaccines was limited by the duration of follow up reported by each trial (ATAGI advice, March 2025). </w:t>
      </w:r>
    </w:p>
    <w:p w14:paraId="2E63709F" w14:textId="04ED1A8F" w:rsidR="00656BFF" w:rsidRPr="001310AD" w:rsidRDefault="00656BFF" w:rsidP="00656BFF">
      <w:pPr>
        <w:pStyle w:val="3-BodyText"/>
      </w:pPr>
      <w:bookmarkStart w:id="57" w:name="_Ref202901728"/>
      <w:r w:rsidRPr="001310AD">
        <w:t xml:space="preserve">The PSCR disagreed with this </w:t>
      </w:r>
      <w:r w:rsidR="005C08C4" w:rsidRPr="001310AD">
        <w:t>approach</w:t>
      </w:r>
      <w:r w:rsidRPr="001310AD">
        <w:t xml:space="preserve">, stating that based on the duration of follow-up from the respective trials, RSVPreF has demonstrated efficacy over 2 RSV seasons and RSVPreF3 OA has demonstrated efficacy over 3 RSV seasons. The PSCR considered that application of a cost minimisation approach based on presumed non-inferiority of </w:t>
      </w:r>
      <w:r w:rsidR="00D35D09" w:rsidRPr="001310AD">
        <w:t>RSVPreF3</w:t>
      </w:r>
      <w:r w:rsidRPr="001310AD">
        <w:t xml:space="preserve"> OA to RSVpreF would be inconsistent with the available clinical evidence.</w:t>
      </w:r>
      <w:bookmarkEnd w:id="57"/>
      <w:r w:rsidR="00044091">
        <w:t xml:space="preserve"> </w:t>
      </w:r>
      <w:r w:rsidRPr="001310AD">
        <w:t>The PSCR argued that the cost-effectiveness of each RSV vaccine would be best informed by their respective CUA.</w:t>
      </w:r>
    </w:p>
    <w:p w14:paraId="1A775EC5" w14:textId="56E7383A" w:rsidR="00BA3F09" w:rsidRPr="001310AD" w:rsidRDefault="00BF2F52" w:rsidP="00BA3F09">
      <w:pPr>
        <w:pStyle w:val="3-BodyText"/>
      </w:pPr>
      <w:r w:rsidRPr="001310AD">
        <w:t xml:space="preserve">The ESC acknowledged the limitations of the indirect comparison (e.g. it was unadjusted and unanchored, and there were differences in outcome definitions between trials) but concluded that, over the </w:t>
      </w:r>
      <w:proofErr w:type="gramStart"/>
      <w:r w:rsidRPr="001310AD">
        <w:t>time period</w:t>
      </w:r>
      <w:proofErr w:type="gramEnd"/>
      <w:r w:rsidRPr="001310AD">
        <w:t xml:space="preserve"> for which there is data available</w:t>
      </w:r>
      <w:r w:rsidR="0085311E" w:rsidRPr="001310AD">
        <w:t xml:space="preserve"> for both vaccines</w:t>
      </w:r>
      <w:r w:rsidRPr="001310AD">
        <w:t xml:space="preserve"> </w:t>
      </w:r>
      <w:r w:rsidR="00E377B5" w:rsidRPr="001310AD">
        <w:t>(</w:t>
      </w:r>
      <w:r w:rsidRPr="001310AD">
        <w:t>approximately 18 months)</w:t>
      </w:r>
      <w:r w:rsidR="00E377B5" w:rsidRPr="001310AD">
        <w:t>,</w:t>
      </w:r>
      <w:r w:rsidRPr="001310AD">
        <w:t xml:space="preserve"> it </w:t>
      </w:r>
      <w:r w:rsidR="00472F9A" w:rsidRPr="001310AD">
        <w:t xml:space="preserve">is </w:t>
      </w:r>
      <w:r w:rsidRPr="001310AD">
        <w:t xml:space="preserve">likely that </w:t>
      </w:r>
      <w:r w:rsidR="00D35D09" w:rsidRPr="001310AD">
        <w:t>RSVPreF3</w:t>
      </w:r>
      <w:r w:rsidRPr="001310AD">
        <w:t xml:space="preserve"> OA</w:t>
      </w:r>
      <w:r w:rsidRPr="001310AD" w:rsidDel="00F60E9C">
        <w:t xml:space="preserve"> </w:t>
      </w:r>
      <w:r w:rsidRPr="001310AD">
        <w:t>is non-inferior to RSV</w:t>
      </w:r>
      <w:r w:rsidR="00557A43" w:rsidRPr="001310AD">
        <w:t>P</w:t>
      </w:r>
      <w:r w:rsidRPr="001310AD">
        <w:t>reF.</w:t>
      </w:r>
    </w:p>
    <w:p w14:paraId="3C2C8817" w14:textId="05235A8C" w:rsidR="00CC28B2" w:rsidRPr="001310AD" w:rsidRDefault="00500D04" w:rsidP="002164AF">
      <w:pPr>
        <w:pStyle w:val="3-BodyText"/>
      </w:pPr>
      <w:bookmarkStart w:id="58" w:name="_Ref204851848"/>
      <w:bookmarkStart w:id="59" w:name="_Hlk204239140"/>
      <w:r w:rsidRPr="001310AD">
        <w:t>The PBAC agreed with t</w:t>
      </w:r>
      <w:r w:rsidR="004E1A8F" w:rsidRPr="001310AD">
        <w:t xml:space="preserve">he ESC that over the </w:t>
      </w:r>
      <w:proofErr w:type="gramStart"/>
      <w:r w:rsidR="004E1A8F" w:rsidRPr="001310AD">
        <w:t>time period</w:t>
      </w:r>
      <w:proofErr w:type="gramEnd"/>
      <w:r w:rsidR="00E377B5" w:rsidRPr="001310AD">
        <w:t xml:space="preserve"> for which there is data available for both vaccines</w:t>
      </w:r>
      <w:r w:rsidR="00094B73" w:rsidRPr="001310AD">
        <w:t xml:space="preserve"> (2 seasons)</w:t>
      </w:r>
      <w:r w:rsidR="001321A5" w:rsidRPr="001310AD">
        <w:t>,</w:t>
      </w:r>
      <w:r w:rsidR="00E377B5" w:rsidRPr="001310AD">
        <w:t xml:space="preserve"> it was likely that </w:t>
      </w:r>
      <w:r w:rsidR="00D35D09" w:rsidRPr="001310AD">
        <w:t>RSVPreF3</w:t>
      </w:r>
      <w:r w:rsidR="00E377B5" w:rsidRPr="001310AD">
        <w:t xml:space="preserve"> OA</w:t>
      </w:r>
      <w:r w:rsidR="00E377B5" w:rsidRPr="001310AD" w:rsidDel="00F60E9C">
        <w:t xml:space="preserve"> </w:t>
      </w:r>
      <w:r w:rsidR="00E377B5" w:rsidRPr="001310AD">
        <w:t>is non-inferior to RSV</w:t>
      </w:r>
      <w:r w:rsidR="00557A43" w:rsidRPr="001310AD">
        <w:t>P</w:t>
      </w:r>
      <w:r w:rsidR="00E377B5" w:rsidRPr="001310AD">
        <w:t>reF.</w:t>
      </w:r>
      <w:r w:rsidR="001321A5" w:rsidRPr="001310AD">
        <w:t xml:space="preserve"> The PBAC further considered that </w:t>
      </w:r>
      <w:r w:rsidR="00F76CDB" w:rsidRPr="001310AD">
        <w:t xml:space="preserve">non-inferiority could be extended to </w:t>
      </w:r>
      <w:r w:rsidR="00BB2E49" w:rsidRPr="001310AD">
        <w:lastRenderedPageBreak/>
        <w:t xml:space="preserve">the third season </w:t>
      </w:r>
      <w:r w:rsidR="003B62C1" w:rsidRPr="001310AD">
        <w:rPr>
          <w:rFonts w:ascii="Calibri" w:eastAsia="Times New Roman" w:hAnsi="Calibri" w:cs="Arial"/>
          <w:szCs w:val="24"/>
        </w:rPr>
        <w:t xml:space="preserve">on the basis that </w:t>
      </w:r>
      <w:r w:rsidR="00182CA4" w:rsidRPr="001310AD">
        <w:rPr>
          <w:rFonts w:ascii="Calibri" w:eastAsia="Times New Roman" w:hAnsi="Calibri" w:cs="Arial"/>
          <w:szCs w:val="24"/>
        </w:rPr>
        <w:t xml:space="preserve">the </w:t>
      </w:r>
      <w:r w:rsidR="003B62C1" w:rsidRPr="001310AD">
        <w:t xml:space="preserve">lack of data for RSVpreF for season 3 was not interpreted as indicative of inferior performance compared to </w:t>
      </w:r>
      <w:r w:rsidR="00D35D09" w:rsidRPr="001310AD">
        <w:t>RSVPreF3</w:t>
      </w:r>
      <w:r w:rsidR="003B62C1" w:rsidRPr="001310AD">
        <w:t xml:space="preserve"> OA, rather it reflected an absence of </w:t>
      </w:r>
      <w:r w:rsidR="0035502B" w:rsidRPr="001310AD">
        <w:t xml:space="preserve">clinical </w:t>
      </w:r>
      <w:r w:rsidR="003B62C1" w:rsidRPr="001310AD">
        <w:t>evidence</w:t>
      </w:r>
      <w:r w:rsidR="0035502B" w:rsidRPr="001310AD">
        <w:t xml:space="preserve"> to date</w:t>
      </w:r>
      <w:r w:rsidR="003B62C1" w:rsidRPr="001310AD">
        <w:t xml:space="preserve">. </w:t>
      </w:r>
      <w:r w:rsidR="00CC28B2" w:rsidRPr="001310AD">
        <w:t>The PBAC considered that based on the data available for clinical and immunological endpoints, it was plausible that the similar performance observed across the first two seasons would extend to year three.</w:t>
      </w:r>
      <w:bookmarkEnd w:id="58"/>
    </w:p>
    <w:p w14:paraId="1AA67AD7" w14:textId="4D1F3CFD" w:rsidR="00182CA4" w:rsidRPr="001310AD" w:rsidRDefault="00182CA4" w:rsidP="002164AF">
      <w:pPr>
        <w:pStyle w:val="3-BodyText"/>
      </w:pPr>
      <w:r w:rsidRPr="001310AD">
        <w:t xml:space="preserve">The PBAC also noted that </w:t>
      </w:r>
      <w:r w:rsidR="00AE00CE" w:rsidRPr="001310AD">
        <w:t xml:space="preserve">while evidence was available for </w:t>
      </w:r>
      <w:r w:rsidR="00D35D09" w:rsidRPr="001310AD">
        <w:t>RSVPreF3</w:t>
      </w:r>
      <w:r w:rsidR="00AE00CE" w:rsidRPr="001310AD">
        <w:t xml:space="preserve"> OA, the </w:t>
      </w:r>
      <w:r w:rsidRPr="001310AD">
        <w:t xml:space="preserve">point estimates for the season-specific results for </w:t>
      </w:r>
      <w:r w:rsidR="00D35D09" w:rsidRPr="001310AD">
        <w:t>RSVPreF3</w:t>
      </w:r>
      <w:r w:rsidRPr="001310AD">
        <w:t xml:space="preserve"> OA revealed notably lower VE in Season 3 than was eviden</w:t>
      </w:r>
      <w:r w:rsidR="00B655FB" w:rsidRPr="001310AD">
        <w:t>t</w:t>
      </w:r>
      <w:r w:rsidRPr="001310AD">
        <w:t xml:space="preserve"> from the cumulative VE estimates</w:t>
      </w:r>
      <w:r w:rsidR="00FD4BD0" w:rsidRPr="001310AD">
        <w:t xml:space="preserve">, and </w:t>
      </w:r>
      <w:r w:rsidR="00B655FB" w:rsidRPr="001310AD">
        <w:t>there were</w:t>
      </w:r>
      <w:r w:rsidRPr="001310AD">
        <w:t xml:space="preserve"> wide confidence intervals for the season-specific results in Season 3</w:t>
      </w:r>
      <w:r w:rsidR="00FD4BD0" w:rsidRPr="001310AD">
        <w:t>.</w:t>
      </w:r>
      <w:r w:rsidR="00044091">
        <w:t xml:space="preserve"> </w:t>
      </w:r>
      <w:r w:rsidR="00FD4BD0" w:rsidRPr="001310AD">
        <w:t xml:space="preserve">Notably, </w:t>
      </w:r>
      <w:r w:rsidRPr="001310AD">
        <w:t xml:space="preserve">the lower bound of the 95% CI did not exceed 20%, the </w:t>
      </w:r>
      <w:r w:rsidR="00B655FB" w:rsidRPr="001310AD">
        <w:t xml:space="preserve">nominated </w:t>
      </w:r>
      <w:r w:rsidRPr="001310AD">
        <w:t>criteria for success, for RSV-LRTD (VE =</w:t>
      </w:r>
      <w:r w:rsidRPr="001310AD">
        <w:rPr>
          <w:rFonts w:cs="Calibri"/>
          <w:color w:val="000000"/>
        </w:rPr>
        <w:t>47.2; 95% CI 7.1, 71.6)</w:t>
      </w:r>
      <w:r w:rsidRPr="001310AD">
        <w:t xml:space="preserve"> and severe RSV-LRTD (VE = </w:t>
      </w:r>
      <w:r w:rsidRPr="001310AD">
        <w:rPr>
          <w:rFonts w:cs="Calibri"/>
          <w:color w:val="000000"/>
        </w:rPr>
        <w:t>43.3; 95% CI -45.3, 81.3)</w:t>
      </w:r>
      <w:r w:rsidRPr="001310AD">
        <w:t>.</w:t>
      </w:r>
      <w:r w:rsidR="00044091">
        <w:t xml:space="preserve"> </w:t>
      </w:r>
    </w:p>
    <w:p w14:paraId="54CD6040" w14:textId="4BC49D33" w:rsidR="00FD4BD0" w:rsidRPr="001310AD" w:rsidRDefault="00FD4BD0" w:rsidP="00FD4BD0">
      <w:pPr>
        <w:pStyle w:val="3-BodyText"/>
      </w:pPr>
      <w:bookmarkStart w:id="60" w:name="_Ref204851850"/>
      <w:r w:rsidRPr="001310AD">
        <w:t xml:space="preserve">The PBAC noted the limitations of the indirect comparison presented in the resubmission, including the different durations of trial follow-up available, and on balance concluded that </w:t>
      </w:r>
      <w:r w:rsidR="00D35D09" w:rsidRPr="001310AD">
        <w:t>RSVPreF3</w:t>
      </w:r>
      <w:r w:rsidRPr="001310AD">
        <w:t xml:space="preserve"> OA was non-inferior to RSVPreF with respect to comparative effectiveness and comparative safety.</w:t>
      </w:r>
      <w:bookmarkEnd w:id="60"/>
    </w:p>
    <w:p w14:paraId="3F7B5A30" w14:textId="77777777" w:rsidR="004E5979" w:rsidRPr="001310AD" w:rsidRDefault="004E5979" w:rsidP="004E5979">
      <w:pPr>
        <w:pStyle w:val="4-SubsectionHeading"/>
        <w:rPr>
          <w:iCs/>
        </w:rPr>
      </w:pPr>
      <w:bookmarkStart w:id="61" w:name="_Toc22897645"/>
      <w:bookmarkStart w:id="62" w:name="_Toc198731710"/>
      <w:bookmarkStart w:id="63" w:name="_Toc22897647"/>
      <w:bookmarkEnd w:id="59"/>
      <w:r w:rsidRPr="001310AD">
        <w:rPr>
          <w:iCs/>
        </w:rPr>
        <w:t>Economic analysis</w:t>
      </w:r>
      <w:bookmarkEnd w:id="61"/>
      <w:bookmarkEnd w:id="62"/>
      <w:r w:rsidRPr="001310AD">
        <w:rPr>
          <w:iCs/>
        </w:rPr>
        <w:t xml:space="preserve"> </w:t>
      </w:r>
    </w:p>
    <w:p w14:paraId="7A3FB807" w14:textId="4441160E" w:rsidR="004E5979" w:rsidRPr="00E63B7C" w:rsidRDefault="004E5979" w:rsidP="00E63B7C">
      <w:pPr>
        <w:pStyle w:val="3-BodyText"/>
        <w:rPr>
          <w:rFonts w:cs="Calibri"/>
          <w:color w:val="000000"/>
        </w:rPr>
      </w:pPr>
      <w:r w:rsidRPr="00E63B7C">
        <w:rPr>
          <w:rFonts w:cs="Calibri"/>
          <w:color w:val="000000"/>
        </w:rPr>
        <w:t xml:space="preserve">The resubmission presented an economic evaluation comparing a single dose of </w:t>
      </w:r>
      <w:r w:rsidR="00D35D09" w:rsidRPr="00E63B7C">
        <w:rPr>
          <w:rFonts w:cs="Calibri"/>
          <w:color w:val="000000"/>
        </w:rPr>
        <w:t>RSVPreF3</w:t>
      </w:r>
      <w:r w:rsidRPr="00E63B7C">
        <w:rPr>
          <w:rFonts w:cs="Calibri"/>
          <w:color w:val="000000"/>
        </w:rPr>
        <w:t xml:space="preserve"> OA with no vaccine based on data from AReSVi-006 and implementing a modelled evaluation</w:t>
      </w:r>
      <w:r w:rsidR="00D21151" w:rsidRPr="00E63B7C">
        <w:rPr>
          <w:rFonts w:cs="Calibri"/>
          <w:color w:val="000000"/>
        </w:rPr>
        <w:t xml:space="preserve"> (CUA)</w:t>
      </w:r>
      <w:r w:rsidRPr="00E63B7C">
        <w:rPr>
          <w:rFonts w:cs="Calibri"/>
          <w:color w:val="000000"/>
        </w:rPr>
        <w:t xml:space="preserve"> for adults ≥75 YOA and Aboriginal and Torres Strait Islander people 60-74 YOA. </w:t>
      </w:r>
    </w:p>
    <w:p w14:paraId="7983E784" w14:textId="0D066436" w:rsidR="004E5979" w:rsidRPr="00E63B7C" w:rsidRDefault="004E5979" w:rsidP="00E63B7C">
      <w:pPr>
        <w:pStyle w:val="3-BodyText"/>
        <w:rPr>
          <w:rFonts w:cs="Calibri"/>
          <w:color w:val="000000"/>
        </w:rPr>
      </w:pPr>
      <w:r w:rsidRPr="00E63B7C">
        <w:rPr>
          <w:rFonts w:cs="Calibri"/>
          <w:color w:val="000000"/>
        </w:rPr>
        <w:t>At its July 2024 meeting, the PBAC noted that if revaccination is requested in the future, this would influence cost-effectiveness (para</w:t>
      </w:r>
      <w:r w:rsidR="00B60944" w:rsidRPr="00E63B7C">
        <w:rPr>
          <w:rFonts w:cs="Calibri"/>
          <w:color w:val="000000"/>
        </w:rPr>
        <w:t>graph</w:t>
      </w:r>
      <w:r w:rsidRPr="00E63B7C">
        <w:rPr>
          <w:rFonts w:cs="Calibri"/>
          <w:color w:val="000000"/>
        </w:rPr>
        <w:t xml:space="preserve"> 6.88 and 7.21, RSVPreF3 OA PSD, July 2024). The resubmission did not present a cost-effectiveness analysis which included revaccination, stating that the need and optimal timing of revaccination is not yet established.</w:t>
      </w:r>
    </w:p>
    <w:p w14:paraId="5455A046" w14:textId="081ECE45" w:rsidR="004E5979" w:rsidRPr="00E63B7C" w:rsidRDefault="004E5979" w:rsidP="00E63B7C">
      <w:pPr>
        <w:pStyle w:val="3-BodyText"/>
        <w:rPr>
          <w:rFonts w:cs="Calibri"/>
          <w:color w:val="000000"/>
        </w:rPr>
      </w:pPr>
      <w:r w:rsidRPr="00E63B7C">
        <w:rPr>
          <w:rFonts w:cs="Calibri"/>
          <w:color w:val="000000"/>
        </w:rPr>
        <w:t xml:space="preserve">A summary of the model structure, key inputs and rationale is presented in </w:t>
      </w:r>
      <w:r w:rsidRPr="00E63B7C">
        <w:rPr>
          <w:rFonts w:cs="Calibri"/>
          <w:color w:val="000000"/>
        </w:rPr>
        <w:fldChar w:fldCharType="begin"/>
      </w:r>
      <w:r w:rsidRPr="00E63B7C">
        <w:rPr>
          <w:rFonts w:cs="Calibri"/>
          <w:color w:val="000000"/>
        </w:rPr>
        <w:instrText xml:space="preserve"> REF _Ref195248115 \h </w:instrText>
      </w:r>
      <w:r w:rsidR="00E63B7C">
        <w:rPr>
          <w:rFonts w:cs="Calibri"/>
          <w:color w:val="000000"/>
        </w:rPr>
        <w:instrText xml:space="preserve"> \* MERGEFORMAT </w:instrText>
      </w:r>
      <w:r w:rsidRPr="00E63B7C">
        <w:rPr>
          <w:rFonts w:cs="Calibri"/>
          <w:color w:val="000000"/>
        </w:rPr>
      </w:r>
      <w:r w:rsidRPr="00E63B7C">
        <w:rPr>
          <w:rFonts w:cs="Calibri"/>
          <w:color w:val="000000"/>
        </w:rPr>
        <w:fldChar w:fldCharType="separate"/>
      </w:r>
      <w:r w:rsidR="001F75E0" w:rsidRPr="00E63B7C">
        <w:rPr>
          <w:rFonts w:cs="Calibri"/>
          <w:color w:val="000000"/>
        </w:rPr>
        <w:t>Table 13</w:t>
      </w:r>
      <w:r w:rsidRPr="00E63B7C">
        <w:rPr>
          <w:rFonts w:cs="Calibri"/>
          <w:color w:val="000000"/>
        </w:rPr>
        <w:fldChar w:fldCharType="end"/>
      </w:r>
      <w:r w:rsidRPr="00E63B7C">
        <w:rPr>
          <w:rFonts w:cs="Calibri"/>
          <w:color w:val="000000"/>
        </w:rPr>
        <w:t>. The model is largely similar to that</w:t>
      </w:r>
      <w:r w:rsidR="009A5CA6" w:rsidRPr="00E63B7C">
        <w:rPr>
          <w:rFonts w:cs="Calibri"/>
          <w:color w:val="000000"/>
        </w:rPr>
        <w:t xml:space="preserve"> presented</w:t>
      </w:r>
      <w:r w:rsidRPr="00E63B7C">
        <w:rPr>
          <w:rFonts w:cs="Calibri"/>
          <w:color w:val="000000"/>
        </w:rPr>
        <w:t xml:space="preserve"> in the July 2024 submission. Key inputs updated in the resubmission include:</w:t>
      </w:r>
    </w:p>
    <w:p w14:paraId="73F277DE" w14:textId="77777777" w:rsidR="004E5979" w:rsidRPr="001310AD" w:rsidRDefault="004E5979">
      <w:pPr>
        <w:pStyle w:val="3-BodyText"/>
        <w:numPr>
          <w:ilvl w:val="0"/>
          <w:numId w:val="11"/>
        </w:numPr>
        <w:spacing w:before="0" w:after="0"/>
      </w:pPr>
      <w:r w:rsidRPr="001310AD">
        <w:t>VE and waning data.</w:t>
      </w:r>
    </w:p>
    <w:p w14:paraId="37ED62B4" w14:textId="77777777" w:rsidR="004E5979" w:rsidRPr="001310AD" w:rsidRDefault="004E5979">
      <w:pPr>
        <w:pStyle w:val="3-BodyText"/>
        <w:numPr>
          <w:ilvl w:val="0"/>
          <w:numId w:val="11"/>
        </w:numPr>
        <w:spacing w:before="0" w:after="0"/>
      </w:pPr>
      <w:r w:rsidRPr="001310AD">
        <w:t>RSV-associated hospitalisation rates, including updated under-ascertainment multipliers and unadjusted RSV hospitalisation rates.</w:t>
      </w:r>
    </w:p>
    <w:p w14:paraId="28F07254" w14:textId="77777777" w:rsidR="004E5979" w:rsidRPr="001310AD" w:rsidRDefault="004E5979">
      <w:pPr>
        <w:pStyle w:val="3-BodyText"/>
        <w:numPr>
          <w:ilvl w:val="0"/>
          <w:numId w:val="11"/>
        </w:numPr>
        <w:spacing w:before="0" w:after="0"/>
      </w:pPr>
      <w:r w:rsidRPr="001310AD">
        <w:t>RSV-associated hospitalisation costs.</w:t>
      </w:r>
    </w:p>
    <w:p w14:paraId="2B5EB950" w14:textId="77777777" w:rsidR="004E5979" w:rsidRPr="001310AD" w:rsidRDefault="004E5979">
      <w:pPr>
        <w:pStyle w:val="3-BodyText"/>
        <w:numPr>
          <w:ilvl w:val="0"/>
          <w:numId w:val="11"/>
        </w:numPr>
        <w:spacing w:before="0"/>
      </w:pPr>
      <w:r w:rsidRPr="001310AD">
        <w:t>RSV-related death.</w:t>
      </w:r>
    </w:p>
    <w:p w14:paraId="6BF7FFC3" w14:textId="2028565B" w:rsidR="004E5979" w:rsidRPr="001310AD" w:rsidRDefault="004E5979" w:rsidP="004E5979">
      <w:pPr>
        <w:pStyle w:val="Caption"/>
        <w:jc w:val="left"/>
        <w:rPr>
          <w:rStyle w:val="CommentReference"/>
          <w:b/>
          <w:szCs w:val="24"/>
        </w:rPr>
      </w:pPr>
      <w:bookmarkStart w:id="64" w:name="_Ref195248115"/>
      <w:r w:rsidRPr="001310AD">
        <w:t xml:space="preserve">Table </w:t>
      </w:r>
      <w:fldSimple w:instr=" SEQ Table \* ARABIC ">
        <w:r w:rsidR="001F75E0" w:rsidRPr="001310AD">
          <w:t>13</w:t>
        </w:r>
      </w:fldSimple>
      <w:bookmarkEnd w:id="64"/>
      <w:r w:rsidRPr="001310AD">
        <w:t>:</w:t>
      </w:r>
      <w:r w:rsidRPr="001310AD">
        <w:rPr>
          <w:rStyle w:val="CommentReference"/>
          <w:b/>
          <w:szCs w:val="24"/>
        </w:rPr>
        <w:t xml:space="preserve"> Summary of model structure, key inputs and rationale</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3: Summary of model structure, key inputs and rationale"/>
      </w:tblPr>
      <w:tblGrid>
        <w:gridCol w:w="1554"/>
        <w:gridCol w:w="3474"/>
        <w:gridCol w:w="4087"/>
        <w:gridCol w:w="7"/>
      </w:tblGrid>
      <w:tr w:rsidR="004E5979" w:rsidRPr="001310AD" w14:paraId="7937AD82" w14:textId="77777777" w:rsidTr="00334E66">
        <w:trPr>
          <w:gridAfter w:val="1"/>
          <w:wAfter w:w="4" w:type="pct"/>
          <w:cantSplit/>
          <w:tblHeader/>
        </w:trPr>
        <w:tc>
          <w:tcPr>
            <w:tcW w:w="852" w:type="pct"/>
            <w:vAlign w:val="center"/>
          </w:tcPr>
          <w:p w14:paraId="241BC38B" w14:textId="77777777" w:rsidR="004E5979" w:rsidRPr="001310AD" w:rsidRDefault="004E5979" w:rsidP="00F82E93">
            <w:pPr>
              <w:pStyle w:val="In-tableHeading"/>
              <w:keepNext w:val="0"/>
              <w:keepLines w:val="0"/>
            </w:pPr>
            <w:r w:rsidRPr="001310AD">
              <w:t>Component</w:t>
            </w:r>
          </w:p>
        </w:tc>
        <w:tc>
          <w:tcPr>
            <w:tcW w:w="1904" w:type="pct"/>
            <w:vAlign w:val="center"/>
          </w:tcPr>
          <w:p w14:paraId="58296DF5" w14:textId="77777777" w:rsidR="004E5979" w:rsidRPr="001310AD" w:rsidRDefault="004E5979" w:rsidP="00F82E93">
            <w:pPr>
              <w:pStyle w:val="In-tableHeading"/>
              <w:keepNext w:val="0"/>
              <w:keepLines w:val="0"/>
            </w:pPr>
            <w:r w:rsidRPr="001310AD">
              <w:t>July 2024 submission</w:t>
            </w:r>
          </w:p>
        </w:tc>
        <w:tc>
          <w:tcPr>
            <w:tcW w:w="2240" w:type="pct"/>
            <w:vAlign w:val="center"/>
          </w:tcPr>
          <w:p w14:paraId="486C2E43" w14:textId="4FDF7D25" w:rsidR="004E5979" w:rsidRPr="001310AD" w:rsidRDefault="004E5979" w:rsidP="00F82E93">
            <w:pPr>
              <w:pStyle w:val="In-tableHeading"/>
              <w:keepNext w:val="0"/>
              <w:keepLines w:val="0"/>
              <w:rPr>
                <w:vertAlign w:val="superscript"/>
              </w:rPr>
            </w:pPr>
            <w:r w:rsidRPr="001310AD">
              <w:t xml:space="preserve">July 2025 </w:t>
            </w:r>
            <w:proofErr w:type="spellStart"/>
            <w:r w:rsidRPr="001310AD">
              <w:t>resubmission</w:t>
            </w:r>
            <w:r w:rsidRPr="001310AD">
              <w:rPr>
                <w:vertAlign w:val="superscript"/>
              </w:rPr>
              <w:t>a</w:t>
            </w:r>
            <w:proofErr w:type="spellEnd"/>
          </w:p>
        </w:tc>
      </w:tr>
      <w:tr w:rsidR="004E5979" w:rsidRPr="001310AD" w14:paraId="0EE04B58" w14:textId="77777777">
        <w:trPr>
          <w:gridAfter w:val="1"/>
          <w:wAfter w:w="4" w:type="pct"/>
          <w:cantSplit/>
        </w:trPr>
        <w:tc>
          <w:tcPr>
            <w:tcW w:w="852" w:type="pct"/>
            <w:vAlign w:val="center"/>
          </w:tcPr>
          <w:p w14:paraId="68084704" w14:textId="77777777" w:rsidR="004E5979" w:rsidRPr="001310AD" w:rsidRDefault="004E5979" w:rsidP="00F82E93">
            <w:pPr>
              <w:pStyle w:val="TableText0"/>
              <w:keepNext w:val="0"/>
              <w:keepLines w:val="0"/>
              <w:rPr>
                <w:b/>
                <w:bCs w:val="0"/>
              </w:rPr>
            </w:pPr>
            <w:r w:rsidRPr="001310AD">
              <w:rPr>
                <w:b/>
                <w:bCs w:val="0"/>
              </w:rPr>
              <w:t xml:space="preserve">Populations </w:t>
            </w:r>
          </w:p>
        </w:tc>
        <w:tc>
          <w:tcPr>
            <w:tcW w:w="1904" w:type="pct"/>
            <w:vAlign w:val="center"/>
          </w:tcPr>
          <w:p w14:paraId="209948C9" w14:textId="77777777" w:rsidR="004E5979" w:rsidRPr="001310AD" w:rsidRDefault="004E5979" w:rsidP="00F82E93">
            <w:pPr>
              <w:pStyle w:val="TableText0"/>
              <w:keepNext w:val="0"/>
              <w:keepLines w:val="0"/>
            </w:pPr>
            <w:r w:rsidRPr="001310AD">
              <w:t>• ≥ 60 YOA</w:t>
            </w:r>
          </w:p>
          <w:p w14:paraId="338A02D0" w14:textId="77777777" w:rsidR="004E5979" w:rsidRPr="001310AD" w:rsidRDefault="004E5979" w:rsidP="00F82E93">
            <w:pPr>
              <w:pStyle w:val="TableText0"/>
              <w:keepNext w:val="0"/>
              <w:keepLines w:val="0"/>
            </w:pPr>
            <w:r w:rsidRPr="001310AD">
              <w:t xml:space="preserve">• ≥ 75 YOA </w:t>
            </w:r>
          </w:p>
          <w:p w14:paraId="509ABD74" w14:textId="77777777" w:rsidR="004E5979" w:rsidRPr="001310AD" w:rsidRDefault="004E5979" w:rsidP="00F82E93">
            <w:pPr>
              <w:pStyle w:val="TableText0"/>
              <w:keepNext w:val="0"/>
              <w:keepLines w:val="0"/>
            </w:pPr>
            <w:r w:rsidRPr="001310AD">
              <w:t xml:space="preserve">• ≥ 65 YOA, ≥ 70 YOA, and ≥ 80 YOA </w:t>
            </w:r>
          </w:p>
        </w:tc>
        <w:tc>
          <w:tcPr>
            <w:tcW w:w="2240" w:type="pct"/>
            <w:vAlign w:val="center"/>
          </w:tcPr>
          <w:p w14:paraId="5B62E773" w14:textId="77777777" w:rsidR="004E5979" w:rsidRPr="001310AD" w:rsidRDefault="004E5979" w:rsidP="00F82E93">
            <w:pPr>
              <w:pStyle w:val="TableText0"/>
              <w:keepNext w:val="0"/>
              <w:keepLines w:val="0"/>
            </w:pPr>
            <w:r w:rsidRPr="001310AD">
              <w:t xml:space="preserve">• </w:t>
            </w:r>
            <w:bookmarkStart w:id="65" w:name="_Hlk195347834"/>
            <w:r w:rsidRPr="001310AD">
              <w:t>≥ 75 YOA</w:t>
            </w:r>
            <w:bookmarkEnd w:id="65"/>
          </w:p>
          <w:p w14:paraId="7C561E96" w14:textId="0D1FEE4A" w:rsidR="004E5979" w:rsidRPr="001310AD" w:rsidRDefault="004E5979" w:rsidP="00F82E93">
            <w:pPr>
              <w:pStyle w:val="TableText0"/>
              <w:keepNext w:val="0"/>
              <w:keepLines w:val="0"/>
            </w:pPr>
            <w:r w:rsidRPr="001310AD">
              <w:t>• Aboriginal and Torres Strait Islander people 60-74 YOA</w:t>
            </w:r>
          </w:p>
        </w:tc>
      </w:tr>
      <w:tr w:rsidR="004E5979" w:rsidRPr="001310AD" w14:paraId="5133BA42" w14:textId="77777777">
        <w:trPr>
          <w:gridAfter w:val="1"/>
          <w:wAfter w:w="4" w:type="pct"/>
          <w:cantSplit/>
        </w:trPr>
        <w:tc>
          <w:tcPr>
            <w:tcW w:w="852" w:type="pct"/>
            <w:vAlign w:val="center"/>
          </w:tcPr>
          <w:p w14:paraId="4DB72358" w14:textId="77777777" w:rsidR="004E5979" w:rsidRPr="001310AD" w:rsidRDefault="004E5979" w:rsidP="00F82E93">
            <w:pPr>
              <w:pStyle w:val="TableText0"/>
              <w:keepNext w:val="0"/>
              <w:keepLines w:val="0"/>
              <w:rPr>
                <w:b/>
                <w:bCs w:val="0"/>
              </w:rPr>
            </w:pPr>
            <w:r w:rsidRPr="001310AD">
              <w:rPr>
                <w:b/>
                <w:bCs w:val="0"/>
              </w:rPr>
              <w:t>Treatments</w:t>
            </w:r>
          </w:p>
        </w:tc>
        <w:tc>
          <w:tcPr>
            <w:tcW w:w="1904" w:type="pct"/>
            <w:vAlign w:val="center"/>
          </w:tcPr>
          <w:p w14:paraId="05D3BF8A" w14:textId="6D82DB17" w:rsidR="004E5979" w:rsidRPr="001310AD" w:rsidRDefault="004E5979" w:rsidP="00F82E93">
            <w:pPr>
              <w:pStyle w:val="TableText0"/>
              <w:keepNext w:val="0"/>
              <w:keepLines w:val="0"/>
            </w:pPr>
            <w:r w:rsidRPr="001310AD">
              <w:t>RSVPreF3 OA versus no vaccine</w:t>
            </w:r>
          </w:p>
        </w:tc>
        <w:tc>
          <w:tcPr>
            <w:tcW w:w="2240" w:type="pct"/>
            <w:vAlign w:val="center"/>
          </w:tcPr>
          <w:p w14:paraId="2767B912" w14:textId="77777777" w:rsidR="004E5979" w:rsidRPr="001310AD" w:rsidRDefault="004E5979" w:rsidP="00F82E93">
            <w:pPr>
              <w:pStyle w:val="TableText0"/>
              <w:keepNext w:val="0"/>
              <w:keepLines w:val="0"/>
            </w:pPr>
            <w:r w:rsidRPr="001310AD">
              <w:t>Unchanged</w:t>
            </w:r>
          </w:p>
        </w:tc>
      </w:tr>
      <w:tr w:rsidR="004E5979" w:rsidRPr="001310AD" w14:paraId="3D5349D6" w14:textId="77777777">
        <w:trPr>
          <w:gridAfter w:val="1"/>
          <w:wAfter w:w="4" w:type="pct"/>
          <w:cantSplit/>
          <w:trHeight w:val="209"/>
        </w:trPr>
        <w:tc>
          <w:tcPr>
            <w:tcW w:w="852" w:type="pct"/>
            <w:vAlign w:val="center"/>
          </w:tcPr>
          <w:p w14:paraId="487D6432" w14:textId="77777777" w:rsidR="004E5979" w:rsidRPr="001310AD" w:rsidRDefault="004E5979" w:rsidP="00F82E93">
            <w:pPr>
              <w:pStyle w:val="TableText0"/>
              <w:keepNext w:val="0"/>
              <w:keepLines w:val="0"/>
              <w:rPr>
                <w:b/>
                <w:bCs w:val="0"/>
              </w:rPr>
            </w:pPr>
            <w:r w:rsidRPr="001310AD">
              <w:rPr>
                <w:b/>
                <w:bCs w:val="0"/>
              </w:rPr>
              <w:t>Outcomes</w:t>
            </w:r>
          </w:p>
        </w:tc>
        <w:tc>
          <w:tcPr>
            <w:tcW w:w="1904" w:type="pct"/>
            <w:vAlign w:val="center"/>
          </w:tcPr>
          <w:p w14:paraId="0D79B36D" w14:textId="77777777" w:rsidR="004E5979" w:rsidRPr="001310AD" w:rsidRDefault="004E5979" w:rsidP="00F82E93">
            <w:pPr>
              <w:pStyle w:val="TableText0"/>
              <w:keepNext w:val="0"/>
              <w:keepLines w:val="0"/>
            </w:pPr>
            <w:r w:rsidRPr="001310AD">
              <w:t>LYs and QALYs</w:t>
            </w:r>
          </w:p>
        </w:tc>
        <w:tc>
          <w:tcPr>
            <w:tcW w:w="2240" w:type="pct"/>
            <w:vAlign w:val="center"/>
          </w:tcPr>
          <w:p w14:paraId="10E5073C" w14:textId="77777777" w:rsidR="004E5979" w:rsidRPr="001310AD" w:rsidRDefault="004E5979" w:rsidP="00F82E93">
            <w:pPr>
              <w:pStyle w:val="TableText0"/>
              <w:keepNext w:val="0"/>
              <w:keepLines w:val="0"/>
            </w:pPr>
            <w:r w:rsidRPr="001310AD">
              <w:t>Unchanged</w:t>
            </w:r>
          </w:p>
        </w:tc>
      </w:tr>
      <w:tr w:rsidR="004E5979" w:rsidRPr="001310AD" w14:paraId="1A00F3A3" w14:textId="77777777">
        <w:trPr>
          <w:gridAfter w:val="1"/>
          <w:wAfter w:w="4" w:type="pct"/>
          <w:cantSplit/>
        </w:trPr>
        <w:tc>
          <w:tcPr>
            <w:tcW w:w="852" w:type="pct"/>
            <w:vAlign w:val="center"/>
          </w:tcPr>
          <w:p w14:paraId="3F4463B2" w14:textId="77777777" w:rsidR="004E5979" w:rsidRPr="001310AD" w:rsidRDefault="004E5979" w:rsidP="00F82E93">
            <w:pPr>
              <w:pStyle w:val="TableText0"/>
              <w:keepNext w:val="0"/>
              <w:keepLines w:val="0"/>
              <w:rPr>
                <w:b/>
                <w:bCs w:val="0"/>
              </w:rPr>
            </w:pPr>
            <w:r w:rsidRPr="001310AD">
              <w:rPr>
                <w:b/>
                <w:bCs w:val="0"/>
              </w:rPr>
              <w:lastRenderedPageBreak/>
              <w:t>Time horizon</w:t>
            </w:r>
          </w:p>
        </w:tc>
        <w:tc>
          <w:tcPr>
            <w:tcW w:w="1904" w:type="pct"/>
            <w:vAlign w:val="center"/>
          </w:tcPr>
          <w:p w14:paraId="3DB16C0C" w14:textId="77777777" w:rsidR="004E5979" w:rsidRPr="001310AD" w:rsidRDefault="004E5979" w:rsidP="00F82E93">
            <w:pPr>
              <w:pStyle w:val="TableText0"/>
              <w:keepNext w:val="0"/>
              <w:keepLines w:val="0"/>
            </w:pPr>
            <w:r w:rsidRPr="001310AD">
              <w:t>3-year duration of protection, lifetime for LYs and QALYs</w:t>
            </w:r>
          </w:p>
        </w:tc>
        <w:tc>
          <w:tcPr>
            <w:tcW w:w="2240" w:type="pct"/>
            <w:vAlign w:val="center"/>
          </w:tcPr>
          <w:p w14:paraId="5A8ACDAB" w14:textId="77777777" w:rsidR="004E5979" w:rsidRPr="001310AD" w:rsidRDefault="004E5979" w:rsidP="00F82E93">
            <w:pPr>
              <w:pStyle w:val="TableText0"/>
              <w:keepNext w:val="0"/>
              <w:keepLines w:val="0"/>
            </w:pPr>
            <w:r w:rsidRPr="001310AD">
              <w:t>5-year duration of protection, lifetime for LYs and QALYs</w:t>
            </w:r>
          </w:p>
        </w:tc>
      </w:tr>
      <w:tr w:rsidR="004E5979" w:rsidRPr="001310AD" w14:paraId="624335DA" w14:textId="77777777">
        <w:trPr>
          <w:gridAfter w:val="1"/>
          <w:wAfter w:w="4" w:type="pct"/>
          <w:cantSplit/>
        </w:trPr>
        <w:tc>
          <w:tcPr>
            <w:tcW w:w="852" w:type="pct"/>
            <w:vAlign w:val="center"/>
          </w:tcPr>
          <w:p w14:paraId="318F77E0" w14:textId="77777777" w:rsidR="004E5979" w:rsidRPr="001310AD" w:rsidRDefault="004E5979" w:rsidP="00F82E93">
            <w:pPr>
              <w:pStyle w:val="TableText0"/>
              <w:keepNext w:val="0"/>
              <w:keepLines w:val="0"/>
              <w:rPr>
                <w:b/>
                <w:bCs w:val="0"/>
              </w:rPr>
            </w:pPr>
            <w:r w:rsidRPr="001310AD">
              <w:rPr>
                <w:b/>
                <w:bCs w:val="0"/>
              </w:rPr>
              <w:t>Methods used to generate results</w:t>
            </w:r>
          </w:p>
        </w:tc>
        <w:tc>
          <w:tcPr>
            <w:tcW w:w="1904" w:type="pct"/>
            <w:vAlign w:val="center"/>
          </w:tcPr>
          <w:p w14:paraId="67F6A709" w14:textId="77777777" w:rsidR="004E5979" w:rsidRPr="001310AD" w:rsidRDefault="004E5979" w:rsidP="00F82E93">
            <w:pPr>
              <w:pStyle w:val="TableText0"/>
              <w:keepNext w:val="0"/>
              <w:keepLines w:val="0"/>
            </w:pPr>
            <w:r w:rsidRPr="001310AD">
              <w:t>Static multi-cohort Markov model</w:t>
            </w:r>
          </w:p>
        </w:tc>
        <w:tc>
          <w:tcPr>
            <w:tcW w:w="2240" w:type="pct"/>
            <w:vAlign w:val="center"/>
          </w:tcPr>
          <w:p w14:paraId="7C72FC3A" w14:textId="77777777" w:rsidR="004E5979" w:rsidRPr="001310AD" w:rsidRDefault="004E5979" w:rsidP="00F82E93">
            <w:pPr>
              <w:pStyle w:val="TableText0"/>
              <w:keepNext w:val="0"/>
              <w:keepLines w:val="0"/>
            </w:pPr>
            <w:r w:rsidRPr="001310AD">
              <w:t>Unchanged</w:t>
            </w:r>
          </w:p>
        </w:tc>
      </w:tr>
      <w:tr w:rsidR="004E5979" w:rsidRPr="001310AD" w14:paraId="326D3551" w14:textId="77777777">
        <w:trPr>
          <w:gridAfter w:val="1"/>
          <w:wAfter w:w="4" w:type="pct"/>
          <w:cantSplit/>
        </w:trPr>
        <w:tc>
          <w:tcPr>
            <w:tcW w:w="852" w:type="pct"/>
            <w:vAlign w:val="center"/>
          </w:tcPr>
          <w:p w14:paraId="4775E4E8" w14:textId="77777777" w:rsidR="004E5979" w:rsidRPr="001310AD" w:rsidRDefault="004E5979" w:rsidP="00F82E93">
            <w:pPr>
              <w:pStyle w:val="TableText0"/>
              <w:keepNext w:val="0"/>
              <w:keepLines w:val="0"/>
              <w:rPr>
                <w:b/>
                <w:bCs w:val="0"/>
              </w:rPr>
            </w:pPr>
            <w:r w:rsidRPr="001310AD">
              <w:rPr>
                <w:b/>
                <w:bCs w:val="0"/>
              </w:rPr>
              <w:t>Health states</w:t>
            </w:r>
          </w:p>
        </w:tc>
        <w:tc>
          <w:tcPr>
            <w:tcW w:w="1904" w:type="pct"/>
            <w:vAlign w:val="center"/>
          </w:tcPr>
          <w:p w14:paraId="10DB63AA" w14:textId="77777777" w:rsidR="004E5979" w:rsidRPr="001310AD" w:rsidRDefault="004E5979" w:rsidP="00F82E93">
            <w:pPr>
              <w:pStyle w:val="TableText0"/>
              <w:keepNext w:val="0"/>
              <w:keepLines w:val="0"/>
            </w:pPr>
            <w:r w:rsidRPr="001310AD">
              <w:t>No-RSV, post-RSV (participants that survived at least one RSV episode), and death</w:t>
            </w:r>
          </w:p>
        </w:tc>
        <w:tc>
          <w:tcPr>
            <w:tcW w:w="2240" w:type="pct"/>
            <w:vAlign w:val="center"/>
          </w:tcPr>
          <w:p w14:paraId="4B8B19E5" w14:textId="77777777" w:rsidR="004E5979" w:rsidRPr="001310AD" w:rsidRDefault="004E5979" w:rsidP="00F82E93">
            <w:pPr>
              <w:pStyle w:val="TableText0"/>
              <w:keepNext w:val="0"/>
              <w:keepLines w:val="0"/>
            </w:pPr>
            <w:r w:rsidRPr="001310AD">
              <w:t>Unchanged</w:t>
            </w:r>
          </w:p>
        </w:tc>
      </w:tr>
      <w:tr w:rsidR="004E5979" w:rsidRPr="001310AD" w14:paraId="51707F76" w14:textId="77777777">
        <w:trPr>
          <w:gridAfter w:val="1"/>
          <w:wAfter w:w="4" w:type="pct"/>
          <w:cantSplit/>
        </w:trPr>
        <w:tc>
          <w:tcPr>
            <w:tcW w:w="852" w:type="pct"/>
            <w:vAlign w:val="center"/>
          </w:tcPr>
          <w:p w14:paraId="22A33713" w14:textId="77777777" w:rsidR="004E5979" w:rsidRPr="001310AD" w:rsidRDefault="004E5979" w:rsidP="00F82E93">
            <w:pPr>
              <w:pStyle w:val="TableText0"/>
              <w:keepNext w:val="0"/>
              <w:keepLines w:val="0"/>
              <w:rPr>
                <w:b/>
                <w:bCs w:val="0"/>
              </w:rPr>
            </w:pPr>
            <w:r w:rsidRPr="001310AD">
              <w:rPr>
                <w:b/>
                <w:bCs w:val="0"/>
              </w:rPr>
              <w:t>Cycle length</w:t>
            </w:r>
          </w:p>
        </w:tc>
        <w:tc>
          <w:tcPr>
            <w:tcW w:w="1904" w:type="pct"/>
            <w:vAlign w:val="center"/>
          </w:tcPr>
          <w:p w14:paraId="6A8494CA" w14:textId="77777777" w:rsidR="004E5979" w:rsidRPr="001310AD" w:rsidRDefault="004E5979" w:rsidP="00F82E93">
            <w:pPr>
              <w:pStyle w:val="TableText0"/>
              <w:keepNext w:val="0"/>
              <w:keepLines w:val="0"/>
            </w:pPr>
            <w:r w:rsidRPr="001310AD">
              <w:t>1 month</w:t>
            </w:r>
          </w:p>
        </w:tc>
        <w:tc>
          <w:tcPr>
            <w:tcW w:w="2240" w:type="pct"/>
            <w:vAlign w:val="center"/>
          </w:tcPr>
          <w:p w14:paraId="7B4CEEC2" w14:textId="77777777" w:rsidR="004E5979" w:rsidRPr="001310AD" w:rsidRDefault="004E5979" w:rsidP="00F82E93">
            <w:pPr>
              <w:pStyle w:val="TableText0"/>
              <w:keepNext w:val="0"/>
              <w:keepLines w:val="0"/>
            </w:pPr>
            <w:r w:rsidRPr="001310AD">
              <w:t>Unchanged</w:t>
            </w:r>
          </w:p>
        </w:tc>
      </w:tr>
      <w:tr w:rsidR="004E5979" w:rsidRPr="001310AD" w14:paraId="401572F1" w14:textId="77777777">
        <w:trPr>
          <w:cantSplit/>
        </w:trPr>
        <w:tc>
          <w:tcPr>
            <w:tcW w:w="5000" w:type="pct"/>
            <w:gridSpan w:val="4"/>
            <w:vAlign w:val="center"/>
          </w:tcPr>
          <w:p w14:paraId="63D6BCCA" w14:textId="77777777" w:rsidR="004E5979" w:rsidRPr="001310AD" w:rsidRDefault="004E5979" w:rsidP="00F82E93">
            <w:pPr>
              <w:pStyle w:val="TableText0"/>
              <w:rPr>
                <w:b/>
                <w:bCs w:val="0"/>
              </w:rPr>
            </w:pPr>
            <w:r w:rsidRPr="001310AD">
              <w:rPr>
                <w:b/>
                <w:bCs w:val="0"/>
              </w:rPr>
              <w:t>Transition probabilities</w:t>
            </w:r>
          </w:p>
        </w:tc>
      </w:tr>
      <w:tr w:rsidR="004E5979" w:rsidRPr="001310AD" w14:paraId="23C8F001" w14:textId="77777777">
        <w:trPr>
          <w:gridAfter w:val="1"/>
          <w:wAfter w:w="4" w:type="pct"/>
          <w:cantSplit/>
        </w:trPr>
        <w:tc>
          <w:tcPr>
            <w:tcW w:w="852" w:type="pct"/>
            <w:vAlign w:val="center"/>
          </w:tcPr>
          <w:p w14:paraId="11E74E10" w14:textId="77777777" w:rsidR="004E5979" w:rsidRPr="001310AD" w:rsidRDefault="004E5979" w:rsidP="00F82E93">
            <w:pPr>
              <w:pStyle w:val="TableText0"/>
              <w:jc w:val="right"/>
            </w:pPr>
            <w:r w:rsidRPr="001310AD">
              <w:t>Vaccine efficacy</w:t>
            </w:r>
          </w:p>
        </w:tc>
        <w:tc>
          <w:tcPr>
            <w:tcW w:w="1904" w:type="pct"/>
            <w:vAlign w:val="center"/>
          </w:tcPr>
          <w:p w14:paraId="71AA6C5D" w14:textId="77777777" w:rsidR="004E5979" w:rsidRPr="001310AD" w:rsidRDefault="004E5979" w:rsidP="00F82E93">
            <w:pPr>
              <w:pStyle w:val="TableText0"/>
            </w:pPr>
            <w:r w:rsidRPr="001310AD">
              <w:t>Linear model.</w:t>
            </w:r>
          </w:p>
          <w:p w14:paraId="320C2099" w14:textId="77777777" w:rsidR="004E5979" w:rsidRPr="001310AD" w:rsidRDefault="004E5979" w:rsidP="00F82E93">
            <w:pPr>
              <w:pStyle w:val="TableText0"/>
            </w:pPr>
            <w:r w:rsidRPr="001310AD">
              <w:t>Per AReSVi-006 (overall population): 18 months</w:t>
            </w:r>
          </w:p>
          <w:p w14:paraId="164B6E51" w14:textId="77777777" w:rsidR="004E5979" w:rsidRPr="001310AD" w:rsidRDefault="004E5979" w:rsidP="00F82E93">
            <w:pPr>
              <w:pStyle w:val="TableText0"/>
            </w:pPr>
            <w:r w:rsidRPr="001310AD">
              <w:t xml:space="preserve">Waning: 25 months for RSV-LRTD, 16 months for RSV-ARI. </w:t>
            </w:r>
          </w:p>
          <w:p w14:paraId="66D3E002" w14:textId="77777777" w:rsidR="004E5979" w:rsidRPr="001310AD" w:rsidRDefault="004E5979" w:rsidP="00F82E93">
            <w:pPr>
              <w:pStyle w:val="TableText0"/>
            </w:pPr>
          </w:p>
          <w:p w14:paraId="69458A9C" w14:textId="77777777" w:rsidR="004E5979" w:rsidRPr="001310AD" w:rsidRDefault="004E5979" w:rsidP="00F82E93">
            <w:pPr>
              <w:pStyle w:val="TableText0"/>
            </w:pPr>
            <w:r w:rsidRPr="001310AD">
              <w:t>A PSCR-revised analysis based on a median follow-up of 23.3 months.</w:t>
            </w:r>
          </w:p>
        </w:tc>
        <w:tc>
          <w:tcPr>
            <w:tcW w:w="2240" w:type="pct"/>
            <w:vAlign w:val="center"/>
          </w:tcPr>
          <w:p w14:paraId="2BE3735E" w14:textId="77777777" w:rsidR="004E5979" w:rsidRPr="001310AD" w:rsidRDefault="004E5979" w:rsidP="00F82E93">
            <w:pPr>
              <w:pStyle w:val="TableText0"/>
            </w:pPr>
            <w:r w:rsidRPr="001310AD">
              <w:t>Linear logarithmic model.</w:t>
            </w:r>
          </w:p>
          <w:p w14:paraId="4FCD97D1" w14:textId="78AA3937" w:rsidR="004E5979" w:rsidRPr="001310AD" w:rsidRDefault="004E5979" w:rsidP="00F82E93">
            <w:pPr>
              <w:pStyle w:val="TableText0"/>
            </w:pPr>
            <w:r w:rsidRPr="001310AD">
              <w:t>Per AReSVi-006 (overall population): 3 years (</w:t>
            </w:r>
            <w:r w:rsidR="00174545" w:rsidRPr="001310AD">
              <w:t xml:space="preserve">median </w:t>
            </w:r>
            <w:r w:rsidRPr="001310AD">
              <w:t>30.6-month trial data)</w:t>
            </w:r>
            <w:r w:rsidR="0091094B" w:rsidRPr="001310AD">
              <w:t>.</w:t>
            </w:r>
          </w:p>
          <w:p w14:paraId="6FC1263B" w14:textId="77777777" w:rsidR="004E5979" w:rsidRPr="001310AD" w:rsidRDefault="004E5979" w:rsidP="00F82E93">
            <w:pPr>
              <w:pStyle w:val="TableText0"/>
            </w:pPr>
            <w:r w:rsidRPr="001310AD">
              <w:t>Waning: 2 years (assuming constant decline rate)</w:t>
            </w:r>
            <w:r w:rsidR="003539D0" w:rsidRPr="001310AD">
              <w:t>.</w:t>
            </w:r>
          </w:p>
          <w:p w14:paraId="1D460F62" w14:textId="2628D6D5" w:rsidR="00C41529" w:rsidRPr="001310AD" w:rsidRDefault="00C41529" w:rsidP="00F82E93">
            <w:pPr>
              <w:pStyle w:val="TableText0"/>
            </w:pPr>
          </w:p>
        </w:tc>
      </w:tr>
      <w:tr w:rsidR="004E5979" w:rsidRPr="001310AD" w14:paraId="47531692" w14:textId="77777777">
        <w:trPr>
          <w:gridAfter w:val="1"/>
          <w:wAfter w:w="4" w:type="pct"/>
          <w:cantSplit/>
        </w:trPr>
        <w:tc>
          <w:tcPr>
            <w:tcW w:w="852" w:type="pct"/>
            <w:vAlign w:val="center"/>
          </w:tcPr>
          <w:p w14:paraId="6EAC2230" w14:textId="77777777" w:rsidR="004E5979" w:rsidRPr="001310AD" w:rsidRDefault="004E5979" w:rsidP="00F82E93">
            <w:pPr>
              <w:pStyle w:val="TableText0"/>
              <w:keepNext w:val="0"/>
              <w:keepLines w:val="0"/>
              <w:jc w:val="right"/>
            </w:pPr>
            <w:r w:rsidRPr="001310AD">
              <w:t>Vaccination month</w:t>
            </w:r>
          </w:p>
        </w:tc>
        <w:tc>
          <w:tcPr>
            <w:tcW w:w="1904" w:type="pct"/>
            <w:vAlign w:val="center"/>
          </w:tcPr>
          <w:p w14:paraId="5CA884BF" w14:textId="77777777" w:rsidR="004E5979" w:rsidRPr="001310AD" w:rsidRDefault="004E5979" w:rsidP="00F82E93">
            <w:pPr>
              <w:pStyle w:val="TableText0"/>
              <w:keepNext w:val="0"/>
              <w:keepLines w:val="0"/>
            </w:pPr>
            <w:r w:rsidRPr="001310AD">
              <w:t>March</w:t>
            </w:r>
          </w:p>
        </w:tc>
        <w:tc>
          <w:tcPr>
            <w:tcW w:w="2240" w:type="pct"/>
            <w:vAlign w:val="center"/>
          </w:tcPr>
          <w:p w14:paraId="47F97039" w14:textId="0F3AF343" w:rsidR="004E5979" w:rsidRPr="001310AD" w:rsidRDefault="004E5979" w:rsidP="00F82E93">
            <w:pPr>
              <w:pStyle w:val="TableText0"/>
              <w:keepNext w:val="0"/>
              <w:keepLines w:val="0"/>
            </w:pPr>
            <w:r w:rsidRPr="001310AD">
              <w:t>All months</w:t>
            </w:r>
            <w:r w:rsidR="00204C9C" w:rsidRPr="001310AD">
              <w:t>, using an annual average</w:t>
            </w:r>
          </w:p>
        </w:tc>
      </w:tr>
      <w:tr w:rsidR="004E5979" w:rsidRPr="001310AD" w14:paraId="504F0177" w14:textId="77777777">
        <w:trPr>
          <w:gridAfter w:val="1"/>
          <w:wAfter w:w="4" w:type="pct"/>
          <w:cantSplit/>
        </w:trPr>
        <w:tc>
          <w:tcPr>
            <w:tcW w:w="852" w:type="pct"/>
            <w:vAlign w:val="center"/>
          </w:tcPr>
          <w:p w14:paraId="5995AD0A" w14:textId="6C738F03" w:rsidR="004E5979" w:rsidRPr="001310AD" w:rsidRDefault="005C5DDB" w:rsidP="00F82E93">
            <w:pPr>
              <w:pStyle w:val="TableText0"/>
              <w:keepNext w:val="0"/>
              <w:keepLines w:val="0"/>
              <w:jc w:val="right"/>
            </w:pPr>
            <w:r w:rsidRPr="001310AD">
              <w:t>RSV-associated hospitalisation rate</w:t>
            </w:r>
            <w:r w:rsidR="0077217C" w:rsidRPr="001310AD">
              <w:t>s:</w:t>
            </w:r>
            <w:r w:rsidRPr="001310AD">
              <w:t xml:space="preserve"> </w:t>
            </w:r>
            <w:r w:rsidR="004E5979" w:rsidRPr="001310AD">
              <w:t>Under-ascertainment multipliers</w:t>
            </w:r>
          </w:p>
        </w:tc>
        <w:tc>
          <w:tcPr>
            <w:tcW w:w="1904" w:type="pct"/>
            <w:vAlign w:val="center"/>
          </w:tcPr>
          <w:p w14:paraId="7B4A77CE" w14:textId="4805BDAD" w:rsidR="004E5979" w:rsidRPr="001310AD" w:rsidRDefault="004E5979" w:rsidP="00F82E93">
            <w:pPr>
              <w:pStyle w:val="TableText0"/>
              <w:keepNext w:val="0"/>
              <w:keepLines w:val="0"/>
            </w:pPr>
            <w:r w:rsidRPr="001310AD">
              <w:t>2.19 (Li et al. 2023)</w:t>
            </w:r>
          </w:p>
        </w:tc>
        <w:tc>
          <w:tcPr>
            <w:tcW w:w="2240" w:type="pct"/>
            <w:vAlign w:val="center"/>
          </w:tcPr>
          <w:p w14:paraId="72E31FF4" w14:textId="4BD0DB51" w:rsidR="004E5979" w:rsidRPr="001310AD" w:rsidRDefault="004E5979" w:rsidP="00F82E93">
            <w:pPr>
              <w:pStyle w:val="TableText0"/>
              <w:keepNext w:val="0"/>
              <w:keepLines w:val="0"/>
            </w:pPr>
            <w:r w:rsidRPr="001310AD">
              <w:t>≥75 YOA: a multiplier of 2.0 (under-testing correction; ATAGI) and 1.5 (under-ascertainment multiplier for test sensitivity based on 66% sensitivity of RT-PCR of nasopharyngeal swabs; Havers et al., 2024a; Mclaughlin et al., 2022; Onwuchekwa et al., 2023).</w:t>
            </w:r>
          </w:p>
          <w:p w14:paraId="0E4DD93E" w14:textId="5FA5A5DE" w:rsidR="004E5979" w:rsidRPr="001310AD" w:rsidRDefault="000E5E59" w:rsidP="00F82E93">
            <w:pPr>
              <w:pStyle w:val="TableText0"/>
              <w:keepNext w:val="0"/>
              <w:keepLines w:val="0"/>
            </w:pPr>
            <w:r w:rsidRPr="001310AD">
              <w:t>PSCR</w:t>
            </w:r>
            <w:r w:rsidR="001D0D56" w:rsidRPr="001310AD">
              <w:t>:</w:t>
            </w:r>
            <w:r w:rsidRPr="001310AD">
              <w:t xml:space="preserve"> used a 2.0 multiplier only, but applied this to AIHW data from 2018–2019.</w:t>
            </w:r>
          </w:p>
          <w:p w14:paraId="5B93CDE7" w14:textId="234F0917" w:rsidR="004E5979" w:rsidRPr="001310AD" w:rsidRDefault="004E5979" w:rsidP="00F82E93">
            <w:pPr>
              <w:pStyle w:val="TableText0"/>
              <w:keepNext w:val="0"/>
              <w:keepLines w:val="0"/>
            </w:pPr>
            <w:r w:rsidRPr="001310AD">
              <w:t>Aboriginal and Torres Strait Islander people 60-7</w:t>
            </w:r>
            <w:r w:rsidR="006119E9" w:rsidRPr="001310AD">
              <w:t>4</w:t>
            </w:r>
            <w:r w:rsidRPr="001310AD">
              <w:t xml:space="preserve"> YOA: equivalent to adjusted RSV-associated hospitalisation rates of the ≥75 YOA </w:t>
            </w:r>
            <w:proofErr w:type="spellStart"/>
            <w:r w:rsidRPr="001310AD">
              <w:t>population</w:t>
            </w:r>
            <w:r w:rsidRPr="001310AD">
              <w:rPr>
                <w:vertAlign w:val="superscript"/>
              </w:rPr>
              <w:t>b</w:t>
            </w:r>
            <w:proofErr w:type="spellEnd"/>
            <w:r w:rsidR="006F580A" w:rsidRPr="001310AD">
              <w:t>.</w:t>
            </w:r>
            <w:r w:rsidR="000E5E59" w:rsidRPr="001310AD">
              <w:t xml:space="preserve"> </w:t>
            </w:r>
            <w:r w:rsidR="002B42A3" w:rsidRPr="001310AD">
              <w:t>PSCR: assumed 1.5 times the rate estimated for the ≥</w:t>
            </w:r>
            <w:r w:rsidR="006A50D9" w:rsidRPr="001310AD">
              <w:t> </w:t>
            </w:r>
            <w:r w:rsidR="002B42A3" w:rsidRPr="001310AD">
              <w:t>75 YOA population.</w:t>
            </w:r>
          </w:p>
        </w:tc>
      </w:tr>
      <w:tr w:rsidR="004E5979" w:rsidRPr="001310AD" w14:paraId="29A2111E" w14:textId="77777777">
        <w:trPr>
          <w:gridAfter w:val="1"/>
          <w:wAfter w:w="4" w:type="pct"/>
          <w:cantSplit/>
        </w:trPr>
        <w:tc>
          <w:tcPr>
            <w:tcW w:w="852" w:type="pct"/>
            <w:vAlign w:val="center"/>
          </w:tcPr>
          <w:p w14:paraId="01F81750" w14:textId="77777777" w:rsidR="004E5979" w:rsidRPr="001310AD" w:rsidRDefault="004E5979" w:rsidP="00F82E93">
            <w:pPr>
              <w:pStyle w:val="TableText0"/>
              <w:keepNext w:val="0"/>
              <w:keepLines w:val="0"/>
              <w:jc w:val="right"/>
            </w:pPr>
            <w:bookmarkStart w:id="66" w:name="_Hlk195608918"/>
            <w:r w:rsidRPr="001310AD">
              <w:t>Unadjusted RSV-associated hospitalisation rate</w:t>
            </w:r>
            <w:bookmarkEnd w:id="66"/>
            <w:r w:rsidRPr="001310AD">
              <w:t>s</w:t>
            </w:r>
          </w:p>
        </w:tc>
        <w:tc>
          <w:tcPr>
            <w:tcW w:w="1904" w:type="pct"/>
            <w:vAlign w:val="center"/>
          </w:tcPr>
          <w:p w14:paraId="25A30CD0" w14:textId="77777777" w:rsidR="004E5979" w:rsidRPr="001310AD" w:rsidRDefault="004E5979" w:rsidP="00F82E93">
            <w:pPr>
              <w:pStyle w:val="TableText0"/>
              <w:keepNext w:val="0"/>
              <w:keepLines w:val="0"/>
            </w:pPr>
            <w:r w:rsidRPr="001310AD">
              <w:t>Branche et al. 2022</w:t>
            </w:r>
          </w:p>
        </w:tc>
        <w:tc>
          <w:tcPr>
            <w:tcW w:w="2240" w:type="pct"/>
            <w:vAlign w:val="center"/>
          </w:tcPr>
          <w:p w14:paraId="7B2F5C9B" w14:textId="47477E40" w:rsidR="004E5979" w:rsidRPr="001310AD" w:rsidRDefault="004E5979" w:rsidP="00F82E93">
            <w:pPr>
              <w:pStyle w:val="TableText0"/>
              <w:keepNext w:val="0"/>
              <w:keepLines w:val="0"/>
            </w:pPr>
            <w:r w:rsidRPr="001310AD">
              <w:t>≥75 YOA: AIHW NHMD 2016-2019</w:t>
            </w:r>
            <w:r w:rsidR="009B6C18" w:rsidRPr="001310AD">
              <w:t>.</w:t>
            </w:r>
            <w:r w:rsidRPr="001310AD">
              <w:t xml:space="preserve"> </w:t>
            </w:r>
          </w:p>
          <w:p w14:paraId="76DA822E" w14:textId="10EC998A" w:rsidR="004E5979" w:rsidRPr="001310AD" w:rsidRDefault="000E5E59" w:rsidP="00F82E93">
            <w:pPr>
              <w:pStyle w:val="TableText0"/>
              <w:keepNext w:val="0"/>
              <w:keepLines w:val="0"/>
            </w:pPr>
            <w:r w:rsidRPr="001310AD">
              <w:t>PSCR: ≥75 YOA: AIHW NHMD 2018-2019 only</w:t>
            </w:r>
            <w:r w:rsidR="00C41529" w:rsidRPr="001310AD">
              <w:t>.</w:t>
            </w:r>
            <w:r w:rsidRPr="001310AD">
              <w:t xml:space="preserve"> </w:t>
            </w:r>
            <w:r w:rsidR="004E5979" w:rsidRPr="001310AD">
              <w:t>Aboriginal and Torres Strait Islander people 60-7</w:t>
            </w:r>
            <w:r w:rsidR="006119E9" w:rsidRPr="001310AD">
              <w:t xml:space="preserve">4 </w:t>
            </w:r>
            <w:r w:rsidR="004E5979" w:rsidRPr="001310AD">
              <w:t>YOA: AIHW NHMD 2016-2019</w:t>
            </w:r>
            <w:r w:rsidR="009B6C18" w:rsidRPr="001310AD">
              <w:t>.</w:t>
            </w:r>
            <w:r w:rsidRPr="001310AD">
              <w:t xml:space="preserve"> </w:t>
            </w:r>
          </w:p>
          <w:p w14:paraId="63009D5E" w14:textId="40B17267" w:rsidR="00F5428A" w:rsidRPr="001310AD" w:rsidRDefault="00F5428A" w:rsidP="00F82E93">
            <w:pPr>
              <w:pStyle w:val="TableText0"/>
              <w:keepNext w:val="0"/>
              <w:keepLines w:val="0"/>
            </w:pPr>
            <w:r w:rsidRPr="001310AD">
              <w:t>PSCR: assumed 1</w:t>
            </w:r>
            <w:r w:rsidR="002B42A3" w:rsidRPr="001310AD">
              <w:t>.</w:t>
            </w:r>
            <w:r w:rsidRPr="001310AD">
              <w:t xml:space="preserve">5 times the </w:t>
            </w:r>
            <w:r w:rsidR="002B42A3" w:rsidRPr="001310AD">
              <w:t xml:space="preserve">rate estimated for the </w:t>
            </w:r>
            <w:r w:rsidRPr="001310AD">
              <w:t xml:space="preserve">≥75 YOA </w:t>
            </w:r>
            <w:r w:rsidR="002B42A3" w:rsidRPr="001310AD">
              <w:t>population</w:t>
            </w:r>
            <w:r w:rsidR="009B6C18" w:rsidRPr="001310AD">
              <w:t>.</w:t>
            </w:r>
          </w:p>
        </w:tc>
      </w:tr>
      <w:tr w:rsidR="004E5979" w:rsidRPr="001310AD" w14:paraId="1E7F7AA3" w14:textId="77777777">
        <w:trPr>
          <w:gridAfter w:val="1"/>
          <w:wAfter w:w="4" w:type="pct"/>
          <w:cantSplit/>
        </w:trPr>
        <w:tc>
          <w:tcPr>
            <w:tcW w:w="852" w:type="pct"/>
            <w:vAlign w:val="center"/>
          </w:tcPr>
          <w:p w14:paraId="497769F0" w14:textId="77777777" w:rsidR="004E5979" w:rsidRPr="001310AD" w:rsidRDefault="004E5979" w:rsidP="00F82E93">
            <w:pPr>
              <w:pStyle w:val="TableText0"/>
              <w:keepNext w:val="0"/>
              <w:keepLines w:val="0"/>
              <w:jc w:val="right"/>
            </w:pPr>
            <w:r w:rsidRPr="001310AD">
              <w:t>Annual RSV incidence</w:t>
            </w:r>
          </w:p>
        </w:tc>
        <w:tc>
          <w:tcPr>
            <w:tcW w:w="1904" w:type="pct"/>
            <w:vAlign w:val="center"/>
          </w:tcPr>
          <w:p w14:paraId="05280551" w14:textId="77777777" w:rsidR="004E5979" w:rsidRPr="001310AD" w:rsidRDefault="004E5979" w:rsidP="00F82E93">
            <w:pPr>
              <w:pStyle w:val="TableText0"/>
              <w:keepNext w:val="0"/>
              <w:keepLines w:val="0"/>
            </w:pPr>
            <w:r w:rsidRPr="001310AD">
              <w:t>Unadjusted: 2.61/100 person-years (Korsten et al. 2021; Narejos Pérez et al. 2023).</w:t>
            </w:r>
          </w:p>
          <w:p w14:paraId="6B60A1D4" w14:textId="77777777" w:rsidR="004E5979" w:rsidRPr="001310AD" w:rsidRDefault="004E5979" w:rsidP="00F82E93">
            <w:pPr>
              <w:pStyle w:val="TableText0"/>
              <w:keepNext w:val="0"/>
              <w:keepLines w:val="0"/>
            </w:pPr>
            <w:r w:rsidRPr="001310AD">
              <w:t>Adjusted: 5.72/100 person-years (2.61 x 2.19 from Li et al. 2023)</w:t>
            </w:r>
          </w:p>
        </w:tc>
        <w:tc>
          <w:tcPr>
            <w:tcW w:w="2240" w:type="pct"/>
            <w:vAlign w:val="center"/>
          </w:tcPr>
          <w:p w14:paraId="752D4510" w14:textId="77777777" w:rsidR="004E5979" w:rsidRPr="001310AD" w:rsidRDefault="004E5979" w:rsidP="00F82E93">
            <w:pPr>
              <w:pStyle w:val="TableText0"/>
              <w:keepNext w:val="0"/>
              <w:keepLines w:val="0"/>
            </w:pPr>
            <w:r w:rsidRPr="001310AD">
              <w:t>Unadjusted: unchanged</w:t>
            </w:r>
          </w:p>
          <w:p w14:paraId="64BF6B2D" w14:textId="77777777" w:rsidR="004E5979" w:rsidRPr="001310AD" w:rsidRDefault="004E5979" w:rsidP="00F82E93">
            <w:pPr>
              <w:pStyle w:val="TableText0"/>
              <w:keepNext w:val="0"/>
              <w:keepLines w:val="0"/>
            </w:pPr>
            <w:r w:rsidRPr="001310AD">
              <w:t>Adjusted: 3.95/100 person-years (2.61 x 1.5 from Havers et al., 2024a; Mclaughlin et al., 2022; Onwuchekwa et al., 2023)</w:t>
            </w:r>
          </w:p>
        </w:tc>
      </w:tr>
      <w:tr w:rsidR="004E5979" w:rsidRPr="001310AD" w14:paraId="7E3F9FDB" w14:textId="77777777">
        <w:trPr>
          <w:gridAfter w:val="1"/>
          <w:wAfter w:w="4" w:type="pct"/>
          <w:cantSplit/>
        </w:trPr>
        <w:tc>
          <w:tcPr>
            <w:tcW w:w="852" w:type="pct"/>
            <w:vAlign w:val="center"/>
          </w:tcPr>
          <w:p w14:paraId="1B90782A" w14:textId="77777777" w:rsidR="004E5979" w:rsidRPr="001310AD" w:rsidRDefault="004E5979" w:rsidP="00F82E93">
            <w:pPr>
              <w:pStyle w:val="TableText0"/>
              <w:keepNext w:val="0"/>
              <w:keepLines w:val="0"/>
              <w:jc w:val="right"/>
            </w:pPr>
            <w:r w:rsidRPr="001310AD">
              <w:t>RSV-related deaths</w:t>
            </w:r>
          </w:p>
        </w:tc>
        <w:tc>
          <w:tcPr>
            <w:tcW w:w="1904" w:type="pct"/>
            <w:vAlign w:val="center"/>
          </w:tcPr>
          <w:p w14:paraId="105E9889" w14:textId="77777777" w:rsidR="004E5979" w:rsidRPr="001310AD" w:rsidRDefault="004E5979" w:rsidP="00F82E93">
            <w:pPr>
              <w:pStyle w:val="TableText0"/>
              <w:keepNext w:val="0"/>
              <w:keepLines w:val="0"/>
            </w:pPr>
            <w:r w:rsidRPr="001310AD">
              <w:t>Tseng et al. 2020</w:t>
            </w:r>
          </w:p>
        </w:tc>
        <w:tc>
          <w:tcPr>
            <w:tcW w:w="2240" w:type="pct"/>
            <w:vAlign w:val="center"/>
          </w:tcPr>
          <w:p w14:paraId="5B0C86EA" w14:textId="77777777" w:rsidR="004E5979" w:rsidRPr="001310AD" w:rsidRDefault="004E5979" w:rsidP="00F82E93">
            <w:pPr>
              <w:pStyle w:val="TableText0"/>
              <w:keepNext w:val="0"/>
              <w:keepLines w:val="0"/>
            </w:pPr>
            <w:r w:rsidRPr="001310AD">
              <w:t xml:space="preserve">2012-2019 AIHW NHMD </w:t>
            </w:r>
          </w:p>
          <w:p w14:paraId="180E78DE" w14:textId="0C4DDECF" w:rsidR="000E5E59" w:rsidRPr="001310AD" w:rsidRDefault="000E5E59" w:rsidP="00F82E93">
            <w:pPr>
              <w:pStyle w:val="TableText0"/>
              <w:keepNext w:val="0"/>
              <w:keepLines w:val="0"/>
            </w:pPr>
            <w:r w:rsidRPr="001310AD">
              <w:t>PSCR: changed to</w:t>
            </w:r>
            <w:r w:rsidR="00426B1E" w:rsidRPr="001310AD">
              <w:t xml:space="preserve"> a</w:t>
            </w:r>
            <w:r w:rsidRPr="001310AD">
              <w:t xml:space="preserve"> 4.22% </w:t>
            </w:r>
            <w:r w:rsidR="00EC4612" w:rsidRPr="001310AD">
              <w:t>R</w:t>
            </w:r>
            <w:r w:rsidR="00426B1E" w:rsidRPr="001310AD">
              <w:t xml:space="preserve">SV-hospital case fatality rate, </w:t>
            </w:r>
            <w:r w:rsidRPr="001310AD">
              <w:t>based on ATAGI advice 2025, consistent with para 7.17, Abrysvo PSD, Nov 2024.</w:t>
            </w:r>
          </w:p>
        </w:tc>
      </w:tr>
      <w:tr w:rsidR="004E5979" w:rsidRPr="001310AD" w14:paraId="65AED098" w14:textId="77777777">
        <w:trPr>
          <w:gridAfter w:val="1"/>
          <w:wAfter w:w="4" w:type="pct"/>
          <w:cantSplit/>
        </w:trPr>
        <w:tc>
          <w:tcPr>
            <w:tcW w:w="852" w:type="pct"/>
            <w:vAlign w:val="center"/>
          </w:tcPr>
          <w:p w14:paraId="69E49223" w14:textId="77777777" w:rsidR="004E5979" w:rsidRPr="001310AD" w:rsidRDefault="004E5979" w:rsidP="00F82E93">
            <w:pPr>
              <w:pStyle w:val="TableText0"/>
              <w:keepNext w:val="0"/>
              <w:keepLines w:val="0"/>
              <w:jc w:val="right"/>
            </w:pPr>
            <w:r w:rsidRPr="001310AD">
              <w:t>Background mortality</w:t>
            </w:r>
          </w:p>
        </w:tc>
        <w:tc>
          <w:tcPr>
            <w:tcW w:w="1904" w:type="pct"/>
            <w:vAlign w:val="center"/>
          </w:tcPr>
          <w:p w14:paraId="00C7330B" w14:textId="77777777" w:rsidR="004E5979" w:rsidRPr="001310AD" w:rsidRDefault="004E5979" w:rsidP="00F82E93">
            <w:pPr>
              <w:pStyle w:val="PBACTabletext"/>
              <w:keepNext w:val="0"/>
              <w:keepLines w:val="0"/>
              <w:widowControl w:val="0"/>
              <w:suppressLineNumbers w:val="0"/>
            </w:pPr>
            <w:r w:rsidRPr="001310AD">
              <w:rPr>
                <w:rFonts w:ascii="Arial Narrow" w:hAnsi="Arial Narrow"/>
                <w:szCs w:val="20"/>
              </w:rPr>
              <w:t>ABS lifetables</w:t>
            </w:r>
          </w:p>
        </w:tc>
        <w:tc>
          <w:tcPr>
            <w:tcW w:w="2240" w:type="pct"/>
            <w:vAlign w:val="center"/>
          </w:tcPr>
          <w:p w14:paraId="74FDD6CE" w14:textId="6C498B15" w:rsidR="004E5979" w:rsidRPr="001310AD" w:rsidRDefault="004E5979" w:rsidP="00F82E93">
            <w:pPr>
              <w:pStyle w:val="PBACTabletext"/>
              <w:keepNext w:val="0"/>
              <w:keepLines w:val="0"/>
              <w:widowControl w:val="0"/>
              <w:suppressLineNumbers w:val="0"/>
              <w:rPr>
                <w:rFonts w:ascii="Arial Narrow" w:hAnsi="Arial Narrow"/>
                <w:szCs w:val="20"/>
              </w:rPr>
            </w:pPr>
            <w:r w:rsidRPr="001310AD">
              <w:rPr>
                <w:rFonts w:ascii="Arial Narrow" w:hAnsi="Arial Narrow"/>
                <w:szCs w:val="20"/>
              </w:rPr>
              <w:t xml:space="preserve">≥75 YOA population: </w:t>
            </w:r>
            <w:r w:rsidR="006F3172" w:rsidRPr="001310AD">
              <w:rPr>
                <w:rFonts w:ascii="Arial Narrow" w:hAnsi="Arial Narrow"/>
                <w:szCs w:val="20"/>
              </w:rPr>
              <w:t>u</w:t>
            </w:r>
            <w:r w:rsidRPr="001310AD">
              <w:rPr>
                <w:rFonts w:ascii="Arial Narrow" w:hAnsi="Arial Narrow"/>
                <w:szCs w:val="20"/>
              </w:rPr>
              <w:t>nchanged</w:t>
            </w:r>
          </w:p>
          <w:p w14:paraId="49268450" w14:textId="0591B17F" w:rsidR="004E5979" w:rsidRPr="001310AD" w:rsidRDefault="004E5979" w:rsidP="00F82E93">
            <w:pPr>
              <w:pStyle w:val="TableText0"/>
              <w:keepNext w:val="0"/>
              <w:keepLines w:val="0"/>
            </w:pPr>
            <w:r w:rsidRPr="001310AD">
              <w:t>Aboriginal and Torres Strait Islander people 60-7</w:t>
            </w:r>
            <w:r w:rsidR="00B704EF" w:rsidRPr="001310AD">
              <w:t>4</w:t>
            </w:r>
            <w:r w:rsidR="00902521" w:rsidRPr="001310AD">
              <w:t xml:space="preserve"> YOA</w:t>
            </w:r>
            <w:r w:rsidRPr="001310AD">
              <w:t>: Aboriginal and Torres Strait Islander people ABS lifetables</w:t>
            </w:r>
          </w:p>
        </w:tc>
      </w:tr>
      <w:tr w:rsidR="004E5979" w:rsidRPr="001310AD" w14:paraId="67CDB633" w14:textId="77777777">
        <w:trPr>
          <w:gridAfter w:val="1"/>
          <w:wAfter w:w="4" w:type="pct"/>
          <w:cantSplit/>
        </w:trPr>
        <w:tc>
          <w:tcPr>
            <w:tcW w:w="852" w:type="pct"/>
            <w:vAlign w:val="center"/>
          </w:tcPr>
          <w:p w14:paraId="7E8547C2" w14:textId="77777777" w:rsidR="004E5979" w:rsidRPr="001310AD" w:rsidRDefault="004E5979" w:rsidP="00F82E93">
            <w:pPr>
              <w:pStyle w:val="TableText0"/>
              <w:keepNext w:val="0"/>
              <w:keepLines w:val="0"/>
              <w:rPr>
                <w:b/>
                <w:bCs w:val="0"/>
              </w:rPr>
            </w:pPr>
            <w:r w:rsidRPr="001310AD">
              <w:rPr>
                <w:b/>
                <w:bCs w:val="0"/>
              </w:rPr>
              <w:t>Adverse events</w:t>
            </w:r>
          </w:p>
        </w:tc>
        <w:tc>
          <w:tcPr>
            <w:tcW w:w="1904" w:type="pct"/>
            <w:vAlign w:val="center"/>
          </w:tcPr>
          <w:p w14:paraId="5A1ED6EF" w14:textId="77777777" w:rsidR="004E5979" w:rsidRPr="001310AD" w:rsidRDefault="004E5979" w:rsidP="00F82E93">
            <w:pPr>
              <w:pStyle w:val="TableText0"/>
              <w:keepNext w:val="0"/>
              <w:keepLines w:val="0"/>
            </w:pPr>
            <w:r w:rsidRPr="001310AD">
              <w:t>Grade 3 (severe) AE: 2.27% (Grade 3 AE from AreSVi-006 vaccinated arm)</w:t>
            </w:r>
          </w:p>
        </w:tc>
        <w:tc>
          <w:tcPr>
            <w:tcW w:w="2240" w:type="pct"/>
            <w:vAlign w:val="center"/>
          </w:tcPr>
          <w:p w14:paraId="6C287998" w14:textId="77777777" w:rsidR="004E5979" w:rsidRPr="001310AD" w:rsidRDefault="004E5979" w:rsidP="00F82E93">
            <w:pPr>
              <w:pStyle w:val="TableText0"/>
              <w:keepNext w:val="0"/>
              <w:keepLines w:val="0"/>
            </w:pPr>
            <w:r w:rsidRPr="001310AD">
              <w:t>Unchanged</w:t>
            </w:r>
          </w:p>
        </w:tc>
      </w:tr>
      <w:tr w:rsidR="004E5979" w:rsidRPr="001310AD" w14:paraId="58B1157F" w14:textId="77777777">
        <w:trPr>
          <w:gridAfter w:val="1"/>
          <w:wAfter w:w="4" w:type="pct"/>
          <w:cantSplit/>
          <w:trHeight w:val="1287"/>
        </w:trPr>
        <w:tc>
          <w:tcPr>
            <w:tcW w:w="852" w:type="pct"/>
            <w:vAlign w:val="center"/>
          </w:tcPr>
          <w:p w14:paraId="59D3B7A4" w14:textId="77777777" w:rsidR="004E5979" w:rsidRPr="001310AD" w:rsidRDefault="004E5979" w:rsidP="00F82E93">
            <w:pPr>
              <w:pStyle w:val="TableText0"/>
              <w:keepNext w:val="0"/>
              <w:keepLines w:val="0"/>
              <w:rPr>
                <w:b/>
                <w:bCs w:val="0"/>
              </w:rPr>
            </w:pPr>
            <w:r w:rsidRPr="001310AD">
              <w:rPr>
                <w:b/>
                <w:bCs w:val="0"/>
              </w:rPr>
              <w:lastRenderedPageBreak/>
              <w:t>HRQoL</w:t>
            </w:r>
          </w:p>
        </w:tc>
        <w:tc>
          <w:tcPr>
            <w:tcW w:w="1904" w:type="pct"/>
          </w:tcPr>
          <w:p w14:paraId="2A38E4BF" w14:textId="77777777" w:rsidR="004E5979" w:rsidRPr="001310AD" w:rsidRDefault="004E5979" w:rsidP="00F82E93">
            <w:pPr>
              <w:pStyle w:val="TableText0"/>
              <w:keepNext w:val="0"/>
              <w:keepLines w:val="0"/>
            </w:pPr>
            <w:r w:rsidRPr="001310AD">
              <w:t>Population norms: McCaffrey et al. 2016. (0.89 for 60-64 YOA, 0.87 for 65-74 YOA, and 0.83 for ≥75 YOA)</w:t>
            </w:r>
          </w:p>
          <w:p w14:paraId="63AC48E1" w14:textId="77777777" w:rsidR="004E5979" w:rsidRPr="001310AD" w:rsidRDefault="004E5979" w:rsidP="00F82E93">
            <w:pPr>
              <w:pStyle w:val="TableText0"/>
              <w:keepNext w:val="0"/>
              <w:keepLines w:val="0"/>
            </w:pPr>
          </w:p>
          <w:p w14:paraId="6374C33E" w14:textId="77777777" w:rsidR="004E5979" w:rsidRPr="001310AD" w:rsidRDefault="004E5979" w:rsidP="00F82E93">
            <w:pPr>
              <w:pStyle w:val="TableText0"/>
              <w:keepNext w:val="0"/>
              <w:keepLines w:val="0"/>
            </w:pPr>
            <w:r w:rsidRPr="001310AD">
              <w:t>Vaccine-related AE: Schmader et al. 2019 (per Grade 3 AE estimated at 0.000677).</w:t>
            </w:r>
          </w:p>
          <w:p w14:paraId="117303C2" w14:textId="77777777" w:rsidR="004E5979" w:rsidRPr="001310AD" w:rsidRDefault="004E5979" w:rsidP="00F82E93">
            <w:pPr>
              <w:pStyle w:val="TableText0"/>
              <w:keepNext w:val="0"/>
              <w:keepLines w:val="0"/>
            </w:pPr>
            <w:r w:rsidRPr="001310AD">
              <w:t>RSV-LRTD and RSV URTD utility decrements: US TTO study (0.025 for severe RSV-LRTD, 0.018 for RSV-LRTD, and 0.013 RSV-URTD)</w:t>
            </w:r>
          </w:p>
        </w:tc>
        <w:tc>
          <w:tcPr>
            <w:tcW w:w="2240" w:type="pct"/>
          </w:tcPr>
          <w:p w14:paraId="06E0E5A7" w14:textId="399350C3" w:rsidR="004E5979" w:rsidRPr="001310AD" w:rsidRDefault="004E5979" w:rsidP="00F82E93">
            <w:pPr>
              <w:pStyle w:val="TableText0"/>
              <w:keepNext w:val="0"/>
              <w:keepLines w:val="0"/>
            </w:pPr>
            <w:r w:rsidRPr="001310AD">
              <w:t>Population norms: Redwood et al. 2024 (0.86 for 60-64 YOA, 0.88 for 65-74 YOA, and 0.86 for ≥75 YOA)</w:t>
            </w:r>
          </w:p>
          <w:p w14:paraId="7CD6E31F" w14:textId="2269547D" w:rsidR="004E5979" w:rsidRPr="001310AD" w:rsidRDefault="000E5E59" w:rsidP="00F82E93">
            <w:pPr>
              <w:pStyle w:val="TableText0"/>
              <w:keepNext w:val="0"/>
              <w:keepLines w:val="0"/>
            </w:pPr>
            <w:r w:rsidRPr="001310AD">
              <w:t>PSCR: unchanged for ≥75 YOA population; baseline utility of 0.675 applied to Aboriginal and Torres Strait Islander people 60-74 YOA population, consistent with Table 11, Abrysvo PSD, Nov 2024.</w:t>
            </w:r>
          </w:p>
          <w:p w14:paraId="5AD429F3" w14:textId="77777777" w:rsidR="004E5979" w:rsidRPr="001310AD" w:rsidRDefault="004E5979" w:rsidP="00F82E93">
            <w:pPr>
              <w:pStyle w:val="TableText0"/>
              <w:keepNext w:val="0"/>
              <w:keepLines w:val="0"/>
            </w:pPr>
            <w:r w:rsidRPr="001310AD">
              <w:t>Vaccine-related AE: unchanged</w:t>
            </w:r>
          </w:p>
          <w:p w14:paraId="185A3BB4" w14:textId="77777777" w:rsidR="004E5979" w:rsidRPr="001310AD" w:rsidRDefault="004E5979" w:rsidP="00F82E93">
            <w:pPr>
              <w:pStyle w:val="TableText0"/>
              <w:keepNext w:val="0"/>
              <w:keepLines w:val="0"/>
            </w:pPr>
            <w:r w:rsidRPr="001310AD">
              <w:t>RSV-LRTD and RSV URTD utility decrements: unchanged.</w:t>
            </w:r>
          </w:p>
        </w:tc>
      </w:tr>
      <w:tr w:rsidR="004E5979" w:rsidRPr="001310AD" w14:paraId="4EB9927B" w14:textId="77777777">
        <w:trPr>
          <w:gridAfter w:val="1"/>
          <w:wAfter w:w="4" w:type="pct"/>
          <w:cantSplit/>
        </w:trPr>
        <w:tc>
          <w:tcPr>
            <w:tcW w:w="852" w:type="pct"/>
            <w:vAlign w:val="center"/>
          </w:tcPr>
          <w:p w14:paraId="1C929051" w14:textId="77777777" w:rsidR="004E5979" w:rsidRPr="001310AD" w:rsidRDefault="004E5979" w:rsidP="00F82E93">
            <w:pPr>
              <w:pStyle w:val="TableText0"/>
              <w:keepNext w:val="0"/>
              <w:keepLines w:val="0"/>
              <w:rPr>
                <w:b/>
                <w:bCs w:val="0"/>
              </w:rPr>
            </w:pPr>
            <w:r w:rsidRPr="001310AD">
              <w:rPr>
                <w:b/>
                <w:bCs w:val="0"/>
              </w:rPr>
              <w:t>Hospitalisation costs</w:t>
            </w:r>
          </w:p>
        </w:tc>
        <w:tc>
          <w:tcPr>
            <w:tcW w:w="1904" w:type="pct"/>
            <w:vAlign w:val="center"/>
          </w:tcPr>
          <w:p w14:paraId="3DB72B79" w14:textId="77777777" w:rsidR="004E5979" w:rsidRPr="001310AD" w:rsidRDefault="004E5979" w:rsidP="00F82E93">
            <w:pPr>
              <w:pStyle w:val="TableText0"/>
              <w:keepNext w:val="0"/>
              <w:keepLines w:val="0"/>
            </w:pPr>
            <w:r w:rsidRPr="001310AD">
              <w:t>NEP 2023, NHCDC cost weights &amp; separations: 2019-20.</w:t>
            </w:r>
          </w:p>
          <w:p w14:paraId="370B95B4" w14:textId="77777777" w:rsidR="004E5979" w:rsidRPr="001310AD" w:rsidRDefault="004E5979" w:rsidP="00F82E93">
            <w:pPr>
              <w:pStyle w:val="TableText0"/>
              <w:keepNext w:val="0"/>
              <w:keepLines w:val="0"/>
            </w:pPr>
            <w:r w:rsidRPr="001310AD">
              <w:t>LOS *{Ward cost per day*(1-% ICU admitted) + [ICU without MV cost per day *(% ICU admitted-% MV use)]+ (ICU with MV cost per day *MV use)}.</w:t>
            </w:r>
          </w:p>
        </w:tc>
        <w:tc>
          <w:tcPr>
            <w:tcW w:w="2240" w:type="pct"/>
            <w:vAlign w:val="center"/>
          </w:tcPr>
          <w:p w14:paraId="44D428AE" w14:textId="77777777" w:rsidR="000E5E59" w:rsidRPr="001310AD" w:rsidRDefault="004E5979" w:rsidP="000E5E59">
            <w:pPr>
              <w:pStyle w:val="TableText0"/>
              <w:keepNext w:val="0"/>
              <w:keepLines w:val="0"/>
            </w:pPr>
            <w:r w:rsidRPr="001310AD">
              <w:t>Hitch et al., 2024</w:t>
            </w:r>
            <w:r w:rsidR="000E5E59" w:rsidRPr="001310AD">
              <w:t xml:space="preserve"> ($20,091, Adjusted mean, 2024 values)</w:t>
            </w:r>
          </w:p>
          <w:p w14:paraId="527ADE93" w14:textId="2937D0F2" w:rsidR="004E5979" w:rsidRPr="001310AD" w:rsidRDefault="000E5E59" w:rsidP="000E5E59">
            <w:pPr>
              <w:pStyle w:val="TableText0"/>
              <w:keepNext w:val="0"/>
              <w:keepLines w:val="0"/>
            </w:pPr>
            <w:r w:rsidRPr="001310AD">
              <w:t>PS</w:t>
            </w:r>
            <w:r w:rsidR="00D35D09" w:rsidRPr="001310AD">
              <w:t>C</w:t>
            </w:r>
            <w:r w:rsidRPr="001310AD">
              <w:t>R</w:t>
            </w:r>
            <w:r w:rsidR="00CD7055" w:rsidRPr="001310AD">
              <w:t>:</w:t>
            </w:r>
            <w:r w:rsidRPr="001310AD">
              <w:t xml:space="preserve"> included scenario analyses which tested other hospitalisation costs including Brusco et al 2022 ($16,693) and expert opinion</w:t>
            </w:r>
            <w:r w:rsidR="00166BD2">
              <w:t xml:space="preserve"> </w:t>
            </w:r>
            <w:r w:rsidRPr="001310AD">
              <w:t>($15,525 based on AR-DRG E62A-B</w:t>
            </w:r>
            <w:r w:rsidR="00DA5230" w:rsidRPr="001310AD">
              <w:t>,</w:t>
            </w:r>
            <w:r w:rsidRPr="001310AD">
              <w:t xml:space="preserve"> inflated by 50%)</w:t>
            </w:r>
          </w:p>
        </w:tc>
      </w:tr>
      <w:tr w:rsidR="004E5979" w:rsidRPr="001310AD" w14:paraId="4433DBAA" w14:textId="77777777">
        <w:trPr>
          <w:gridAfter w:val="1"/>
          <w:wAfter w:w="4" w:type="pct"/>
          <w:cantSplit/>
        </w:trPr>
        <w:tc>
          <w:tcPr>
            <w:tcW w:w="852" w:type="pct"/>
            <w:vAlign w:val="center"/>
          </w:tcPr>
          <w:p w14:paraId="403553CC" w14:textId="77777777" w:rsidR="004E5979" w:rsidRPr="001310AD" w:rsidRDefault="004E5979" w:rsidP="00F82E93">
            <w:pPr>
              <w:pStyle w:val="TableText0"/>
              <w:keepNext w:val="0"/>
              <w:keepLines w:val="0"/>
              <w:rPr>
                <w:b/>
                <w:bCs w:val="0"/>
              </w:rPr>
            </w:pPr>
            <w:r w:rsidRPr="001310AD">
              <w:rPr>
                <w:b/>
                <w:bCs w:val="0"/>
              </w:rPr>
              <w:t>Administration cost</w:t>
            </w:r>
          </w:p>
        </w:tc>
        <w:tc>
          <w:tcPr>
            <w:tcW w:w="1904" w:type="pct"/>
            <w:vAlign w:val="center"/>
          </w:tcPr>
          <w:p w14:paraId="58DC8E27" w14:textId="77777777" w:rsidR="004E5979" w:rsidRPr="001310AD" w:rsidRDefault="004E5979" w:rsidP="00F82E93">
            <w:pPr>
              <w:pStyle w:val="TableText0"/>
              <w:keepNext w:val="0"/>
              <w:keepLines w:val="0"/>
            </w:pPr>
            <w:r w:rsidRPr="001310AD">
              <w:t>Not included</w:t>
            </w:r>
          </w:p>
        </w:tc>
        <w:tc>
          <w:tcPr>
            <w:tcW w:w="2240" w:type="pct"/>
            <w:vAlign w:val="center"/>
          </w:tcPr>
          <w:p w14:paraId="7CCC1FFF" w14:textId="77777777" w:rsidR="004E5979" w:rsidRPr="001310AD" w:rsidRDefault="004E5979" w:rsidP="00F82E93">
            <w:pPr>
              <w:pStyle w:val="TableText0"/>
              <w:keepNext w:val="0"/>
              <w:keepLines w:val="0"/>
            </w:pPr>
            <w:r w:rsidRPr="001310AD">
              <w:t xml:space="preserve">$9.8 </w:t>
            </w:r>
            <w:r w:rsidR="00B704EF" w:rsidRPr="001310AD">
              <w:t xml:space="preserve">per administration </w:t>
            </w:r>
            <w:r w:rsidRPr="001310AD">
              <w:t xml:space="preserve">(MBS </w:t>
            </w:r>
            <w:r w:rsidR="00B704EF" w:rsidRPr="001310AD">
              <w:t>I</w:t>
            </w:r>
            <w:r w:rsidRPr="001310AD">
              <w:t>tem 3, 50% co-vaccination assumption)</w:t>
            </w:r>
          </w:p>
          <w:p w14:paraId="20464E3A" w14:textId="3DDAF61C" w:rsidR="002C1F3D" w:rsidRPr="001310AD" w:rsidRDefault="002C1F3D" w:rsidP="00F82E93">
            <w:pPr>
              <w:pStyle w:val="TableText0"/>
              <w:keepNext w:val="0"/>
              <w:keepLines w:val="0"/>
            </w:pPr>
            <w:r w:rsidRPr="001310AD">
              <w:t>PSCR: $7.00 consistent with Abrysvo PSD, Nov 2024</w:t>
            </w:r>
            <w:r w:rsidR="00106618" w:rsidRPr="001310AD">
              <w:t xml:space="preserve"> (based on marginal administration i.e. 36% of MBS Item 3 w</w:t>
            </w:r>
            <w:r w:rsidR="00C4115C" w:rsidRPr="001310AD">
              <w:t xml:space="preserve">hich has </w:t>
            </w:r>
            <w:r w:rsidR="00106618" w:rsidRPr="001310AD">
              <w:t>a fee of $19.60)</w:t>
            </w:r>
          </w:p>
        </w:tc>
      </w:tr>
    </w:tbl>
    <w:p w14:paraId="147EE55F" w14:textId="4E7FA03F" w:rsidR="004E5979" w:rsidRPr="001310AD" w:rsidRDefault="004E5979" w:rsidP="004E5979">
      <w:pPr>
        <w:rPr>
          <w:rFonts w:ascii="Arial Narrow" w:hAnsi="Arial Narrow"/>
          <w:sz w:val="18"/>
          <w:szCs w:val="18"/>
        </w:rPr>
      </w:pPr>
      <w:r w:rsidRPr="001310AD">
        <w:rPr>
          <w:rFonts w:ascii="Arial Narrow" w:hAnsi="Arial Narrow"/>
          <w:sz w:val="18"/>
          <w:szCs w:val="18"/>
        </w:rPr>
        <w:t>Source: Complied during the evaluation based on Table 14, RSVPreF3 OA PSD, July 202</w:t>
      </w:r>
      <w:r w:rsidR="00575560" w:rsidRPr="001310AD">
        <w:rPr>
          <w:rFonts w:ascii="Arial Narrow" w:hAnsi="Arial Narrow"/>
          <w:sz w:val="18"/>
          <w:szCs w:val="18"/>
        </w:rPr>
        <w:t>4</w:t>
      </w:r>
      <w:r w:rsidRPr="001310AD">
        <w:rPr>
          <w:rFonts w:ascii="Arial Narrow" w:hAnsi="Arial Narrow"/>
          <w:sz w:val="18"/>
          <w:szCs w:val="18"/>
        </w:rPr>
        <w:t>; Section 3 of the resubmission.</w:t>
      </w:r>
    </w:p>
    <w:p w14:paraId="63323478" w14:textId="6835F536" w:rsidR="004E5979" w:rsidRPr="001310AD" w:rsidRDefault="004E5979" w:rsidP="004E5979">
      <w:pPr>
        <w:rPr>
          <w:rFonts w:ascii="Arial Narrow" w:hAnsi="Arial Narrow"/>
          <w:sz w:val="18"/>
          <w:szCs w:val="18"/>
        </w:rPr>
      </w:pPr>
      <w:r w:rsidRPr="001310AD">
        <w:rPr>
          <w:rFonts w:ascii="Arial Narrow" w:hAnsi="Arial Narrow"/>
          <w:sz w:val="18"/>
          <w:szCs w:val="18"/>
        </w:rPr>
        <w:t>ABS = Australian Bureau of Statistics; AE = adverse event; AIHW = Australian Institute of Health and Welfare; ARI = acute respiratory infection; ATAGI = Australian Technical Advisory Group on Immunisation; HRQoL = health-related quality of life; ICU = intensive care unit; LOS = length of stay; LRTD = lower respiratory tract disease; LYs = life years; MV = mechanical ventilation; NEP = National Efficient Price; NHCDC = National Hospital Cost Data Collection; NHMD = National Hospital Morbidity Database; MBS = Medicare Benefits Schedule; MV = mechanical ventilation; PBAC = Pharmaceutical Benefits Advisory Committee; PSCR = Pre-subcommittee response; QALYs = quality-adjusted life years; OA = older adults; RSV = respiratory syncytial virus; RT-PCR = reverse transcription polymerase chain reaction; TTO = time trade-off;</w:t>
      </w:r>
      <w:r w:rsidR="00044091">
        <w:rPr>
          <w:rFonts w:ascii="Arial Narrow" w:hAnsi="Arial Narrow"/>
          <w:sz w:val="18"/>
          <w:szCs w:val="18"/>
        </w:rPr>
        <w:t xml:space="preserve"> </w:t>
      </w:r>
      <w:r w:rsidRPr="001310AD">
        <w:rPr>
          <w:rFonts w:ascii="Arial Narrow" w:hAnsi="Arial Narrow"/>
          <w:sz w:val="18"/>
          <w:szCs w:val="18"/>
        </w:rPr>
        <w:t>URTD = upper respiratory tract disease, YOA = years of age.</w:t>
      </w:r>
    </w:p>
    <w:p w14:paraId="1813B9F6" w14:textId="2A384597" w:rsidR="004E5979" w:rsidRPr="001310AD" w:rsidRDefault="004E5979" w:rsidP="004E5979">
      <w:pPr>
        <w:rPr>
          <w:rFonts w:ascii="Arial Narrow" w:hAnsi="Arial Narrow"/>
          <w:sz w:val="18"/>
          <w:szCs w:val="18"/>
        </w:rPr>
      </w:pPr>
      <w:r w:rsidRPr="001310AD">
        <w:rPr>
          <w:rFonts w:ascii="Arial Narrow" w:hAnsi="Arial Narrow"/>
          <w:sz w:val="18"/>
          <w:szCs w:val="18"/>
          <w:vertAlign w:val="superscript"/>
        </w:rPr>
        <w:t>a</w:t>
      </w:r>
      <w:r w:rsidRPr="001310AD">
        <w:t xml:space="preserve"> </w:t>
      </w:r>
      <w:r w:rsidRPr="001310AD">
        <w:rPr>
          <w:rFonts w:ascii="Arial Narrow" w:hAnsi="Arial Narrow"/>
          <w:sz w:val="18"/>
          <w:szCs w:val="18"/>
        </w:rPr>
        <w:t xml:space="preserve">Unless stated otherwise, the same approach/inputs used for ≥75 YOA </w:t>
      </w:r>
      <w:r w:rsidR="0091094B" w:rsidRPr="001310AD">
        <w:rPr>
          <w:rFonts w:ascii="Arial Narrow" w:hAnsi="Arial Narrow"/>
          <w:sz w:val="18"/>
          <w:szCs w:val="18"/>
        </w:rPr>
        <w:t>and</w:t>
      </w:r>
      <w:r w:rsidRPr="001310AD">
        <w:rPr>
          <w:rFonts w:ascii="Arial Narrow" w:hAnsi="Arial Narrow"/>
          <w:sz w:val="18"/>
          <w:szCs w:val="18"/>
        </w:rPr>
        <w:t xml:space="preserve"> </w:t>
      </w:r>
      <w:r w:rsidR="0091094B" w:rsidRPr="001310AD">
        <w:rPr>
          <w:rFonts w:ascii="Arial Narrow" w:hAnsi="Arial Narrow"/>
          <w:caps/>
          <w:sz w:val="18"/>
          <w:szCs w:val="18"/>
        </w:rPr>
        <w:t>A</w:t>
      </w:r>
      <w:r w:rsidRPr="001310AD">
        <w:rPr>
          <w:rFonts w:ascii="Arial Narrow" w:hAnsi="Arial Narrow"/>
          <w:sz w:val="18"/>
          <w:szCs w:val="18"/>
        </w:rPr>
        <w:t>boriginal and Torres Strait Islander people 60-70 YOA.</w:t>
      </w:r>
    </w:p>
    <w:p w14:paraId="47D1C817" w14:textId="64775DAA" w:rsidR="004E5979" w:rsidRPr="001310AD" w:rsidRDefault="004E5979" w:rsidP="004E5979">
      <w:pPr>
        <w:rPr>
          <w:rFonts w:ascii="Arial Narrow" w:hAnsi="Arial Narrow"/>
          <w:sz w:val="18"/>
          <w:szCs w:val="18"/>
        </w:rPr>
      </w:pPr>
      <w:r w:rsidRPr="001310AD">
        <w:rPr>
          <w:rFonts w:ascii="Arial Narrow" w:hAnsi="Arial Narrow"/>
          <w:sz w:val="18"/>
          <w:szCs w:val="18"/>
          <w:vertAlign w:val="superscript"/>
        </w:rPr>
        <w:t xml:space="preserve">b </w:t>
      </w:r>
      <w:r w:rsidRPr="001310AD">
        <w:rPr>
          <w:rFonts w:ascii="Arial Narrow" w:hAnsi="Arial Narrow"/>
          <w:sz w:val="18"/>
          <w:szCs w:val="18"/>
        </w:rPr>
        <w:t>Based on the economic model worksheet "</w:t>
      </w:r>
      <w:proofErr w:type="spellStart"/>
      <w:r w:rsidRPr="001310AD">
        <w:rPr>
          <w:rFonts w:ascii="Arial Narrow" w:hAnsi="Arial Narrow"/>
          <w:sz w:val="18"/>
          <w:szCs w:val="18"/>
        </w:rPr>
        <w:t>ResubUpdates</w:t>
      </w:r>
      <w:proofErr w:type="spellEnd"/>
      <w:r w:rsidRPr="001310AD">
        <w:rPr>
          <w:rFonts w:ascii="Arial Narrow" w:hAnsi="Arial Narrow"/>
          <w:sz w:val="18"/>
          <w:szCs w:val="18"/>
        </w:rPr>
        <w:t xml:space="preserve">". </w:t>
      </w:r>
    </w:p>
    <w:p w14:paraId="55F5FD43" w14:textId="5B57EF25" w:rsidR="004E5979" w:rsidRPr="00E63B7C" w:rsidRDefault="004E5979" w:rsidP="00E63B7C">
      <w:pPr>
        <w:pStyle w:val="3-BodyText"/>
        <w:rPr>
          <w:rFonts w:cs="Calibri"/>
          <w:color w:val="000000"/>
        </w:rPr>
      </w:pPr>
      <w:r w:rsidRPr="00E63B7C">
        <w:rPr>
          <w:rFonts w:cs="Calibri"/>
          <w:color w:val="000000"/>
        </w:rPr>
        <w:t>The resubmission applied the same modelling approaches used for adults ≥75 YOA to the Aboriginal and Torres Strait Islander people 60-74 YOA</w:t>
      </w:r>
      <w:r w:rsidR="00FF2C44" w:rsidRPr="00E63B7C">
        <w:rPr>
          <w:rFonts w:cs="Calibri"/>
          <w:color w:val="000000"/>
        </w:rPr>
        <w:t xml:space="preserve"> population</w:t>
      </w:r>
      <w:r w:rsidRPr="00E63B7C">
        <w:rPr>
          <w:rFonts w:cs="Calibri"/>
          <w:color w:val="000000"/>
        </w:rPr>
        <w:t xml:space="preserve">, while incorporating specific inputs including RSV-associated hospitalisation rates, RSV-related death, and background natural mortality. The resubmission used the same efficacy from AReSVi-006 (overall population based on adults ≥60 YOA) applied to both the Aboriginal and Torres Strait Islander people 60-74 YOA and ≥75 YOA populations, acknowledging that the efficacy of RSVPreF3 OA in Aboriginal and Torres Strait Islander adults is currently unknown. This approach aligns with </w:t>
      </w:r>
      <w:r w:rsidR="000D65AB" w:rsidRPr="00E63B7C">
        <w:rPr>
          <w:rFonts w:cs="Calibri"/>
          <w:color w:val="000000"/>
        </w:rPr>
        <w:t xml:space="preserve">the </w:t>
      </w:r>
      <w:r w:rsidRPr="00E63B7C">
        <w:rPr>
          <w:rFonts w:cs="Calibri"/>
          <w:color w:val="000000"/>
        </w:rPr>
        <w:t>previous submission</w:t>
      </w:r>
      <w:r w:rsidR="000D65AB" w:rsidRPr="00E63B7C">
        <w:rPr>
          <w:rFonts w:cs="Calibri"/>
          <w:color w:val="000000"/>
        </w:rPr>
        <w:t xml:space="preserve"> for </w:t>
      </w:r>
      <w:r w:rsidR="00FF2C44" w:rsidRPr="00E63B7C">
        <w:rPr>
          <w:rFonts w:cs="Calibri"/>
          <w:color w:val="000000"/>
        </w:rPr>
        <w:t xml:space="preserve">RSVPreF </w:t>
      </w:r>
      <w:r w:rsidRPr="00E63B7C">
        <w:rPr>
          <w:rFonts w:cs="Calibri"/>
          <w:color w:val="000000"/>
        </w:rPr>
        <w:t>(</w:t>
      </w:r>
      <w:r w:rsidR="00FF2C44" w:rsidRPr="00E63B7C">
        <w:rPr>
          <w:rFonts w:cs="Calibri"/>
          <w:color w:val="000000"/>
        </w:rPr>
        <w:t>Abrysvo</w:t>
      </w:r>
      <w:r w:rsidRPr="00E63B7C">
        <w:rPr>
          <w:rFonts w:cs="Calibri"/>
          <w:color w:val="000000"/>
        </w:rPr>
        <w:t>, November 2024)</w:t>
      </w:r>
      <w:r w:rsidR="00805809" w:rsidRPr="00E63B7C">
        <w:rPr>
          <w:rFonts w:cs="Calibri"/>
          <w:color w:val="000000"/>
        </w:rPr>
        <w:t>,</w:t>
      </w:r>
      <w:r w:rsidRPr="00E63B7C">
        <w:rPr>
          <w:rFonts w:cs="Calibri"/>
          <w:color w:val="000000"/>
        </w:rPr>
        <w:t xml:space="preserve"> where efficacy estimates from adults aged ≥60 years were applied across different population groups. </w:t>
      </w:r>
      <w:r w:rsidR="007F4340" w:rsidRPr="00E63B7C">
        <w:rPr>
          <w:rFonts w:cs="Calibri"/>
          <w:color w:val="000000"/>
        </w:rPr>
        <w:t xml:space="preserve">For the RSVPreF </w:t>
      </w:r>
      <w:r w:rsidR="00C35576" w:rsidRPr="00E63B7C">
        <w:rPr>
          <w:rFonts w:cs="Calibri"/>
          <w:color w:val="000000"/>
        </w:rPr>
        <w:t>consideration, t</w:t>
      </w:r>
      <w:r w:rsidRPr="00E63B7C">
        <w:rPr>
          <w:rFonts w:cs="Calibri"/>
          <w:color w:val="000000"/>
        </w:rPr>
        <w:t xml:space="preserve">he PBAC noted the lack of information on differential immune response or safety in Aboriginal and Torres Strait Island </w:t>
      </w:r>
      <w:r w:rsidR="00C35576" w:rsidRPr="00E63B7C">
        <w:rPr>
          <w:rFonts w:cs="Calibri"/>
          <w:color w:val="000000"/>
        </w:rPr>
        <w:t xml:space="preserve">people </w:t>
      </w:r>
      <w:r w:rsidRPr="00E63B7C">
        <w:rPr>
          <w:rFonts w:cs="Calibri"/>
          <w:color w:val="000000"/>
        </w:rPr>
        <w:t>and acknowledged potentially lower VE due to higher rates of medical risk factors and comorbidities in this population. Nevertheless, it was considered appropriate to apply the same VE values across all population groups</w:t>
      </w:r>
      <w:r w:rsidR="00546DDA" w:rsidRPr="00E63B7C">
        <w:rPr>
          <w:rFonts w:cs="Calibri"/>
          <w:color w:val="000000"/>
        </w:rPr>
        <w:t xml:space="preserve"> for RSVPreF</w:t>
      </w:r>
      <w:r w:rsidRPr="00E63B7C">
        <w:rPr>
          <w:rFonts w:cs="Calibri"/>
          <w:color w:val="000000"/>
        </w:rPr>
        <w:t xml:space="preserve"> (para</w:t>
      </w:r>
      <w:r w:rsidR="00D07A94" w:rsidRPr="00E63B7C">
        <w:rPr>
          <w:rFonts w:cs="Calibri"/>
          <w:color w:val="000000"/>
        </w:rPr>
        <w:t>graph</w:t>
      </w:r>
      <w:r w:rsidRPr="00E63B7C">
        <w:rPr>
          <w:rFonts w:cs="Calibri"/>
          <w:color w:val="000000"/>
        </w:rPr>
        <w:t xml:space="preserve"> 6.38 and 6.45, RSVPreF PSD, November 2024).</w:t>
      </w:r>
    </w:p>
    <w:p w14:paraId="5901C430" w14:textId="0292D1C3" w:rsidR="004E5979" w:rsidRPr="00E63B7C" w:rsidRDefault="00FF2C44" w:rsidP="00E63B7C">
      <w:pPr>
        <w:pStyle w:val="3-BodyText"/>
        <w:rPr>
          <w:rFonts w:cs="Calibri"/>
          <w:color w:val="000000"/>
        </w:rPr>
      </w:pPr>
      <w:r w:rsidRPr="00E63B7C">
        <w:rPr>
          <w:rFonts w:cs="Calibri"/>
          <w:color w:val="000000"/>
        </w:rPr>
        <w:t>In its July 2024 consideration of RSVPreF3 OA, t</w:t>
      </w:r>
      <w:r w:rsidR="004E5979" w:rsidRPr="00E63B7C">
        <w:rPr>
          <w:rFonts w:cs="Calibri"/>
          <w:color w:val="000000"/>
        </w:rPr>
        <w:t>he PBAC noted</w:t>
      </w:r>
      <w:r w:rsidR="00CB6161" w:rsidRPr="00E63B7C">
        <w:rPr>
          <w:rFonts w:cs="Calibri"/>
          <w:color w:val="000000"/>
        </w:rPr>
        <w:t xml:space="preserve"> </w:t>
      </w:r>
      <w:r w:rsidR="004E5979" w:rsidRPr="00E63B7C">
        <w:rPr>
          <w:rFonts w:cs="Calibri"/>
          <w:color w:val="000000"/>
        </w:rPr>
        <w:t>that the model assumed VE over a 3-year period, but limited data were available to estimate the duration of protection (para</w:t>
      </w:r>
      <w:r w:rsidR="00FE21AA" w:rsidRPr="00E63B7C">
        <w:rPr>
          <w:rFonts w:cs="Calibri"/>
          <w:color w:val="000000"/>
        </w:rPr>
        <w:t>graph</w:t>
      </w:r>
      <w:r w:rsidR="004E5979" w:rsidRPr="00E63B7C">
        <w:rPr>
          <w:rFonts w:cs="Calibri"/>
          <w:color w:val="000000"/>
        </w:rPr>
        <w:t xml:space="preserve"> 6.88, RSVPreF3 OA PSD, July 2024). In response, as part of its </w:t>
      </w:r>
      <w:r w:rsidR="004E5979" w:rsidRPr="00E63B7C">
        <w:rPr>
          <w:rFonts w:cs="Calibri"/>
          <w:color w:val="000000"/>
        </w:rPr>
        <w:lastRenderedPageBreak/>
        <w:t xml:space="preserve">request for ATAGI advice, the resubmission presented an analysis of VE based on updated data from AReSVi-006 with a median follow-up of 30.6 months for 3 RSV seasons duration of protection (ATAGI Advice, March 2025). The ATAGI accepted RSVPreF3 OA </w:t>
      </w:r>
      <w:r w:rsidR="006A50D9" w:rsidRPr="00E63B7C">
        <w:rPr>
          <w:rFonts w:cs="Calibri"/>
          <w:color w:val="000000"/>
        </w:rPr>
        <w:t>offered</w:t>
      </w:r>
      <w:r w:rsidR="004E5979" w:rsidRPr="00E63B7C">
        <w:rPr>
          <w:rFonts w:cs="Calibri"/>
          <w:color w:val="000000"/>
        </w:rPr>
        <w:t xml:space="preserve"> prevention </w:t>
      </w:r>
      <w:r w:rsidR="006A50D9" w:rsidRPr="00E63B7C">
        <w:rPr>
          <w:rFonts w:cs="Calibri"/>
          <w:color w:val="000000"/>
        </w:rPr>
        <w:t>from</w:t>
      </w:r>
      <w:r w:rsidR="004E5979" w:rsidRPr="00E63B7C">
        <w:rPr>
          <w:rFonts w:cs="Calibri"/>
          <w:color w:val="000000"/>
        </w:rPr>
        <w:t xml:space="preserve"> RSV for at least 3 seasons in adults ≥60 YOA, based on secondary confirmatory endpoints</w:t>
      </w:r>
      <w:r w:rsidR="00783A7B" w:rsidRPr="00E63B7C">
        <w:rPr>
          <w:rFonts w:cs="Calibri"/>
          <w:color w:val="000000"/>
        </w:rPr>
        <w:t xml:space="preserve"> (</w:t>
      </w:r>
      <w:r w:rsidR="00CC2117" w:rsidRPr="00E63B7C">
        <w:rPr>
          <w:rFonts w:cs="Calibri"/>
          <w:color w:val="000000"/>
        </w:rPr>
        <w:t>cumulative efficacy</w:t>
      </w:r>
      <w:r w:rsidR="00783A7B" w:rsidRPr="00E63B7C">
        <w:rPr>
          <w:rFonts w:cs="Calibri"/>
          <w:color w:val="000000"/>
        </w:rPr>
        <w:t>)</w:t>
      </w:r>
      <w:r w:rsidR="004E5979" w:rsidRPr="00E63B7C">
        <w:rPr>
          <w:rFonts w:cs="Calibri"/>
          <w:color w:val="000000"/>
        </w:rPr>
        <w:t>, while noting that its efficacy beyond 3 seasons remain</w:t>
      </w:r>
      <w:r w:rsidR="006A50D9" w:rsidRPr="00E63B7C">
        <w:rPr>
          <w:rFonts w:cs="Calibri"/>
          <w:color w:val="000000"/>
        </w:rPr>
        <w:t>ed</w:t>
      </w:r>
      <w:r w:rsidR="004E5979" w:rsidRPr="00E63B7C">
        <w:rPr>
          <w:rFonts w:cs="Calibri"/>
          <w:color w:val="000000"/>
        </w:rPr>
        <w:t xml:space="preserve"> unknown (ATAGI Advice, March 2025). </w:t>
      </w:r>
    </w:p>
    <w:p w14:paraId="33D03EE7" w14:textId="4522F2F5" w:rsidR="004E5979" w:rsidRPr="00E63B7C" w:rsidRDefault="004E5979" w:rsidP="00E63B7C">
      <w:pPr>
        <w:pStyle w:val="3-BodyText"/>
        <w:rPr>
          <w:rFonts w:cs="Calibri"/>
          <w:color w:val="000000"/>
        </w:rPr>
      </w:pPr>
      <w:r w:rsidRPr="00E63B7C">
        <w:rPr>
          <w:rFonts w:cs="Calibri"/>
          <w:color w:val="000000"/>
        </w:rPr>
        <w:t xml:space="preserve">The outputs from the revised analysis for VE used in the economic model from the resubmission are presented in </w:t>
      </w:r>
      <w:r w:rsidRPr="00E63B7C">
        <w:rPr>
          <w:rFonts w:cs="Calibri"/>
          <w:color w:val="000000"/>
        </w:rPr>
        <w:fldChar w:fldCharType="begin"/>
      </w:r>
      <w:r w:rsidRPr="00E63B7C">
        <w:rPr>
          <w:rFonts w:cs="Calibri"/>
          <w:color w:val="000000"/>
        </w:rPr>
        <w:instrText xml:space="preserve"> REF _Ref195679500 \h </w:instrText>
      </w:r>
      <w:r w:rsidR="00E63B7C">
        <w:rPr>
          <w:rFonts w:cs="Calibri"/>
          <w:color w:val="000000"/>
        </w:rPr>
        <w:instrText xml:space="preserve"> \* MERGEFORMAT </w:instrText>
      </w:r>
      <w:r w:rsidRPr="00E63B7C">
        <w:rPr>
          <w:rFonts w:cs="Calibri"/>
          <w:color w:val="000000"/>
        </w:rPr>
      </w:r>
      <w:r w:rsidRPr="00E63B7C">
        <w:rPr>
          <w:rFonts w:cs="Calibri"/>
          <w:color w:val="000000"/>
        </w:rPr>
        <w:fldChar w:fldCharType="separate"/>
      </w:r>
      <w:r w:rsidR="001F75E0" w:rsidRPr="00E63B7C">
        <w:rPr>
          <w:rFonts w:cs="Calibri"/>
          <w:color w:val="000000"/>
        </w:rPr>
        <w:t>Figure 1</w:t>
      </w:r>
      <w:r w:rsidRPr="00E63B7C">
        <w:rPr>
          <w:rFonts w:cs="Calibri"/>
          <w:color w:val="000000"/>
        </w:rPr>
        <w:fldChar w:fldCharType="end"/>
      </w:r>
      <w:r w:rsidRPr="00E63B7C">
        <w:rPr>
          <w:rFonts w:cs="Calibri"/>
          <w:color w:val="000000"/>
        </w:rPr>
        <w:t xml:space="preserve">, and a comparison with those data and the clinical data from AReSVi-006 is shown in </w:t>
      </w:r>
      <w:r w:rsidRPr="00E63B7C">
        <w:rPr>
          <w:rFonts w:cs="Calibri"/>
          <w:color w:val="000000"/>
        </w:rPr>
        <w:fldChar w:fldCharType="begin"/>
      </w:r>
      <w:r w:rsidRPr="00E63B7C">
        <w:rPr>
          <w:rFonts w:cs="Calibri"/>
          <w:color w:val="000000"/>
        </w:rPr>
        <w:instrText xml:space="preserve"> REF _Ref195679466 \h </w:instrText>
      </w:r>
      <w:r w:rsidR="00E63B7C">
        <w:rPr>
          <w:rFonts w:cs="Calibri"/>
          <w:color w:val="000000"/>
        </w:rPr>
        <w:instrText xml:space="preserve"> \* MERGEFORMAT </w:instrText>
      </w:r>
      <w:r w:rsidRPr="00E63B7C">
        <w:rPr>
          <w:rFonts w:cs="Calibri"/>
          <w:color w:val="000000"/>
        </w:rPr>
      </w:r>
      <w:r w:rsidRPr="00E63B7C">
        <w:rPr>
          <w:rFonts w:cs="Calibri"/>
          <w:color w:val="000000"/>
        </w:rPr>
        <w:fldChar w:fldCharType="separate"/>
      </w:r>
      <w:r w:rsidR="001F75E0" w:rsidRPr="00E63B7C">
        <w:rPr>
          <w:rFonts w:cs="Calibri"/>
          <w:color w:val="000000"/>
        </w:rPr>
        <w:t>Table 14</w:t>
      </w:r>
      <w:r w:rsidRPr="00E63B7C">
        <w:rPr>
          <w:rFonts w:cs="Calibri"/>
          <w:color w:val="000000"/>
        </w:rPr>
        <w:fldChar w:fldCharType="end"/>
      </w:r>
      <w:r w:rsidRPr="00E63B7C">
        <w:rPr>
          <w:rFonts w:cs="Calibri"/>
          <w:color w:val="000000"/>
        </w:rPr>
        <w:t>.</w:t>
      </w:r>
    </w:p>
    <w:p w14:paraId="5709F91C" w14:textId="741A4978" w:rsidR="004E5979" w:rsidRPr="001310AD" w:rsidRDefault="004E5979" w:rsidP="008B6AC5">
      <w:pPr>
        <w:pStyle w:val="Caption"/>
      </w:pPr>
      <w:bookmarkStart w:id="67" w:name="_Ref195679500"/>
      <w:r w:rsidRPr="001310AD">
        <w:t xml:space="preserve">Figure </w:t>
      </w:r>
      <w:fldSimple w:instr=" SEQ Figure \* ARABIC ">
        <w:r w:rsidR="001F75E0" w:rsidRPr="001310AD">
          <w:t>1</w:t>
        </w:r>
      </w:fldSimple>
      <w:bookmarkEnd w:id="67"/>
      <w:r w:rsidRPr="001310AD">
        <w:t>: Application of VE against RSV-LRTD and RSV-ARI in the economic model (July 2025 PBAC resubmission)</w:t>
      </w:r>
    </w:p>
    <w:p w14:paraId="34A6952B" w14:textId="0F06B757" w:rsidR="004E5979" w:rsidRPr="001310AD" w:rsidRDefault="001C421F" w:rsidP="008B6AC5">
      <w:pPr>
        <w:keepNext/>
        <w:keepLines/>
        <w:jc w:val="center"/>
        <w:rPr>
          <w:b/>
          <w:bCs/>
          <w:color w:val="4F81BD" w:themeColor="accent1"/>
        </w:rPr>
      </w:pPr>
      <w:r w:rsidRPr="001310AD">
        <w:rPr>
          <w:noProof/>
        </w:rPr>
        <mc:AlternateContent>
          <mc:Choice Requires="wpg">
            <w:drawing>
              <wp:anchor distT="0" distB="0" distL="114300" distR="114300" simplePos="0" relativeHeight="251658240" behindDoc="0" locked="0" layoutInCell="1" allowOverlap="1" wp14:anchorId="0FB45083" wp14:editId="3E7D7710">
                <wp:simplePos x="0" y="0"/>
                <wp:positionH relativeFrom="column">
                  <wp:posOffset>3842657</wp:posOffset>
                </wp:positionH>
                <wp:positionV relativeFrom="paragraph">
                  <wp:posOffset>1635760</wp:posOffset>
                </wp:positionV>
                <wp:extent cx="1442497" cy="238090"/>
                <wp:effectExtent l="0" t="0" r="0" b="0"/>
                <wp:wrapNone/>
                <wp:docPr id="651290797" name="Group 4"/>
                <wp:cNvGraphicFramePr/>
                <a:graphic xmlns:a="http://schemas.openxmlformats.org/drawingml/2006/main">
                  <a:graphicData uri="http://schemas.microsoft.com/office/word/2010/wordprocessingGroup">
                    <wpg:wgp>
                      <wpg:cNvGrpSpPr/>
                      <wpg:grpSpPr>
                        <a:xfrm>
                          <a:off x="0" y="0"/>
                          <a:ext cx="1442497" cy="238090"/>
                          <a:chOff x="0" y="0"/>
                          <a:chExt cx="1442497" cy="238090"/>
                        </a:xfrm>
                      </wpg:grpSpPr>
                      <wps:wsp>
                        <wps:cNvPr id="1871893166" name="Text Box 3"/>
                        <wps:cNvSpPr txBox="1"/>
                        <wps:spPr>
                          <a:xfrm>
                            <a:off x="0" y="0"/>
                            <a:ext cx="738554" cy="234461"/>
                          </a:xfrm>
                          <a:prstGeom prst="rect">
                            <a:avLst/>
                          </a:prstGeom>
                          <a:noFill/>
                          <a:ln w="6350">
                            <a:noFill/>
                          </a:ln>
                        </wps:spPr>
                        <wps:txbx>
                          <w:txbxContent>
                            <w:p w14:paraId="7DA0D44B" w14:textId="2D5FACD2" w:rsidR="002B44E0" w:rsidRPr="001C421F" w:rsidRDefault="002B44E0">
                              <w:pPr>
                                <w:rPr>
                                  <w:sz w:val="12"/>
                                  <w:szCs w:val="12"/>
                                  <w:lang w:val="en-US"/>
                                </w:rPr>
                              </w:pPr>
                              <w:r w:rsidRPr="001C421F">
                                <w:rPr>
                                  <w:sz w:val="12"/>
                                  <w:szCs w:val="12"/>
                                  <w:lang w:val="en-US"/>
                                </w:rPr>
                                <w:t xml:space="preserve">Waning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344272" name="Text Box 3"/>
                        <wps:cNvSpPr txBox="1"/>
                        <wps:spPr>
                          <a:xfrm>
                            <a:off x="703943" y="3629"/>
                            <a:ext cx="738554" cy="234461"/>
                          </a:xfrm>
                          <a:prstGeom prst="rect">
                            <a:avLst/>
                          </a:prstGeom>
                          <a:noFill/>
                          <a:ln w="6350">
                            <a:noFill/>
                          </a:ln>
                        </wps:spPr>
                        <wps:txbx>
                          <w:txbxContent>
                            <w:p w14:paraId="08F30499" w14:textId="77777777" w:rsidR="00BD79D9" w:rsidRPr="00BD79D9" w:rsidRDefault="00BD79D9" w:rsidP="00BD79D9">
                              <w:pPr>
                                <w:rPr>
                                  <w:sz w:val="14"/>
                                  <w:szCs w:val="14"/>
                                  <w:lang w:val="en-US"/>
                                </w:rPr>
                              </w:pPr>
                              <w:r w:rsidRPr="001C421F">
                                <w:rPr>
                                  <w:sz w:val="12"/>
                                  <w:szCs w:val="12"/>
                                  <w:lang w:val="en-US"/>
                                </w:rPr>
                                <w:t xml:space="preserve">Waning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B45083" id="Group 4" o:spid="_x0000_s1026" style="position:absolute;left:0;text-align:left;margin-left:302.55pt;margin-top:128.8pt;width:113.6pt;height:18.75pt;z-index:251658240" coordsize="14424,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">
                <v:shapetype id="_x0000_t202" coordsize="21600,21600" o:spt="202" path="m,l,21600r21600,l21600,xe">
                  <v:stroke joinstyle="miter"/>
                  <v:path gradientshapeok="t" o:connecttype="rect"/>
                </v:shapetype>
                <v:shape id="Text Box 3" o:spid="_x0000_s1027" type="#_x0000_t202" style="position:absolute;width:7385;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" filled="f" stroked="f" strokeweight=".5pt">
                  <v:textbox>
                    <w:txbxContent>
                      <w:p w14:paraId="7DA0D44B" w14:textId="2D5FACD2" w:rsidR="002B44E0" w:rsidRPr="001C421F" w:rsidRDefault="002B44E0">
                        <w:pPr>
                          <w:rPr>
                            <w:sz w:val="12"/>
                            <w:szCs w:val="12"/>
                            <w:lang w:val="en-US"/>
                          </w:rPr>
                        </w:pPr>
                        <w:r w:rsidRPr="001C421F">
                          <w:rPr>
                            <w:sz w:val="12"/>
                            <w:szCs w:val="12"/>
                            <w:lang w:val="en-US"/>
                          </w:rPr>
                          <w:t xml:space="preserve">Waning </w:t>
                        </w:r>
                      </w:p>
                    </w:txbxContent>
                  </v:textbox>
                </v:shape>
                <v:shape id="Text Box 3" o:spid="_x0000_s1028" type="#_x0000_t202" style="position:absolute;left:7039;top:36;width:7385;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" filled="f" stroked="f" strokeweight=".5pt">
                  <v:textbox>
                    <w:txbxContent>
                      <w:p w14:paraId="08F30499" w14:textId="77777777" w:rsidR="00BD79D9" w:rsidRPr="00BD79D9" w:rsidRDefault="00BD79D9" w:rsidP="00BD79D9">
                        <w:pPr>
                          <w:rPr>
                            <w:sz w:val="14"/>
                            <w:szCs w:val="14"/>
                            <w:lang w:val="en-US"/>
                          </w:rPr>
                        </w:pPr>
                        <w:r w:rsidRPr="001C421F">
                          <w:rPr>
                            <w:sz w:val="12"/>
                            <w:szCs w:val="12"/>
                            <w:lang w:val="en-US"/>
                          </w:rPr>
                          <w:t xml:space="preserve">Waning </w:t>
                        </w:r>
                      </w:p>
                    </w:txbxContent>
                  </v:textbox>
                </v:shape>
              </v:group>
            </w:pict>
          </mc:Fallback>
        </mc:AlternateContent>
      </w:r>
      <w:r w:rsidR="004E5979" w:rsidRPr="001310AD">
        <w:rPr>
          <w:noProof/>
        </w:rPr>
        <w:drawing>
          <wp:inline distT="0" distB="0" distL="0" distR="0" wp14:anchorId="5A0C3C2F" wp14:editId="6BA72F3C">
            <wp:extent cx="4499170" cy="2451100"/>
            <wp:effectExtent l="0" t="0" r="0" b="6350"/>
            <wp:docPr id="1453858514" name="Picture 1" descr="Figure 1: Application of VE against RSV-LRTD and RSV-ARI in the economic model (July 2025 PBAC re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58514" name="Picture 1" descr="Figure 1: Application of VE against RSV-LRTD and RSV-ARI in the economic model (July 2025 PBAC resubmission)"/>
                    <pic:cNvPicPr/>
                  </pic:nvPicPr>
                  <pic:blipFill>
                    <a:blip r:embed="rId10"/>
                    <a:stretch>
                      <a:fillRect/>
                    </a:stretch>
                  </pic:blipFill>
                  <pic:spPr>
                    <a:xfrm>
                      <a:off x="0" y="0"/>
                      <a:ext cx="4504839" cy="2454189"/>
                    </a:xfrm>
                    <a:prstGeom prst="rect">
                      <a:avLst/>
                    </a:prstGeom>
                  </pic:spPr>
                </pic:pic>
              </a:graphicData>
            </a:graphic>
          </wp:inline>
        </w:drawing>
      </w:r>
    </w:p>
    <w:p w14:paraId="75B55EF8" w14:textId="77777777" w:rsidR="004E5979" w:rsidRPr="001310AD" w:rsidRDefault="004E5979" w:rsidP="009B42FC">
      <w:pPr>
        <w:keepNext/>
        <w:keepLines/>
        <w:rPr>
          <w:rFonts w:ascii="Arial Narrow" w:hAnsi="Arial Narrow"/>
          <w:sz w:val="18"/>
          <w:szCs w:val="18"/>
        </w:rPr>
      </w:pPr>
      <w:r w:rsidRPr="001310AD">
        <w:rPr>
          <w:rFonts w:ascii="Arial Narrow" w:hAnsi="Arial Narrow"/>
          <w:sz w:val="18"/>
          <w:szCs w:val="18"/>
        </w:rPr>
        <w:t>ARI = acute respiratory infection, LRTD = lower respiratory tract disease, RSV = respiratory syncytial virus, VE = vaccine efficacy</w:t>
      </w:r>
    </w:p>
    <w:p w14:paraId="4A0953D1" w14:textId="77777777" w:rsidR="004E5979" w:rsidRPr="001310AD" w:rsidRDefault="004E5979" w:rsidP="009B42FC">
      <w:pPr>
        <w:keepNext/>
        <w:keepLines/>
        <w:rPr>
          <w:rFonts w:ascii="Arial Narrow" w:hAnsi="Arial Narrow"/>
          <w:sz w:val="18"/>
          <w:szCs w:val="18"/>
        </w:rPr>
      </w:pPr>
      <w:r w:rsidRPr="001310AD">
        <w:rPr>
          <w:rFonts w:ascii="Arial Narrow" w:hAnsi="Arial Narrow"/>
          <w:sz w:val="18"/>
          <w:szCs w:val="18"/>
        </w:rPr>
        <w:t>Source: Figure 3-14, p215 of the July 2025 resubmission.</w:t>
      </w:r>
    </w:p>
    <w:p w14:paraId="62E15F5A" w14:textId="2D3D56E5" w:rsidR="004E5979" w:rsidRPr="001310AD" w:rsidRDefault="004E5979" w:rsidP="008B6AC5">
      <w:pPr>
        <w:keepNext/>
        <w:keepLines/>
        <w:rPr>
          <w:rFonts w:ascii="Arial Narrow" w:hAnsi="Arial Narrow"/>
          <w:sz w:val="18"/>
          <w:szCs w:val="18"/>
        </w:rPr>
      </w:pPr>
      <w:r w:rsidRPr="001310AD">
        <w:rPr>
          <w:rFonts w:ascii="Arial Narrow" w:hAnsi="Arial Narrow"/>
          <w:sz w:val="18"/>
          <w:szCs w:val="18"/>
        </w:rPr>
        <w:t xml:space="preserve">Note: Dashed lines represent extrapolated vaccine effectiveness estimates </w:t>
      </w:r>
      <w:r w:rsidR="00D42316" w:rsidRPr="001310AD">
        <w:rPr>
          <w:rFonts w:ascii="Arial Narrow" w:hAnsi="Arial Narrow"/>
          <w:sz w:val="18"/>
          <w:szCs w:val="18"/>
        </w:rPr>
        <w:t xml:space="preserve">(as applied in the resubmission) </w:t>
      </w:r>
      <w:r w:rsidRPr="001310AD">
        <w:rPr>
          <w:rFonts w:ascii="Arial Narrow" w:hAnsi="Arial Narrow"/>
          <w:sz w:val="18"/>
          <w:szCs w:val="18"/>
        </w:rPr>
        <w:t xml:space="preserve">beyond the trial period, based on a linear logarithmic model. </w:t>
      </w:r>
    </w:p>
    <w:p w14:paraId="78A21260" w14:textId="50EC8F9C" w:rsidR="00747AF3" w:rsidRPr="001310AD" w:rsidRDefault="00747AF3" w:rsidP="00747AF3">
      <w:pPr>
        <w:jc w:val="center"/>
        <w:rPr>
          <w:rFonts w:ascii="Arial Narrow" w:hAnsi="Arial Narrow"/>
          <w:sz w:val="18"/>
          <w:szCs w:val="18"/>
        </w:rPr>
      </w:pPr>
    </w:p>
    <w:p w14:paraId="454ABA65" w14:textId="1CDA54CF" w:rsidR="004E5979" w:rsidRPr="001310AD" w:rsidRDefault="004E5979" w:rsidP="004E5979">
      <w:pPr>
        <w:pStyle w:val="Caption"/>
      </w:pPr>
      <w:bookmarkStart w:id="68" w:name="_Ref195679466"/>
      <w:r w:rsidRPr="001310AD">
        <w:lastRenderedPageBreak/>
        <w:t xml:space="preserve">Table </w:t>
      </w:r>
      <w:fldSimple w:instr=" SEQ Table \* ARABIC ">
        <w:r w:rsidR="001F75E0" w:rsidRPr="001310AD">
          <w:t>14</w:t>
        </w:r>
      </w:fldSimple>
      <w:bookmarkEnd w:id="68"/>
      <w:r w:rsidRPr="001310AD">
        <w:t>: A comparison</w:t>
      </w:r>
      <w:r w:rsidR="00FF2C44" w:rsidRPr="001310AD">
        <w:t xml:space="preserve"> of</w:t>
      </w:r>
      <w:r w:rsidRPr="001310AD">
        <w:t xml:space="preserve"> trial-based AReSVi-006 and modelled vaccine efficacy</w:t>
      </w:r>
    </w:p>
    <w:tbl>
      <w:tblPr>
        <w:tblStyle w:val="TableGrid"/>
        <w:tblW w:w="4932" w:type="pct"/>
        <w:tblLook w:val="04A0" w:firstRow="1" w:lastRow="0" w:firstColumn="1" w:lastColumn="0" w:noHBand="0" w:noVBand="1"/>
        <w:tblCaption w:val="Table 14: A comparison of trial-based AReSVi-006 and modelled vaccine efficacy"/>
      </w:tblPr>
      <w:tblGrid>
        <w:gridCol w:w="2690"/>
        <w:gridCol w:w="1717"/>
        <w:gridCol w:w="1718"/>
        <w:gridCol w:w="1261"/>
        <w:gridCol w:w="1508"/>
      </w:tblGrid>
      <w:tr w:rsidR="00A11D91" w:rsidRPr="001310AD" w14:paraId="0DE3A5CF" w14:textId="77777777" w:rsidTr="00037B82">
        <w:trPr>
          <w:trHeight w:val="178"/>
        </w:trPr>
        <w:tc>
          <w:tcPr>
            <w:tcW w:w="1512" w:type="pct"/>
            <w:vMerge w:val="restart"/>
            <w:vAlign w:val="center"/>
          </w:tcPr>
          <w:p w14:paraId="5EDD9B91" w14:textId="6B11870A" w:rsidR="00A11D91" w:rsidRPr="001310AD" w:rsidRDefault="00A11D91" w:rsidP="00D338F0">
            <w:pPr>
              <w:pStyle w:val="TableFigureHeading"/>
              <w:jc w:val="center"/>
            </w:pPr>
            <w:r w:rsidRPr="001310AD">
              <w:t>Time point</w:t>
            </w:r>
          </w:p>
        </w:tc>
        <w:tc>
          <w:tcPr>
            <w:tcW w:w="965" w:type="pct"/>
            <w:vMerge w:val="restart"/>
            <w:vAlign w:val="center"/>
          </w:tcPr>
          <w:p w14:paraId="525EAAD4" w14:textId="6FE81BDB" w:rsidR="00A11D91" w:rsidRPr="001310AD" w:rsidRDefault="00A11D91" w:rsidP="004E05EF">
            <w:pPr>
              <w:pStyle w:val="TableFigureHeading"/>
              <w:jc w:val="center"/>
            </w:pPr>
            <w:r w:rsidRPr="001310AD">
              <w:t>July 2025 economic model (linear logarithmic model)</w:t>
            </w:r>
          </w:p>
        </w:tc>
        <w:tc>
          <w:tcPr>
            <w:tcW w:w="966" w:type="pct"/>
            <w:vMerge w:val="restart"/>
            <w:vAlign w:val="center"/>
          </w:tcPr>
          <w:p w14:paraId="58C43CEC" w14:textId="6AAA35B2" w:rsidR="00A11D91" w:rsidRPr="001310AD" w:rsidRDefault="00A11D91" w:rsidP="004E05EF">
            <w:pPr>
              <w:pStyle w:val="TableFigureHeading"/>
              <w:jc w:val="center"/>
            </w:pPr>
            <w:r w:rsidRPr="001310AD">
              <w:t>July 2024 economic model (linear model)</w:t>
            </w:r>
          </w:p>
        </w:tc>
        <w:tc>
          <w:tcPr>
            <w:tcW w:w="1557" w:type="pct"/>
            <w:gridSpan w:val="2"/>
            <w:vAlign w:val="center"/>
          </w:tcPr>
          <w:p w14:paraId="76A5F293" w14:textId="4C46F224" w:rsidR="00A11D91" w:rsidRPr="001310AD" w:rsidRDefault="00A11D91" w:rsidP="004E05EF">
            <w:pPr>
              <w:pStyle w:val="TableFigureHeading"/>
              <w:jc w:val="center"/>
            </w:pPr>
            <w:r w:rsidRPr="001310AD">
              <w:t>AreSVi-006</w:t>
            </w:r>
          </w:p>
        </w:tc>
      </w:tr>
      <w:tr w:rsidR="00A11D91" w:rsidRPr="001310AD" w14:paraId="1861368E" w14:textId="3547C3D9" w:rsidTr="00037B82">
        <w:tc>
          <w:tcPr>
            <w:tcW w:w="1512" w:type="pct"/>
            <w:vMerge/>
            <w:vAlign w:val="bottom"/>
          </w:tcPr>
          <w:p w14:paraId="715CAC85" w14:textId="7D5FC60E" w:rsidR="00A11D91" w:rsidRPr="001310AD" w:rsidRDefault="00A11D91" w:rsidP="004E05EF">
            <w:pPr>
              <w:pStyle w:val="TableFigureHeading"/>
            </w:pPr>
          </w:p>
        </w:tc>
        <w:tc>
          <w:tcPr>
            <w:tcW w:w="965" w:type="pct"/>
            <w:vMerge/>
          </w:tcPr>
          <w:p w14:paraId="6A4A5D39" w14:textId="77777777" w:rsidR="00A11D91" w:rsidRPr="001310AD" w:rsidRDefault="00A11D91" w:rsidP="004E05EF">
            <w:pPr>
              <w:pStyle w:val="TableFigureHeading"/>
            </w:pPr>
          </w:p>
        </w:tc>
        <w:tc>
          <w:tcPr>
            <w:tcW w:w="966" w:type="pct"/>
            <w:vMerge/>
          </w:tcPr>
          <w:p w14:paraId="0990E327" w14:textId="6A44BE6D" w:rsidR="00A11D91" w:rsidRPr="001310AD" w:rsidRDefault="00A11D91" w:rsidP="004E05EF">
            <w:pPr>
              <w:pStyle w:val="TableFigureHeading"/>
            </w:pPr>
          </w:p>
        </w:tc>
        <w:tc>
          <w:tcPr>
            <w:tcW w:w="709" w:type="pct"/>
            <w:vAlign w:val="center"/>
          </w:tcPr>
          <w:p w14:paraId="040527A3" w14:textId="4BDF6DA7" w:rsidR="00A11D91" w:rsidRPr="001310AD" w:rsidRDefault="00B93A9A" w:rsidP="00B93A9A">
            <w:pPr>
              <w:pStyle w:val="TableFigureHeading"/>
              <w:jc w:val="center"/>
            </w:pPr>
            <w:r w:rsidRPr="001310AD">
              <w:t>Season specific</w:t>
            </w:r>
          </w:p>
        </w:tc>
        <w:tc>
          <w:tcPr>
            <w:tcW w:w="848" w:type="pct"/>
            <w:vAlign w:val="center"/>
          </w:tcPr>
          <w:p w14:paraId="1D313214" w14:textId="3D8B091A" w:rsidR="00A11D91" w:rsidRPr="001310AD" w:rsidRDefault="00A11D91" w:rsidP="00A0214D">
            <w:pPr>
              <w:pStyle w:val="TableFigureHeading"/>
              <w:jc w:val="center"/>
            </w:pPr>
            <w:r w:rsidRPr="001310AD">
              <w:t>Cumulative efficacy (season adjusted)</w:t>
            </w:r>
          </w:p>
        </w:tc>
      </w:tr>
      <w:tr w:rsidR="00A11D91" w:rsidRPr="001310AD" w14:paraId="37DCC865" w14:textId="77777777" w:rsidTr="00DC64D7">
        <w:tc>
          <w:tcPr>
            <w:tcW w:w="1512" w:type="pct"/>
            <w:vAlign w:val="bottom"/>
          </w:tcPr>
          <w:p w14:paraId="6B9F93B6" w14:textId="42709339" w:rsidR="00A11D91" w:rsidRPr="001310AD" w:rsidRDefault="00A11D91" w:rsidP="00A11D91">
            <w:pPr>
              <w:pStyle w:val="Tabletext"/>
              <w:keepNext/>
              <w:rPr>
                <w:b/>
                <w:bCs/>
              </w:rPr>
            </w:pPr>
            <w:r w:rsidRPr="001310AD">
              <w:rPr>
                <w:b/>
                <w:bCs/>
              </w:rPr>
              <w:t>RSV-LRTD</w:t>
            </w:r>
          </w:p>
        </w:tc>
        <w:tc>
          <w:tcPr>
            <w:tcW w:w="965" w:type="pct"/>
          </w:tcPr>
          <w:p w14:paraId="63F2AFB7" w14:textId="77777777" w:rsidR="00A11D91" w:rsidRPr="001310AD" w:rsidRDefault="00A11D91" w:rsidP="00A11D91">
            <w:pPr>
              <w:pStyle w:val="Tabletext"/>
              <w:keepNext/>
              <w:jc w:val="center"/>
            </w:pPr>
          </w:p>
        </w:tc>
        <w:tc>
          <w:tcPr>
            <w:tcW w:w="966" w:type="pct"/>
          </w:tcPr>
          <w:p w14:paraId="704BF065" w14:textId="77777777" w:rsidR="00A11D91" w:rsidRPr="001310AD" w:rsidRDefault="00A11D91" w:rsidP="00A11D91">
            <w:pPr>
              <w:pStyle w:val="Tabletext"/>
              <w:keepNext/>
              <w:jc w:val="center"/>
            </w:pPr>
          </w:p>
        </w:tc>
        <w:tc>
          <w:tcPr>
            <w:tcW w:w="709" w:type="pct"/>
          </w:tcPr>
          <w:p w14:paraId="2C5248A1" w14:textId="77777777" w:rsidR="00A11D91" w:rsidRPr="001310AD" w:rsidRDefault="00A11D91" w:rsidP="00A11D91">
            <w:pPr>
              <w:pStyle w:val="Tabletext"/>
              <w:keepNext/>
              <w:jc w:val="center"/>
            </w:pPr>
          </w:p>
        </w:tc>
        <w:tc>
          <w:tcPr>
            <w:tcW w:w="848" w:type="pct"/>
          </w:tcPr>
          <w:p w14:paraId="6BB91EBA" w14:textId="77777777" w:rsidR="00A11D91" w:rsidRPr="001310AD" w:rsidRDefault="00A11D91" w:rsidP="00A11D91">
            <w:pPr>
              <w:pStyle w:val="Tabletext"/>
              <w:keepNext/>
              <w:jc w:val="center"/>
            </w:pPr>
          </w:p>
        </w:tc>
      </w:tr>
      <w:tr w:rsidR="00A11D91" w:rsidRPr="001310AD" w14:paraId="6EBA26AC" w14:textId="0BF40E28" w:rsidTr="00037B82">
        <w:tc>
          <w:tcPr>
            <w:tcW w:w="1512" w:type="pct"/>
          </w:tcPr>
          <w:p w14:paraId="64769BAF" w14:textId="77777777" w:rsidR="00A11D91" w:rsidRPr="001310AD" w:rsidRDefault="00A11D91" w:rsidP="00A11D91">
            <w:pPr>
              <w:pStyle w:val="Tabletext"/>
              <w:keepNext/>
            </w:pPr>
            <w:r w:rsidRPr="001310AD">
              <w:t>Peak VE RSV-LRTD (30 days)</w:t>
            </w:r>
            <w:r w:rsidRPr="001310AD">
              <w:rPr>
                <w:vertAlign w:val="superscript"/>
              </w:rPr>
              <w:t>a</w:t>
            </w:r>
          </w:p>
        </w:tc>
        <w:tc>
          <w:tcPr>
            <w:tcW w:w="965" w:type="pct"/>
          </w:tcPr>
          <w:p w14:paraId="6808B812" w14:textId="3E1E899D" w:rsidR="00A11D91" w:rsidRPr="001310AD" w:rsidRDefault="00A11D91" w:rsidP="00A11D91">
            <w:pPr>
              <w:pStyle w:val="Tabletext"/>
              <w:keepNext/>
              <w:jc w:val="center"/>
            </w:pPr>
            <w:r w:rsidRPr="001310AD">
              <w:t>86.83%</w:t>
            </w:r>
          </w:p>
        </w:tc>
        <w:tc>
          <w:tcPr>
            <w:tcW w:w="966" w:type="pct"/>
            <w:shd w:val="clear" w:color="auto" w:fill="C6D9F1" w:themeFill="text2" w:themeFillTint="33"/>
          </w:tcPr>
          <w:p w14:paraId="092D455D" w14:textId="3B6E1C5B" w:rsidR="00A11D91" w:rsidRPr="001310AD" w:rsidRDefault="00A11D91" w:rsidP="00A11D91">
            <w:pPr>
              <w:pStyle w:val="Tabletext"/>
              <w:keepNext/>
              <w:jc w:val="center"/>
            </w:pPr>
            <w:r w:rsidRPr="001310AD">
              <w:t>88.02%</w:t>
            </w:r>
          </w:p>
        </w:tc>
        <w:tc>
          <w:tcPr>
            <w:tcW w:w="709" w:type="pct"/>
            <w:vMerge w:val="restart"/>
            <w:shd w:val="clear" w:color="auto" w:fill="C6D9F1" w:themeFill="text2" w:themeFillTint="33"/>
          </w:tcPr>
          <w:p w14:paraId="353F67F5" w14:textId="5BBD7E72" w:rsidR="00A11D91" w:rsidRPr="001310AD" w:rsidRDefault="00A11D91" w:rsidP="00A11D91">
            <w:pPr>
              <w:pStyle w:val="Tabletext"/>
              <w:keepNext/>
              <w:jc w:val="center"/>
            </w:pPr>
            <w:r w:rsidRPr="001310AD">
              <w:t xml:space="preserve">Season 1: </w:t>
            </w:r>
            <w:r w:rsidR="00BD61B2" w:rsidRPr="001310AD">
              <w:t>80.</w:t>
            </w:r>
            <w:r w:rsidR="00473B29" w:rsidRPr="001310AD">
              <w:t>6%</w:t>
            </w:r>
          </w:p>
        </w:tc>
        <w:tc>
          <w:tcPr>
            <w:tcW w:w="848" w:type="pct"/>
            <w:shd w:val="clear" w:color="auto" w:fill="C6D9F1" w:themeFill="text2" w:themeFillTint="33"/>
          </w:tcPr>
          <w:p w14:paraId="2CCFB9EC" w14:textId="77777777" w:rsidR="00A11D91" w:rsidRPr="001310AD" w:rsidRDefault="00A11D91" w:rsidP="00A11D91">
            <w:pPr>
              <w:pStyle w:val="Tabletext"/>
              <w:keepNext/>
              <w:jc w:val="center"/>
            </w:pPr>
            <w:r w:rsidRPr="001310AD">
              <w:t>NR</w:t>
            </w:r>
          </w:p>
        </w:tc>
      </w:tr>
      <w:tr w:rsidR="00A11D91" w:rsidRPr="001310AD" w14:paraId="6F3B2017" w14:textId="5E30DC80" w:rsidTr="00037B82">
        <w:tc>
          <w:tcPr>
            <w:tcW w:w="1512" w:type="pct"/>
          </w:tcPr>
          <w:p w14:paraId="766A8E8A" w14:textId="77777777" w:rsidR="00A11D91" w:rsidRPr="001310AD" w:rsidRDefault="00A11D91" w:rsidP="00A11D91">
            <w:pPr>
              <w:pStyle w:val="Tabletext"/>
              <w:keepNext/>
            </w:pPr>
            <w:r w:rsidRPr="001310AD">
              <w:t>7 months</w:t>
            </w:r>
          </w:p>
        </w:tc>
        <w:tc>
          <w:tcPr>
            <w:tcW w:w="965" w:type="pct"/>
          </w:tcPr>
          <w:p w14:paraId="106D8683" w14:textId="34921192" w:rsidR="00A11D91" w:rsidRPr="001310AD" w:rsidRDefault="00A11D91" w:rsidP="00A11D91">
            <w:pPr>
              <w:pStyle w:val="Tabletext"/>
              <w:keepNext/>
              <w:jc w:val="center"/>
            </w:pPr>
            <w:r w:rsidRPr="001310AD">
              <w:t>73.55%</w:t>
            </w:r>
          </w:p>
        </w:tc>
        <w:tc>
          <w:tcPr>
            <w:tcW w:w="966" w:type="pct"/>
            <w:shd w:val="clear" w:color="auto" w:fill="C6D9F1" w:themeFill="text2" w:themeFillTint="33"/>
          </w:tcPr>
          <w:p w14:paraId="40DA24B7" w14:textId="0A42A24F" w:rsidR="00A11D91" w:rsidRPr="001310AD" w:rsidRDefault="00A11D91" w:rsidP="00A11D91">
            <w:pPr>
              <w:pStyle w:val="Tabletext"/>
              <w:keepNext/>
              <w:jc w:val="center"/>
            </w:pPr>
            <w:r w:rsidRPr="001310AD">
              <w:t>75.42%</w:t>
            </w:r>
          </w:p>
        </w:tc>
        <w:tc>
          <w:tcPr>
            <w:tcW w:w="709" w:type="pct"/>
            <w:vMerge/>
            <w:shd w:val="clear" w:color="auto" w:fill="C6D9F1" w:themeFill="text2" w:themeFillTint="33"/>
          </w:tcPr>
          <w:p w14:paraId="70EB4049" w14:textId="509D869A" w:rsidR="00A11D91" w:rsidRPr="001310AD" w:rsidRDefault="00A11D91" w:rsidP="00A11D91">
            <w:pPr>
              <w:pStyle w:val="Tabletext"/>
              <w:keepNext/>
              <w:jc w:val="center"/>
            </w:pPr>
          </w:p>
        </w:tc>
        <w:tc>
          <w:tcPr>
            <w:tcW w:w="848" w:type="pct"/>
            <w:shd w:val="clear" w:color="auto" w:fill="C6D9F1" w:themeFill="text2" w:themeFillTint="33"/>
          </w:tcPr>
          <w:p w14:paraId="138809FF" w14:textId="77777777" w:rsidR="00A11D91" w:rsidRPr="001310AD" w:rsidRDefault="00A11D91" w:rsidP="00A11D91">
            <w:pPr>
              <w:pStyle w:val="Tabletext"/>
              <w:keepNext/>
              <w:jc w:val="center"/>
            </w:pPr>
            <w:r w:rsidRPr="001310AD">
              <w:t>82.58%</w:t>
            </w:r>
          </w:p>
        </w:tc>
      </w:tr>
      <w:tr w:rsidR="00A11D91" w:rsidRPr="001310AD" w14:paraId="456792B5" w14:textId="71F4924B" w:rsidTr="00037B82">
        <w:tc>
          <w:tcPr>
            <w:tcW w:w="1512" w:type="pct"/>
          </w:tcPr>
          <w:p w14:paraId="4A4AFF13" w14:textId="77777777" w:rsidR="00A11D91" w:rsidRPr="001310AD" w:rsidRDefault="00A11D91" w:rsidP="00A11D91">
            <w:pPr>
              <w:pStyle w:val="Tabletext"/>
              <w:keepNext/>
            </w:pPr>
            <w:r w:rsidRPr="001310AD">
              <w:t>12 months</w:t>
            </w:r>
          </w:p>
        </w:tc>
        <w:tc>
          <w:tcPr>
            <w:tcW w:w="965" w:type="pct"/>
          </w:tcPr>
          <w:p w14:paraId="705C4D5D" w14:textId="62B8D718" w:rsidR="00A11D91" w:rsidRPr="001310AD" w:rsidRDefault="00A11D91" w:rsidP="00A11D91">
            <w:pPr>
              <w:pStyle w:val="Tabletext"/>
              <w:keepNext/>
              <w:jc w:val="center"/>
            </w:pPr>
            <w:r w:rsidRPr="001310AD">
              <w:t>65.70%</w:t>
            </w:r>
          </w:p>
        </w:tc>
        <w:tc>
          <w:tcPr>
            <w:tcW w:w="966" w:type="pct"/>
            <w:shd w:val="clear" w:color="auto" w:fill="C6D9F1" w:themeFill="text2" w:themeFillTint="33"/>
          </w:tcPr>
          <w:p w14:paraId="053091A8" w14:textId="39595C9C" w:rsidR="00A11D91" w:rsidRPr="001310AD" w:rsidRDefault="00A11D91" w:rsidP="00A11D91">
            <w:pPr>
              <w:pStyle w:val="Tabletext"/>
              <w:keepNext/>
              <w:jc w:val="center"/>
            </w:pPr>
            <w:r w:rsidRPr="001310AD">
              <w:t>64.92%</w:t>
            </w:r>
          </w:p>
        </w:tc>
        <w:tc>
          <w:tcPr>
            <w:tcW w:w="709" w:type="pct"/>
            <w:vMerge/>
            <w:shd w:val="clear" w:color="auto" w:fill="C6D9F1" w:themeFill="text2" w:themeFillTint="33"/>
          </w:tcPr>
          <w:p w14:paraId="3A286B52" w14:textId="642E527A" w:rsidR="00A11D91" w:rsidRPr="001310AD" w:rsidRDefault="00A11D91" w:rsidP="00A11D91">
            <w:pPr>
              <w:pStyle w:val="Tabletext"/>
              <w:keepNext/>
              <w:jc w:val="center"/>
            </w:pPr>
          </w:p>
        </w:tc>
        <w:tc>
          <w:tcPr>
            <w:tcW w:w="848" w:type="pct"/>
            <w:shd w:val="clear" w:color="auto" w:fill="C6D9F1" w:themeFill="text2" w:themeFillTint="33"/>
          </w:tcPr>
          <w:p w14:paraId="4E9D359D" w14:textId="77777777" w:rsidR="00A11D91" w:rsidRPr="001310AD" w:rsidRDefault="00A11D91" w:rsidP="00A11D91">
            <w:pPr>
              <w:pStyle w:val="Tabletext"/>
              <w:keepNext/>
              <w:jc w:val="center"/>
            </w:pPr>
            <w:r w:rsidRPr="001310AD">
              <w:t>78.86%</w:t>
            </w:r>
          </w:p>
        </w:tc>
      </w:tr>
      <w:tr w:rsidR="00A11D91" w:rsidRPr="001310AD" w14:paraId="435186B1" w14:textId="773556B6" w:rsidTr="00037B82">
        <w:tc>
          <w:tcPr>
            <w:tcW w:w="1512" w:type="pct"/>
          </w:tcPr>
          <w:p w14:paraId="31740B16" w14:textId="77777777" w:rsidR="00A11D91" w:rsidRPr="001310AD" w:rsidRDefault="00A11D91" w:rsidP="00A11D91">
            <w:pPr>
              <w:pStyle w:val="Tabletext"/>
              <w:keepNext/>
            </w:pPr>
            <w:r w:rsidRPr="001310AD">
              <w:t>18 months</w:t>
            </w:r>
          </w:p>
        </w:tc>
        <w:tc>
          <w:tcPr>
            <w:tcW w:w="965" w:type="pct"/>
          </w:tcPr>
          <w:p w14:paraId="246C27F5" w14:textId="68209161" w:rsidR="00A11D91" w:rsidRPr="001310AD" w:rsidRDefault="00A11D91" w:rsidP="00A11D91">
            <w:pPr>
              <w:pStyle w:val="Tabletext"/>
              <w:keepNext/>
              <w:jc w:val="center"/>
            </w:pPr>
            <w:r w:rsidRPr="001310AD">
              <w:t>58.53%</w:t>
            </w:r>
          </w:p>
        </w:tc>
        <w:tc>
          <w:tcPr>
            <w:tcW w:w="966" w:type="pct"/>
            <w:shd w:val="clear" w:color="auto" w:fill="C6D9F1" w:themeFill="text2" w:themeFillTint="33"/>
          </w:tcPr>
          <w:p w14:paraId="57145C22" w14:textId="34429115" w:rsidR="00A11D91" w:rsidRPr="001310AD" w:rsidRDefault="00A11D91" w:rsidP="00A11D91">
            <w:pPr>
              <w:pStyle w:val="Tabletext"/>
              <w:keepNext/>
              <w:jc w:val="center"/>
            </w:pPr>
            <w:r w:rsidRPr="001310AD">
              <w:t>52.32%</w:t>
            </w:r>
          </w:p>
        </w:tc>
        <w:tc>
          <w:tcPr>
            <w:tcW w:w="709" w:type="pct"/>
            <w:vMerge w:val="restart"/>
            <w:shd w:val="clear" w:color="auto" w:fill="C6D9F1" w:themeFill="text2" w:themeFillTint="33"/>
          </w:tcPr>
          <w:p w14:paraId="4BDA22F5" w14:textId="48283086" w:rsidR="00A11D91" w:rsidRPr="001310AD" w:rsidRDefault="00A11D91" w:rsidP="00A11D91">
            <w:pPr>
              <w:pStyle w:val="Tabletext"/>
              <w:keepNext/>
              <w:jc w:val="center"/>
            </w:pPr>
            <w:r w:rsidRPr="001310AD">
              <w:t>Season 2:</w:t>
            </w:r>
            <w:r w:rsidR="00473B29" w:rsidRPr="001310AD">
              <w:t xml:space="preserve"> 61.4%</w:t>
            </w:r>
          </w:p>
        </w:tc>
        <w:tc>
          <w:tcPr>
            <w:tcW w:w="848" w:type="pct"/>
            <w:shd w:val="clear" w:color="auto" w:fill="C6D9F1" w:themeFill="text2" w:themeFillTint="33"/>
          </w:tcPr>
          <w:p w14:paraId="544C80A6" w14:textId="77777777" w:rsidR="00A11D91" w:rsidRPr="001310AD" w:rsidRDefault="00A11D91" w:rsidP="00A11D91">
            <w:pPr>
              <w:pStyle w:val="Tabletext"/>
              <w:keepNext/>
              <w:jc w:val="center"/>
            </w:pPr>
            <w:r w:rsidRPr="001310AD">
              <w:t>67.18%</w:t>
            </w:r>
            <w:r w:rsidRPr="001310AD">
              <w:rPr>
                <w:vertAlign w:val="superscript"/>
              </w:rPr>
              <w:t xml:space="preserve"> </w:t>
            </w:r>
          </w:p>
        </w:tc>
      </w:tr>
      <w:tr w:rsidR="00A11D91" w:rsidRPr="001310AD" w14:paraId="694A356F" w14:textId="0732F61F" w:rsidTr="002D7328">
        <w:tc>
          <w:tcPr>
            <w:tcW w:w="1512" w:type="pct"/>
          </w:tcPr>
          <w:p w14:paraId="29A90B5F" w14:textId="77777777" w:rsidR="00A11D91" w:rsidRPr="001310AD" w:rsidRDefault="00A11D91" w:rsidP="00A11D91">
            <w:pPr>
              <w:pStyle w:val="Tabletext"/>
              <w:keepNext/>
            </w:pPr>
            <w:r w:rsidRPr="001310AD">
              <w:t>24 months</w:t>
            </w:r>
          </w:p>
        </w:tc>
        <w:tc>
          <w:tcPr>
            <w:tcW w:w="965" w:type="pct"/>
          </w:tcPr>
          <w:p w14:paraId="4D72F95D" w14:textId="44761207" w:rsidR="00A11D91" w:rsidRPr="001310AD" w:rsidRDefault="00A11D91" w:rsidP="00A11D91">
            <w:pPr>
              <w:pStyle w:val="Tabletext"/>
              <w:keepNext/>
              <w:jc w:val="center"/>
            </w:pPr>
            <w:r w:rsidRPr="001310AD">
              <w:t>52.64%</w:t>
            </w:r>
          </w:p>
        </w:tc>
        <w:tc>
          <w:tcPr>
            <w:tcW w:w="966" w:type="pct"/>
            <w:shd w:val="clear" w:color="auto" w:fill="C6D9F1" w:themeFill="text2" w:themeFillTint="33"/>
          </w:tcPr>
          <w:p w14:paraId="6BF87F12" w14:textId="613731D7" w:rsidR="00A11D91" w:rsidRPr="001310AD" w:rsidRDefault="009030DB" w:rsidP="00A11D91">
            <w:pPr>
              <w:pStyle w:val="Tabletext"/>
              <w:keepNext/>
              <w:jc w:val="center"/>
            </w:pPr>
            <w:r w:rsidRPr="001310AD">
              <w:t>39.7</w:t>
            </w:r>
            <w:r w:rsidR="00732EC2" w:rsidRPr="001310AD">
              <w:t>2</w:t>
            </w:r>
            <w:r w:rsidRPr="001310AD">
              <w:t>%</w:t>
            </w:r>
          </w:p>
        </w:tc>
        <w:tc>
          <w:tcPr>
            <w:tcW w:w="709" w:type="pct"/>
            <w:vMerge/>
          </w:tcPr>
          <w:p w14:paraId="5525F189" w14:textId="797ECB39" w:rsidR="00A11D91" w:rsidRPr="001310AD" w:rsidRDefault="00A11D91" w:rsidP="00A11D91">
            <w:pPr>
              <w:pStyle w:val="Tabletext"/>
              <w:keepNext/>
              <w:jc w:val="center"/>
            </w:pPr>
          </w:p>
        </w:tc>
        <w:tc>
          <w:tcPr>
            <w:tcW w:w="848" w:type="pct"/>
            <w:shd w:val="clear" w:color="auto" w:fill="C6D9F1" w:themeFill="text2" w:themeFillTint="33"/>
          </w:tcPr>
          <w:p w14:paraId="4918CAAB" w14:textId="1D800038" w:rsidR="00A11D91" w:rsidRPr="001310AD" w:rsidRDefault="00F8611D" w:rsidP="00A11D91">
            <w:pPr>
              <w:pStyle w:val="Tabletext"/>
              <w:keepNext/>
              <w:jc w:val="center"/>
            </w:pPr>
            <w:r w:rsidRPr="001310AD">
              <w:t>6</w:t>
            </w:r>
            <w:r w:rsidR="005F08DD" w:rsidRPr="001310AD">
              <w:t>7.</w:t>
            </w:r>
            <w:r w:rsidR="00397A86" w:rsidRPr="001310AD">
              <w:t>7</w:t>
            </w:r>
            <w:r w:rsidR="008A231A" w:rsidRPr="001310AD">
              <w:t>%</w:t>
            </w:r>
          </w:p>
        </w:tc>
      </w:tr>
      <w:tr w:rsidR="00473B29" w:rsidRPr="001310AD" w14:paraId="71D70ED0" w14:textId="6C3463F8" w:rsidTr="00037B82">
        <w:tc>
          <w:tcPr>
            <w:tcW w:w="1512" w:type="pct"/>
          </w:tcPr>
          <w:p w14:paraId="5EF0D0CB" w14:textId="77777777" w:rsidR="00473B29" w:rsidRPr="001310AD" w:rsidRDefault="00473B29" w:rsidP="00A11D91">
            <w:pPr>
              <w:pStyle w:val="Tabletext"/>
              <w:keepNext/>
            </w:pPr>
            <w:r w:rsidRPr="001310AD">
              <w:t>30 months</w:t>
            </w:r>
          </w:p>
        </w:tc>
        <w:tc>
          <w:tcPr>
            <w:tcW w:w="965" w:type="pct"/>
          </w:tcPr>
          <w:p w14:paraId="1B3C3580" w14:textId="009E5D94" w:rsidR="00473B29" w:rsidRPr="001310AD" w:rsidRDefault="00473B29" w:rsidP="00A11D91">
            <w:pPr>
              <w:pStyle w:val="Tabletext"/>
              <w:keepNext/>
              <w:jc w:val="center"/>
            </w:pPr>
            <w:r w:rsidRPr="001310AD">
              <w:t>47.55%</w:t>
            </w:r>
          </w:p>
        </w:tc>
        <w:tc>
          <w:tcPr>
            <w:tcW w:w="966" w:type="pct"/>
            <w:shd w:val="clear" w:color="auto" w:fill="C6D9F1" w:themeFill="text2" w:themeFillTint="33"/>
          </w:tcPr>
          <w:p w14:paraId="5D82B39A" w14:textId="5295192B" w:rsidR="00473B29" w:rsidRPr="001310AD" w:rsidRDefault="00D8326A" w:rsidP="00A11D91">
            <w:pPr>
              <w:pStyle w:val="Tabletext"/>
              <w:keepNext/>
              <w:jc w:val="center"/>
            </w:pPr>
            <w:r w:rsidRPr="001310AD">
              <w:t>27.12%</w:t>
            </w:r>
          </w:p>
        </w:tc>
        <w:tc>
          <w:tcPr>
            <w:tcW w:w="709" w:type="pct"/>
            <w:vMerge w:val="restart"/>
          </w:tcPr>
          <w:p w14:paraId="5786E40C" w14:textId="7F40E8AD" w:rsidR="00473B29" w:rsidRPr="001310AD" w:rsidRDefault="00473B29" w:rsidP="00A11D91">
            <w:pPr>
              <w:pStyle w:val="Tabletext"/>
              <w:keepNext/>
              <w:jc w:val="center"/>
            </w:pPr>
            <w:r w:rsidRPr="001310AD">
              <w:t xml:space="preserve">Season 3: </w:t>
            </w:r>
            <w:r w:rsidR="00787B52" w:rsidRPr="001310AD">
              <w:t>47.2</w:t>
            </w:r>
            <w:r w:rsidR="00423A71" w:rsidRPr="001310AD">
              <w:t>%</w:t>
            </w:r>
          </w:p>
        </w:tc>
        <w:tc>
          <w:tcPr>
            <w:tcW w:w="848" w:type="pct"/>
          </w:tcPr>
          <w:p w14:paraId="30EC1216" w14:textId="3CF362A2" w:rsidR="00473B29" w:rsidRPr="001310AD" w:rsidRDefault="00A533A6" w:rsidP="00A11D91">
            <w:pPr>
              <w:pStyle w:val="Tabletext"/>
              <w:keepNext/>
              <w:jc w:val="center"/>
            </w:pPr>
            <w:r w:rsidRPr="001310AD">
              <w:t>62.</w:t>
            </w:r>
            <w:r w:rsidR="00B73BC5" w:rsidRPr="001310AD">
              <w:t>9%</w:t>
            </w:r>
          </w:p>
        </w:tc>
      </w:tr>
      <w:tr w:rsidR="00473B29" w:rsidRPr="001310AD" w14:paraId="131DBA2A" w14:textId="77777777" w:rsidTr="00037B82">
        <w:tc>
          <w:tcPr>
            <w:tcW w:w="1512" w:type="pct"/>
          </w:tcPr>
          <w:p w14:paraId="4F74D1B5" w14:textId="31E8C252" w:rsidR="00473B29" w:rsidRPr="001310AD" w:rsidRDefault="00473B29" w:rsidP="00A11D91">
            <w:pPr>
              <w:pStyle w:val="Tabletext"/>
              <w:keepNext/>
            </w:pPr>
            <w:r w:rsidRPr="001310AD">
              <w:t>36 months</w:t>
            </w:r>
          </w:p>
        </w:tc>
        <w:tc>
          <w:tcPr>
            <w:tcW w:w="965" w:type="pct"/>
          </w:tcPr>
          <w:p w14:paraId="4F9DF0DC" w14:textId="52A95706" w:rsidR="00473B29" w:rsidRPr="001310AD" w:rsidRDefault="00C775B0" w:rsidP="00A11D91">
            <w:pPr>
              <w:pStyle w:val="Tabletext"/>
              <w:keepNext/>
              <w:jc w:val="center"/>
            </w:pPr>
            <w:r w:rsidRPr="001310AD">
              <w:t>43.00</w:t>
            </w:r>
            <w:r w:rsidR="001D5028" w:rsidRPr="001310AD">
              <w:t>%</w:t>
            </w:r>
          </w:p>
        </w:tc>
        <w:tc>
          <w:tcPr>
            <w:tcW w:w="966" w:type="pct"/>
            <w:shd w:val="clear" w:color="auto" w:fill="C6D9F1" w:themeFill="text2" w:themeFillTint="33"/>
          </w:tcPr>
          <w:p w14:paraId="792DF52B" w14:textId="22106A09" w:rsidR="00473B29" w:rsidRPr="001310AD" w:rsidRDefault="002E13D0" w:rsidP="00A11D91">
            <w:pPr>
              <w:pStyle w:val="Tabletext"/>
              <w:keepNext/>
              <w:jc w:val="center"/>
            </w:pPr>
            <w:r w:rsidRPr="001310AD">
              <w:t>14.5</w:t>
            </w:r>
            <w:r w:rsidR="00950A29" w:rsidRPr="001310AD">
              <w:t>2</w:t>
            </w:r>
            <w:r w:rsidRPr="001310AD">
              <w:t>%</w:t>
            </w:r>
          </w:p>
        </w:tc>
        <w:tc>
          <w:tcPr>
            <w:tcW w:w="709" w:type="pct"/>
            <w:vMerge/>
          </w:tcPr>
          <w:p w14:paraId="73237D3C" w14:textId="77777777" w:rsidR="00473B29" w:rsidRPr="001310AD" w:rsidRDefault="00473B29" w:rsidP="00A11D91">
            <w:pPr>
              <w:pStyle w:val="Tabletext"/>
              <w:keepNext/>
              <w:jc w:val="center"/>
            </w:pPr>
          </w:p>
        </w:tc>
        <w:tc>
          <w:tcPr>
            <w:tcW w:w="848" w:type="pct"/>
          </w:tcPr>
          <w:p w14:paraId="33886880" w14:textId="71C391F5" w:rsidR="00473B29" w:rsidRPr="001310AD" w:rsidRDefault="00CB6351" w:rsidP="00A11D91">
            <w:pPr>
              <w:pStyle w:val="Tabletext"/>
              <w:keepNext/>
              <w:jc w:val="center"/>
            </w:pPr>
            <w:r w:rsidRPr="001310AD">
              <w:t>NA</w:t>
            </w:r>
          </w:p>
        </w:tc>
      </w:tr>
      <w:tr w:rsidR="00A11D91" w:rsidRPr="001310AD" w14:paraId="15B901DB" w14:textId="2900ED0B" w:rsidTr="00037B82">
        <w:tc>
          <w:tcPr>
            <w:tcW w:w="1512" w:type="pct"/>
          </w:tcPr>
          <w:p w14:paraId="6260261D" w14:textId="77777777" w:rsidR="00A11D91" w:rsidRPr="001310AD" w:rsidRDefault="00A11D91" w:rsidP="00A11D91">
            <w:pPr>
              <w:pStyle w:val="Tabletext"/>
              <w:keepNext/>
            </w:pPr>
            <w:r w:rsidRPr="001310AD">
              <w:rPr>
                <w:b/>
                <w:bCs/>
              </w:rPr>
              <w:t>RSV-ARI</w:t>
            </w:r>
          </w:p>
        </w:tc>
        <w:tc>
          <w:tcPr>
            <w:tcW w:w="965" w:type="pct"/>
          </w:tcPr>
          <w:p w14:paraId="6853AA5F" w14:textId="77777777" w:rsidR="00A11D91" w:rsidRPr="001310AD" w:rsidRDefault="00A11D91" w:rsidP="00A11D91">
            <w:pPr>
              <w:pStyle w:val="Tabletext"/>
              <w:keepNext/>
            </w:pPr>
          </w:p>
        </w:tc>
        <w:tc>
          <w:tcPr>
            <w:tcW w:w="966" w:type="pct"/>
          </w:tcPr>
          <w:p w14:paraId="4F81558E" w14:textId="202C8E16" w:rsidR="00A11D91" w:rsidRPr="001310AD" w:rsidRDefault="00A11D91" w:rsidP="00A11D91">
            <w:pPr>
              <w:pStyle w:val="Tabletext"/>
              <w:keepNext/>
            </w:pPr>
          </w:p>
        </w:tc>
        <w:tc>
          <w:tcPr>
            <w:tcW w:w="709" w:type="pct"/>
          </w:tcPr>
          <w:p w14:paraId="01EF8FB2" w14:textId="0B6F7FAA" w:rsidR="00A11D91" w:rsidRPr="001310AD" w:rsidRDefault="00A11D91" w:rsidP="00A11D91">
            <w:pPr>
              <w:pStyle w:val="Tabletext"/>
              <w:keepNext/>
            </w:pPr>
          </w:p>
        </w:tc>
        <w:tc>
          <w:tcPr>
            <w:tcW w:w="848" w:type="pct"/>
          </w:tcPr>
          <w:p w14:paraId="23927BB1" w14:textId="77777777" w:rsidR="00A11D91" w:rsidRPr="001310AD" w:rsidRDefault="00A11D91" w:rsidP="00A11D91">
            <w:pPr>
              <w:pStyle w:val="Tabletext"/>
              <w:keepNext/>
            </w:pPr>
          </w:p>
        </w:tc>
      </w:tr>
      <w:tr w:rsidR="00A11D91" w:rsidRPr="001310AD" w14:paraId="2AB24E2B" w14:textId="056E43A9" w:rsidTr="00037B82">
        <w:tc>
          <w:tcPr>
            <w:tcW w:w="1512" w:type="pct"/>
          </w:tcPr>
          <w:p w14:paraId="7588DD63" w14:textId="77777777" w:rsidR="00A11D91" w:rsidRPr="001310AD" w:rsidRDefault="00A11D91" w:rsidP="00A11D91">
            <w:pPr>
              <w:pStyle w:val="Tabletext"/>
              <w:keepNext/>
            </w:pPr>
            <w:r w:rsidRPr="001310AD">
              <w:t>Peak VE RSV-ARI (30 days)</w:t>
            </w:r>
            <w:r w:rsidRPr="001310AD">
              <w:rPr>
                <w:vertAlign w:val="superscript"/>
              </w:rPr>
              <w:t>a</w:t>
            </w:r>
          </w:p>
        </w:tc>
        <w:tc>
          <w:tcPr>
            <w:tcW w:w="965" w:type="pct"/>
          </w:tcPr>
          <w:p w14:paraId="51FF559E" w14:textId="5678B1BC" w:rsidR="00A11D91" w:rsidRPr="001310AD" w:rsidRDefault="00A11D91" w:rsidP="00A11D91">
            <w:pPr>
              <w:pStyle w:val="Tabletext"/>
              <w:keepNext/>
              <w:jc w:val="center"/>
              <w:rPr>
                <w:rFonts w:cs="Calibri"/>
                <w:color w:val="000000"/>
                <w:szCs w:val="20"/>
              </w:rPr>
            </w:pPr>
            <w:r w:rsidRPr="001310AD">
              <w:rPr>
                <w:rFonts w:cs="Calibri"/>
                <w:color w:val="000000"/>
                <w:szCs w:val="20"/>
              </w:rPr>
              <w:t>75.48</w:t>
            </w:r>
            <w:r w:rsidRPr="001310AD">
              <w:t>%</w:t>
            </w:r>
          </w:p>
        </w:tc>
        <w:tc>
          <w:tcPr>
            <w:tcW w:w="966" w:type="pct"/>
            <w:shd w:val="clear" w:color="auto" w:fill="C6D9F1" w:themeFill="text2" w:themeFillTint="33"/>
          </w:tcPr>
          <w:p w14:paraId="2C4AAEE2" w14:textId="3256F482" w:rsidR="00A11D91" w:rsidRPr="001310AD" w:rsidRDefault="00A11D91" w:rsidP="00A11D91">
            <w:pPr>
              <w:pStyle w:val="Tabletext"/>
              <w:keepNext/>
              <w:jc w:val="center"/>
            </w:pPr>
            <w:r w:rsidRPr="001310AD">
              <w:t>74.17%</w:t>
            </w:r>
          </w:p>
        </w:tc>
        <w:tc>
          <w:tcPr>
            <w:tcW w:w="709" w:type="pct"/>
            <w:vMerge w:val="restart"/>
            <w:shd w:val="clear" w:color="auto" w:fill="C6D9F1" w:themeFill="text2" w:themeFillTint="33"/>
          </w:tcPr>
          <w:p w14:paraId="1EA20CF6" w14:textId="6F50B0BD" w:rsidR="00A11D91" w:rsidRPr="001310AD" w:rsidRDefault="00A11D91" w:rsidP="00A11D91">
            <w:pPr>
              <w:pStyle w:val="Tabletext"/>
              <w:keepNext/>
              <w:jc w:val="center"/>
            </w:pPr>
            <w:r w:rsidRPr="001310AD">
              <w:t xml:space="preserve">Season 1: </w:t>
            </w:r>
            <w:r w:rsidR="00AF6057" w:rsidRPr="001310AD">
              <w:t xml:space="preserve"> </w:t>
            </w:r>
            <w:r w:rsidR="004D36C6" w:rsidRPr="001310AD">
              <w:t>65.7%</w:t>
            </w:r>
          </w:p>
        </w:tc>
        <w:tc>
          <w:tcPr>
            <w:tcW w:w="848" w:type="pct"/>
            <w:shd w:val="clear" w:color="auto" w:fill="C6D9F1" w:themeFill="text2" w:themeFillTint="33"/>
          </w:tcPr>
          <w:p w14:paraId="7226503B" w14:textId="77777777" w:rsidR="00A11D91" w:rsidRPr="001310AD" w:rsidRDefault="00A11D91" w:rsidP="00A11D91">
            <w:pPr>
              <w:pStyle w:val="Tabletext"/>
              <w:keepNext/>
              <w:jc w:val="center"/>
            </w:pPr>
            <w:r w:rsidRPr="001310AD">
              <w:t>NR</w:t>
            </w:r>
          </w:p>
        </w:tc>
      </w:tr>
      <w:tr w:rsidR="00A11D91" w:rsidRPr="001310AD" w14:paraId="6DB25D1C" w14:textId="3CEE04F7" w:rsidTr="00037B82">
        <w:tc>
          <w:tcPr>
            <w:tcW w:w="1512" w:type="pct"/>
          </w:tcPr>
          <w:p w14:paraId="156D9F37" w14:textId="77777777" w:rsidR="00A11D91" w:rsidRPr="001310AD" w:rsidRDefault="00A11D91" w:rsidP="00A11D91">
            <w:pPr>
              <w:pStyle w:val="Tabletext"/>
              <w:keepNext/>
            </w:pPr>
            <w:r w:rsidRPr="001310AD">
              <w:t>7 months</w:t>
            </w:r>
          </w:p>
        </w:tc>
        <w:tc>
          <w:tcPr>
            <w:tcW w:w="965" w:type="pct"/>
          </w:tcPr>
          <w:p w14:paraId="7A31F4F7" w14:textId="6F475143" w:rsidR="00A11D91" w:rsidRPr="001310AD" w:rsidRDefault="00A11D91" w:rsidP="00A11D91">
            <w:pPr>
              <w:pStyle w:val="Tabletext"/>
              <w:keepNext/>
              <w:jc w:val="center"/>
              <w:rPr>
                <w:rFonts w:cs="Calibri"/>
                <w:color w:val="000000"/>
                <w:szCs w:val="20"/>
              </w:rPr>
            </w:pPr>
            <w:r w:rsidRPr="001310AD">
              <w:rPr>
                <w:rFonts w:cs="Calibri"/>
                <w:color w:val="000000"/>
                <w:szCs w:val="20"/>
              </w:rPr>
              <w:t>60.06</w:t>
            </w:r>
            <w:r w:rsidRPr="001310AD">
              <w:t>%</w:t>
            </w:r>
          </w:p>
        </w:tc>
        <w:tc>
          <w:tcPr>
            <w:tcW w:w="966" w:type="pct"/>
            <w:shd w:val="clear" w:color="auto" w:fill="C6D9F1" w:themeFill="text2" w:themeFillTint="33"/>
          </w:tcPr>
          <w:p w14:paraId="74B095CD" w14:textId="4CEEE8E1" w:rsidR="00A11D91" w:rsidRPr="001310AD" w:rsidRDefault="00A11D91" w:rsidP="00A11D91">
            <w:pPr>
              <w:pStyle w:val="Tabletext"/>
              <w:keepNext/>
              <w:jc w:val="center"/>
            </w:pPr>
            <w:r w:rsidRPr="001310AD">
              <w:t>61.61%</w:t>
            </w:r>
          </w:p>
        </w:tc>
        <w:tc>
          <w:tcPr>
            <w:tcW w:w="709" w:type="pct"/>
            <w:vMerge/>
            <w:shd w:val="clear" w:color="auto" w:fill="C6D9F1" w:themeFill="text2" w:themeFillTint="33"/>
          </w:tcPr>
          <w:p w14:paraId="2981C16C" w14:textId="6A32B56D" w:rsidR="00A11D91" w:rsidRPr="001310AD" w:rsidRDefault="00A11D91" w:rsidP="00A11D91">
            <w:pPr>
              <w:pStyle w:val="Tabletext"/>
              <w:keepNext/>
              <w:jc w:val="center"/>
            </w:pPr>
          </w:p>
        </w:tc>
        <w:tc>
          <w:tcPr>
            <w:tcW w:w="848" w:type="pct"/>
            <w:shd w:val="clear" w:color="auto" w:fill="C6D9F1" w:themeFill="text2" w:themeFillTint="33"/>
          </w:tcPr>
          <w:p w14:paraId="1241523F" w14:textId="77777777" w:rsidR="00A11D91" w:rsidRPr="001310AD" w:rsidRDefault="00A11D91" w:rsidP="00A11D91">
            <w:pPr>
              <w:pStyle w:val="Tabletext"/>
              <w:keepNext/>
              <w:jc w:val="center"/>
            </w:pPr>
            <w:r w:rsidRPr="001310AD">
              <w:t>71.71%</w:t>
            </w:r>
          </w:p>
        </w:tc>
      </w:tr>
      <w:tr w:rsidR="00A11D91" w:rsidRPr="001310AD" w14:paraId="5CFFD523" w14:textId="188D90C8" w:rsidTr="00037B82">
        <w:tc>
          <w:tcPr>
            <w:tcW w:w="1512" w:type="pct"/>
          </w:tcPr>
          <w:p w14:paraId="6EAAFFCB" w14:textId="77777777" w:rsidR="00A11D91" w:rsidRPr="001310AD" w:rsidRDefault="00A11D91" w:rsidP="00A11D91">
            <w:pPr>
              <w:pStyle w:val="Tabletext"/>
              <w:keepNext/>
            </w:pPr>
            <w:r w:rsidRPr="001310AD">
              <w:t>12 months</w:t>
            </w:r>
          </w:p>
        </w:tc>
        <w:tc>
          <w:tcPr>
            <w:tcW w:w="965" w:type="pct"/>
          </w:tcPr>
          <w:p w14:paraId="2D71A529" w14:textId="1E056616" w:rsidR="00A11D91" w:rsidRPr="001310AD" w:rsidRDefault="00A11D91" w:rsidP="00A11D91">
            <w:pPr>
              <w:pStyle w:val="Tabletext"/>
              <w:keepNext/>
              <w:jc w:val="center"/>
              <w:rPr>
                <w:rFonts w:cs="Calibri"/>
                <w:color w:val="000000"/>
                <w:szCs w:val="20"/>
              </w:rPr>
            </w:pPr>
            <w:r w:rsidRPr="001310AD">
              <w:rPr>
                <w:rFonts w:cs="Calibri"/>
                <w:color w:val="000000"/>
                <w:szCs w:val="20"/>
              </w:rPr>
              <w:t>52.09</w:t>
            </w:r>
            <w:r w:rsidRPr="001310AD">
              <w:t>%</w:t>
            </w:r>
          </w:p>
        </w:tc>
        <w:tc>
          <w:tcPr>
            <w:tcW w:w="966" w:type="pct"/>
            <w:shd w:val="clear" w:color="auto" w:fill="C6D9F1" w:themeFill="text2" w:themeFillTint="33"/>
          </w:tcPr>
          <w:p w14:paraId="6188E899" w14:textId="0468EEC9" w:rsidR="00A11D91" w:rsidRPr="001310AD" w:rsidRDefault="00A11D91" w:rsidP="00A11D91">
            <w:pPr>
              <w:pStyle w:val="Tabletext"/>
              <w:keepNext/>
              <w:jc w:val="center"/>
            </w:pPr>
            <w:r w:rsidRPr="001310AD">
              <w:t>49.31%</w:t>
            </w:r>
          </w:p>
        </w:tc>
        <w:tc>
          <w:tcPr>
            <w:tcW w:w="709" w:type="pct"/>
            <w:vMerge/>
            <w:shd w:val="clear" w:color="auto" w:fill="C6D9F1" w:themeFill="text2" w:themeFillTint="33"/>
          </w:tcPr>
          <w:p w14:paraId="3123FC11" w14:textId="23C0FF91" w:rsidR="00A11D91" w:rsidRPr="001310AD" w:rsidRDefault="00A11D91" w:rsidP="00A11D91">
            <w:pPr>
              <w:pStyle w:val="Tabletext"/>
              <w:keepNext/>
              <w:jc w:val="center"/>
            </w:pPr>
          </w:p>
        </w:tc>
        <w:tc>
          <w:tcPr>
            <w:tcW w:w="848" w:type="pct"/>
            <w:shd w:val="clear" w:color="auto" w:fill="C6D9F1" w:themeFill="text2" w:themeFillTint="33"/>
          </w:tcPr>
          <w:p w14:paraId="09F7FED5" w14:textId="77777777" w:rsidR="00A11D91" w:rsidRPr="001310AD" w:rsidRDefault="00A11D91" w:rsidP="00A11D91">
            <w:pPr>
              <w:pStyle w:val="Tabletext"/>
              <w:keepNext/>
              <w:jc w:val="center"/>
            </w:pPr>
            <w:r w:rsidRPr="001310AD">
              <w:t>64.20%</w:t>
            </w:r>
          </w:p>
        </w:tc>
      </w:tr>
      <w:tr w:rsidR="00A11D91" w:rsidRPr="001310AD" w14:paraId="31736ADD" w14:textId="5D167F00" w:rsidTr="00037B82">
        <w:tc>
          <w:tcPr>
            <w:tcW w:w="1512" w:type="pct"/>
          </w:tcPr>
          <w:p w14:paraId="5DA0974D" w14:textId="77777777" w:rsidR="00A11D91" w:rsidRPr="001310AD" w:rsidRDefault="00A11D91" w:rsidP="00A11D91">
            <w:pPr>
              <w:pStyle w:val="Tabletext"/>
              <w:keepNext/>
            </w:pPr>
            <w:r w:rsidRPr="001310AD">
              <w:t>18 months</w:t>
            </w:r>
          </w:p>
        </w:tc>
        <w:tc>
          <w:tcPr>
            <w:tcW w:w="965" w:type="pct"/>
          </w:tcPr>
          <w:p w14:paraId="1123551D" w14:textId="502A1F73" w:rsidR="00A11D91" w:rsidRPr="001310AD" w:rsidRDefault="00A11D91" w:rsidP="00A11D91">
            <w:pPr>
              <w:pStyle w:val="Tabletext"/>
              <w:keepNext/>
              <w:jc w:val="center"/>
              <w:rPr>
                <w:rFonts w:cs="Calibri"/>
                <w:color w:val="000000"/>
                <w:szCs w:val="20"/>
              </w:rPr>
            </w:pPr>
            <w:r w:rsidRPr="001310AD">
              <w:rPr>
                <w:rFonts w:cs="Calibri"/>
                <w:color w:val="000000"/>
                <w:szCs w:val="20"/>
              </w:rPr>
              <w:t>45.29</w:t>
            </w:r>
            <w:r w:rsidRPr="001310AD">
              <w:t>%</w:t>
            </w:r>
          </w:p>
        </w:tc>
        <w:tc>
          <w:tcPr>
            <w:tcW w:w="966" w:type="pct"/>
            <w:shd w:val="clear" w:color="auto" w:fill="C6D9F1" w:themeFill="text2" w:themeFillTint="33"/>
          </w:tcPr>
          <w:p w14:paraId="2A92EBF5" w14:textId="489D4FD7" w:rsidR="00A11D91" w:rsidRPr="001310AD" w:rsidRDefault="00A11D91" w:rsidP="00A11D91">
            <w:pPr>
              <w:pStyle w:val="Tabletext"/>
              <w:keepNext/>
              <w:jc w:val="center"/>
            </w:pPr>
            <w:r w:rsidRPr="001310AD">
              <w:t>35.75%</w:t>
            </w:r>
          </w:p>
        </w:tc>
        <w:tc>
          <w:tcPr>
            <w:tcW w:w="709" w:type="pct"/>
            <w:vMerge w:val="restart"/>
            <w:shd w:val="clear" w:color="auto" w:fill="C6D9F1" w:themeFill="text2" w:themeFillTint="33"/>
          </w:tcPr>
          <w:p w14:paraId="74D93AEA" w14:textId="7DF2A297" w:rsidR="00A11D91" w:rsidRPr="001310AD" w:rsidRDefault="00A11D91" w:rsidP="00A11D91">
            <w:pPr>
              <w:pStyle w:val="Tabletext"/>
              <w:keepNext/>
              <w:jc w:val="center"/>
              <w:rPr>
                <w:vertAlign w:val="superscript"/>
              </w:rPr>
            </w:pPr>
            <w:r w:rsidRPr="001310AD">
              <w:t>Season 2:</w:t>
            </w:r>
            <w:r w:rsidR="00432446" w:rsidRPr="001310AD">
              <w:t xml:space="preserve"> 41.9%</w:t>
            </w:r>
          </w:p>
        </w:tc>
        <w:tc>
          <w:tcPr>
            <w:tcW w:w="848" w:type="pct"/>
            <w:shd w:val="clear" w:color="auto" w:fill="C6D9F1" w:themeFill="text2" w:themeFillTint="33"/>
          </w:tcPr>
          <w:p w14:paraId="431319B0" w14:textId="77777777" w:rsidR="00A11D91" w:rsidRPr="001310AD" w:rsidRDefault="00A11D91" w:rsidP="00A11D91">
            <w:pPr>
              <w:pStyle w:val="Tabletext"/>
              <w:keepNext/>
              <w:jc w:val="center"/>
            </w:pPr>
            <w:r w:rsidRPr="001310AD">
              <w:t>52.74%</w:t>
            </w:r>
          </w:p>
        </w:tc>
      </w:tr>
      <w:tr w:rsidR="00A11D91" w:rsidRPr="001310AD" w14:paraId="4E8746CC" w14:textId="18973926" w:rsidTr="00037B82">
        <w:tc>
          <w:tcPr>
            <w:tcW w:w="1512" w:type="pct"/>
          </w:tcPr>
          <w:p w14:paraId="33D75B41" w14:textId="77777777" w:rsidR="00A11D91" w:rsidRPr="001310AD" w:rsidRDefault="00A11D91" w:rsidP="00A11D91">
            <w:pPr>
              <w:pStyle w:val="Tabletext"/>
              <w:keepNext/>
            </w:pPr>
            <w:r w:rsidRPr="001310AD">
              <w:t>24 months</w:t>
            </w:r>
          </w:p>
        </w:tc>
        <w:tc>
          <w:tcPr>
            <w:tcW w:w="965" w:type="pct"/>
          </w:tcPr>
          <w:p w14:paraId="649E592C" w14:textId="7B056739" w:rsidR="00A11D91" w:rsidRPr="001310AD" w:rsidRDefault="00A11D91" w:rsidP="00A11D91">
            <w:pPr>
              <w:pStyle w:val="Tabletext"/>
              <w:keepNext/>
              <w:jc w:val="center"/>
              <w:rPr>
                <w:rFonts w:cs="Calibri"/>
                <w:color w:val="000000"/>
                <w:szCs w:val="20"/>
              </w:rPr>
            </w:pPr>
            <w:r w:rsidRPr="001310AD">
              <w:rPr>
                <w:rFonts w:cs="Calibri"/>
                <w:color w:val="000000"/>
                <w:szCs w:val="20"/>
              </w:rPr>
              <w:t>39.96</w:t>
            </w:r>
            <w:r w:rsidRPr="001310AD">
              <w:t>%</w:t>
            </w:r>
          </w:p>
        </w:tc>
        <w:tc>
          <w:tcPr>
            <w:tcW w:w="966" w:type="pct"/>
            <w:shd w:val="clear" w:color="auto" w:fill="C6D9F1" w:themeFill="text2" w:themeFillTint="33"/>
          </w:tcPr>
          <w:p w14:paraId="543E9409" w14:textId="68CDEEBC" w:rsidR="00A11D91" w:rsidRPr="001310AD" w:rsidRDefault="00102E13" w:rsidP="00A11D91">
            <w:pPr>
              <w:pStyle w:val="Tabletext"/>
              <w:keepNext/>
              <w:jc w:val="center"/>
            </w:pPr>
            <w:r w:rsidRPr="001310AD">
              <w:t>22.</w:t>
            </w:r>
            <w:r w:rsidR="002212B8" w:rsidRPr="001310AD">
              <w:t>19</w:t>
            </w:r>
            <w:r w:rsidRPr="001310AD">
              <w:t>%</w:t>
            </w:r>
          </w:p>
        </w:tc>
        <w:tc>
          <w:tcPr>
            <w:tcW w:w="709" w:type="pct"/>
            <w:vMerge/>
          </w:tcPr>
          <w:p w14:paraId="67D4A494" w14:textId="1BA7E5AE" w:rsidR="00A11D91" w:rsidRPr="001310AD" w:rsidRDefault="00A11D91" w:rsidP="00A11D91">
            <w:pPr>
              <w:pStyle w:val="Tabletext"/>
              <w:keepNext/>
              <w:jc w:val="center"/>
            </w:pPr>
          </w:p>
        </w:tc>
        <w:tc>
          <w:tcPr>
            <w:tcW w:w="848" w:type="pct"/>
          </w:tcPr>
          <w:p w14:paraId="7C7828AA" w14:textId="3F4C7E89" w:rsidR="00A11D91" w:rsidRPr="001310AD" w:rsidRDefault="00784E9D" w:rsidP="00A11D91">
            <w:pPr>
              <w:pStyle w:val="Tabletext"/>
              <w:keepNext/>
              <w:jc w:val="center"/>
            </w:pPr>
            <w:r w:rsidRPr="001310AD">
              <w:t>NR</w:t>
            </w:r>
          </w:p>
        </w:tc>
      </w:tr>
      <w:tr w:rsidR="0074327C" w:rsidRPr="001310AD" w14:paraId="307AE282" w14:textId="0AFE7775" w:rsidTr="00037B82">
        <w:tc>
          <w:tcPr>
            <w:tcW w:w="1512" w:type="pct"/>
          </w:tcPr>
          <w:p w14:paraId="36B3D72D" w14:textId="77777777" w:rsidR="0074327C" w:rsidRPr="001310AD" w:rsidRDefault="0074327C" w:rsidP="00A11D91">
            <w:pPr>
              <w:pStyle w:val="Tabletext"/>
              <w:keepNext/>
            </w:pPr>
            <w:r w:rsidRPr="001310AD">
              <w:t>30 months</w:t>
            </w:r>
          </w:p>
        </w:tc>
        <w:tc>
          <w:tcPr>
            <w:tcW w:w="965" w:type="pct"/>
          </w:tcPr>
          <w:p w14:paraId="66577EBC" w14:textId="1955FDDB" w:rsidR="0074327C" w:rsidRPr="001310AD" w:rsidRDefault="0074327C" w:rsidP="00A11D91">
            <w:pPr>
              <w:pStyle w:val="Tabletext"/>
              <w:keepNext/>
              <w:jc w:val="center"/>
              <w:rPr>
                <w:rFonts w:cs="Calibri"/>
                <w:color w:val="000000"/>
                <w:szCs w:val="20"/>
              </w:rPr>
            </w:pPr>
            <w:r w:rsidRPr="001310AD">
              <w:rPr>
                <w:rFonts w:cs="Calibri"/>
                <w:color w:val="000000"/>
                <w:szCs w:val="20"/>
              </w:rPr>
              <w:t>35.51</w:t>
            </w:r>
            <w:r w:rsidRPr="001310AD">
              <w:t>%</w:t>
            </w:r>
          </w:p>
        </w:tc>
        <w:tc>
          <w:tcPr>
            <w:tcW w:w="966" w:type="pct"/>
            <w:shd w:val="clear" w:color="auto" w:fill="C6D9F1" w:themeFill="text2" w:themeFillTint="33"/>
          </w:tcPr>
          <w:p w14:paraId="3E44902E" w14:textId="749F183F" w:rsidR="0074327C" w:rsidRPr="001310AD" w:rsidRDefault="00026C4C" w:rsidP="00A11D91">
            <w:pPr>
              <w:pStyle w:val="Tabletext"/>
              <w:keepNext/>
              <w:jc w:val="center"/>
            </w:pPr>
            <w:r w:rsidRPr="001310AD">
              <w:t>8.63%</w:t>
            </w:r>
          </w:p>
        </w:tc>
        <w:tc>
          <w:tcPr>
            <w:tcW w:w="709" w:type="pct"/>
            <w:vMerge w:val="restart"/>
          </w:tcPr>
          <w:p w14:paraId="2C52B5BC" w14:textId="1DBFE0F7" w:rsidR="0074327C" w:rsidRPr="001310AD" w:rsidRDefault="0074327C" w:rsidP="00A11D91">
            <w:pPr>
              <w:pStyle w:val="Tabletext"/>
              <w:keepNext/>
              <w:jc w:val="center"/>
            </w:pPr>
            <w:r w:rsidRPr="001310AD">
              <w:t>Season 3: 46</w:t>
            </w:r>
            <w:r w:rsidR="00A347CD" w:rsidRPr="001310AD">
              <w:t>.4</w:t>
            </w:r>
            <w:r w:rsidR="00EC2CC1" w:rsidRPr="001310AD">
              <w:t>%</w:t>
            </w:r>
          </w:p>
        </w:tc>
        <w:tc>
          <w:tcPr>
            <w:tcW w:w="848" w:type="pct"/>
          </w:tcPr>
          <w:p w14:paraId="5F396778" w14:textId="167217DC" w:rsidR="0074327C" w:rsidRPr="001310AD" w:rsidRDefault="00784E9D" w:rsidP="00A11D91">
            <w:pPr>
              <w:pStyle w:val="Tabletext"/>
              <w:keepNext/>
              <w:jc w:val="center"/>
            </w:pPr>
            <w:r w:rsidRPr="001310AD">
              <w:t>51.1</w:t>
            </w:r>
            <w:r w:rsidR="002F4E87" w:rsidRPr="001310AD">
              <w:t>%</w:t>
            </w:r>
          </w:p>
        </w:tc>
      </w:tr>
      <w:tr w:rsidR="0074327C" w:rsidRPr="001310AD" w14:paraId="7126EB17" w14:textId="77777777" w:rsidTr="00037B82">
        <w:tc>
          <w:tcPr>
            <w:tcW w:w="1512" w:type="pct"/>
          </w:tcPr>
          <w:p w14:paraId="5E9AEB77" w14:textId="2B04BE9E" w:rsidR="0074327C" w:rsidRPr="001310AD" w:rsidRDefault="0074327C" w:rsidP="00A11D91">
            <w:pPr>
              <w:pStyle w:val="Tabletext"/>
              <w:keepNext/>
            </w:pPr>
            <w:r w:rsidRPr="001310AD">
              <w:t>36 months</w:t>
            </w:r>
          </w:p>
        </w:tc>
        <w:tc>
          <w:tcPr>
            <w:tcW w:w="965" w:type="pct"/>
          </w:tcPr>
          <w:p w14:paraId="78480ED1" w14:textId="2CB38AE8" w:rsidR="0074327C" w:rsidRPr="001310AD" w:rsidRDefault="00AF371D" w:rsidP="00A11D91">
            <w:pPr>
              <w:pStyle w:val="Tabletext"/>
              <w:keepNext/>
              <w:jc w:val="center"/>
              <w:rPr>
                <w:rFonts w:cs="Calibri"/>
                <w:color w:val="000000"/>
                <w:szCs w:val="20"/>
              </w:rPr>
            </w:pPr>
            <w:r w:rsidRPr="001310AD">
              <w:rPr>
                <w:rFonts w:cs="Calibri"/>
                <w:color w:val="000000"/>
                <w:szCs w:val="20"/>
              </w:rPr>
              <w:t>31.65</w:t>
            </w:r>
            <w:r w:rsidR="006407A3" w:rsidRPr="001310AD">
              <w:rPr>
                <w:rFonts w:cs="Calibri"/>
                <w:color w:val="000000"/>
                <w:szCs w:val="20"/>
              </w:rPr>
              <w:t>%</w:t>
            </w:r>
          </w:p>
        </w:tc>
        <w:tc>
          <w:tcPr>
            <w:tcW w:w="966" w:type="pct"/>
            <w:shd w:val="clear" w:color="auto" w:fill="C6D9F1" w:themeFill="text2" w:themeFillTint="33"/>
          </w:tcPr>
          <w:p w14:paraId="7F6D6FEB" w14:textId="3E737C13" w:rsidR="0074327C" w:rsidRPr="001310AD" w:rsidRDefault="006D20AF" w:rsidP="00A11D91">
            <w:pPr>
              <w:pStyle w:val="Tabletext"/>
              <w:keepNext/>
              <w:jc w:val="center"/>
            </w:pPr>
            <w:r w:rsidRPr="001310AD">
              <w:t>0</w:t>
            </w:r>
            <w:r w:rsidR="00026C4C" w:rsidRPr="001310AD">
              <w:t>.00</w:t>
            </w:r>
            <w:r w:rsidR="00B45062" w:rsidRPr="001310AD">
              <w:t>%</w:t>
            </w:r>
          </w:p>
        </w:tc>
        <w:tc>
          <w:tcPr>
            <w:tcW w:w="709" w:type="pct"/>
            <w:vMerge/>
          </w:tcPr>
          <w:p w14:paraId="246B7E4A" w14:textId="77777777" w:rsidR="0074327C" w:rsidRPr="001310AD" w:rsidRDefault="0074327C" w:rsidP="00A11D91">
            <w:pPr>
              <w:pStyle w:val="Tabletext"/>
              <w:keepNext/>
              <w:jc w:val="center"/>
            </w:pPr>
          </w:p>
        </w:tc>
        <w:tc>
          <w:tcPr>
            <w:tcW w:w="848" w:type="pct"/>
          </w:tcPr>
          <w:p w14:paraId="4AD8905C" w14:textId="0F99708E" w:rsidR="0074327C" w:rsidRPr="001310AD" w:rsidRDefault="008335A2" w:rsidP="00A11D91">
            <w:pPr>
              <w:pStyle w:val="Tabletext"/>
              <w:keepNext/>
              <w:jc w:val="center"/>
            </w:pPr>
            <w:r w:rsidRPr="001310AD">
              <w:t>NA</w:t>
            </w:r>
          </w:p>
        </w:tc>
      </w:tr>
    </w:tbl>
    <w:p w14:paraId="075CD52A" w14:textId="44E76F7E" w:rsidR="00B31E54" w:rsidRPr="001310AD" w:rsidRDefault="004E5979" w:rsidP="00B31E54">
      <w:pPr>
        <w:pStyle w:val="FooterTableFigure"/>
      </w:pPr>
      <w:r w:rsidRPr="001310AD">
        <w:t>Source: Table 15, RSVPreF3 OA PSD, July 2024; Table 2-18, p88</w:t>
      </w:r>
      <w:r w:rsidR="00283E05" w:rsidRPr="001310AD">
        <w:t>,</w:t>
      </w:r>
      <w:r w:rsidR="00017A89" w:rsidRPr="001310AD">
        <w:t xml:space="preserve"> Table 2-26, p100</w:t>
      </w:r>
      <w:r w:rsidRPr="001310AD">
        <w:t xml:space="preserve"> of the July 2025 resubmission; Worksheet ‘Efficacy’ of the July 2025 resubmission economic model</w:t>
      </w:r>
      <w:r w:rsidR="00B31E54" w:rsidRPr="001310AD">
        <w:t>; Worksheet ‘Efficacy’ of the July 2024 resubmission economic model</w:t>
      </w:r>
    </w:p>
    <w:p w14:paraId="28014506" w14:textId="77777777" w:rsidR="004E5979" w:rsidRPr="001310AD" w:rsidRDefault="004E5979" w:rsidP="004E5979">
      <w:pPr>
        <w:pStyle w:val="FooterTableFigure"/>
      </w:pPr>
      <w:r w:rsidRPr="001310AD">
        <w:t>ARI = acute respiratory infection; LRTD = lower respiratory tract disease; NA = not applicable; NR = not reported; RSV = respiratory syncytial virus; VE = vaccine efficacy.</w:t>
      </w:r>
    </w:p>
    <w:p w14:paraId="53C1C76D" w14:textId="77777777" w:rsidR="004E5979" w:rsidRPr="001310AD" w:rsidRDefault="004E5979" w:rsidP="004E5979">
      <w:pPr>
        <w:pStyle w:val="FooterTableFigure"/>
      </w:pPr>
      <w:r w:rsidRPr="001310AD">
        <w:rPr>
          <w:vertAlign w:val="superscript"/>
        </w:rPr>
        <w:t>a</w:t>
      </w:r>
      <w:r w:rsidRPr="001310AD">
        <w:t xml:space="preserve"> Peak VE was modelled between 15 days to 45 days post-vaccination consistent with the timing.</w:t>
      </w:r>
    </w:p>
    <w:p w14:paraId="4C0C8F0B" w14:textId="77777777" w:rsidR="004E5979" w:rsidRPr="001310AD" w:rsidRDefault="004E5979" w:rsidP="004E5979">
      <w:pPr>
        <w:pStyle w:val="FooterTableFigure"/>
      </w:pPr>
      <w:r w:rsidRPr="001310AD">
        <w:rPr>
          <w:rStyle w:val="CommentReference"/>
          <w:b w:val="0"/>
          <w:sz w:val="18"/>
          <w:szCs w:val="22"/>
        </w:rPr>
        <w:t xml:space="preserve">Blue shading indicates data previously seen by the PBAC. </w:t>
      </w:r>
    </w:p>
    <w:p w14:paraId="18D868CC" w14:textId="5585D844" w:rsidR="004E5979" w:rsidRPr="001310AD" w:rsidRDefault="004E5979">
      <w:pPr>
        <w:pStyle w:val="3-BodyText"/>
      </w:pPr>
      <w:r w:rsidRPr="001310AD">
        <w:t>The resubmission used a linear logarithmic function to inform VE over the first 3 years of the economic model.</w:t>
      </w:r>
      <w:r w:rsidR="00A45C76" w:rsidRPr="001310AD">
        <w:rPr>
          <w:i/>
          <w:iCs/>
        </w:rPr>
        <w:t xml:space="preserve"> </w:t>
      </w:r>
      <w:r w:rsidRPr="001310AD">
        <w:t>The ATAGI noted no specific issues with the proposed linear logarithmic function (ATAGI Advice, March 2025). The</w:t>
      </w:r>
      <w:r w:rsidR="00FF2C44" w:rsidRPr="001310AD">
        <w:t xml:space="preserve"> evaluation considered that the</w:t>
      </w:r>
      <w:r w:rsidRPr="001310AD">
        <w:t xml:space="preserve"> linear logarithmic function likely provided a more accurate representation of the slower decline in VE observed over time from the updated VE data, compared to the linear function used in the July 2024 submission.</w:t>
      </w:r>
      <w:r w:rsidR="00930B2B" w:rsidRPr="001310AD">
        <w:t xml:space="preserve"> </w:t>
      </w:r>
      <w:r w:rsidR="00BE16FB" w:rsidRPr="001310AD">
        <w:t xml:space="preserve">The VE predicted by the linear logarithmic function is generally </w:t>
      </w:r>
      <w:r w:rsidR="004D41B5" w:rsidRPr="001310AD">
        <w:t xml:space="preserve">comparable </w:t>
      </w:r>
      <w:r w:rsidR="00530BEE" w:rsidRPr="001310AD">
        <w:t>to the</w:t>
      </w:r>
      <w:r w:rsidR="00BE16FB" w:rsidRPr="001310AD">
        <w:t xml:space="preserve"> season-specific efficac</w:t>
      </w:r>
      <w:r w:rsidR="002C0C1F" w:rsidRPr="001310AD">
        <w:t>y</w:t>
      </w:r>
      <w:r w:rsidR="00BE16FB" w:rsidRPr="001310AD">
        <w:t>.</w:t>
      </w:r>
    </w:p>
    <w:p w14:paraId="6306C7FF" w14:textId="0AC68BEA" w:rsidR="009F038E" w:rsidRPr="001310AD" w:rsidRDefault="004E5979" w:rsidP="00B143FB">
      <w:pPr>
        <w:pStyle w:val="3-BodyText"/>
      </w:pPr>
      <w:r w:rsidRPr="001310AD">
        <w:t>The resubmission assumed 2 years of constant waning (</w:t>
      </w:r>
      <w:r w:rsidR="000E374E" w:rsidRPr="001310AD">
        <w:t xml:space="preserve">following the first </w:t>
      </w:r>
      <w:r w:rsidR="00B0472E" w:rsidRPr="001310AD">
        <w:t>3 years</w:t>
      </w:r>
      <w:r w:rsidRPr="001310AD">
        <w:t xml:space="preserve">) until </w:t>
      </w:r>
      <w:r w:rsidR="00F3733E" w:rsidRPr="001310AD">
        <w:t>convergence</w:t>
      </w:r>
      <w:r w:rsidRPr="001310AD">
        <w:t xml:space="preserve"> to 0% at 5 years (1.8% </w:t>
      </w:r>
      <w:r w:rsidR="00B7275F" w:rsidRPr="001310AD">
        <w:t xml:space="preserve">per </w:t>
      </w:r>
      <w:r w:rsidRPr="001310AD">
        <w:t xml:space="preserve">month for LRTD and 1.3% </w:t>
      </w:r>
      <w:r w:rsidR="00B7275F" w:rsidRPr="001310AD">
        <w:t xml:space="preserve">per </w:t>
      </w:r>
      <w:r w:rsidRPr="001310AD">
        <w:t xml:space="preserve">month for ARI). The ATAGI did not explicitly suggest any preferred waning assumptions but considered that presenting sensitivity analyses where there is truncation of VE at 4 or 5 years (with zero efficacy beyond those timepoints) would be informative (ATAGI Advice, March 2025). </w:t>
      </w:r>
    </w:p>
    <w:p w14:paraId="390036AD" w14:textId="15A659F0" w:rsidR="00664F91" w:rsidRPr="001310AD" w:rsidRDefault="000E5E59" w:rsidP="00664F91">
      <w:pPr>
        <w:pStyle w:val="3-BodyText"/>
      </w:pPr>
      <w:bookmarkStart w:id="69" w:name="_Ref200645656"/>
      <w:r w:rsidRPr="001310AD">
        <w:t xml:space="preserve">The PSCR argued that it would be implausible to assume no residual protection beyond the available trial follow-up, </w:t>
      </w:r>
      <w:r w:rsidR="001C58A5" w:rsidRPr="001310AD">
        <w:t>stat</w:t>
      </w:r>
      <w:r w:rsidRPr="001310AD">
        <w:t>ing the relatively slower waning observed in the trial data between Season</w:t>
      </w:r>
      <w:r w:rsidR="00BF2F52" w:rsidRPr="001310AD">
        <w:t>s</w:t>
      </w:r>
      <w:r w:rsidRPr="001310AD">
        <w:t xml:space="preserve"> 2 and 3 compared with Season</w:t>
      </w:r>
      <w:r w:rsidR="00BF2F52" w:rsidRPr="001310AD">
        <w:t>s</w:t>
      </w:r>
      <w:r w:rsidRPr="001310AD">
        <w:t xml:space="preserve"> 1 and 2 indicates plausible vaccine efficacy beyond 3 years.</w:t>
      </w:r>
      <w:r w:rsidR="009B171C" w:rsidRPr="001310AD">
        <w:t xml:space="preserve"> </w:t>
      </w:r>
    </w:p>
    <w:p w14:paraId="60522475" w14:textId="02E06B9C" w:rsidR="006D1AD3" w:rsidRPr="001310AD" w:rsidRDefault="00D0461A" w:rsidP="0036331E">
      <w:pPr>
        <w:pStyle w:val="3-BodyText"/>
      </w:pPr>
      <w:bookmarkStart w:id="70" w:name="_Ref200721865"/>
      <w:r w:rsidRPr="001310AD">
        <w:t xml:space="preserve">The ESC </w:t>
      </w:r>
      <w:r w:rsidR="006A50D9" w:rsidRPr="001310AD">
        <w:t>recalled</w:t>
      </w:r>
      <w:r w:rsidRPr="001310AD">
        <w:t xml:space="preserve"> that, i</w:t>
      </w:r>
      <w:r w:rsidR="00794DA7" w:rsidRPr="001310AD">
        <w:t xml:space="preserve">n its November 2024 consideration of RSVPreF, the PBAC had considered the VE for RSVPreF should be truncated at 2 years based on the RENOIR study which had an average follow up of 1.4 years (16.4 months) (paragraph 7.16, RSV </w:t>
      </w:r>
      <w:r w:rsidR="00794DA7" w:rsidRPr="001310AD">
        <w:lastRenderedPageBreak/>
        <w:t>vaccine Abrysvo PSD, November 2024 PBAC meeting).</w:t>
      </w:r>
      <w:r w:rsidR="00044091">
        <w:t xml:space="preserve"> </w:t>
      </w:r>
      <w:r w:rsidR="006A50D9" w:rsidRPr="001310AD">
        <w:t>T</w:t>
      </w:r>
      <w:r w:rsidRPr="001310AD">
        <w:t>h</w:t>
      </w:r>
      <w:r w:rsidR="00794DA7" w:rsidRPr="001310AD">
        <w:t xml:space="preserve">e ESC </w:t>
      </w:r>
      <w:r w:rsidRPr="001310AD">
        <w:t>considered that, based on the available data, it would be reasonable to assume a longer period of VE for RSVPreF3 OA (i.e. longer than 2 years) given t</w:t>
      </w:r>
      <w:r w:rsidR="00794DA7" w:rsidRPr="001310AD">
        <w:t>he duration of trial follow-up for AReSVi-006</w:t>
      </w:r>
      <w:r w:rsidR="006A50D9" w:rsidRPr="001310AD">
        <w:t xml:space="preserve"> was a </w:t>
      </w:r>
      <w:r w:rsidR="00794DA7" w:rsidRPr="001310AD">
        <w:t>median of 30.6 months</w:t>
      </w:r>
      <w:r w:rsidRPr="001310AD">
        <w:t xml:space="preserve">, with the trial designed to assess VE up to the end of Season 3. </w:t>
      </w:r>
      <w:r w:rsidR="006A50D9" w:rsidRPr="001310AD">
        <w:t xml:space="preserve">The ESC </w:t>
      </w:r>
      <w:r w:rsidR="00A47BED" w:rsidRPr="001310AD">
        <w:t>noted that the duration and magnitude of effect beyond the trial period (after Season 3) is unknown</w:t>
      </w:r>
      <w:r w:rsidR="00553F74" w:rsidRPr="001310AD">
        <w:t xml:space="preserve"> and that </w:t>
      </w:r>
      <w:r w:rsidR="001C58A5" w:rsidRPr="001310AD">
        <w:t>it may be</w:t>
      </w:r>
      <w:r w:rsidR="00553F74" w:rsidRPr="001310AD">
        <w:t xml:space="preserve"> reasonable </w:t>
      </w:r>
      <w:r w:rsidR="001C58A5" w:rsidRPr="001310AD">
        <w:t xml:space="preserve">to consider </w:t>
      </w:r>
      <w:r w:rsidR="008C1948" w:rsidRPr="001310AD">
        <w:t>truncat</w:t>
      </w:r>
      <w:r w:rsidR="001C58A5" w:rsidRPr="001310AD">
        <w:t>ing</w:t>
      </w:r>
      <w:r w:rsidR="008C1948" w:rsidRPr="001310AD">
        <w:t xml:space="preserve"> </w:t>
      </w:r>
      <w:r w:rsidR="00FF2C44" w:rsidRPr="001310AD">
        <w:t xml:space="preserve">the </w:t>
      </w:r>
      <w:r w:rsidR="008C1948" w:rsidRPr="001310AD">
        <w:t xml:space="preserve">VE of </w:t>
      </w:r>
      <w:r w:rsidR="00C836CF" w:rsidRPr="001310AD">
        <w:t xml:space="preserve">RSVPreF3 OA at </w:t>
      </w:r>
      <w:r w:rsidR="006A50D9" w:rsidRPr="001310AD">
        <w:t xml:space="preserve">3 or </w:t>
      </w:r>
      <w:r w:rsidR="00C836CF" w:rsidRPr="001310AD">
        <w:t>4 years</w:t>
      </w:r>
      <w:r w:rsidR="00553F74" w:rsidRPr="001310AD">
        <w:t>.</w:t>
      </w:r>
      <w:bookmarkEnd w:id="69"/>
      <w:bookmarkEnd w:id="70"/>
      <w:r w:rsidR="000273C7" w:rsidRPr="001310AD">
        <w:t xml:space="preserve"> </w:t>
      </w:r>
      <w:bookmarkStart w:id="71" w:name="_Ref201301569"/>
      <w:r w:rsidR="00221D50" w:rsidRPr="001310AD">
        <w:t>T</w:t>
      </w:r>
      <w:r w:rsidR="006D1AD3" w:rsidRPr="001310AD">
        <w:t xml:space="preserve">he ESC </w:t>
      </w:r>
      <w:r w:rsidR="001A7137" w:rsidRPr="001310AD">
        <w:t xml:space="preserve">also </w:t>
      </w:r>
      <w:r w:rsidR="007F793C" w:rsidRPr="001310AD">
        <w:t>noted</w:t>
      </w:r>
      <w:r w:rsidR="006D1AD3" w:rsidRPr="001310AD">
        <w:t xml:space="preserve"> </w:t>
      </w:r>
      <w:r w:rsidR="00221D50" w:rsidRPr="001310AD">
        <w:t xml:space="preserve">that </w:t>
      </w:r>
      <w:r w:rsidR="006D1AD3" w:rsidRPr="001310AD">
        <w:t xml:space="preserve">the modelled benefit </w:t>
      </w:r>
      <w:r w:rsidR="0038197E" w:rsidRPr="001310AD">
        <w:t xml:space="preserve">from a single dose </w:t>
      </w:r>
      <w:r w:rsidR="00D57CD4" w:rsidRPr="001310AD">
        <w:t>would not be realised in clinical practice</w:t>
      </w:r>
      <w:r w:rsidR="00221D50" w:rsidRPr="001310AD">
        <w:t>, if revaccination is recommended (in the future) earlier than the year of truncation in the model.</w:t>
      </w:r>
      <w:r w:rsidR="004C49A3" w:rsidRPr="001310AD">
        <w:t xml:space="preserve"> Thus</w:t>
      </w:r>
      <w:r w:rsidR="00B767A7" w:rsidRPr="001310AD">
        <w:t>,</w:t>
      </w:r>
      <w:r w:rsidR="004C49A3" w:rsidRPr="001310AD">
        <w:t xml:space="preserve"> if the </w:t>
      </w:r>
      <w:r w:rsidR="00E4141D" w:rsidRPr="001310AD">
        <w:t xml:space="preserve">assumed duration of VE is greater than the </w:t>
      </w:r>
      <w:r w:rsidR="00C91D40" w:rsidRPr="001310AD">
        <w:t xml:space="preserve">window for revaccination, the </w:t>
      </w:r>
      <w:r w:rsidR="00C215F3" w:rsidRPr="001310AD">
        <w:t>cost</w:t>
      </w:r>
      <w:r w:rsidR="00664F91" w:rsidRPr="001310AD">
        <w:noBreakHyphen/>
      </w:r>
      <w:r w:rsidR="00C9577F" w:rsidRPr="001310AD">
        <w:t>effective price</w:t>
      </w:r>
      <w:r w:rsidR="00B030DD" w:rsidRPr="001310AD">
        <w:t xml:space="preserve"> for </w:t>
      </w:r>
      <w:r w:rsidR="004B3FC6" w:rsidRPr="001310AD">
        <w:t>RSVPreF will be overestimated</w:t>
      </w:r>
      <w:r w:rsidR="00943A94" w:rsidRPr="001310AD">
        <w:t>.</w:t>
      </w:r>
      <w:r w:rsidR="0063458C" w:rsidRPr="001310AD">
        <w:t xml:space="preserve"> </w:t>
      </w:r>
      <w:r w:rsidR="00C215F3" w:rsidRPr="001310AD">
        <w:t>In relation to this, t</w:t>
      </w:r>
      <w:r w:rsidR="00B12A9C" w:rsidRPr="001310AD">
        <w:t xml:space="preserve">he ESC noted </w:t>
      </w:r>
      <w:r w:rsidR="005C3DE8" w:rsidRPr="001310AD">
        <w:t xml:space="preserve">that revaccination at 3 and 4 years is </w:t>
      </w:r>
      <w:r w:rsidR="00C65500" w:rsidRPr="001310AD">
        <w:t xml:space="preserve">being </w:t>
      </w:r>
      <w:r w:rsidR="00A14F2A" w:rsidRPr="001310AD">
        <w:t>assessed in the clinical studies</w:t>
      </w:r>
      <w:r w:rsidR="008B4455" w:rsidRPr="001310AD">
        <w:t xml:space="preserve"> (refer to paragraph </w:t>
      </w:r>
      <w:r w:rsidR="008B4455" w:rsidRPr="001310AD">
        <w:fldChar w:fldCharType="begin"/>
      </w:r>
      <w:r w:rsidR="008B4455" w:rsidRPr="001310AD">
        <w:instrText xml:space="preserve"> REF _Ref201301638 \r \h </w:instrText>
      </w:r>
      <w:r w:rsidR="00F50DF2" w:rsidRPr="001310AD">
        <w:instrText xml:space="preserve"> \* MERGEFORMAT </w:instrText>
      </w:r>
      <w:r w:rsidR="008B4455" w:rsidRPr="001310AD">
        <w:fldChar w:fldCharType="separate"/>
      </w:r>
      <w:r w:rsidR="001F75E0" w:rsidRPr="001310AD">
        <w:t>6.40</w:t>
      </w:r>
      <w:r w:rsidR="008B4455" w:rsidRPr="001310AD">
        <w:fldChar w:fldCharType="end"/>
      </w:r>
      <w:r w:rsidR="008B4455" w:rsidRPr="001310AD">
        <w:t>)</w:t>
      </w:r>
      <w:r w:rsidR="00A14F2A" w:rsidRPr="001310AD">
        <w:t>.</w:t>
      </w:r>
      <w:bookmarkEnd w:id="71"/>
    </w:p>
    <w:p w14:paraId="475D478C" w14:textId="303BED8A" w:rsidR="004E5979" w:rsidRPr="001310AD" w:rsidRDefault="004E5979" w:rsidP="001A7D86">
      <w:pPr>
        <w:pStyle w:val="3-BodyText"/>
      </w:pPr>
      <w:bookmarkStart w:id="72" w:name="_Ref197337732"/>
      <w:r w:rsidRPr="001310AD">
        <w:t xml:space="preserve">A summary of </w:t>
      </w:r>
      <w:r w:rsidR="001421C7" w:rsidRPr="001310AD">
        <w:t xml:space="preserve">the </w:t>
      </w:r>
      <w:r w:rsidRPr="001310AD">
        <w:rPr>
          <w:color w:val="000000" w:themeColor="text1"/>
        </w:rPr>
        <w:t xml:space="preserve">RSV-associated hospitalisation rates for adults ≥75 YOA </w:t>
      </w:r>
      <w:r w:rsidR="001421C7" w:rsidRPr="001310AD">
        <w:rPr>
          <w:color w:val="000000" w:themeColor="text1"/>
        </w:rPr>
        <w:t xml:space="preserve">applied in the economic model </w:t>
      </w:r>
      <w:r w:rsidRPr="001310AD">
        <w:rPr>
          <w:color w:val="000000" w:themeColor="text1"/>
        </w:rPr>
        <w:t xml:space="preserve">is presented </w:t>
      </w:r>
      <w:r w:rsidRPr="001310AD">
        <w:t xml:space="preserve">in </w:t>
      </w:r>
      <w:r w:rsidRPr="001310AD">
        <w:fldChar w:fldCharType="begin"/>
      </w:r>
      <w:r w:rsidRPr="001310AD">
        <w:instrText xml:space="preserve"> REF _Ref195680247 \h  \* MERGEFORMAT </w:instrText>
      </w:r>
      <w:r w:rsidRPr="001310AD">
        <w:fldChar w:fldCharType="separate"/>
      </w:r>
      <w:r w:rsidR="001F75E0" w:rsidRPr="001310AD">
        <w:t>Table 15</w:t>
      </w:r>
      <w:r w:rsidRPr="001310AD">
        <w:fldChar w:fldCharType="end"/>
      </w:r>
      <w:r w:rsidRPr="001310AD">
        <w:t>. The applied estimate for RSV-associated hospitalisation rates in the resubmission is higher than the rates</w:t>
      </w:r>
      <w:r w:rsidR="00A40A6D" w:rsidRPr="001310AD">
        <w:t xml:space="preserve"> previously</w:t>
      </w:r>
      <w:r w:rsidRPr="001310AD">
        <w:t xml:space="preserve"> accepted by the ATAGI and PBAC.</w:t>
      </w:r>
      <w:bookmarkEnd w:id="72"/>
    </w:p>
    <w:p w14:paraId="608EAE9C" w14:textId="245CD02C" w:rsidR="004E5979" w:rsidRPr="001310AD" w:rsidRDefault="004E5979" w:rsidP="004E5979">
      <w:pPr>
        <w:rPr>
          <w:rFonts w:ascii="Arial Narrow" w:hAnsi="Arial Narrow"/>
          <w:b/>
          <w:bCs/>
          <w:sz w:val="20"/>
          <w:szCs w:val="20"/>
        </w:rPr>
      </w:pPr>
      <w:bookmarkStart w:id="73" w:name="_Ref195680247"/>
      <w:r w:rsidRPr="001310AD">
        <w:rPr>
          <w:rFonts w:ascii="Arial Narrow" w:hAnsi="Arial Narrow"/>
          <w:b/>
          <w:bCs/>
          <w:sz w:val="20"/>
          <w:szCs w:val="18"/>
        </w:rPr>
        <w:t xml:space="preserve">Table </w:t>
      </w:r>
      <w:r w:rsidRPr="001310AD">
        <w:rPr>
          <w:rFonts w:ascii="Arial Narrow" w:hAnsi="Arial Narrow"/>
          <w:b/>
          <w:bCs/>
          <w:sz w:val="20"/>
          <w:szCs w:val="18"/>
        </w:rPr>
        <w:fldChar w:fldCharType="begin"/>
      </w:r>
      <w:r w:rsidRPr="001310AD">
        <w:rPr>
          <w:rFonts w:ascii="Arial Narrow" w:hAnsi="Arial Narrow"/>
          <w:b/>
          <w:bCs/>
          <w:sz w:val="20"/>
          <w:szCs w:val="18"/>
        </w:rPr>
        <w:instrText xml:space="preserve"> SEQ Table \* ARABIC </w:instrText>
      </w:r>
      <w:r w:rsidRPr="001310AD">
        <w:rPr>
          <w:rFonts w:ascii="Arial Narrow" w:hAnsi="Arial Narrow"/>
          <w:b/>
          <w:bCs/>
          <w:sz w:val="20"/>
          <w:szCs w:val="18"/>
        </w:rPr>
        <w:fldChar w:fldCharType="separate"/>
      </w:r>
      <w:r w:rsidR="001F75E0" w:rsidRPr="001310AD">
        <w:rPr>
          <w:rFonts w:ascii="Arial Narrow" w:hAnsi="Arial Narrow"/>
          <w:b/>
          <w:bCs/>
          <w:sz w:val="20"/>
          <w:szCs w:val="18"/>
        </w:rPr>
        <w:t>15</w:t>
      </w:r>
      <w:r w:rsidRPr="001310AD">
        <w:rPr>
          <w:rFonts w:ascii="Arial Narrow" w:hAnsi="Arial Narrow"/>
          <w:b/>
          <w:bCs/>
          <w:sz w:val="20"/>
          <w:szCs w:val="18"/>
        </w:rPr>
        <w:fldChar w:fldCharType="end"/>
      </w:r>
      <w:bookmarkEnd w:id="73"/>
      <w:r w:rsidRPr="001310AD">
        <w:rPr>
          <w:rFonts w:ascii="Arial Narrow" w:hAnsi="Arial Narrow"/>
          <w:b/>
          <w:bCs/>
          <w:sz w:val="20"/>
          <w:szCs w:val="18"/>
        </w:rPr>
        <w:t>: RSV</w:t>
      </w:r>
      <w:r w:rsidRPr="001310AD">
        <w:rPr>
          <w:rFonts w:ascii="Arial Narrow" w:hAnsi="Arial Narrow"/>
          <w:b/>
          <w:bCs/>
          <w:sz w:val="20"/>
          <w:szCs w:val="20"/>
        </w:rPr>
        <w:t>-associated hospitalisation rates for the ≥ 75 YOA in the resubmission (per 100,000 person-years)</w:t>
      </w:r>
    </w:p>
    <w:tbl>
      <w:tblPr>
        <w:tblStyle w:val="TableGrid"/>
        <w:tblW w:w="5000" w:type="pct"/>
        <w:tblLook w:val="04A0" w:firstRow="1" w:lastRow="0" w:firstColumn="1" w:lastColumn="0" w:noHBand="0" w:noVBand="1"/>
        <w:tblCaption w:val="Table 15: RSV-associated hospitalisation rates for the ≥ 75 YOA in the resubmission (per 100,000 person-years)"/>
      </w:tblPr>
      <w:tblGrid>
        <w:gridCol w:w="1089"/>
        <w:gridCol w:w="891"/>
        <w:gridCol w:w="835"/>
        <w:gridCol w:w="705"/>
        <w:gridCol w:w="846"/>
        <w:gridCol w:w="1268"/>
        <w:gridCol w:w="821"/>
        <w:gridCol w:w="730"/>
        <w:gridCol w:w="1832"/>
      </w:tblGrid>
      <w:tr w:rsidR="000E5E59" w:rsidRPr="001310AD" w14:paraId="44A26F77" w14:textId="77777777" w:rsidTr="00D41664">
        <w:tc>
          <w:tcPr>
            <w:tcW w:w="604" w:type="pct"/>
            <w:vAlign w:val="center"/>
          </w:tcPr>
          <w:p w14:paraId="5CCD6DF6" w14:textId="77777777" w:rsidR="000E5E59" w:rsidRPr="001310AD" w:rsidRDefault="000E5E59">
            <w:pPr>
              <w:jc w:val="center"/>
              <w:rPr>
                <w:rFonts w:ascii="Arial Narrow" w:hAnsi="Arial Narrow"/>
                <w:b/>
                <w:bCs/>
                <w:sz w:val="20"/>
                <w:szCs w:val="20"/>
              </w:rPr>
            </w:pPr>
            <w:r w:rsidRPr="001310AD">
              <w:rPr>
                <w:rFonts w:ascii="Arial Narrow" w:hAnsi="Arial Narrow"/>
                <w:b/>
                <w:bCs/>
                <w:sz w:val="20"/>
                <w:szCs w:val="20"/>
              </w:rPr>
              <w:t>Age (years)</w:t>
            </w:r>
          </w:p>
        </w:tc>
        <w:tc>
          <w:tcPr>
            <w:tcW w:w="957" w:type="pct"/>
            <w:gridSpan w:val="2"/>
            <w:vAlign w:val="center"/>
          </w:tcPr>
          <w:p w14:paraId="340F8288" w14:textId="6770C5F8" w:rsidR="000E5E59" w:rsidRPr="001310AD" w:rsidRDefault="000E5E59" w:rsidP="00A91DBA">
            <w:pPr>
              <w:jc w:val="center"/>
              <w:rPr>
                <w:rFonts w:ascii="Arial Narrow" w:hAnsi="Arial Narrow"/>
                <w:b/>
                <w:bCs/>
                <w:i/>
                <w:iCs/>
                <w:sz w:val="20"/>
                <w:szCs w:val="20"/>
              </w:rPr>
            </w:pPr>
            <w:r w:rsidRPr="001310AD">
              <w:rPr>
                <w:rFonts w:ascii="Arial Narrow" w:hAnsi="Arial Narrow"/>
                <w:b/>
                <w:bCs/>
                <w:i/>
                <w:iCs/>
                <w:sz w:val="20"/>
                <w:szCs w:val="20"/>
              </w:rPr>
              <w:t>July 2025</w:t>
            </w:r>
          </w:p>
          <w:p w14:paraId="156884C8" w14:textId="520F5F24" w:rsidR="000E5E59" w:rsidRPr="001310AD" w:rsidRDefault="000E5E59" w:rsidP="00A91DBA">
            <w:pPr>
              <w:jc w:val="center"/>
              <w:rPr>
                <w:rFonts w:ascii="Arial Narrow" w:hAnsi="Arial Narrow"/>
                <w:b/>
                <w:bCs/>
                <w:sz w:val="20"/>
                <w:szCs w:val="20"/>
              </w:rPr>
            </w:pPr>
            <w:r w:rsidRPr="001310AD">
              <w:rPr>
                <w:rFonts w:ascii="Arial Narrow" w:hAnsi="Arial Narrow"/>
                <w:b/>
                <w:bCs/>
                <w:i/>
                <w:iCs/>
                <w:sz w:val="20"/>
                <w:szCs w:val="20"/>
              </w:rPr>
              <w:t>PSCR</w:t>
            </w:r>
          </w:p>
        </w:tc>
        <w:tc>
          <w:tcPr>
            <w:tcW w:w="860" w:type="pct"/>
            <w:gridSpan w:val="2"/>
            <w:vAlign w:val="center"/>
          </w:tcPr>
          <w:p w14:paraId="500067A8" w14:textId="622DE2F4" w:rsidR="000E5E59" w:rsidRPr="001310AD" w:rsidRDefault="000E5E59">
            <w:pPr>
              <w:jc w:val="center"/>
              <w:rPr>
                <w:rFonts w:ascii="Arial Narrow" w:hAnsi="Arial Narrow"/>
                <w:b/>
                <w:bCs/>
                <w:sz w:val="20"/>
                <w:szCs w:val="20"/>
              </w:rPr>
            </w:pPr>
            <w:r w:rsidRPr="001310AD">
              <w:rPr>
                <w:rFonts w:ascii="Arial Narrow" w:hAnsi="Arial Narrow"/>
                <w:b/>
                <w:bCs/>
                <w:sz w:val="20"/>
                <w:szCs w:val="20"/>
              </w:rPr>
              <w:t>July 2025 resubmission</w:t>
            </w:r>
          </w:p>
        </w:tc>
        <w:tc>
          <w:tcPr>
            <w:tcW w:w="703" w:type="pct"/>
            <w:vAlign w:val="center"/>
          </w:tcPr>
          <w:p w14:paraId="3A958A73" w14:textId="77777777" w:rsidR="000E5E59" w:rsidRPr="001310AD" w:rsidRDefault="000E5E59">
            <w:pPr>
              <w:jc w:val="center"/>
              <w:rPr>
                <w:rFonts w:ascii="Arial Narrow" w:hAnsi="Arial Narrow"/>
                <w:sz w:val="20"/>
                <w:szCs w:val="20"/>
              </w:rPr>
            </w:pPr>
            <w:r w:rsidRPr="001310AD">
              <w:rPr>
                <w:rFonts w:ascii="Arial Narrow" w:hAnsi="Arial Narrow"/>
                <w:b/>
                <w:bCs/>
                <w:sz w:val="20"/>
                <w:szCs w:val="20"/>
              </w:rPr>
              <w:t>July 2024 submission</w:t>
            </w:r>
          </w:p>
        </w:tc>
        <w:tc>
          <w:tcPr>
            <w:tcW w:w="860" w:type="pct"/>
            <w:gridSpan w:val="2"/>
            <w:vAlign w:val="center"/>
          </w:tcPr>
          <w:p w14:paraId="15ED1F44" w14:textId="77777777" w:rsidR="000E5E59" w:rsidRPr="001310AD" w:rsidRDefault="000E5E59">
            <w:pPr>
              <w:jc w:val="center"/>
              <w:rPr>
                <w:rFonts w:ascii="Arial Narrow" w:hAnsi="Arial Narrow"/>
                <w:b/>
                <w:bCs/>
                <w:sz w:val="20"/>
                <w:szCs w:val="20"/>
              </w:rPr>
            </w:pPr>
            <w:r w:rsidRPr="001310AD">
              <w:rPr>
                <w:rFonts w:ascii="Arial Narrow" w:hAnsi="Arial Narrow"/>
                <w:b/>
                <w:bCs/>
                <w:sz w:val="20"/>
                <w:szCs w:val="20"/>
              </w:rPr>
              <w:t>ATAGI Advice (March 2025)</w:t>
            </w:r>
            <w:r w:rsidRPr="001310AD">
              <w:rPr>
                <w:rFonts w:ascii="Arial Narrow" w:hAnsi="Arial Narrow" w:cs="Calibri"/>
                <w:i/>
                <w:iCs/>
                <w:sz w:val="20"/>
                <w:szCs w:val="20"/>
                <w:vertAlign w:val="superscript"/>
              </w:rPr>
              <w:t xml:space="preserve"> </w:t>
            </w:r>
            <w:r w:rsidRPr="001310AD">
              <w:rPr>
                <w:rFonts w:ascii="Arial Narrow" w:hAnsi="Arial Narrow" w:cs="Calibri"/>
                <w:sz w:val="20"/>
                <w:szCs w:val="20"/>
                <w:vertAlign w:val="superscript"/>
              </w:rPr>
              <w:t>b</w:t>
            </w:r>
          </w:p>
        </w:tc>
        <w:tc>
          <w:tcPr>
            <w:tcW w:w="1016" w:type="pct"/>
            <w:vAlign w:val="center"/>
          </w:tcPr>
          <w:p w14:paraId="44D5441A" w14:textId="7382D3EC" w:rsidR="000E5E59" w:rsidRPr="001310AD" w:rsidRDefault="000E5E59">
            <w:pPr>
              <w:jc w:val="center"/>
              <w:rPr>
                <w:rFonts w:ascii="Arial Narrow" w:hAnsi="Arial Narrow"/>
                <w:sz w:val="20"/>
                <w:szCs w:val="20"/>
              </w:rPr>
            </w:pPr>
            <w:r w:rsidRPr="001310AD">
              <w:rPr>
                <w:rFonts w:ascii="Arial Narrow" w:hAnsi="Arial Narrow"/>
                <w:b/>
                <w:bCs/>
                <w:sz w:val="20"/>
                <w:szCs w:val="20"/>
              </w:rPr>
              <w:t>November 2024 RSVPreF PBAC recommendation</w:t>
            </w:r>
          </w:p>
        </w:tc>
      </w:tr>
      <w:tr w:rsidR="00D441FA" w:rsidRPr="001310AD" w14:paraId="2CFD3B13" w14:textId="77777777" w:rsidTr="00D41664">
        <w:tc>
          <w:tcPr>
            <w:tcW w:w="604" w:type="pct"/>
            <w:vAlign w:val="center"/>
          </w:tcPr>
          <w:p w14:paraId="269AEFCA" w14:textId="77777777" w:rsidR="000E5E59" w:rsidRPr="001310AD" w:rsidRDefault="000E5E59" w:rsidP="000E5E59">
            <w:pPr>
              <w:jc w:val="center"/>
              <w:rPr>
                <w:rFonts w:ascii="Arial Narrow" w:hAnsi="Arial Narrow"/>
                <w:sz w:val="20"/>
                <w:szCs w:val="20"/>
              </w:rPr>
            </w:pPr>
            <w:r w:rsidRPr="001310AD">
              <w:rPr>
                <w:rFonts w:ascii="Arial Narrow" w:eastAsia="Yu Gothic Light" w:hAnsi="Arial Narrow"/>
                <w:sz w:val="20"/>
                <w:szCs w:val="20"/>
              </w:rPr>
              <w:t xml:space="preserve">75-79 </w:t>
            </w:r>
          </w:p>
        </w:tc>
        <w:tc>
          <w:tcPr>
            <w:tcW w:w="494" w:type="pct"/>
          </w:tcPr>
          <w:p w14:paraId="48CC01CB" w14:textId="37F830D0" w:rsidR="000E5E59" w:rsidRPr="001310AD" w:rsidRDefault="000E5E59" w:rsidP="000E5E59">
            <w:pPr>
              <w:jc w:val="center"/>
              <w:rPr>
                <w:rFonts w:ascii="Arial Narrow" w:hAnsi="Arial Narrow" w:cs="Calibri"/>
                <w:sz w:val="20"/>
                <w:szCs w:val="20"/>
              </w:rPr>
            </w:pPr>
            <w:r w:rsidRPr="001310AD">
              <w:rPr>
                <w:rFonts w:ascii="Arial Narrow" w:hAnsi="Arial Narrow" w:cs="Calibri"/>
                <w:sz w:val="20"/>
                <w:szCs w:val="20"/>
              </w:rPr>
              <w:t>304</w:t>
            </w:r>
          </w:p>
        </w:tc>
        <w:tc>
          <w:tcPr>
            <w:tcW w:w="463" w:type="pct"/>
            <w:vMerge w:val="restart"/>
            <w:vAlign w:val="center"/>
          </w:tcPr>
          <w:p w14:paraId="17595198" w14:textId="07839873" w:rsidR="000E5E59" w:rsidRPr="001310AD" w:rsidRDefault="000E5E59" w:rsidP="000E5E59">
            <w:pPr>
              <w:jc w:val="center"/>
              <w:rPr>
                <w:rFonts w:ascii="Arial Narrow" w:hAnsi="Arial Narrow" w:cs="Calibri"/>
                <w:sz w:val="20"/>
                <w:szCs w:val="20"/>
                <w:vertAlign w:val="superscript"/>
              </w:rPr>
            </w:pPr>
            <w:r w:rsidRPr="001310AD">
              <w:rPr>
                <w:rFonts w:ascii="Arial Narrow" w:hAnsi="Arial Narrow" w:cs="Calibri"/>
                <w:sz w:val="20"/>
                <w:szCs w:val="20"/>
              </w:rPr>
              <w:t xml:space="preserve">443 </w:t>
            </w:r>
            <w:r w:rsidRPr="001310AD">
              <w:rPr>
                <w:rFonts w:ascii="Arial Narrow" w:hAnsi="Arial Narrow" w:cs="Calibri"/>
                <w:sz w:val="20"/>
                <w:szCs w:val="20"/>
                <w:vertAlign w:val="superscript"/>
              </w:rPr>
              <w:t>a</w:t>
            </w:r>
          </w:p>
        </w:tc>
        <w:tc>
          <w:tcPr>
            <w:tcW w:w="391" w:type="pct"/>
            <w:vAlign w:val="center"/>
          </w:tcPr>
          <w:p w14:paraId="20EDDDC5" w14:textId="6B4A2AD0" w:rsidR="000E5E59" w:rsidRPr="001310AD" w:rsidRDefault="000E5E59" w:rsidP="000E5E59">
            <w:pPr>
              <w:jc w:val="center"/>
              <w:rPr>
                <w:rFonts w:ascii="Arial Narrow" w:hAnsi="Arial Narrow" w:cs="Calibri"/>
                <w:color w:val="000000"/>
                <w:sz w:val="20"/>
                <w:szCs w:val="20"/>
              </w:rPr>
            </w:pPr>
            <w:r w:rsidRPr="001310AD">
              <w:rPr>
                <w:rFonts w:ascii="Arial Narrow" w:hAnsi="Arial Narrow" w:cs="Calibri"/>
                <w:sz w:val="20"/>
                <w:szCs w:val="20"/>
              </w:rPr>
              <w:t>364</w:t>
            </w:r>
          </w:p>
        </w:tc>
        <w:tc>
          <w:tcPr>
            <w:tcW w:w="469" w:type="pct"/>
            <w:vMerge w:val="restart"/>
            <w:vAlign w:val="center"/>
          </w:tcPr>
          <w:p w14:paraId="606189AF" w14:textId="233C827C" w:rsidR="000E5E59" w:rsidRPr="001310AD" w:rsidRDefault="00D441FA" w:rsidP="000E5E59">
            <w:pPr>
              <w:jc w:val="center"/>
              <w:rPr>
                <w:rFonts w:ascii="Arial Narrow" w:hAnsi="Arial Narrow" w:cs="Calibri"/>
                <w:color w:val="000000"/>
                <w:sz w:val="20"/>
                <w:szCs w:val="20"/>
                <w:vertAlign w:val="superscript"/>
              </w:rPr>
            </w:pPr>
            <w:r w:rsidRPr="001310AD">
              <w:rPr>
                <w:rFonts w:ascii="Arial Narrow" w:hAnsi="Arial Narrow" w:cs="Calibri"/>
                <w:sz w:val="20"/>
                <w:szCs w:val="20"/>
              </w:rPr>
              <w:t xml:space="preserve">577 </w:t>
            </w:r>
            <w:r w:rsidRPr="001310AD">
              <w:rPr>
                <w:rFonts w:ascii="Arial Narrow" w:hAnsi="Arial Narrow" w:cs="Calibri"/>
                <w:sz w:val="20"/>
                <w:szCs w:val="20"/>
                <w:vertAlign w:val="superscript"/>
              </w:rPr>
              <w:t>a</w:t>
            </w:r>
          </w:p>
        </w:tc>
        <w:tc>
          <w:tcPr>
            <w:tcW w:w="703" w:type="pct"/>
            <w:shd w:val="clear" w:color="auto" w:fill="C6D9F1" w:themeFill="text2" w:themeFillTint="33"/>
            <w:vAlign w:val="center"/>
          </w:tcPr>
          <w:p w14:paraId="18EBE47B" w14:textId="77777777" w:rsidR="000E5E59" w:rsidRPr="001310AD" w:rsidRDefault="000E5E59" w:rsidP="000E5E59">
            <w:pPr>
              <w:jc w:val="center"/>
              <w:rPr>
                <w:rFonts w:ascii="Arial Narrow" w:hAnsi="Arial Narrow"/>
                <w:sz w:val="20"/>
                <w:szCs w:val="20"/>
              </w:rPr>
            </w:pPr>
            <w:r w:rsidRPr="001310AD">
              <w:rPr>
                <w:rFonts w:ascii="Arial Narrow" w:hAnsi="Arial Narrow" w:cs="Calibri"/>
                <w:color w:val="000000"/>
                <w:sz w:val="20"/>
                <w:szCs w:val="20"/>
              </w:rPr>
              <w:t>501</w:t>
            </w:r>
          </w:p>
        </w:tc>
        <w:tc>
          <w:tcPr>
            <w:tcW w:w="455" w:type="pct"/>
            <w:vAlign w:val="center"/>
          </w:tcPr>
          <w:p w14:paraId="2CA8F75C" w14:textId="6366981A" w:rsidR="000E5E59" w:rsidRPr="001310AD" w:rsidRDefault="000E5E59" w:rsidP="000E5E59">
            <w:pPr>
              <w:jc w:val="center"/>
              <w:rPr>
                <w:rFonts w:ascii="Arial Narrow" w:hAnsi="Arial Narrow"/>
                <w:sz w:val="20"/>
                <w:szCs w:val="20"/>
              </w:rPr>
            </w:pPr>
            <w:r w:rsidRPr="001310AD">
              <w:rPr>
                <w:rFonts w:ascii="Arial Narrow" w:hAnsi="Arial Narrow"/>
                <w:sz w:val="20"/>
                <w:szCs w:val="20"/>
              </w:rPr>
              <w:t>24</w:t>
            </w:r>
            <w:r w:rsidR="0082438F" w:rsidRPr="001310AD">
              <w:rPr>
                <w:rFonts w:ascii="Arial Narrow" w:hAnsi="Arial Narrow"/>
                <w:sz w:val="20"/>
                <w:szCs w:val="20"/>
              </w:rPr>
              <w:t>0</w:t>
            </w:r>
          </w:p>
        </w:tc>
        <w:tc>
          <w:tcPr>
            <w:tcW w:w="405" w:type="pct"/>
            <w:vMerge w:val="restart"/>
            <w:vAlign w:val="center"/>
          </w:tcPr>
          <w:p w14:paraId="6926527F" w14:textId="1EDF1699" w:rsidR="000E5E59" w:rsidRPr="001310AD" w:rsidRDefault="007F7B31" w:rsidP="000E5E59">
            <w:pPr>
              <w:jc w:val="center"/>
              <w:rPr>
                <w:rFonts w:ascii="Arial Narrow" w:hAnsi="Arial Narrow"/>
                <w:sz w:val="20"/>
                <w:szCs w:val="20"/>
                <w:vertAlign w:val="superscript"/>
              </w:rPr>
            </w:pPr>
            <w:r w:rsidRPr="001310AD">
              <w:rPr>
                <w:rFonts w:ascii="Arial Narrow" w:hAnsi="Arial Narrow"/>
                <w:sz w:val="20"/>
                <w:szCs w:val="20"/>
              </w:rPr>
              <w:t xml:space="preserve">384 </w:t>
            </w:r>
            <w:r w:rsidR="00D441FA" w:rsidRPr="001310AD">
              <w:rPr>
                <w:rFonts w:ascii="Arial Narrow" w:hAnsi="Arial Narrow"/>
                <w:sz w:val="20"/>
                <w:szCs w:val="20"/>
                <w:vertAlign w:val="superscript"/>
              </w:rPr>
              <w:t>a</w:t>
            </w:r>
          </w:p>
        </w:tc>
        <w:tc>
          <w:tcPr>
            <w:tcW w:w="1016" w:type="pct"/>
            <w:vMerge w:val="restart"/>
            <w:shd w:val="clear" w:color="auto" w:fill="C6D9F1" w:themeFill="text2" w:themeFillTint="33"/>
            <w:vAlign w:val="center"/>
          </w:tcPr>
          <w:p w14:paraId="3A5A15A5" w14:textId="62553A00" w:rsidR="000E5E59" w:rsidRPr="001310AD" w:rsidRDefault="000E5E59" w:rsidP="000E5E59">
            <w:pPr>
              <w:jc w:val="center"/>
              <w:rPr>
                <w:rFonts w:ascii="Arial Narrow" w:hAnsi="Arial Narrow"/>
                <w:sz w:val="20"/>
                <w:szCs w:val="20"/>
              </w:rPr>
            </w:pPr>
            <w:r w:rsidRPr="001310AD">
              <w:rPr>
                <w:rFonts w:ascii="Arial Narrow" w:hAnsi="Arial Narrow"/>
                <w:sz w:val="20"/>
                <w:szCs w:val="20"/>
              </w:rPr>
              <w:t>384 (accepted by the PBAC</w:t>
            </w:r>
            <w:r w:rsidR="000C5D27" w:rsidRPr="001310AD">
              <w:rPr>
                <w:rFonts w:ascii="Arial Narrow" w:hAnsi="Arial Narrow"/>
                <w:sz w:val="20"/>
                <w:szCs w:val="20"/>
              </w:rPr>
              <w:t>)</w:t>
            </w:r>
            <w:r w:rsidR="00D441FA" w:rsidRPr="001310AD">
              <w:rPr>
                <w:rFonts w:ascii="Arial Narrow" w:hAnsi="Arial Narrow"/>
                <w:sz w:val="20"/>
                <w:szCs w:val="20"/>
              </w:rPr>
              <w:t xml:space="preserve"> </w:t>
            </w:r>
            <w:proofErr w:type="spellStart"/>
            <w:r w:rsidR="00D441FA" w:rsidRPr="001310AD">
              <w:rPr>
                <w:rFonts w:ascii="Arial Narrow" w:hAnsi="Arial Narrow"/>
                <w:sz w:val="20"/>
                <w:szCs w:val="20"/>
                <w:vertAlign w:val="superscript"/>
              </w:rPr>
              <w:t>a,</w:t>
            </w:r>
            <w:r w:rsidRPr="001310AD">
              <w:rPr>
                <w:rFonts w:ascii="Arial Narrow" w:hAnsi="Arial Narrow"/>
                <w:sz w:val="20"/>
                <w:szCs w:val="20"/>
                <w:vertAlign w:val="superscript"/>
              </w:rPr>
              <w:t>c</w:t>
            </w:r>
            <w:proofErr w:type="spellEnd"/>
            <w:r w:rsidR="007F7B31" w:rsidRPr="001310AD">
              <w:rPr>
                <w:rFonts w:ascii="Arial Narrow" w:hAnsi="Arial Narrow"/>
                <w:sz w:val="20"/>
                <w:szCs w:val="20"/>
                <w:vertAlign w:val="superscript"/>
              </w:rPr>
              <w:t xml:space="preserve"> </w:t>
            </w:r>
          </w:p>
        </w:tc>
      </w:tr>
      <w:tr w:rsidR="00D441FA" w:rsidRPr="001310AD" w14:paraId="71216D80" w14:textId="77777777" w:rsidTr="00D41664">
        <w:tc>
          <w:tcPr>
            <w:tcW w:w="604" w:type="pct"/>
            <w:vAlign w:val="center"/>
          </w:tcPr>
          <w:p w14:paraId="09D02378" w14:textId="44508BFA" w:rsidR="000E5E59" w:rsidRPr="001310AD" w:rsidRDefault="000E5E59" w:rsidP="000E5E59">
            <w:pPr>
              <w:jc w:val="center"/>
              <w:rPr>
                <w:rFonts w:ascii="Arial Narrow" w:hAnsi="Arial Narrow"/>
                <w:sz w:val="20"/>
                <w:szCs w:val="20"/>
              </w:rPr>
            </w:pPr>
            <w:r w:rsidRPr="001310AD">
              <w:rPr>
                <w:rFonts w:ascii="Arial Narrow" w:eastAsia="Yu Gothic Light" w:hAnsi="Arial Narrow"/>
                <w:sz w:val="20"/>
                <w:szCs w:val="20"/>
              </w:rPr>
              <w:t xml:space="preserve">80-84 </w:t>
            </w:r>
          </w:p>
        </w:tc>
        <w:tc>
          <w:tcPr>
            <w:tcW w:w="494" w:type="pct"/>
          </w:tcPr>
          <w:p w14:paraId="7AB2B5A7" w14:textId="47756C56" w:rsidR="000E5E59" w:rsidRPr="001310AD" w:rsidRDefault="000E5E59" w:rsidP="000E5E59">
            <w:pPr>
              <w:jc w:val="center"/>
              <w:rPr>
                <w:rFonts w:ascii="Arial Narrow" w:hAnsi="Arial Narrow" w:cs="Calibri"/>
                <w:sz w:val="20"/>
                <w:szCs w:val="20"/>
              </w:rPr>
            </w:pPr>
            <w:r w:rsidRPr="001310AD">
              <w:rPr>
                <w:rFonts w:ascii="Arial Narrow" w:hAnsi="Arial Narrow" w:cs="Calibri"/>
                <w:sz w:val="20"/>
                <w:szCs w:val="20"/>
              </w:rPr>
              <w:t>556</w:t>
            </w:r>
          </w:p>
        </w:tc>
        <w:tc>
          <w:tcPr>
            <w:tcW w:w="463" w:type="pct"/>
            <w:vMerge/>
          </w:tcPr>
          <w:p w14:paraId="6D10C53F" w14:textId="77777777" w:rsidR="000E5E59" w:rsidRPr="001310AD" w:rsidRDefault="000E5E59" w:rsidP="000E5E59">
            <w:pPr>
              <w:jc w:val="center"/>
              <w:rPr>
                <w:rFonts w:ascii="Arial Narrow" w:hAnsi="Arial Narrow" w:cs="Calibri"/>
                <w:sz w:val="20"/>
                <w:szCs w:val="20"/>
              </w:rPr>
            </w:pPr>
          </w:p>
        </w:tc>
        <w:tc>
          <w:tcPr>
            <w:tcW w:w="391" w:type="pct"/>
            <w:vAlign w:val="center"/>
          </w:tcPr>
          <w:p w14:paraId="10ED64B9" w14:textId="676A1E14" w:rsidR="000E5E59" w:rsidRPr="001310AD" w:rsidRDefault="000E5E59" w:rsidP="000E5E59">
            <w:pPr>
              <w:jc w:val="center"/>
              <w:rPr>
                <w:rFonts w:ascii="Arial Narrow" w:hAnsi="Arial Narrow" w:cs="Calibri"/>
                <w:color w:val="000000"/>
                <w:sz w:val="20"/>
                <w:szCs w:val="20"/>
              </w:rPr>
            </w:pPr>
            <w:r w:rsidRPr="001310AD">
              <w:rPr>
                <w:rFonts w:ascii="Arial Narrow" w:hAnsi="Arial Narrow" w:cs="Calibri"/>
                <w:sz w:val="20"/>
                <w:szCs w:val="20"/>
              </w:rPr>
              <w:t>750</w:t>
            </w:r>
          </w:p>
        </w:tc>
        <w:tc>
          <w:tcPr>
            <w:tcW w:w="469" w:type="pct"/>
            <w:vMerge/>
            <w:vAlign w:val="center"/>
          </w:tcPr>
          <w:p w14:paraId="7E3DD489" w14:textId="77777777" w:rsidR="000E5E59" w:rsidRPr="001310AD" w:rsidRDefault="000E5E59" w:rsidP="000E5E59">
            <w:pPr>
              <w:jc w:val="center"/>
              <w:rPr>
                <w:rFonts w:ascii="Arial Narrow" w:hAnsi="Arial Narrow" w:cs="Calibri"/>
                <w:color w:val="000000"/>
                <w:sz w:val="20"/>
                <w:szCs w:val="20"/>
              </w:rPr>
            </w:pPr>
          </w:p>
        </w:tc>
        <w:tc>
          <w:tcPr>
            <w:tcW w:w="703" w:type="pct"/>
            <w:shd w:val="clear" w:color="auto" w:fill="C6D9F1" w:themeFill="text2" w:themeFillTint="33"/>
            <w:vAlign w:val="center"/>
          </w:tcPr>
          <w:p w14:paraId="250F88FA" w14:textId="77777777" w:rsidR="000E5E59" w:rsidRPr="001310AD" w:rsidRDefault="000E5E59" w:rsidP="000E5E59">
            <w:pPr>
              <w:jc w:val="center"/>
              <w:rPr>
                <w:rFonts w:ascii="Arial Narrow" w:hAnsi="Arial Narrow"/>
                <w:sz w:val="20"/>
                <w:szCs w:val="20"/>
              </w:rPr>
            </w:pPr>
            <w:r w:rsidRPr="001310AD">
              <w:rPr>
                <w:rFonts w:ascii="Arial Narrow" w:hAnsi="Arial Narrow" w:cs="Calibri"/>
                <w:color w:val="000000"/>
                <w:sz w:val="20"/>
                <w:szCs w:val="20"/>
              </w:rPr>
              <w:t>501</w:t>
            </w:r>
          </w:p>
        </w:tc>
        <w:tc>
          <w:tcPr>
            <w:tcW w:w="455" w:type="pct"/>
            <w:vAlign w:val="center"/>
          </w:tcPr>
          <w:p w14:paraId="6006A660" w14:textId="77777777" w:rsidR="000E5E59" w:rsidRPr="001310AD" w:rsidRDefault="000E5E59" w:rsidP="000E5E59">
            <w:pPr>
              <w:jc w:val="center"/>
              <w:rPr>
                <w:rFonts w:ascii="Arial Narrow" w:hAnsi="Arial Narrow"/>
                <w:sz w:val="20"/>
                <w:szCs w:val="20"/>
              </w:rPr>
            </w:pPr>
            <w:r w:rsidRPr="001310AD">
              <w:rPr>
                <w:rFonts w:ascii="Arial Narrow" w:hAnsi="Arial Narrow"/>
                <w:sz w:val="20"/>
                <w:szCs w:val="20"/>
              </w:rPr>
              <w:t>495</w:t>
            </w:r>
          </w:p>
        </w:tc>
        <w:tc>
          <w:tcPr>
            <w:tcW w:w="405" w:type="pct"/>
            <w:vMerge/>
            <w:vAlign w:val="center"/>
          </w:tcPr>
          <w:p w14:paraId="7A299C9E" w14:textId="77777777" w:rsidR="000E5E59" w:rsidRPr="001310AD" w:rsidRDefault="000E5E59" w:rsidP="000E5E59">
            <w:pPr>
              <w:jc w:val="center"/>
              <w:rPr>
                <w:rFonts w:ascii="Arial Narrow" w:hAnsi="Arial Narrow"/>
                <w:i/>
                <w:iCs/>
                <w:sz w:val="20"/>
                <w:szCs w:val="20"/>
              </w:rPr>
            </w:pPr>
          </w:p>
        </w:tc>
        <w:tc>
          <w:tcPr>
            <w:tcW w:w="1016" w:type="pct"/>
            <w:vMerge/>
            <w:shd w:val="clear" w:color="auto" w:fill="C6D9F1" w:themeFill="text2" w:themeFillTint="33"/>
            <w:vAlign w:val="center"/>
          </w:tcPr>
          <w:p w14:paraId="296A613F" w14:textId="77777777" w:rsidR="000E5E59" w:rsidRPr="001310AD" w:rsidRDefault="000E5E59" w:rsidP="000E5E59">
            <w:pPr>
              <w:jc w:val="center"/>
              <w:rPr>
                <w:rFonts w:ascii="Arial Narrow" w:hAnsi="Arial Narrow"/>
                <w:sz w:val="20"/>
                <w:szCs w:val="20"/>
              </w:rPr>
            </w:pPr>
          </w:p>
        </w:tc>
      </w:tr>
      <w:tr w:rsidR="00D441FA" w:rsidRPr="001310AD" w14:paraId="454DE350" w14:textId="77777777" w:rsidTr="00D41664">
        <w:tc>
          <w:tcPr>
            <w:tcW w:w="604" w:type="pct"/>
            <w:vAlign w:val="center"/>
          </w:tcPr>
          <w:p w14:paraId="2A72A982" w14:textId="38814C0A" w:rsidR="000E5E59" w:rsidRPr="001310AD" w:rsidRDefault="000E5E59" w:rsidP="000E5E59">
            <w:pPr>
              <w:jc w:val="center"/>
              <w:rPr>
                <w:rFonts w:ascii="Arial Narrow" w:eastAsia="Yu Gothic Light" w:hAnsi="Arial Narrow"/>
                <w:sz w:val="20"/>
                <w:szCs w:val="20"/>
              </w:rPr>
            </w:pPr>
            <w:r w:rsidRPr="001310AD">
              <w:rPr>
                <w:rFonts w:ascii="Arial Narrow" w:eastAsia="Yu Gothic Light" w:hAnsi="Arial Narrow"/>
                <w:sz w:val="20"/>
                <w:szCs w:val="20"/>
              </w:rPr>
              <w:t xml:space="preserve">≥85 </w:t>
            </w:r>
          </w:p>
        </w:tc>
        <w:tc>
          <w:tcPr>
            <w:tcW w:w="494" w:type="pct"/>
          </w:tcPr>
          <w:p w14:paraId="01D908D5" w14:textId="7EC9F1BC" w:rsidR="000E5E59" w:rsidRPr="001310AD" w:rsidRDefault="000E5E59" w:rsidP="000E5E59">
            <w:pPr>
              <w:jc w:val="center"/>
              <w:rPr>
                <w:rFonts w:ascii="Arial Narrow" w:hAnsi="Arial Narrow" w:cs="Calibri"/>
                <w:sz w:val="20"/>
                <w:szCs w:val="20"/>
              </w:rPr>
            </w:pPr>
            <w:r w:rsidRPr="001310AD">
              <w:rPr>
                <w:rFonts w:ascii="Arial Narrow" w:hAnsi="Arial Narrow" w:cs="Calibri"/>
                <w:sz w:val="20"/>
                <w:szCs w:val="20"/>
              </w:rPr>
              <w:t>556</w:t>
            </w:r>
          </w:p>
        </w:tc>
        <w:tc>
          <w:tcPr>
            <w:tcW w:w="463" w:type="pct"/>
            <w:vMerge/>
          </w:tcPr>
          <w:p w14:paraId="00492D01" w14:textId="77777777" w:rsidR="000E5E59" w:rsidRPr="001310AD" w:rsidRDefault="000E5E59" w:rsidP="000E5E59">
            <w:pPr>
              <w:jc w:val="center"/>
              <w:rPr>
                <w:rFonts w:ascii="Arial Narrow" w:hAnsi="Arial Narrow" w:cs="Calibri"/>
                <w:sz w:val="20"/>
                <w:szCs w:val="20"/>
              </w:rPr>
            </w:pPr>
          </w:p>
        </w:tc>
        <w:tc>
          <w:tcPr>
            <w:tcW w:w="391" w:type="pct"/>
            <w:vAlign w:val="center"/>
          </w:tcPr>
          <w:p w14:paraId="0BDDAA2F" w14:textId="6280BFC1" w:rsidR="000E5E59" w:rsidRPr="001310AD" w:rsidRDefault="000E5E59" w:rsidP="000E5E59">
            <w:pPr>
              <w:jc w:val="center"/>
              <w:rPr>
                <w:rFonts w:ascii="Arial Narrow" w:hAnsi="Arial Narrow" w:cs="Calibri"/>
                <w:color w:val="000000"/>
                <w:sz w:val="20"/>
                <w:szCs w:val="20"/>
              </w:rPr>
            </w:pPr>
            <w:r w:rsidRPr="001310AD">
              <w:rPr>
                <w:rFonts w:ascii="Arial Narrow" w:hAnsi="Arial Narrow" w:cs="Calibri"/>
                <w:sz w:val="20"/>
                <w:szCs w:val="20"/>
              </w:rPr>
              <w:t>750</w:t>
            </w:r>
          </w:p>
        </w:tc>
        <w:tc>
          <w:tcPr>
            <w:tcW w:w="469" w:type="pct"/>
            <w:vMerge/>
            <w:vAlign w:val="center"/>
          </w:tcPr>
          <w:p w14:paraId="51D68B44" w14:textId="77777777" w:rsidR="000E5E59" w:rsidRPr="001310AD" w:rsidRDefault="000E5E59" w:rsidP="000E5E59">
            <w:pPr>
              <w:jc w:val="center"/>
              <w:rPr>
                <w:rFonts w:ascii="Arial Narrow" w:hAnsi="Arial Narrow" w:cs="Calibri"/>
                <w:color w:val="000000"/>
                <w:sz w:val="20"/>
                <w:szCs w:val="20"/>
              </w:rPr>
            </w:pPr>
          </w:p>
        </w:tc>
        <w:tc>
          <w:tcPr>
            <w:tcW w:w="703" w:type="pct"/>
            <w:shd w:val="clear" w:color="auto" w:fill="C6D9F1" w:themeFill="text2" w:themeFillTint="33"/>
            <w:vAlign w:val="center"/>
          </w:tcPr>
          <w:p w14:paraId="2EA98067" w14:textId="77777777" w:rsidR="000E5E59" w:rsidRPr="001310AD" w:rsidRDefault="000E5E59" w:rsidP="000E5E59">
            <w:pPr>
              <w:jc w:val="center"/>
              <w:rPr>
                <w:rFonts w:ascii="Arial Narrow" w:hAnsi="Arial Narrow"/>
                <w:sz w:val="20"/>
                <w:szCs w:val="20"/>
              </w:rPr>
            </w:pPr>
            <w:r w:rsidRPr="001310AD">
              <w:rPr>
                <w:rFonts w:ascii="Arial Narrow" w:hAnsi="Arial Narrow" w:cs="Calibri"/>
                <w:color w:val="000000"/>
                <w:sz w:val="20"/>
                <w:szCs w:val="20"/>
              </w:rPr>
              <w:t>916</w:t>
            </w:r>
          </w:p>
        </w:tc>
        <w:tc>
          <w:tcPr>
            <w:tcW w:w="455" w:type="pct"/>
            <w:vAlign w:val="center"/>
          </w:tcPr>
          <w:p w14:paraId="37AFBAF2" w14:textId="77777777" w:rsidR="000E5E59" w:rsidRPr="001310AD" w:rsidRDefault="000E5E59" w:rsidP="000E5E59">
            <w:pPr>
              <w:jc w:val="center"/>
              <w:rPr>
                <w:rFonts w:ascii="Arial Narrow" w:hAnsi="Arial Narrow"/>
                <w:sz w:val="20"/>
                <w:szCs w:val="20"/>
              </w:rPr>
            </w:pPr>
            <w:r w:rsidRPr="001310AD">
              <w:rPr>
                <w:rFonts w:ascii="Arial Narrow" w:hAnsi="Arial Narrow"/>
                <w:sz w:val="20"/>
                <w:szCs w:val="20"/>
              </w:rPr>
              <w:t>495</w:t>
            </w:r>
          </w:p>
        </w:tc>
        <w:tc>
          <w:tcPr>
            <w:tcW w:w="405" w:type="pct"/>
            <w:vMerge/>
            <w:vAlign w:val="center"/>
          </w:tcPr>
          <w:p w14:paraId="6BA3B359" w14:textId="77777777" w:rsidR="000E5E59" w:rsidRPr="001310AD" w:rsidRDefault="000E5E59" w:rsidP="000E5E59">
            <w:pPr>
              <w:jc w:val="center"/>
              <w:rPr>
                <w:rFonts w:ascii="Arial Narrow" w:hAnsi="Arial Narrow"/>
                <w:i/>
                <w:iCs/>
                <w:sz w:val="20"/>
                <w:szCs w:val="20"/>
              </w:rPr>
            </w:pPr>
          </w:p>
        </w:tc>
        <w:tc>
          <w:tcPr>
            <w:tcW w:w="1016" w:type="pct"/>
            <w:vMerge/>
            <w:shd w:val="clear" w:color="auto" w:fill="C6D9F1" w:themeFill="text2" w:themeFillTint="33"/>
            <w:vAlign w:val="center"/>
          </w:tcPr>
          <w:p w14:paraId="02244A95" w14:textId="77777777" w:rsidR="000E5E59" w:rsidRPr="001310AD" w:rsidRDefault="000E5E59" w:rsidP="000E5E59">
            <w:pPr>
              <w:jc w:val="center"/>
              <w:rPr>
                <w:rFonts w:ascii="Arial Narrow" w:hAnsi="Arial Narrow"/>
                <w:sz w:val="20"/>
                <w:szCs w:val="20"/>
              </w:rPr>
            </w:pPr>
          </w:p>
        </w:tc>
      </w:tr>
    </w:tbl>
    <w:p w14:paraId="58163BD8" w14:textId="37D1C8E7" w:rsidR="004E5979" w:rsidRPr="001310AD" w:rsidRDefault="004E5979" w:rsidP="00066FB8">
      <w:pPr>
        <w:pStyle w:val="TableFigureFooter"/>
        <w:jc w:val="both"/>
      </w:pPr>
      <w:r w:rsidRPr="001310AD">
        <w:t>Source: Compiled during the evaluation; Table 3-19, p204 of the resubmission; worksheet ‘</w:t>
      </w:r>
      <w:proofErr w:type="spellStart"/>
      <w:r w:rsidRPr="001310AD">
        <w:t>ResubUpdates</w:t>
      </w:r>
      <w:proofErr w:type="spellEnd"/>
      <w:r w:rsidRPr="001310AD">
        <w:t>’ of the economic model from the resubmission; Table 40, p73, ATAGI Advice, March 2025; para</w:t>
      </w:r>
      <w:r w:rsidR="00521FF0" w:rsidRPr="001310AD">
        <w:t>graph</w:t>
      </w:r>
      <w:r w:rsidRPr="001310AD">
        <w:t xml:space="preserve"> 7.16, RSVPreF PSD, November</w:t>
      </w:r>
      <w:r w:rsidR="00FE21AA" w:rsidRPr="001310AD">
        <w:t xml:space="preserve"> 2024</w:t>
      </w:r>
      <w:r w:rsidR="000E5E59" w:rsidRPr="001310AD">
        <w:t>; Table 2 of PSCR</w:t>
      </w:r>
      <w:r w:rsidRPr="001310AD">
        <w:t>.</w:t>
      </w:r>
    </w:p>
    <w:p w14:paraId="6802BEC2" w14:textId="6BC7B14B" w:rsidR="004E5979" w:rsidRPr="001310AD" w:rsidRDefault="004E5979" w:rsidP="00066FB8">
      <w:pPr>
        <w:pStyle w:val="TableFigureFooter"/>
        <w:jc w:val="both"/>
      </w:pPr>
      <w:r w:rsidRPr="001310AD">
        <w:t>ATAGI = Australian Technical Advisory Group on Immunisation; RSVPreF = recombinant RSV prefusion F protein vaccine.</w:t>
      </w:r>
    </w:p>
    <w:p w14:paraId="4C5D0AE4" w14:textId="3D05BAC3" w:rsidR="004E5979" w:rsidRPr="001310AD" w:rsidRDefault="004E5979" w:rsidP="00066FB8">
      <w:pPr>
        <w:pStyle w:val="TableFigureFooter"/>
        <w:jc w:val="both"/>
      </w:pPr>
      <w:r w:rsidRPr="001310AD">
        <w:rPr>
          <w:vertAlign w:val="superscript"/>
        </w:rPr>
        <w:t>a</w:t>
      </w:r>
      <w:r w:rsidRPr="001310AD">
        <w:t xml:space="preserve"> </w:t>
      </w:r>
      <w:r w:rsidR="00A40A6D" w:rsidRPr="001310AD">
        <w:t>W</w:t>
      </w:r>
      <w:r w:rsidRPr="001310AD">
        <w:t>eighted by population size of each age category from the resubmission</w:t>
      </w:r>
      <w:r w:rsidR="00D441FA" w:rsidRPr="001310AD">
        <w:t xml:space="preserve"> i.</w:t>
      </w:r>
      <w:r w:rsidR="00D441FA" w:rsidRPr="001310AD">
        <w:rPr>
          <w:i/>
          <w:iCs/>
        </w:rPr>
        <w:t xml:space="preserve">e. </w:t>
      </w:r>
      <w:r w:rsidR="00D441FA" w:rsidRPr="001310AD">
        <w:t xml:space="preserve">using a population weighting </w:t>
      </w:r>
      <w:proofErr w:type="gramStart"/>
      <w:r w:rsidR="00D441FA" w:rsidRPr="001310AD">
        <w:t>of:</w:t>
      </w:r>
      <w:proofErr w:type="gramEnd"/>
      <w:r w:rsidR="00D441FA" w:rsidRPr="001310AD">
        <w:t xml:space="preserve"> 45% 75-79 YOA; and 55% 80+ YOA</w:t>
      </w:r>
      <w:r w:rsidRPr="001310AD">
        <w:t>. This weighted estimate is for comparison purposes, as the resubmission used rates per age band for the economic model.</w:t>
      </w:r>
    </w:p>
    <w:p w14:paraId="2877B4AE" w14:textId="534EE042" w:rsidR="004E5979" w:rsidRPr="001310AD" w:rsidRDefault="004E5979" w:rsidP="00066FB8">
      <w:pPr>
        <w:pStyle w:val="TableFigureFooter"/>
        <w:jc w:val="both"/>
      </w:pPr>
      <w:r w:rsidRPr="001310AD">
        <w:rPr>
          <w:vertAlign w:val="superscript"/>
        </w:rPr>
        <w:t>b</w:t>
      </w:r>
      <w:r w:rsidRPr="001310AD">
        <w:t xml:space="preserve"> Per the ATAGI advice based on a multiplication function of 2.0 (Table 40, p73, ATAGI Advice, March 2025). </w:t>
      </w:r>
    </w:p>
    <w:p w14:paraId="2FD701B1" w14:textId="46413335" w:rsidR="004E5979" w:rsidRPr="001310AD" w:rsidRDefault="004E5979" w:rsidP="00066FB8">
      <w:pPr>
        <w:pStyle w:val="TableFigureFooter"/>
        <w:jc w:val="both"/>
      </w:pPr>
      <w:r w:rsidRPr="001310AD">
        <w:rPr>
          <w:vertAlign w:val="superscript"/>
        </w:rPr>
        <w:t>c</w:t>
      </w:r>
      <w:r w:rsidRPr="001310AD">
        <w:t xml:space="preserve"> </w:t>
      </w:r>
      <w:r w:rsidR="00BB330A" w:rsidRPr="001310AD">
        <w:t>Per the ATAGI advice (</w:t>
      </w:r>
      <w:r w:rsidRPr="001310AD">
        <w:t>para</w:t>
      </w:r>
      <w:r w:rsidR="00521FF0" w:rsidRPr="001310AD">
        <w:t>graph</w:t>
      </w:r>
      <w:r w:rsidRPr="001310AD">
        <w:t xml:space="preserve"> 6.54, </w:t>
      </w:r>
      <w:r w:rsidR="000F4603" w:rsidRPr="001310AD">
        <w:t>and 7.16</w:t>
      </w:r>
      <w:r w:rsidR="00BA46D8" w:rsidRPr="001310AD">
        <w:t>,</w:t>
      </w:r>
      <w:r w:rsidR="000F4603" w:rsidRPr="001310AD">
        <w:t xml:space="preserve"> </w:t>
      </w:r>
      <w:r w:rsidRPr="001310AD">
        <w:t>RSVPreF PSD, November 2024</w:t>
      </w:r>
      <w:r w:rsidR="00BB330A" w:rsidRPr="001310AD">
        <w:t>)</w:t>
      </w:r>
      <w:r w:rsidRPr="001310AD">
        <w:t>.</w:t>
      </w:r>
      <w:r w:rsidR="00BB330A" w:rsidRPr="001310AD">
        <w:t xml:space="preserve"> The original rate presented by the November 2024 RSVPreF submission was 398 per 100,000 person-years.</w:t>
      </w:r>
      <w:r w:rsidR="00EE77E8" w:rsidRPr="001310AD">
        <w:t xml:space="preserve"> </w:t>
      </w:r>
      <w:r w:rsidRPr="001310AD">
        <w:t>Blue shading indicates data previously seen by the PBAC.</w:t>
      </w:r>
    </w:p>
    <w:p w14:paraId="31EA0456" w14:textId="77777777" w:rsidR="00457D50" w:rsidRPr="001310AD" w:rsidRDefault="00457D50" w:rsidP="00457D50">
      <w:pPr>
        <w:pStyle w:val="3-BodyText"/>
        <w:numPr>
          <w:ilvl w:val="0"/>
          <w:numId w:val="0"/>
        </w:numPr>
        <w:spacing w:before="0" w:after="0"/>
        <w:ind w:left="720" w:hanging="720"/>
        <w:rPr>
          <w:sz w:val="18"/>
          <w:szCs w:val="18"/>
        </w:rPr>
      </w:pPr>
    </w:p>
    <w:p w14:paraId="6668AADB" w14:textId="5F923F2A" w:rsidR="004E5979" w:rsidRPr="001310AD" w:rsidRDefault="004E5979" w:rsidP="001B7237">
      <w:pPr>
        <w:pStyle w:val="3-BodyText"/>
      </w:pPr>
      <w:bookmarkStart w:id="74" w:name="_Ref197329065"/>
      <w:r w:rsidRPr="001310AD">
        <w:t xml:space="preserve">The resubmission’s approach for adjusting RSV-associated hospitalisation rates was to use the 2016-2019 AIHW National Hospital Morbidity Database (NHMD) hospitalisation crude rate to which it applied 2 separate multipliers: one of 2.0 (noted as an under-testing correction) and another of 1.5 (noted as an under-ascertainment multiplier for test sensitivity based on 66% sensitivity of RT-PCR of nasopharyngeal swabs). This approach, specifically the application of the 1.5 multiplier, </w:t>
      </w:r>
      <w:r w:rsidR="000E5E59" w:rsidRPr="001310AD">
        <w:t>wa</w:t>
      </w:r>
      <w:r w:rsidRPr="001310AD">
        <w:t>s inconsistent with previous advice from the ATAGI and PBAC. The ATAGI advised that the crude AIHW NHMD hospitalisation rate data should be used as the base case for unadjusted RSV-associated hospitalisation rates, and that applying a multiplication factor of 2.0 to these rates is appropriate (ATAGI Advice, March 2025). This multiplication factor of 2.0 was also recommended for RSVPreF</w:t>
      </w:r>
      <w:r w:rsidRPr="001310AD" w:rsidDel="001D5185">
        <w:t xml:space="preserve"> </w:t>
      </w:r>
      <w:r w:rsidRPr="001310AD">
        <w:t>submitted for PBAC’s consideration in the November 2024 meeting by ATAGI and PBAC (para</w:t>
      </w:r>
      <w:r w:rsidR="00521FF0" w:rsidRPr="001310AD">
        <w:t>graph</w:t>
      </w:r>
      <w:r w:rsidRPr="001310AD">
        <w:t xml:space="preserve"> 6.54 and </w:t>
      </w:r>
      <w:r w:rsidRPr="001310AD">
        <w:lastRenderedPageBreak/>
        <w:t>7.16, RSVPreF PSD, November 2024). The impact on the cost-effectiveness results of excluding the 1.5 multiplier is presented in sensitivity analyses.</w:t>
      </w:r>
      <w:bookmarkEnd w:id="74"/>
    </w:p>
    <w:p w14:paraId="1569A449" w14:textId="1FB82920" w:rsidR="001421C7" w:rsidRPr="001310AD" w:rsidRDefault="00A91DBA" w:rsidP="00AB7291">
      <w:pPr>
        <w:pStyle w:val="3-BodyText"/>
        <w:rPr>
          <w:szCs w:val="24"/>
        </w:rPr>
      </w:pPr>
      <w:r w:rsidRPr="001310AD">
        <w:t>The PSCR argued that the 2.0 multiplier does not completely account for the under-reporting of RSV hospitalisation cases</w:t>
      </w:r>
      <w:r w:rsidR="001421C7" w:rsidRPr="001310AD">
        <w:t>. The PSCR</w:t>
      </w:r>
      <w:r w:rsidRPr="001310AD">
        <w:t xml:space="preserve"> considered </w:t>
      </w:r>
      <w:r w:rsidR="001421C7" w:rsidRPr="001310AD">
        <w:t xml:space="preserve">that </w:t>
      </w:r>
      <w:r w:rsidRPr="001310AD">
        <w:t>the RSV hospital</w:t>
      </w:r>
      <w:r w:rsidR="001421C7" w:rsidRPr="001310AD">
        <w:t>isation</w:t>
      </w:r>
      <w:r w:rsidRPr="001310AD">
        <w:t xml:space="preserve"> rates reported in the years closer to </w:t>
      </w:r>
      <w:r w:rsidR="001421C7" w:rsidRPr="001310AD">
        <w:t xml:space="preserve">the </w:t>
      </w:r>
      <w:r w:rsidRPr="001310AD">
        <w:t xml:space="preserve">onset of the COVID-19 pandemic </w:t>
      </w:r>
      <w:r w:rsidR="001421C7" w:rsidRPr="001310AD">
        <w:t xml:space="preserve">(i.e. 2018-19) </w:t>
      </w:r>
      <w:r w:rsidRPr="001310AD">
        <w:t xml:space="preserve">were under-estimated </w:t>
      </w:r>
      <w:r w:rsidR="001E0D68" w:rsidRPr="001310AD">
        <w:t xml:space="preserve">to a lesser extent </w:t>
      </w:r>
      <w:r w:rsidR="001421C7" w:rsidRPr="001310AD">
        <w:t xml:space="preserve">(i.e. compared with the </w:t>
      </w:r>
      <w:r w:rsidR="001421C7" w:rsidRPr="001310AD">
        <w:rPr>
          <w:szCs w:val="24"/>
        </w:rPr>
        <w:t>2016–2019 AIHW data)</w:t>
      </w:r>
      <w:r w:rsidR="001421C7" w:rsidRPr="001310AD">
        <w:t xml:space="preserve"> </w:t>
      </w:r>
      <w:r w:rsidRPr="001310AD">
        <w:t xml:space="preserve">due to improved RSV testing practices. As such, the PSCR presented a revised </w:t>
      </w:r>
      <w:r w:rsidR="00FE18C5" w:rsidRPr="001310AD">
        <w:t>scenario analysis</w:t>
      </w:r>
      <w:r w:rsidRPr="001310AD">
        <w:t xml:space="preserve"> in which the 2.0 multiplier was applied to 2018-19 AIHW data (rather than a 2.0 multiplier and a 1.5 multiplier being applied to 2016-19 AIHW data). The resulting rates are </w:t>
      </w:r>
      <w:r w:rsidR="00FE18C5" w:rsidRPr="001310AD">
        <w:t xml:space="preserve">shown in </w:t>
      </w:r>
      <w:r w:rsidR="00FE18C5" w:rsidRPr="001310AD">
        <w:fldChar w:fldCharType="begin"/>
      </w:r>
      <w:r w:rsidR="00FE18C5" w:rsidRPr="001310AD">
        <w:instrText xml:space="preserve"> REF _Ref195680247 \h  \* MERGEFORMAT </w:instrText>
      </w:r>
      <w:r w:rsidR="00FE18C5" w:rsidRPr="001310AD">
        <w:fldChar w:fldCharType="separate"/>
      </w:r>
      <w:r w:rsidR="001F75E0" w:rsidRPr="001310AD">
        <w:t>Table 15</w:t>
      </w:r>
      <w:r w:rsidR="00FE18C5" w:rsidRPr="001310AD">
        <w:fldChar w:fldCharType="end"/>
      </w:r>
      <w:r w:rsidRPr="001310AD">
        <w:t>.</w:t>
      </w:r>
      <w:r w:rsidR="0092395E" w:rsidRPr="001310AD">
        <w:t xml:space="preserve"> </w:t>
      </w:r>
    </w:p>
    <w:p w14:paraId="05DDCF01" w14:textId="15EBE66B" w:rsidR="0075714D" w:rsidRPr="001310AD" w:rsidRDefault="005D33B2" w:rsidP="003A612A">
      <w:pPr>
        <w:pStyle w:val="3-BodyText"/>
        <w:rPr>
          <w:szCs w:val="24"/>
        </w:rPr>
      </w:pPr>
      <w:bookmarkStart w:id="75" w:name="_Ref204240121"/>
      <w:r w:rsidRPr="001310AD">
        <w:rPr>
          <w:szCs w:val="24"/>
        </w:rPr>
        <w:t xml:space="preserve">The ESC </w:t>
      </w:r>
      <w:r w:rsidR="001421C7" w:rsidRPr="001310AD">
        <w:rPr>
          <w:szCs w:val="24"/>
        </w:rPr>
        <w:t xml:space="preserve">considered that the </w:t>
      </w:r>
      <w:r w:rsidR="00C659C2" w:rsidRPr="001310AD">
        <w:rPr>
          <w:szCs w:val="24"/>
        </w:rPr>
        <w:t>RSV-associated hospitalisation rate should align with the value previously recommended by the PBAC in its November 2024 consideration of RSVPreF</w:t>
      </w:r>
      <w:r w:rsidR="00D441FA" w:rsidRPr="001310AD">
        <w:rPr>
          <w:szCs w:val="24"/>
        </w:rPr>
        <w:t xml:space="preserve"> (i.e. based on AIHW 2016-2019 data with a 2.0 multiplier)</w:t>
      </w:r>
      <w:r w:rsidR="00C659C2" w:rsidRPr="001310AD">
        <w:rPr>
          <w:szCs w:val="24"/>
        </w:rPr>
        <w:t xml:space="preserve">, which was </w:t>
      </w:r>
      <w:r w:rsidR="00D441FA" w:rsidRPr="001310AD">
        <w:rPr>
          <w:szCs w:val="24"/>
        </w:rPr>
        <w:t xml:space="preserve">a rate of 240 per 100,000 in people aged 75-79 years, and 495 per 100,000 in people aged 80+ years (weighted average of </w:t>
      </w:r>
      <w:r w:rsidR="00C659C2" w:rsidRPr="001310AD">
        <w:rPr>
          <w:szCs w:val="24"/>
        </w:rPr>
        <w:t>384 per 100,000 person-years for the ≥75 YOA population</w:t>
      </w:r>
      <w:r w:rsidR="00D441FA" w:rsidRPr="001310AD">
        <w:rPr>
          <w:szCs w:val="24"/>
        </w:rPr>
        <w:t>)</w:t>
      </w:r>
      <w:r w:rsidR="00C659C2" w:rsidRPr="001310AD">
        <w:rPr>
          <w:szCs w:val="24"/>
        </w:rPr>
        <w:t>.</w:t>
      </w:r>
      <w:r w:rsidR="00044091">
        <w:rPr>
          <w:szCs w:val="24"/>
        </w:rPr>
        <w:t xml:space="preserve"> </w:t>
      </w:r>
      <w:r w:rsidR="00B23D8A" w:rsidRPr="001310AD">
        <w:rPr>
          <w:szCs w:val="24"/>
        </w:rPr>
        <w:t xml:space="preserve">The pre-PBAC response </w:t>
      </w:r>
      <w:r w:rsidR="00D43B7B" w:rsidRPr="001310AD">
        <w:rPr>
          <w:szCs w:val="24"/>
        </w:rPr>
        <w:t>proposed that application of AIHW data from 2018-19 would be appropriate</w:t>
      </w:r>
      <w:r w:rsidR="00753896" w:rsidRPr="001310AD">
        <w:rPr>
          <w:szCs w:val="24"/>
        </w:rPr>
        <w:t xml:space="preserve"> </w:t>
      </w:r>
      <w:r w:rsidR="00753896" w:rsidRPr="001310AD">
        <w:t xml:space="preserve">(i.e., </w:t>
      </w:r>
      <w:r w:rsidR="00753896" w:rsidRPr="001310AD">
        <w:rPr>
          <w:szCs w:val="24"/>
        </w:rPr>
        <w:t>exclusion of 2016-17 data)</w:t>
      </w:r>
      <w:r w:rsidR="00D43B7B" w:rsidRPr="001310AD">
        <w:rPr>
          <w:szCs w:val="24"/>
        </w:rPr>
        <w:t xml:space="preserve">, </w:t>
      </w:r>
      <w:r w:rsidR="00443556" w:rsidRPr="001310AD">
        <w:rPr>
          <w:szCs w:val="24"/>
        </w:rPr>
        <w:t xml:space="preserve">however the PBAC noted this advice was not consistent with the ATAGI </w:t>
      </w:r>
      <w:proofErr w:type="spellStart"/>
      <w:r w:rsidR="00443556" w:rsidRPr="001310AD">
        <w:rPr>
          <w:szCs w:val="24"/>
        </w:rPr>
        <w:t>pre-submission</w:t>
      </w:r>
      <w:proofErr w:type="spellEnd"/>
      <w:r w:rsidR="00443556" w:rsidRPr="001310AD">
        <w:rPr>
          <w:szCs w:val="24"/>
        </w:rPr>
        <w:t xml:space="preserve"> advice </w:t>
      </w:r>
      <w:r w:rsidR="00443556" w:rsidRPr="001310AD">
        <w:t xml:space="preserve">dated 7 March 2025 (see paragraph </w:t>
      </w:r>
      <w:r w:rsidR="00443556" w:rsidRPr="001310AD">
        <w:fldChar w:fldCharType="begin"/>
      </w:r>
      <w:r w:rsidR="00443556" w:rsidRPr="001310AD">
        <w:instrText xml:space="preserve"> REF _Ref204239701 \r \h </w:instrText>
      </w:r>
      <w:r w:rsidR="00443556" w:rsidRPr="001310AD">
        <w:fldChar w:fldCharType="separate"/>
      </w:r>
      <w:r w:rsidR="00A763D9">
        <w:t>6.81</w:t>
      </w:r>
      <w:r w:rsidR="00443556" w:rsidRPr="001310AD">
        <w:fldChar w:fldCharType="end"/>
      </w:r>
      <w:r w:rsidR="00443556" w:rsidRPr="001310AD">
        <w:t>)</w:t>
      </w:r>
      <w:r w:rsidR="00634E86" w:rsidRPr="001310AD">
        <w:rPr>
          <w:szCs w:val="24"/>
        </w:rPr>
        <w:t>.</w:t>
      </w:r>
      <w:r w:rsidR="00002E45" w:rsidRPr="001310AD">
        <w:rPr>
          <w:szCs w:val="24"/>
        </w:rPr>
        <w:t xml:space="preserve"> </w:t>
      </w:r>
      <w:bookmarkEnd w:id="75"/>
    </w:p>
    <w:p w14:paraId="586F7F4E" w14:textId="4E2C7DFC" w:rsidR="004E5979" w:rsidRPr="001310AD" w:rsidRDefault="004E5979" w:rsidP="00DA0BC3">
      <w:pPr>
        <w:pStyle w:val="3-BodyText"/>
      </w:pPr>
      <w:bookmarkStart w:id="76" w:name="_Ref200978551"/>
      <w:r w:rsidRPr="001310AD">
        <w:t>The resubmission estimated the RSV-associated hospitalisation rate for Aboriginal and Torres Strait Islander people to be 364 per 100,000 person-years for 60-64 YOA and 750 for 65-74 YOA</w:t>
      </w:r>
      <w:r w:rsidR="004B7A97" w:rsidRPr="001310AD">
        <w:t xml:space="preserve"> </w:t>
      </w:r>
      <w:r w:rsidR="00010356" w:rsidRPr="001310AD">
        <w:t>(572 for 60-74 YOA, weighted by the population size of each age category</w:t>
      </w:r>
      <w:r w:rsidR="004B7A97" w:rsidRPr="001310AD">
        <w:t>)</w:t>
      </w:r>
      <w:r w:rsidRPr="001310AD">
        <w:t xml:space="preserve">. </w:t>
      </w:r>
      <w:r w:rsidR="00192F43" w:rsidRPr="001310AD">
        <w:t>The evaluation noted that a</w:t>
      </w:r>
      <w:r w:rsidRPr="001310AD">
        <w:t xml:space="preserve">lthough these estimates </w:t>
      </w:r>
      <w:r w:rsidR="00753896" w:rsidRPr="001310AD">
        <w:t>we</w:t>
      </w:r>
      <w:r w:rsidRPr="001310AD">
        <w:t xml:space="preserve">re inconsistent with the ATAGI </w:t>
      </w:r>
      <w:proofErr w:type="spellStart"/>
      <w:r w:rsidRPr="001310AD">
        <w:t>pre-submission</w:t>
      </w:r>
      <w:proofErr w:type="spellEnd"/>
      <w:r w:rsidRPr="001310AD">
        <w:t xml:space="preserve"> advice to the PBAC (i.e., 240 for 60-64 YOA and 495 for 65-74 YOA;ATAGI Advice, March 2025), they are comparable with those in the RSVPreF</w:t>
      </w:r>
      <w:r w:rsidR="00EA6A65" w:rsidRPr="001310AD">
        <w:t xml:space="preserve"> </w:t>
      </w:r>
      <w:r w:rsidRPr="001310AD">
        <w:t xml:space="preserve">submission </w:t>
      </w:r>
      <w:r w:rsidR="00EA6A65" w:rsidRPr="001310AD">
        <w:t xml:space="preserve">considered at </w:t>
      </w:r>
      <w:r w:rsidRPr="001310AD">
        <w:t>the PBAC November 2024 meeting (576 for 60-74 YOA; para</w:t>
      </w:r>
      <w:r w:rsidR="00521FF0" w:rsidRPr="001310AD">
        <w:t>graph</w:t>
      </w:r>
      <w:r w:rsidRPr="001310AD">
        <w:t xml:space="preserve"> 7.18, RSVPreF PSD, November 2024). The PBAC previously stated that the rate estimated in the RSVPreF submission, which was consistent with advice provided by ATAGI (1.5 times the rate for ≥75 YOA years), was reasonable in the context of the relatively small population size (para</w:t>
      </w:r>
      <w:r w:rsidR="0097432B" w:rsidRPr="001310AD">
        <w:t>graph</w:t>
      </w:r>
      <w:r w:rsidRPr="001310AD">
        <w:t xml:space="preserve"> 7.18, RSVPreF PSD, November 2024)</w:t>
      </w:r>
      <w:r w:rsidR="00F5428A" w:rsidRPr="001310AD">
        <w:t>. T</w:t>
      </w:r>
      <w:r w:rsidR="009E62D3" w:rsidRPr="001310AD">
        <w:t>he PSCR</w:t>
      </w:r>
      <w:r w:rsidR="00DF5E04" w:rsidRPr="001310AD">
        <w:t xml:space="preserve"> for</w:t>
      </w:r>
      <w:r w:rsidR="00C4113D" w:rsidRPr="001310AD">
        <w:t xml:space="preserve"> RSVPreF3 OA</w:t>
      </w:r>
      <w:r w:rsidR="00F5428A" w:rsidRPr="001310AD">
        <w:t>, in the revised base case analysis for the Aboriginal and Torres Strait Islander people aged 60</w:t>
      </w:r>
      <w:r w:rsidR="00126494" w:rsidRPr="001310AD">
        <w:t>–</w:t>
      </w:r>
      <w:r w:rsidR="00F5428A" w:rsidRPr="001310AD">
        <w:t xml:space="preserve">74 years population, applied a </w:t>
      </w:r>
      <w:r w:rsidR="00AC3EC5" w:rsidRPr="001310AD">
        <w:t>multiplier of 1.5</w:t>
      </w:r>
      <w:r w:rsidR="00F5428A" w:rsidRPr="001310AD">
        <w:t xml:space="preserve"> to the rate that it had estimated for the </w:t>
      </w:r>
      <w:r w:rsidR="007749D1" w:rsidRPr="001310AD">
        <w:t xml:space="preserve">≥75 YOA </w:t>
      </w:r>
      <w:r w:rsidR="00F5428A" w:rsidRPr="001310AD">
        <w:t xml:space="preserve">population (i.e. 443*1.5) to derive a </w:t>
      </w:r>
      <w:r w:rsidR="007749D1" w:rsidRPr="001310AD">
        <w:t xml:space="preserve">hospitalisation rate of </w:t>
      </w:r>
      <w:r w:rsidR="00EF4EF6" w:rsidRPr="001310AD">
        <w:t xml:space="preserve">665 per 100,000 </w:t>
      </w:r>
      <w:r w:rsidR="00834F6C" w:rsidRPr="001310AD">
        <w:t>people</w:t>
      </w:r>
      <w:r w:rsidR="00031C24" w:rsidRPr="001310AD">
        <w:t>.</w:t>
      </w:r>
      <w:r w:rsidR="00F5428A" w:rsidRPr="001310AD">
        <w:t xml:space="preserve"> However, the ESC considered that the </w:t>
      </w:r>
      <w:r w:rsidR="00F5428A" w:rsidRPr="001310AD">
        <w:rPr>
          <w:szCs w:val="24"/>
        </w:rPr>
        <w:t xml:space="preserve">RSV-associated hospitalisation rate in this population should align with the value previously recommended by the PBAC in its November 2024 consideration of RSVPreF in this same population (i.e. a weighted rate of 576 </w:t>
      </w:r>
      <w:r w:rsidR="00F5428A" w:rsidRPr="001310AD">
        <w:t>for Aboriginal and Torres Strait Islander people aged 60-74 years).</w:t>
      </w:r>
      <w:bookmarkEnd w:id="76"/>
    </w:p>
    <w:p w14:paraId="4873B4D1" w14:textId="6525E12A" w:rsidR="004E5979" w:rsidRPr="001310AD" w:rsidRDefault="004E5979" w:rsidP="00DA0BC3">
      <w:pPr>
        <w:pStyle w:val="3-BodyText"/>
      </w:pPr>
      <w:r w:rsidRPr="001310AD">
        <w:t>The resubmission applied the same baseline utility values obtained from Redwood et al. 2024 for both the ≥75 YOA and Aboriginal and Torres Strait Islander people 60</w:t>
      </w:r>
      <w:r w:rsidR="000C6676" w:rsidRPr="001310AD">
        <w:t>–</w:t>
      </w:r>
      <w:r w:rsidRPr="001310AD">
        <w:t xml:space="preserve">74 YOA. Aboriginal and Torres Strait Islander peoples generally report lower health-related quality of life than the Australian population norms. The PBAC also </w:t>
      </w:r>
      <w:r w:rsidR="001D3ED2" w:rsidRPr="001310AD">
        <w:t xml:space="preserve">previously </w:t>
      </w:r>
      <w:r w:rsidRPr="001310AD">
        <w:lastRenderedPageBreak/>
        <w:t>noted a lower utility value applied for Aboriginal and Torres Strait Islander peoples in the RSVPreF submission (0.675 from Banham 2019; Table 11, RSVPreF PSD, November 2024)</w:t>
      </w:r>
      <w:r w:rsidR="00B84E15" w:rsidRPr="001310AD">
        <w:t>; the impact of using the Banham 2019 utility value was tested in a sensitivity analysis during the evaluation</w:t>
      </w:r>
      <w:r w:rsidRPr="001310AD">
        <w:t xml:space="preserve">. </w:t>
      </w:r>
      <w:r w:rsidR="002B42A3" w:rsidRPr="001310AD">
        <w:t xml:space="preserve">The PSCR applied the utility value from Banham 2019 (i.e. 0.675) in its revised scenario analysis for Aboriginal and Torres Strait Islander people </w:t>
      </w:r>
      <w:r w:rsidR="002B04F5" w:rsidRPr="001310AD">
        <w:t xml:space="preserve">aged </w:t>
      </w:r>
      <w:r w:rsidR="002B42A3" w:rsidRPr="001310AD">
        <w:t xml:space="preserve">60-74 </w:t>
      </w:r>
      <w:r w:rsidR="002B04F5" w:rsidRPr="001310AD">
        <w:t>years, consistent with the RSVPreF PSD from November 2024</w:t>
      </w:r>
      <w:r w:rsidR="002B42A3" w:rsidRPr="001310AD">
        <w:t xml:space="preserve">. </w:t>
      </w:r>
    </w:p>
    <w:p w14:paraId="19EC9BD5" w14:textId="5DFF699B" w:rsidR="004E5979" w:rsidRPr="001310AD" w:rsidRDefault="004E5979" w:rsidP="004E2D1F">
      <w:pPr>
        <w:pStyle w:val="3-BodyText"/>
      </w:pPr>
      <w:bookmarkStart w:id="77" w:name="_Ref197329342"/>
      <w:r w:rsidRPr="001310AD">
        <w:t xml:space="preserve">A summary of the updated RSV-associated hospitalisation costs presented in the resubmission compared to those previously seen by the PBAC is </w:t>
      </w:r>
      <w:r w:rsidRPr="00DD14BE">
        <w:t xml:space="preserve">presented in </w:t>
      </w:r>
      <w:r w:rsidRPr="00DD14BE">
        <w:fldChar w:fldCharType="begin"/>
      </w:r>
      <w:r w:rsidRPr="00DD14BE">
        <w:instrText xml:space="preserve"> REF _Ref195681261 \h  \* MERGEFORMAT </w:instrText>
      </w:r>
      <w:r w:rsidRPr="00DD14BE">
        <w:fldChar w:fldCharType="separate"/>
      </w:r>
      <w:r w:rsidR="001F75E0" w:rsidRPr="00DD14BE">
        <w:t>Table 16</w:t>
      </w:r>
      <w:r w:rsidRPr="00DD14BE">
        <w:fldChar w:fldCharType="end"/>
      </w:r>
      <w:r w:rsidRPr="00DD14BE">
        <w:t>. The updated cost in the resubmission was estimated at $20,091</w:t>
      </w:r>
      <w:r w:rsidR="00B826CA" w:rsidRPr="00DD14BE">
        <w:t>,</w:t>
      </w:r>
      <w:r w:rsidRPr="00DD14BE">
        <w:t xml:space="preserve"> </w:t>
      </w:r>
      <w:r w:rsidR="00FE18C5" w:rsidRPr="00DD14BE">
        <w:t xml:space="preserve">which was </w:t>
      </w:r>
      <w:proofErr w:type="gramStart"/>
      <w:r w:rsidR="00FE18C5" w:rsidRPr="00DD14BE">
        <w:t>similar</w:t>
      </w:r>
      <w:r w:rsidRPr="00DD14BE">
        <w:t xml:space="preserve"> to</w:t>
      </w:r>
      <w:proofErr w:type="gramEnd"/>
      <w:r w:rsidRPr="00DD14BE">
        <w:t xml:space="preserve"> th</w:t>
      </w:r>
      <w:r w:rsidR="005C2B96" w:rsidRPr="00DD14BE">
        <w:t xml:space="preserve">e </w:t>
      </w:r>
      <w:r w:rsidR="00FE18C5" w:rsidRPr="00DD14BE">
        <w:t xml:space="preserve">value </w:t>
      </w:r>
      <w:r w:rsidRPr="00DD14BE">
        <w:t>the ESC considered w</w:t>
      </w:r>
      <w:r w:rsidR="005C2B96" w:rsidRPr="00DD14BE">
        <w:t>as an</w:t>
      </w:r>
      <w:r w:rsidRPr="00DD14BE">
        <w:t xml:space="preserve"> overestimate in the July 2024 submission. </w:t>
      </w:r>
      <w:r w:rsidR="00324D4D" w:rsidRPr="00DD14BE">
        <w:t xml:space="preserve">With </w:t>
      </w:r>
      <w:r w:rsidRPr="00DD14BE">
        <w:t xml:space="preserve">respect </w:t>
      </w:r>
      <w:r w:rsidR="00324D4D" w:rsidRPr="00DD14BE">
        <w:t>to</w:t>
      </w:r>
      <w:r w:rsidRPr="00DD14BE">
        <w:t xml:space="preserve"> the July 2024 submission, the ESC suggested a hospitalisation cost of $9,219 </w:t>
      </w:r>
      <w:r w:rsidRPr="001310AD">
        <w:t>(para</w:t>
      </w:r>
      <w:r w:rsidR="005416E3" w:rsidRPr="001310AD">
        <w:t>graph</w:t>
      </w:r>
      <w:r w:rsidRPr="001310AD">
        <w:t xml:space="preserve"> 6.68, RSVPreF3 OA PBAC Minutes, July 2024)</w:t>
      </w:r>
      <w:r w:rsidR="00F91386" w:rsidRPr="001310AD">
        <w:t>;</w:t>
      </w:r>
      <w:r w:rsidRPr="001310AD">
        <w:t xml:space="preserve"> </w:t>
      </w:r>
      <w:r w:rsidR="00FE18C5" w:rsidRPr="001310AD">
        <w:t>similarly</w:t>
      </w:r>
      <w:r w:rsidR="00565BDB" w:rsidRPr="001310AD">
        <w:t>,</w:t>
      </w:r>
      <w:r w:rsidR="00FE18C5" w:rsidRPr="001310AD">
        <w:t xml:space="preserve"> </w:t>
      </w:r>
      <w:r w:rsidRPr="001310AD">
        <w:t>the PBAC accepted a hospitalisation cost of $8,542 for the RSVPreF submission (Table 11, RSVPreF PSD, November 2024)</w:t>
      </w:r>
      <w:bookmarkEnd w:id="77"/>
      <w:r w:rsidR="00EC6219" w:rsidRPr="001310AD">
        <w:t>.</w:t>
      </w:r>
    </w:p>
    <w:p w14:paraId="2522EF0E" w14:textId="28C2F349" w:rsidR="004E5979" w:rsidRPr="001310AD" w:rsidRDefault="004E5979" w:rsidP="0060544D">
      <w:pPr>
        <w:keepNext/>
        <w:keepLines/>
        <w:rPr>
          <w:rFonts w:ascii="Arial Narrow" w:hAnsi="Arial Narrow"/>
          <w:b/>
          <w:bCs/>
          <w:sz w:val="20"/>
          <w:szCs w:val="20"/>
        </w:rPr>
      </w:pPr>
      <w:bookmarkStart w:id="78" w:name="_Ref195681261"/>
      <w:r w:rsidRPr="001310AD">
        <w:rPr>
          <w:rFonts w:ascii="Arial Narrow" w:hAnsi="Arial Narrow"/>
          <w:b/>
          <w:bCs/>
          <w:sz w:val="20"/>
          <w:szCs w:val="18"/>
        </w:rPr>
        <w:t xml:space="preserve">Table </w:t>
      </w:r>
      <w:r w:rsidRPr="001310AD">
        <w:rPr>
          <w:rFonts w:ascii="Arial Narrow" w:hAnsi="Arial Narrow"/>
          <w:b/>
          <w:bCs/>
          <w:sz w:val="20"/>
          <w:szCs w:val="18"/>
        </w:rPr>
        <w:fldChar w:fldCharType="begin"/>
      </w:r>
      <w:r w:rsidRPr="001310AD">
        <w:rPr>
          <w:rFonts w:ascii="Arial Narrow" w:hAnsi="Arial Narrow"/>
          <w:b/>
          <w:bCs/>
          <w:sz w:val="20"/>
          <w:szCs w:val="18"/>
        </w:rPr>
        <w:instrText xml:space="preserve"> SEQ Table \* ARABIC </w:instrText>
      </w:r>
      <w:r w:rsidRPr="001310AD">
        <w:rPr>
          <w:rFonts w:ascii="Arial Narrow" w:hAnsi="Arial Narrow"/>
          <w:b/>
          <w:bCs/>
          <w:sz w:val="20"/>
          <w:szCs w:val="18"/>
        </w:rPr>
        <w:fldChar w:fldCharType="separate"/>
      </w:r>
      <w:r w:rsidR="001F75E0" w:rsidRPr="001310AD">
        <w:rPr>
          <w:rFonts w:ascii="Arial Narrow" w:hAnsi="Arial Narrow"/>
          <w:b/>
          <w:bCs/>
          <w:sz w:val="20"/>
          <w:szCs w:val="18"/>
        </w:rPr>
        <w:t>16</w:t>
      </w:r>
      <w:r w:rsidRPr="001310AD">
        <w:rPr>
          <w:rFonts w:ascii="Arial Narrow" w:hAnsi="Arial Narrow"/>
          <w:b/>
          <w:bCs/>
          <w:sz w:val="20"/>
          <w:szCs w:val="18"/>
        </w:rPr>
        <w:fldChar w:fldCharType="end"/>
      </w:r>
      <w:bookmarkEnd w:id="78"/>
      <w:r w:rsidRPr="001310AD">
        <w:rPr>
          <w:rFonts w:ascii="Arial Narrow" w:hAnsi="Arial Narrow"/>
          <w:b/>
          <w:bCs/>
          <w:sz w:val="20"/>
          <w:szCs w:val="20"/>
        </w:rPr>
        <w:t>: Estimated RSV-associated hospitalisation costs in the resubmission compared to previous submissions and November 2024 RSVPreF submission</w:t>
      </w:r>
    </w:p>
    <w:tbl>
      <w:tblPr>
        <w:tblStyle w:val="TableGrid"/>
        <w:tblW w:w="0" w:type="auto"/>
        <w:tblLook w:val="04A0" w:firstRow="1" w:lastRow="0" w:firstColumn="1" w:lastColumn="0" w:noHBand="0" w:noVBand="1"/>
        <w:tblCaption w:val="Table 16: Estimated RSV-associated hospitalisation costs in the resubmission compared to previous submissions and November 2024 RSVPreF submission"/>
      </w:tblPr>
      <w:tblGrid>
        <w:gridCol w:w="1283"/>
        <w:gridCol w:w="1638"/>
        <w:gridCol w:w="1529"/>
        <w:gridCol w:w="1627"/>
        <w:gridCol w:w="1454"/>
        <w:gridCol w:w="1486"/>
      </w:tblGrid>
      <w:tr w:rsidR="004E5979" w:rsidRPr="001310AD" w14:paraId="319D2B41" w14:textId="77777777">
        <w:tc>
          <w:tcPr>
            <w:tcW w:w="1283" w:type="dxa"/>
            <w:vMerge w:val="restart"/>
            <w:tcMar>
              <w:left w:w="57" w:type="dxa"/>
              <w:right w:w="57" w:type="dxa"/>
            </w:tcMar>
          </w:tcPr>
          <w:p w14:paraId="4839BA29" w14:textId="77777777" w:rsidR="004E5979" w:rsidRPr="001310AD" w:rsidRDefault="004E5979" w:rsidP="0060544D">
            <w:pPr>
              <w:keepNext/>
              <w:keepLines/>
              <w:jc w:val="center"/>
              <w:rPr>
                <w:rFonts w:ascii="Arial Narrow" w:hAnsi="Arial Narrow"/>
                <w:b/>
                <w:bCs/>
                <w:sz w:val="20"/>
                <w:szCs w:val="20"/>
              </w:rPr>
            </w:pPr>
          </w:p>
        </w:tc>
        <w:tc>
          <w:tcPr>
            <w:tcW w:w="1638" w:type="dxa"/>
            <w:vMerge w:val="restart"/>
            <w:tcMar>
              <w:left w:w="57" w:type="dxa"/>
              <w:right w:w="57" w:type="dxa"/>
            </w:tcMar>
            <w:vAlign w:val="center"/>
          </w:tcPr>
          <w:p w14:paraId="69A79B12" w14:textId="77777777" w:rsidR="004E5979" w:rsidRPr="001310AD" w:rsidRDefault="004E5979" w:rsidP="0060544D">
            <w:pPr>
              <w:keepNext/>
              <w:keepLines/>
              <w:jc w:val="center"/>
              <w:rPr>
                <w:rFonts w:ascii="Arial Narrow" w:hAnsi="Arial Narrow"/>
                <w:b/>
                <w:bCs/>
                <w:sz w:val="20"/>
                <w:szCs w:val="20"/>
              </w:rPr>
            </w:pPr>
            <w:r w:rsidRPr="001310AD">
              <w:rPr>
                <w:rFonts w:ascii="Arial Narrow" w:hAnsi="Arial Narrow"/>
                <w:b/>
                <w:bCs/>
                <w:sz w:val="20"/>
                <w:szCs w:val="20"/>
              </w:rPr>
              <w:t>July 2025 resubmission</w:t>
            </w:r>
          </w:p>
        </w:tc>
        <w:tc>
          <w:tcPr>
            <w:tcW w:w="4610" w:type="dxa"/>
            <w:gridSpan w:val="3"/>
            <w:tcMar>
              <w:left w:w="57" w:type="dxa"/>
              <w:right w:w="57" w:type="dxa"/>
            </w:tcMar>
            <w:vAlign w:val="center"/>
          </w:tcPr>
          <w:p w14:paraId="5DF4FC1F" w14:textId="77777777" w:rsidR="004E5979" w:rsidRPr="001310AD" w:rsidRDefault="004E5979" w:rsidP="0060544D">
            <w:pPr>
              <w:keepNext/>
              <w:keepLines/>
              <w:jc w:val="center"/>
              <w:rPr>
                <w:rFonts w:ascii="Arial Narrow" w:hAnsi="Arial Narrow"/>
                <w:b/>
                <w:bCs/>
                <w:sz w:val="20"/>
                <w:szCs w:val="20"/>
              </w:rPr>
            </w:pPr>
            <w:r w:rsidRPr="001310AD">
              <w:rPr>
                <w:rFonts w:ascii="Arial Narrow" w:hAnsi="Arial Narrow"/>
                <w:b/>
                <w:bCs/>
                <w:sz w:val="20"/>
                <w:szCs w:val="20"/>
              </w:rPr>
              <w:t>July 2024 submission and evaluation</w:t>
            </w:r>
          </w:p>
        </w:tc>
        <w:tc>
          <w:tcPr>
            <w:tcW w:w="1486" w:type="dxa"/>
            <w:vMerge w:val="restart"/>
            <w:tcMar>
              <w:left w:w="57" w:type="dxa"/>
              <w:right w:w="57" w:type="dxa"/>
            </w:tcMar>
            <w:vAlign w:val="center"/>
          </w:tcPr>
          <w:p w14:paraId="1A791166" w14:textId="1A270C93" w:rsidR="004E5979" w:rsidRPr="001310AD" w:rsidRDefault="004E5979" w:rsidP="0060544D">
            <w:pPr>
              <w:keepNext/>
              <w:keepLines/>
              <w:jc w:val="center"/>
              <w:rPr>
                <w:rFonts w:ascii="Arial Narrow" w:hAnsi="Arial Narrow"/>
                <w:b/>
                <w:bCs/>
                <w:sz w:val="20"/>
                <w:szCs w:val="20"/>
              </w:rPr>
            </w:pPr>
            <w:r w:rsidRPr="001310AD">
              <w:rPr>
                <w:rFonts w:ascii="Arial Narrow" w:hAnsi="Arial Narrow"/>
                <w:b/>
                <w:bCs/>
                <w:sz w:val="20"/>
                <w:szCs w:val="20"/>
              </w:rPr>
              <w:t xml:space="preserve">November 2024 RSVPreF </w:t>
            </w:r>
            <w:r w:rsidR="00065740" w:rsidRPr="001310AD">
              <w:rPr>
                <w:rFonts w:ascii="Arial Narrow" w:hAnsi="Arial Narrow"/>
                <w:b/>
                <w:bCs/>
                <w:sz w:val="20"/>
                <w:szCs w:val="20"/>
              </w:rPr>
              <w:t>PBAC recommendation</w:t>
            </w:r>
          </w:p>
        </w:tc>
      </w:tr>
      <w:tr w:rsidR="004E5979" w:rsidRPr="001310AD" w14:paraId="129AEABA" w14:textId="77777777">
        <w:tc>
          <w:tcPr>
            <w:tcW w:w="1283" w:type="dxa"/>
            <w:vMerge/>
            <w:tcMar>
              <w:left w:w="57" w:type="dxa"/>
              <w:right w:w="57" w:type="dxa"/>
            </w:tcMar>
          </w:tcPr>
          <w:p w14:paraId="7591351A" w14:textId="77777777" w:rsidR="004E5979" w:rsidRPr="001310AD" w:rsidRDefault="004E5979" w:rsidP="0060544D">
            <w:pPr>
              <w:keepNext/>
              <w:keepLines/>
              <w:jc w:val="center"/>
              <w:rPr>
                <w:rFonts w:ascii="Arial Narrow" w:hAnsi="Arial Narrow"/>
                <w:b/>
                <w:bCs/>
                <w:sz w:val="20"/>
                <w:szCs w:val="20"/>
              </w:rPr>
            </w:pPr>
          </w:p>
        </w:tc>
        <w:tc>
          <w:tcPr>
            <w:tcW w:w="1638" w:type="dxa"/>
            <w:vMerge/>
            <w:tcMar>
              <w:left w:w="57" w:type="dxa"/>
              <w:right w:w="57" w:type="dxa"/>
            </w:tcMar>
            <w:vAlign w:val="center"/>
          </w:tcPr>
          <w:p w14:paraId="5EAF1424" w14:textId="77777777" w:rsidR="004E5979" w:rsidRPr="001310AD" w:rsidRDefault="004E5979" w:rsidP="0060544D">
            <w:pPr>
              <w:keepNext/>
              <w:keepLines/>
              <w:jc w:val="center"/>
              <w:rPr>
                <w:rFonts w:ascii="Arial Narrow" w:hAnsi="Arial Narrow"/>
                <w:b/>
                <w:bCs/>
                <w:sz w:val="20"/>
                <w:szCs w:val="20"/>
              </w:rPr>
            </w:pPr>
          </w:p>
        </w:tc>
        <w:tc>
          <w:tcPr>
            <w:tcW w:w="1529" w:type="dxa"/>
            <w:tcMar>
              <w:left w:w="57" w:type="dxa"/>
              <w:right w:w="57" w:type="dxa"/>
            </w:tcMar>
            <w:vAlign w:val="center"/>
          </w:tcPr>
          <w:p w14:paraId="7DA47FEB" w14:textId="77777777" w:rsidR="004E5979" w:rsidRPr="001310AD" w:rsidRDefault="004E5979" w:rsidP="0060544D">
            <w:pPr>
              <w:keepNext/>
              <w:keepLines/>
              <w:jc w:val="center"/>
              <w:rPr>
                <w:rFonts w:ascii="Arial Narrow" w:hAnsi="Arial Narrow"/>
                <w:b/>
                <w:bCs/>
                <w:sz w:val="20"/>
                <w:szCs w:val="20"/>
              </w:rPr>
            </w:pPr>
            <w:r w:rsidRPr="001310AD">
              <w:rPr>
                <w:rFonts w:ascii="Arial Narrow" w:hAnsi="Arial Narrow"/>
                <w:b/>
                <w:bCs/>
                <w:sz w:val="20"/>
                <w:szCs w:val="20"/>
              </w:rPr>
              <w:t>July 2024 submission</w:t>
            </w:r>
          </w:p>
        </w:tc>
        <w:tc>
          <w:tcPr>
            <w:tcW w:w="1627" w:type="dxa"/>
            <w:tcMar>
              <w:left w:w="57" w:type="dxa"/>
              <w:right w:w="57" w:type="dxa"/>
            </w:tcMar>
            <w:vAlign w:val="center"/>
          </w:tcPr>
          <w:p w14:paraId="2ACC4838" w14:textId="77777777" w:rsidR="004E5979" w:rsidRPr="001310AD" w:rsidRDefault="004E5979" w:rsidP="0060544D">
            <w:pPr>
              <w:keepNext/>
              <w:keepLines/>
              <w:jc w:val="center"/>
              <w:rPr>
                <w:rFonts w:ascii="Arial Narrow" w:hAnsi="Arial Narrow"/>
                <w:b/>
                <w:bCs/>
                <w:sz w:val="20"/>
                <w:szCs w:val="20"/>
              </w:rPr>
            </w:pPr>
            <w:r w:rsidRPr="001310AD">
              <w:rPr>
                <w:rFonts w:ascii="Arial Narrow" w:hAnsi="Arial Narrow"/>
                <w:b/>
                <w:bCs/>
                <w:sz w:val="20"/>
                <w:szCs w:val="20"/>
              </w:rPr>
              <w:t>July 2024 submission’s PSCR</w:t>
            </w:r>
          </w:p>
        </w:tc>
        <w:tc>
          <w:tcPr>
            <w:tcW w:w="1454" w:type="dxa"/>
            <w:tcMar>
              <w:left w:w="57" w:type="dxa"/>
              <w:right w:w="57" w:type="dxa"/>
            </w:tcMar>
            <w:vAlign w:val="center"/>
          </w:tcPr>
          <w:p w14:paraId="79FB4AE8" w14:textId="77777777" w:rsidR="004E5979" w:rsidRPr="001310AD" w:rsidRDefault="004E5979" w:rsidP="0060544D">
            <w:pPr>
              <w:keepNext/>
              <w:keepLines/>
              <w:jc w:val="center"/>
              <w:rPr>
                <w:rFonts w:ascii="Arial Narrow" w:hAnsi="Arial Narrow"/>
                <w:b/>
                <w:bCs/>
                <w:sz w:val="20"/>
                <w:szCs w:val="20"/>
              </w:rPr>
            </w:pPr>
            <w:r w:rsidRPr="001310AD">
              <w:rPr>
                <w:rFonts w:ascii="Arial Narrow" w:hAnsi="Arial Narrow"/>
                <w:b/>
                <w:bCs/>
                <w:sz w:val="20"/>
                <w:szCs w:val="20"/>
              </w:rPr>
              <w:t>Evaluation/ESC</w:t>
            </w:r>
          </w:p>
        </w:tc>
        <w:tc>
          <w:tcPr>
            <w:tcW w:w="1486" w:type="dxa"/>
            <w:vMerge/>
            <w:tcMar>
              <w:left w:w="57" w:type="dxa"/>
              <w:right w:w="57" w:type="dxa"/>
            </w:tcMar>
            <w:vAlign w:val="center"/>
          </w:tcPr>
          <w:p w14:paraId="387599D2" w14:textId="77777777" w:rsidR="004E5979" w:rsidRPr="001310AD" w:rsidRDefault="004E5979" w:rsidP="0060544D">
            <w:pPr>
              <w:keepNext/>
              <w:keepLines/>
              <w:jc w:val="center"/>
              <w:rPr>
                <w:rFonts w:ascii="Arial Narrow" w:hAnsi="Arial Narrow"/>
                <w:b/>
                <w:bCs/>
                <w:sz w:val="20"/>
                <w:szCs w:val="20"/>
              </w:rPr>
            </w:pPr>
          </w:p>
        </w:tc>
      </w:tr>
      <w:tr w:rsidR="004E5979" w:rsidRPr="001310AD" w14:paraId="3B07AAE0" w14:textId="77777777">
        <w:tc>
          <w:tcPr>
            <w:tcW w:w="1283" w:type="dxa"/>
            <w:tcMar>
              <w:left w:w="57" w:type="dxa"/>
              <w:right w:w="57" w:type="dxa"/>
            </w:tcMar>
          </w:tcPr>
          <w:p w14:paraId="5C2BA873" w14:textId="77777777"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Hospitalisation cost per case</w:t>
            </w:r>
          </w:p>
        </w:tc>
        <w:tc>
          <w:tcPr>
            <w:tcW w:w="1638" w:type="dxa"/>
            <w:tcMar>
              <w:left w:w="57" w:type="dxa"/>
              <w:right w:w="57" w:type="dxa"/>
            </w:tcMar>
          </w:tcPr>
          <w:p w14:paraId="146880AA" w14:textId="77777777"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 75 YOA: $20,091</w:t>
            </w:r>
          </w:p>
          <w:p w14:paraId="11EA3D8A" w14:textId="40470850" w:rsidR="00FE18C5" w:rsidRPr="001310AD" w:rsidRDefault="00FE18C5" w:rsidP="0060544D">
            <w:pPr>
              <w:keepNext/>
              <w:keepLines/>
              <w:jc w:val="center"/>
              <w:rPr>
                <w:rFonts w:ascii="Arial Narrow" w:hAnsi="Arial Narrow"/>
                <w:sz w:val="20"/>
                <w:szCs w:val="20"/>
              </w:rPr>
            </w:pPr>
            <w:r w:rsidRPr="001310AD">
              <w:rPr>
                <w:rFonts w:ascii="Arial Narrow" w:hAnsi="Arial Narrow"/>
                <w:sz w:val="20"/>
                <w:szCs w:val="20"/>
              </w:rPr>
              <w:t>PSCR: tested estimates of $15,525 to $16,693.</w:t>
            </w:r>
          </w:p>
        </w:tc>
        <w:tc>
          <w:tcPr>
            <w:tcW w:w="1529" w:type="dxa"/>
            <w:shd w:val="clear" w:color="auto" w:fill="C6D9F1" w:themeFill="text2" w:themeFillTint="33"/>
            <w:tcMar>
              <w:left w:w="57" w:type="dxa"/>
              <w:right w:w="57" w:type="dxa"/>
            </w:tcMar>
          </w:tcPr>
          <w:p w14:paraId="624790FA" w14:textId="77777777"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75-79 YOA: $20,578</w:t>
            </w:r>
          </w:p>
          <w:p w14:paraId="6E91A959" w14:textId="27AB0062"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 80 YOA: $22,713</w:t>
            </w:r>
          </w:p>
        </w:tc>
        <w:tc>
          <w:tcPr>
            <w:tcW w:w="1627" w:type="dxa"/>
            <w:shd w:val="clear" w:color="auto" w:fill="C6D9F1" w:themeFill="text2" w:themeFillTint="33"/>
            <w:tcMar>
              <w:left w:w="57" w:type="dxa"/>
              <w:right w:w="57" w:type="dxa"/>
            </w:tcMar>
          </w:tcPr>
          <w:p w14:paraId="651AB610" w14:textId="77777777"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New base case:</w:t>
            </w:r>
          </w:p>
          <w:p w14:paraId="4CC77208" w14:textId="77777777"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75-79 YOA: $21,995</w:t>
            </w:r>
          </w:p>
          <w:p w14:paraId="1A6E7E2A" w14:textId="663A74E9"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 80 YOA: $24,277</w:t>
            </w:r>
          </w:p>
          <w:p w14:paraId="1BEAE242" w14:textId="77777777"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Scenario A:</w:t>
            </w:r>
          </w:p>
          <w:p w14:paraId="1CF6BF04" w14:textId="77777777"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75-79 YOA: $15,137</w:t>
            </w:r>
          </w:p>
          <w:p w14:paraId="410AC968" w14:textId="6BA3E928"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 80 YOA: $16,707</w:t>
            </w:r>
          </w:p>
          <w:p w14:paraId="55DD6329" w14:textId="77777777"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Scenario B:</w:t>
            </w:r>
          </w:p>
          <w:p w14:paraId="29320791" w14:textId="77777777"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75-79 YOA: $14,803</w:t>
            </w:r>
          </w:p>
          <w:p w14:paraId="7F592030" w14:textId="0A348D8F" w:rsidR="004E5979" w:rsidRPr="005A28B4" w:rsidRDefault="004E5979" w:rsidP="0060544D">
            <w:pPr>
              <w:keepNext/>
              <w:keepLines/>
              <w:jc w:val="center"/>
              <w:rPr>
                <w:rFonts w:ascii="Arial Narrow" w:hAnsi="Arial Narrow"/>
                <w:sz w:val="20"/>
                <w:szCs w:val="20"/>
              </w:rPr>
            </w:pPr>
            <w:r w:rsidRPr="005A28B4">
              <w:rPr>
                <w:rFonts w:ascii="Arial Narrow" w:hAnsi="Arial Narrow"/>
                <w:sz w:val="20"/>
                <w:szCs w:val="20"/>
              </w:rPr>
              <w:t>≥ 80 YOA: $16,338</w:t>
            </w:r>
          </w:p>
        </w:tc>
        <w:tc>
          <w:tcPr>
            <w:tcW w:w="1454" w:type="dxa"/>
            <w:shd w:val="clear" w:color="auto" w:fill="C6D9F1" w:themeFill="text2" w:themeFillTint="33"/>
            <w:tcMar>
              <w:left w:w="57" w:type="dxa"/>
              <w:right w:w="57" w:type="dxa"/>
            </w:tcMar>
          </w:tcPr>
          <w:p w14:paraId="1934BB77" w14:textId="77777777" w:rsidR="004E5979" w:rsidRPr="005A28B4" w:rsidRDefault="004E5979" w:rsidP="0060544D">
            <w:pPr>
              <w:keepNext/>
              <w:keepLines/>
              <w:jc w:val="center"/>
              <w:rPr>
                <w:rFonts w:ascii="Arial Narrow" w:hAnsi="Arial Narrow"/>
                <w:sz w:val="20"/>
                <w:szCs w:val="20"/>
                <w:vertAlign w:val="superscript"/>
              </w:rPr>
            </w:pPr>
            <w:r w:rsidRPr="005A28B4">
              <w:rPr>
                <w:rFonts w:ascii="Arial Narrow" w:hAnsi="Arial Narrow"/>
                <w:sz w:val="20"/>
                <w:szCs w:val="20"/>
              </w:rPr>
              <w:t xml:space="preserve"> ≥ 60 YOA: $9,219 </w:t>
            </w:r>
          </w:p>
        </w:tc>
        <w:tc>
          <w:tcPr>
            <w:tcW w:w="1486" w:type="dxa"/>
            <w:shd w:val="clear" w:color="auto" w:fill="C6D9F1" w:themeFill="text2" w:themeFillTint="33"/>
            <w:tcMar>
              <w:left w:w="57" w:type="dxa"/>
              <w:right w:w="57" w:type="dxa"/>
            </w:tcMar>
          </w:tcPr>
          <w:p w14:paraId="1708789C" w14:textId="60A9B90A" w:rsidR="004E5979" w:rsidRPr="001310AD" w:rsidRDefault="004E5979" w:rsidP="0060544D">
            <w:pPr>
              <w:keepNext/>
              <w:keepLines/>
              <w:jc w:val="center"/>
              <w:rPr>
                <w:rFonts w:ascii="Arial Narrow" w:hAnsi="Arial Narrow"/>
                <w:i/>
                <w:iCs/>
                <w:sz w:val="20"/>
                <w:szCs w:val="20"/>
              </w:rPr>
            </w:pPr>
            <w:r w:rsidRPr="001310AD">
              <w:rPr>
                <w:rFonts w:ascii="Arial Narrow" w:hAnsi="Arial Narrow"/>
                <w:sz w:val="20"/>
                <w:szCs w:val="20"/>
              </w:rPr>
              <w:t>≥ 60 YOA: $8,542</w:t>
            </w:r>
            <w:r w:rsidR="00B4594D" w:rsidRPr="001310AD">
              <w:rPr>
                <w:rFonts w:ascii="Arial Narrow" w:hAnsi="Arial Narrow"/>
                <w:i/>
                <w:iCs/>
                <w:sz w:val="20"/>
                <w:szCs w:val="20"/>
              </w:rPr>
              <w:t xml:space="preserve"> </w:t>
            </w:r>
            <w:r w:rsidR="00B4594D" w:rsidRPr="001310AD">
              <w:rPr>
                <w:rFonts w:ascii="Arial Narrow" w:hAnsi="Arial Narrow"/>
                <w:sz w:val="20"/>
                <w:szCs w:val="20"/>
              </w:rPr>
              <w:t>(accepted by the PBAC)</w:t>
            </w:r>
          </w:p>
        </w:tc>
      </w:tr>
      <w:tr w:rsidR="004E5979" w:rsidRPr="001310AD" w14:paraId="19335EC4" w14:textId="77777777">
        <w:tc>
          <w:tcPr>
            <w:tcW w:w="1283" w:type="dxa"/>
            <w:tcMar>
              <w:left w:w="57" w:type="dxa"/>
              <w:right w:w="57" w:type="dxa"/>
            </w:tcMar>
          </w:tcPr>
          <w:p w14:paraId="303321AD" w14:textId="20E9FBE5"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Source</w:t>
            </w:r>
          </w:p>
        </w:tc>
        <w:tc>
          <w:tcPr>
            <w:tcW w:w="1638" w:type="dxa"/>
            <w:tcMar>
              <w:left w:w="57" w:type="dxa"/>
              <w:right w:w="57" w:type="dxa"/>
            </w:tcMar>
          </w:tcPr>
          <w:p w14:paraId="7474D619" w14:textId="77777777"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Hitch et al. 2024</w:t>
            </w:r>
          </w:p>
          <w:p w14:paraId="349FBC92" w14:textId="43C27CAC" w:rsidR="00FE18C5" w:rsidRPr="001310AD" w:rsidRDefault="00FE18C5" w:rsidP="0060544D">
            <w:pPr>
              <w:keepNext/>
              <w:keepLines/>
              <w:jc w:val="center"/>
              <w:rPr>
                <w:rFonts w:ascii="Arial Narrow" w:hAnsi="Arial Narrow"/>
                <w:sz w:val="20"/>
                <w:szCs w:val="20"/>
              </w:rPr>
            </w:pPr>
            <w:r w:rsidRPr="001310AD">
              <w:rPr>
                <w:rFonts w:ascii="Arial Narrow" w:hAnsi="Arial Narrow"/>
                <w:sz w:val="20"/>
                <w:szCs w:val="20"/>
              </w:rPr>
              <w:t>PSCR: based on AR-DRG costs inflated by 50%, Hitch et al 2024 (lower confidence interval, not adjusted for inflation) and Brusco et al 2022</w:t>
            </w:r>
          </w:p>
        </w:tc>
        <w:tc>
          <w:tcPr>
            <w:tcW w:w="1529" w:type="dxa"/>
            <w:shd w:val="clear" w:color="auto" w:fill="C6D9F1" w:themeFill="text2" w:themeFillTint="33"/>
            <w:tcMar>
              <w:left w:w="57" w:type="dxa"/>
              <w:right w:w="57" w:type="dxa"/>
            </w:tcMar>
          </w:tcPr>
          <w:p w14:paraId="6F11F4E5" w14:textId="77777777"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NEP: 2023, NHCDC cost weights &amp; separations: 2019-20, AR-DRG: E62A-B</w:t>
            </w:r>
          </w:p>
        </w:tc>
        <w:tc>
          <w:tcPr>
            <w:tcW w:w="1627" w:type="dxa"/>
            <w:shd w:val="clear" w:color="auto" w:fill="C6D9F1" w:themeFill="text2" w:themeFillTint="33"/>
            <w:tcMar>
              <w:left w:w="57" w:type="dxa"/>
              <w:right w:w="57" w:type="dxa"/>
            </w:tcMar>
          </w:tcPr>
          <w:p w14:paraId="1EECD673" w14:textId="77777777"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NEP: 2024, NHCDC cost weights &amp; separations: 2020-21, AR-DRG: E62A-B</w:t>
            </w:r>
          </w:p>
        </w:tc>
        <w:tc>
          <w:tcPr>
            <w:tcW w:w="1454" w:type="dxa"/>
            <w:shd w:val="clear" w:color="auto" w:fill="C6D9F1" w:themeFill="text2" w:themeFillTint="33"/>
            <w:tcMar>
              <w:left w:w="57" w:type="dxa"/>
              <w:right w:w="57" w:type="dxa"/>
            </w:tcMar>
          </w:tcPr>
          <w:p w14:paraId="7EEBCAEC" w14:textId="1D275B54"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Based on the July 2024 submission’s PSCR but removing adjustment for ICU and LOS</w:t>
            </w:r>
          </w:p>
        </w:tc>
        <w:tc>
          <w:tcPr>
            <w:tcW w:w="1486" w:type="dxa"/>
            <w:shd w:val="clear" w:color="auto" w:fill="C6D9F1" w:themeFill="text2" w:themeFillTint="33"/>
            <w:tcMar>
              <w:left w:w="57" w:type="dxa"/>
              <w:right w:w="57" w:type="dxa"/>
            </w:tcMar>
          </w:tcPr>
          <w:p w14:paraId="36D4B513" w14:textId="712F9C13" w:rsidR="004E5979" w:rsidRPr="001310AD" w:rsidRDefault="004E5979" w:rsidP="0060544D">
            <w:pPr>
              <w:keepNext/>
              <w:keepLines/>
              <w:jc w:val="center"/>
              <w:rPr>
                <w:rFonts w:ascii="Arial Narrow" w:hAnsi="Arial Narrow"/>
                <w:sz w:val="20"/>
                <w:szCs w:val="20"/>
              </w:rPr>
            </w:pPr>
            <w:r w:rsidRPr="001310AD">
              <w:rPr>
                <w:rFonts w:ascii="Arial Narrow" w:hAnsi="Arial Narrow"/>
                <w:sz w:val="20"/>
                <w:szCs w:val="20"/>
              </w:rPr>
              <w:t>AR-DRG: E62A-B, NHCDC for 2020</w:t>
            </w:r>
            <w:r w:rsidR="002B42A3" w:rsidRPr="001310AD">
              <w:rPr>
                <w:rFonts w:ascii="Arial Narrow" w:hAnsi="Arial Narrow"/>
                <w:sz w:val="20"/>
                <w:szCs w:val="20"/>
              </w:rPr>
              <w:t>-</w:t>
            </w:r>
            <w:r w:rsidRPr="001310AD">
              <w:rPr>
                <w:rFonts w:ascii="Arial Narrow" w:hAnsi="Arial Narrow"/>
                <w:sz w:val="20"/>
                <w:szCs w:val="20"/>
              </w:rPr>
              <w:t>21, 2023 values</w:t>
            </w:r>
          </w:p>
        </w:tc>
      </w:tr>
    </w:tbl>
    <w:p w14:paraId="62C735E8" w14:textId="0687B0ED" w:rsidR="004E5979" w:rsidRPr="001310AD" w:rsidRDefault="004E5979" w:rsidP="0060544D">
      <w:pPr>
        <w:keepNext/>
        <w:keepLines/>
        <w:rPr>
          <w:rFonts w:ascii="Arial Narrow" w:hAnsi="Arial Narrow"/>
          <w:sz w:val="18"/>
          <w:szCs w:val="18"/>
        </w:rPr>
      </w:pPr>
      <w:r w:rsidRPr="001310AD">
        <w:rPr>
          <w:rFonts w:ascii="Arial Narrow" w:hAnsi="Arial Narrow"/>
          <w:sz w:val="18"/>
          <w:szCs w:val="18"/>
        </w:rPr>
        <w:t>Source: Worksheet ‘</w:t>
      </w:r>
      <w:proofErr w:type="spellStart"/>
      <w:r w:rsidRPr="001310AD">
        <w:rPr>
          <w:rFonts w:ascii="Arial Narrow" w:hAnsi="Arial Narrow"/>
          <w:sz w:val="18"/>
          <w:szCs w:val="18"/>
        </w:rPr>
        <w:t>ResubUpdates</w:t>
      </w:r>
      <w:proofErr w:type="spellEnd"/>
      <w:r w:rsidRPr="001310AD">
        <w:rPr>
          <w:rFonts w:ascii="Arial Narrow" w:hAnsi="Arial Narrow"/>
          <w:sz w:val="18"/>
          <w:szCs w:val="18"/>
        </w:rPr>
        <w:t>’ of the July 2025 resubmission’s economic model; para 6.68, Table 16, and Table 24, RSVPreF3 OA, PBAC Minutes, July 2024 PBAC meeting; Table 11, RSVPreF PSD, November 2024.</w:t>
      </w:r>
    </w:p>
    <w:p w14:paraId="0F6BE1AC" w14:textId="77777777" w:rsidR="004E5979" w:rsidRPr="001310AD" w:rsidRDefault="004E5979" w:rsidP="004E5979">
      <w:pPr>
        <w:rPr>
          <w:rFonts w:ascii="Arial Narrow" w:hAnsi="Arial Narrow"/>
          <w:sz w:val="18"/>
          <w:szCs w:val="18"/>
        </w:rPr>
      </w:pPr>
      <w:r w:rsidRPr="001310AD">
        <w:rPr>
          <w:rFonts w:ascii="Arial Narrow" w:hAnsi="Arial Narrow"/>
          <w:sz w:val="18"/>
          <w:szCs w:val="18"/>
        </w:rPr>
        <w:t>AR-DRG = Australian Refined Diagnosis Related Groups; ESC = Economics Sub-Committee; NEP = national efficient price; NHCDC = National Hospital Cost Data Collection; PSCR = pre-subcommittee response; YOA = years of age</w:t>
      </w:r>
    </w:p>
    <w:p w14:paraId="38BD358A" w14:textId="77777777" w:rsidR="004E5979" w:rsidRPr="001310AD" w:rsidRDefault="004E5979" w:rsidP="004E5979">
      <w:pPr>
        <w:pStyle w:val="TableFigureFooter"/>
      </w:pPr>
      <w:r w:rsidRPr="001310AD">
        <w:t>Blue shading indicates data previously seen by the PBAC.</w:t>
      </w:r>
    </w:p>
    <w:p w14:paraId="4DBBAF7F" w14:textId="1C25FF55" w:rsidR="004E5979" w:rsidRPr="001310AD" w:rsidRDefault="004E5979" w:rsidP="004E5979">
      <w:pPr>
        <w:pStyle w:val="3-BodyText"/>
      </w:pPr>
      <w:bookmarkStart w:id="79" w:name="_Ref200025634"/>
      <w:r w:rsidRPr="001310AD">
        <w:t xml:space="preserve">The resubmission </w:t>
      </w:r>
      <w:r w:rsidR="00D24D87" w:rsidRPr="001310AD">
        <w:t xml:space="preserve">stated </w:t>
      </w:r>
      <w:r w:rsidRPr="001310AD">
        <w:t xml:space="preserve">that the hospitalisation costs </w:t>
      </w:r>
      <w:r w:rsidRPr="005F7AD9">
        <w:t xml:space="preserve">($9,219) </w:t>
      </w:r>
      <w:r w:rsidR="001A7137" w:rsidRPr="005F7AD9">
        <w:t>previously</w:t>
      </w:r>
      <w:r w:rsidR="001A7137" w:rsidRPr="001310AD">
        <w:t xml:space="preserve"> advised by the ESC were</w:t>
      </w:r>
      <w:r w:rsidRPr="001310AD">
        <w:t xml:space="preserve"> considera</w:t>
      </w:r>
      <w:r w:rsidR="00A523F4" w:rsidRPr="001310AD">
        <w:t>b</w:t>
      </w:r>
      <w:r w:rsidRPr="001310AD">
        <w:t xml:space="preserve">ly underestimated. The resubmission referenced Brusco et al. 2022 (N = 363, Murdoch Children’s Research Institute; MCRI in Melbourne), which estimated the hospitalisation cost in children under 5 years to be $12,589 in 2018, equating to $16,239 in 2024/25 value. The resubmission also stated that RSV-related hospitalisations typically incur higher costs for older adults than children (Amand et </w:t>
      </w:r>
      <w:r w:rsidRPr="001310AD">
        <w:lastRenderedPageBreak/>
        <w:t>al. 2018 and McRae et al. 2023). Th</w:t>
      </w:r>
      <w:r w:rsidR="00E24D03" w:rsidRPr="001310AD">
        <w:t>e evaluation considered that th</w:t>
      </w:r>
      <w:r w:rsidRPr="001310AD">
        <w:t xml:space="preserve">is might be reasonable given that RSV hospitalisations in older adults are significant in terms of length of stay. However, one recently published </w:t>
      </w:r>
      <w:r w:rsidR="00CE5612" w:rsidRPr="001310AD">
        <w:t xml:space="preserve">Australian </w:t>
      </w:r>
      <w:r w:rsidRPr="001310AD">
        <w:t>cost-effectiveness study identified during the evaluation (Nazareno et al. 2025) suggests that overall hospitalisation costs exhibit a U-shaped pattern (rather than linearity), with higher costs observed in the youngest age group (&lt;</w:t>
      </w:r>
      <w:r w:rsidR="00CE5612" w:rsidRPr="001310AD">
        <w:t xml:space="preserve"> </w:t>
      </w:r>
      <w:r w:rsidRPr="001310AD">
        <w:t>5 years) and those aged ≥</w:t>
      </w:r>
      <w:r w:rsidR="00CE5612" w:rsidRPr="001310AD">
        <w:t xml:space="preserve"> </w:t>
      </w:r>
      <w:r w:rsidRPr="001310AD">
        <w:t xml:space="preserve">45 years, while costs are lower for individuals aged 5-34 years. Specifically, children under 5 years incur hospitalisation costs comparable to those aged ≥75 years. Limited </w:t>
      </w:r>
      <w:r w:rsidR="00D61F81" w:rsidRPr="001310AD">
        <w:t xml:space="preserve">further </w:t>
      </w:r>
      <w:r w:rsidRPr="001310AD">
        <w:t xml:space="preserve">evidence is available </w:t>
      </w:r>
      <w:r w:rsidR="00D61F81" w:rsidRPr="001310AD">
        <w:t>as to</w:t>
      </w:r>
      <w:r w:rsidRPr="001310AD">
        <w:t xml:space="preserve"> whether hospitalisation costs increase with age.</w:t>
      </w:r>
      <w:bookmarkEnd w:id="79"/>
      <w:r w:rsidRPr="001310AD">
        <w:t xml:space="preserve"> </w:t>
      </w:r>
    </w:p>
    <w:p w14:paraId="3448761A" w14:textId="73AA94C6" w:rsidR="004E5979" w:rsidRPr="001310AD" w:rsidRDefault="004E5979" w:rsidP="00262E62">
      <w:pPr>
        <w:pStyle w:val="3-BodyText"/>
      </w:pPr>
      <w:r w:rsidRPr="001310AD">
        <w:t>The revised hospitalisation costs in the resubmission</w:t>
      </w:r>
      <w:r w:rsidR="00300874" w:rsidRPr="001310AD">
        <w:t xml:space="preserve"> ($20,091)</w:t>
      </w:r>
      <w:r w:rsidRPr="001310AD">
        <w:t xml:space="preserve"> were sourced from Hitch et al. 2024. The study is a cost comparison analysis of hospital admissions due to COVID-19 or other viral pneumonias between 1 January 2020 and 30 June 2021 at Victorian public health acute and subacute services (Victorian Admitted Episodes Dataset; VAED)). The direct cost from “other viral pneumonias” (n = 15,716) was chosen to represent the RSV-associated hospitalisation costs in the economic model (adjusted to 2024 price). The study’s primary aim </w:t>
      </w:r>
      <w:r w:rsidR="00CE145E" w:rsidRPr="001310AD">
        <w:t>wa</w:t>
      </w:r>
      <w:r w:rsidRPr="001310AD">
        <w:t xml:space="preserve">s to understand the economic impact of COVID-19. The inclusion of other viral pneumonias serves to contextualise the costs associated with COVID-19, not to provide a detailed cost analysis of each specific type of viral pneumonia like RSV. </w:t>
      </w:r>
      <w:r w:rsidR="00FE18C5" w:rsidRPr="001310AD">
        <w:t>The evaluation considered that i</w:t>
      </w:r>
      <w:r w:rsidRPr="001310AD">
        <w:t xml:space="preserve">t </w:t>
      </w:r>
      <w:r w:rsidR="00FE18C5" w:rsidRPr="001310AD">
        <w:t>wa</w:t>
      </w:r>
      <w:r w:rsidRPr="001310AD">
        <w:t xml:space="preserve">s unclear whether the cost of viral pneumonia hospitalisation is a good proxy for RSV-associated hospitalisation costs. </w:t>
      </w:r>
      <w:r w:rsidR="00300874" w:rsidRPr="001310AD">
        <w:t>Further, the cost was substantially higher than</w:t>
      </w:r>
      <w:r w:rsidR="00820B71" w:rsidRPr="001310AD">
        <w:t xml:space="preserve"> the cost</w:t>
      </w:r>
      <w:r w:rsidR="00300874" w:rsidRPr="001310AD">
        <w:t xml:space="preserve"> </w:t>
      </w:r>
      <w:r w:rsidR="00820B71" w:rsidRPr="001310AD">
        <w:t>included in the submission for RSVPreF that was considered at the November 2024 PBAC meeting of $8,542.</w:t>
      </w:r>
      <w:r w:rsidR="00300874" w:rsidRPr="001310AD">
        <w:t xml:space="preserve"> </w:t>
      </w:r>
    </w:p>
    <w:p w14:paraId="638348D2" w14:textId="1693E623" w:rsidR="00FE18C5" w:rsidRPr="001310AD" w:rsidRDefault="00FE18C5" w:rsidP="00FE18C5">
      <w:pPr>
        <w:pStyle w:val="3-BodyText"/>
      </w:pPr>
      <w:r w:rsidRPr="001310AD">
        <w:t xml:space="preserve">The PSCR tested three other hospitalisation costs in scenario analyses: </w:t>
      </w:r>
    </w:p>
    <w:p w14:paraId="3E8D8ECF" w14:textId="1BE9FCDF" w:rsidR="00FE18C5" w:rsidRPr="001310AD" w:rsidRDefault="00FE18C5">
      <w:pPr>
        <w:pStyle w:val="3-BodyText"/>
        <w:numPr>
          <w:ilvl w:val="0"/>
          <w:numId w:val="13"/>
        </w:numPr>
      </w:pPr>
      <w:r w:rsidRPr="001310AD">
        <w:t>$15,525, based on AR-DRG cost weights (E62A</w:t>
      </w:r>
      <w:r w:rsidR="002B04F5" w:rsidRPr="001310AD">
        <w:t xml:space="preserve"> and </w:t>
      </w:r>
      <w:r w:rsidRPr="001310AD">
        <w:t>B) inflated by 50% based on expert opinion. The PSCR argued that the weighted mean length of stay for E62A</w:t>
      </w:r>
      <w:r w:rsidR="002B04F5" w:rsidRPr="001310AD">
        <w:t xml:space="preserve"> and E62</w:t>
      </w:r>
      <w:r w:rsidRPr="001310AD">
        <w:t xml:space="preserve">B is 4.4 days, which is lower than the actual RSV </w:t>
      </w:r>
      <w:r w:rsidR="002B42A3" w:rsidRPr="001310AD">
        <w:t>length of</w:t>
      </w:r>
      <w:r w:rsidRPr="001310AD">
        <w:t xml:space="preserve"> stay reported for &gt; 75 YOA (mean: 6.8 to 8 days; AIHW NHMD 2012-19, NCIRS analysis).</w:t>
      </w:r>
      <w:r w:rsidR="00454358" w:rsidRPr="001310AD">
        <w:t xml:space="preserve"> However, the ESC did not </w:t>
      </w:r>
      <w:r w:rsidR="00BD7321" w:rsidRPr="001310AD">
        <w:t>accept</w:t>
      </w:r>
      <w:r w:rsidR="001E60A1" w:rsidRPr="001310AD">
        <w:t xml:space="preserve"> </w:t>
      </w:r>
      <w:r w:rsidR="002B42A3" w:rsidRPr="001310AD">
        <w:t xml:space="preserve">the PSCR’s proposed </w:t>
      </w:r>
      <w:r w:rsidR="001E60A1" w:rsidRPr="001310AD">
        <w:t>inflation</w:t>
      </w:r>
      <w:r w:rsidR="00BD7321" w:rsidRPr="001310AD">
        <w:t xml:space="preserve"> of the cost</w:t>
      </w:r>
      <w:r w:rsidR="001E60A1" w:rsidRPr="001310AD">
        <w:t xml:space="preserve"> </w:t>
      </w:r>
      <w:r w:rsidR="00BD7321" w:rsidRPr="001310AD">
        <w:t>by</w:t>
      </w:r>
      <w:r w:rsidR="001E60A1" w:rsidRPr="001310AD">
        <w:t xml:space="preserve"> 50% based on expert opinion rather than evidence.</w:t>
      </w:r>
    </w:p>
    <w:p w14:paraId="57AC71F7" w14:textId="509F743F" w:rsidR="00FE18C5" w:rsidRPr="001310AD" w:rsidRDefault="00FE18C5">
      <w:pPr>
        <w:pStyle w:val="3-BodyText"/>
        <w:numPr>
          <w:ilvl w:val="0"/>
          <w:numId w:val="13"/>
        </w:numPr>
      </w:pPr>
      <w:r w:rsidRPr="001310AD">
        <w:t>$16,125, based on Hitch et al. 2024 (per the submission base case),</w:t>
      </w:r>
      <w:r w:rsidR="009D6DAE" w:rsidRPr="001310AD">
        <w:t xml:space="preserve"> </w:t>
      </w:r>
      <w:r w:rsidRPr="001310AD">
        <w:t xml:space="preserve">but applying the lower confidence interval for viral pneumonia, not adjusted for inflation; and </w:t>
      </w:r>
    </w:p>
    <w:p w14:paraId="69341663" w14:textId="1ED6CBF3" w:rsidR="00FE18C5" w:rsidRPr="001310AD" w:rsidRDefault="00FE18C5">
      <w:pPr>
        <w:pStyle w:val="3-BodyText"/>
        <w:numPr>
          <w:ilvl w:val="0"/>
          <w:numId w:val="13"/>
        </w:numPr>
      </w:pPr>
      <w:r w:rsidRPr="001310AD">
        <w:t xml:space="preserve">$16,693 based on Brusco et al. 2022 (patient-level data in children &lt;5 years). </w:t>
      </w:r>
    </w:p>
    <w:p w14:paraId="53B13C59" w14:textId="304757B7" w:rsidR="00E43221" w:rsidRPr="001310AD" w:rsidRDefault="007B75C7" w:rsidP="00751B93">
      <w:pPr>
        <w:pStyle w:val="3-BodyText"/>
        <w:numPr>
          <w:ilvl w:val="0"/>
          <w:numId w:val="0"/>
        </w:numPr>
        <w:ind w:left="720"/>
      </w:pPr>
      <w:r w:rsidRPr="001310AD">
        <w:t xml:space="preserve">These updated hospitalisation costs are lower than those used in the resubmission ($20,091), but higher than both the ESC’s advised cost for the July 2024 submission </w:t>
      </w:r>
      <w:r w:rsidRPr="00D8698E">
        <w:t>($</w:t>
      </w:r>
      <w:r w:rsidR="000A3A2D" w:rsidRPr="00044091">
        <w:rPr>
          <w:color w:val="000000"/>
          <w:spacing w:val="5"/>
          <w:w w:val="61"/>
          <w:shd w:val="solid" w:color="000000" w:fill="000000"/>
          <w:fitText w:val="472" w:id="-628465917"/>
          <w14:textFill>
            <w14:solidFill>
              <w14:srgbClr w14:val="000000">
                <w14:alpha w14:val="100000"/>
              </w14:srgbClr>
            </w14:solidFill>
          </w14:textFill>
        </w:rPr>
        <w:t>|||</w:t>
      </w:r>
      <w:r w:rsidR="00044091" w:rsidRPr="00044091">
        <w:rPr>
          <w:color w:val="000000"/>
          <w:spacing w:val="5"/>
          <w:w w:val="61"/>
          <w:shd w:val="solid" w:color="000000" w:fill="000000"/>
          <w:fitText w:val="472" w:id="-628465917"/>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917"/>
          <w14:textFill>
            <w14:solidFill>
              <w14:srgbClr w14:val="000000">
                <w14:alpha w14:val="100000"/>
              </w14:srgbClr>
            </w14:solidFill>
          </w14:textFill>
        </w:rPr>
        <w:t>|||</w:t>
      </w:r>
      <w:r w:rsidRPr="001310AD">
        <w:t>) and the cost accepted by the PBAC for the RSVPreF November 2024 submission ($8,542</w:t>
      </w:r>
      <w:r w:rsidR="002B42A3" w:rsidRPr="001310AD">
        <w:t xml:space="preserve"> based on AR-DRG E62A and E62B, NHCDC 2020-21 updated to 2023 values</w:t>
      </w:r>
      <w:r w:rsidRPr="001310AD">
        <w:t xml:space="preserve">). </w:t>
      </w:r>
      <w:r w:rsidR="00E43221" w:rsidRPr="001310AD">
        <w:t>The ESC noted the values presented in both the submission and the PSCR were not the applicable population and condition (i.e. they were studies conducted in children, or assessing ‘other viral pneumonias’) or were based on expert opinion. The ESC considered that these studies may not represent more reliable estimates of RSV-</w:t>
      </w:r>
      <w:r w:rsidR="00E43221" w:rsidRPr="001310AD">
        <w:lastRenderedPageBreak/>
        <w:t>associated hospitalisation costs in the applicable population than AR-DRG cost weights</w:t>
      </w:r>
      <w:r w:rsidR="0087609B" w:rsidRPr="001310AD">
        <w:t>, noting these already account for more severe cases</w:t>
      </w:r>
      <w:r w:rsidR="00E43221" w:rsidRPr="001310AD">
        <w:t>.</w:t>
      </w:r>
    </w:p>
    <w:p w14:paraId="01D14CA8" w14:textId="75A6B8DE" w:rsidR="00751B93" w:rsidRPr="001310AD" w:rsidRDefault="00E43221" w:rsidP="00897325">
      <w:pPr>
        <w:pStyle w:val="3-BodyText"/>
      </w:pPr>
      <w:r w:rsidRPr="001310AD">
        <w:t>Overall, t</w:t>
      </w:r>
      <w:r w:rsidR="008863AC" w:rsidRPr="001310AD">
        <w:t xml:space="preserve">he ESC considered that </w:t>
      </w:r>
      <w:r w:rsidRPr="001310AD">
        <w:t xml:space="preserve">it may be reasonable for </w:t>
      </w:r>
      <w:r w:rsidR="00F20FB0" w:rsidRPr="001310AD">
        <w:t>the hospital</w:t>
      </w:r>
      <w:r w:rsidR="002B04F5" w:rsidRPr="001310AD">
        <w:t>isation</w:t>
      </w:r>
      <w:r w:rsidR="00F20FB0" w:rsidRPr="001310AD">
        <w:t xml:space="preserve"> cost </w:t>
      </w:r>
      <w:r w:rsidRPr="001310AD">
        <w:t>to</w:t>
      </w:r>
      <w:r w:rsidR="002B04F5" w:rsidRPr="001310AD">
        <w:t xml:space="preserve"> align with the value previously recommended by the PBAC in its November 2024 consideration of RSVPreF in this same population i.e.</w:t>
      </w:r>
      <w:r w:rsidR="00F20FB0" w:rsidRPr="001310AD">
        <w:t xml:space="preserve"> </w:t>
      </w:r>
      <w:r w:rsidR="002B04F5" w:rsidRPr="001310AD">
        <w:t xml:space="preserve">$8,542. </w:t>
      </w:r>
      <w:r w:rsidR="000F7179" w:rsidRPr="001310AD">
        <w:t>Based on 2025 data, the comparable hospitalisation cost would be $9,900 (</w:t>
      </w:r>
      <w:r w:rsidR="00473BA1" w:rsidRPr="001310AD">
        <w:t xml:space="preserve">paragraph </w:t>
      </w:r>
      <w:r w:rsidR="00473BA1" w:rsidRPr="001310AD">
        <w:fldChar w:fldCharType="begin"/>
      </w:r>
      <w:r w:rsidR="00473BA1" w:rsidRPr="001310AD">
        <w:instrText xml:space="preserve"> REF _Ref204239797 \r \h  \* MERGEFORMAT </w:instrText>
      </w:r>
      <w:r w:rsidR="00473BA1" w:rsidRPr="001310AD">
        <w:fldChar w:fldCharType="separate"/>
      </w:r>
      <w:r w:rsidR="001F75E0" w:rsidRPr="001310AD">
        <w:t>7.16</w:t>
      </w:r>
      <w:r w:rsidR="00473BA1" w:rsidRPr="001310AD">
        <w:fldChar w:fldCharType="end"/>
      </w:r>
      <w:r w:rsidR="000F7179" w:rsidRPr="001310AD">
        <w:t>).</w:t>
      </w:r>
    </w:p>
    <w:p w14:paraId="22D3D40C" w14:textId="7B79E9EE" w:rsidR="005A26BD" w:rsidRPr="001310AD" w:rsidRDefault="007E511E" w:rsidP="003738D7">
      <w:pPr>
        <w:pStyle w:val="3-BodyText"/>
      </w:pPr>
      <w:r w:rsidRPr="001310AD">
        <w:t>The</w:t>
      </w:r>
      <w:r w:rsidR="00A96539" w:rsidRPr="001310AD">
        <w:t xml:space="preserve"> pre-PBAC response </w:t>
      </w:r>
      <w:r w:rsidR="000F7179" w:rsidRPr="001310AD">
        <w:t>proposed a hospitalisation cost of $12,510</w:t>
      </w:r>
      <w:r w:rsidR="00897325" w:rsidRPr="001310AD">
        <w:t xml:space="preserve"> based on E62A (NHCDC 2020 – 2021 adjusted to 2025 value)</w:t>
      </w:r>
      <w:r w:rsidR="00FF059A">
        <w:t xml:space="preserve"> </w:t>
      </w:r>
      <w:r w:rsidR="004E5979" w:rsidRPr="001310AD">
        <w:t>The resubmission updated the RSV-related death probability from the Tseng et al. 2020 US-based study (10.87%</w:t>
      </w:r>
      <w:r w:rsidR="00D60812" w:rsidRPr="001310AD">
        <w:t xml:space="preserve"> for</w:t>
      </w:r>
      <w:r w:rsidR="004E5979" w:rsidRPr="001310AD">
        <w:t xml:space="preserve"> </w:t>
      </w:r>
      <w:r w:rsidR="004E5979" w:rsidRPr="008775E5">
        <w:rPr>
          <w:rFonts w:cstheme="minorHAnsi"/>
        </w:rPr>
        <w:t>≥</w:t>
      </w:r>
      <w:r w:rsidR="004E5979" w:rsidRPr="001310AD">
        <w:t>75 YOA) used in the previous submission</w:t>
      </w:r>
      <w:r w:rsidR="00013569" w:rsidRPr="001310AD">
        <w:t xml:space="preserve"> for the ≥75 YOA population</w:t>
      </w:r>
      <w:r w:rsidR="004E5979" w:rsidRPr="001310AD">
        <w:t xml:space="preserve"> to </w:t>
      </w:r>
      <w:r w:rsidR="00E166B9" w:rsidRPr="001310AD">
        <w:t xml:space="preserve">hospital case fatality </w:t>
      </w:r>
      <w:r w:rsidR="004E5979" w:rsidRPr="001310AD">
        <w:t>data from the AIHW NHMD 2012-2019</w:t>
      </w:r>
      <w:r w:rsidR="00CF47ED" w:rsidRPr="001310AD">
        <w:t xml:space="preserve"> (</w:t>
      </w:r>
      <w:r w:rsidR="004E5979" w:rsidRPr="001310AD">
        <w:t>3.29%</w:t>
      </w:r>
      <w:r w:rsidR="00D60812" w:rsidRPr="001310AD">
        <w:t xml:space="preserve"> for</w:t>
      </w:r>
      <w:r w:rsidR="004E5979" w:rsidRPr="001310AD">
        <w:t xml:space="preserve"> 75-79 YOA, and 4.55%</w:t>
      </w:r>
      <w:r w:rsidR="00D60812" w:rsidRPr="001310AD">
        <w:t xml:space="preserve"> for</w:t>
      </w:r>
      <w:r w:rsidR="004E5979" w:rsidRPr="001310AD">
        <w:t xml:space="preserve"> </w:t>
      </w:r>
      <w:r w:rsidR="004E5979" w:rsidRPr="008775E5">
        <w:rPr>
          <w:rFonts w:cstheme="minorHAnsi"/>
        </w:rPr>
        <w:t>≥</w:t>
      </w:r>
      <w:r w:rsidR="004E5979" w:rsidRPr="001310AD">
        <w:t>80 YOA</w:t>
      </w:r>
      <w:r w:rsidR="00FC129C" w:rsidRPr="001310AD">
        <w:t>)</w:t>
      </w:r>
      <w:r w:rsidR="004E5979" w:rsidRPr="001310AD">
        <w:t xml:space="preserve">, as per the ATAGI Advice </w:t>
      </w:r>
      <w:r w:rsidR="00F31840" w:rsidRPr="001310AD">
        <w:t>(</w:t>
      </w:r>
      <w:r w:rsidR="004E5979" w:rsidRPr="001310AD">
        <w:t>ATAGI Advice, March 2025)</w:t>
      </w:r>
      <w:r w:rsidR="00830271" w:rsidRPr="001310AD">
        <w:t>.</w:t>
      </w:r>
      <w:r w:rsidR="007D672E" w:rsidRPr="001310AD">
        <w:t xml:space="preserve"> </w:t>
      </w:r>
      <w:r w:rsidR="0005346E" w:rsidRPr="001310AD">
        <w:t>A comparable RSV-</w:t>
      </w:r>
      <w:r w:rsidR="002033A9" w:rsidRPr="001310AD">
        <w:t xml:space="preserve">hospital </w:t>
      </w:r>
      <w:r w:rsidR="007E4D76" w:rsidRPr="001310AD">
        <w:t>case fatality</w:t>
      </w:r>
      <w:r w:rsidR="00103B92" w:rsidRPr="001310AD">
        <w:t xml:space="preserve"> rate</w:t>
      </w:r>
      <w:r w:rsidR="0005346E" w:rsidRPr="001310AD">
        <w:t xml:space="preserve"> </w:t>
      </w:r>
      <w:r w:rsidR="00613762" w:rsidRPr="001310AD">
        <w:t xml:space="preserve">from the </w:t>
      </w:r>
      <w:r w:rsidR="00AC65AC" w:rsidRPr="001310AD">
        <w:t xml:space="preserve">ATAGI </w:t>
      </w:r>
      <w:r w:rsidR="00613762" w:rsidRPr="001310AD">
        <w:t>(4.22%</w:t>
      </w:r>
      <w:r w:rsidR="00D60812" w:rsidRPr="001310AD">
        <w:t xml:space="preserve"> for</w:t>
      </w:r>
      <w:r w:rsidR="00613762" w:rsidRPr="001310AD">
        <w:t xml:space="preserve"> </w:t>
      </w:r>
      <w:r w:rsidR="001A1297" w:rsidRPr="008775E5">
        <w:rPr>
          <w:rFonts w:cstheme="minorHAnsi"/>
        </w:rPr>
        <w:t>≥</w:t>
      </w:r>
      <w:r w:rsidR="00613762" w:rsidRPr="001310AD">
        <w:t xml:space="preserve">75 </w:t>
      </w:r>
      <w:r w:rsidR="00E8526A" w:rsidRPr="001310AD">
        <w:t>YOA</w:t>
      </w:r>
      <w:r w:rsidR="00613762" w:rsidRPr="001310AD">
        <w:t>)</w:t>
      </w:r>
      <w:r w:rsidR="00CE6155" w:rsidRPr="001310AD">
        <w:t xml:space="preserve"> was</w:t>
      </w:r>
      <w:r w:rsidR="00CA6EA9" w:rsidRPr="001310AD">
        <w:t xml:space="preserve"> </w:t>
      </w:r>
      <w:r w:rsidR="00480B4A" w:rsidRPr="001310AD">
        <w:t xml:space="preserve">recommended by the PBAC for </w:t>
      </w:r>
      <w:r w:rsidR="00B47B8C" w:rsidRPr="001310AD">
        <w:t>the RSVPreF submission (</w:t>
      </w:r>
      <w:r w:rsidR="00B36798" w:rsidRPr="001310AD">
        <w:t>para</w:t>
      </w:r>
      <w:r w:rsidR="001744EE" w:rsidRPr="001310AD">
        <w:t>graph</w:t>
      </w:r>
      <w:r w:rsidR="00B36798" w:rsidRPr="001310AD">
        <w:t xml:space="preserve"> </w:t>
      </w:r>
      <w:r w:rsidR="002058EC" w:rsidRPr="001310AD">
        <w:t>7.16, RSVPreF PSD, November 2024</w:t>
      </w:r>
      <w:r w:rsidR="00B47B8C" w:rsidRPr="001310AD">
        <w:t>)</w:t>
      </w:r>
      <w:r w:rsidR="002A264B" w:rsidRPr="001310AD">
        <w:t>.</w:t>
      </w:r>
      <w:r w:rsidR="004E5979" w:rsidRPr="008775E5">
        <w:rPr>
          <w:i/>
          <w:iCs/>
        </w:rPr>
        <w:t xml:space="preserve"> </w:t>
      </w:r>
      <w:r w:rsidR="004E5979" w:rsidRPr="001310AD">
        <w:t xml:space="preserve">The resubmission noted potential issues with using the hospitalisation rates from the AIHW NHMD 2012-2019 data, including the under-ascertainment of case fatality rates and potential inaccuracies in coding, </w:t>
      </w:r>
      <w:r w:rsidR="00CB0D33" w:rsidRPr="001310AD">
        <w:t>which</w:t>
      </w:r>
      <w:r w:rsidR="004E5979" w:rsidRPr="001310AD">
        <w:t xml:space="preserve"> might result in underestimating RSV-related death. ATAGI proposed sensitivity analyses be conducted for the in-hospital case fatality rate, with an upper bound of 8.00% (para</w:t>
      </w:r>
      <w:r w:rsidR="0088232A" w:rsidRPr="001310AD">
        <w:t>graph</w:t>
      </w:r>
      <w:r w:rsidR="004E5979" w:rsidRPr="001310AD">
        <w:t xml:space="preserve"> 6.56, RSVPreF PSD, November 2024).</w:t>
      </w:r>
      <w:r w:rsidR="00FE18C5" w:rsidRPr="001310AD">
        <w:t xml:space="preserve"> The revised scenario analysis presented in the PSCR applied an </w:t>
      </w:r>
      <w:r w:rsidR="00EC4612" w:rsidRPr="001310AD">
        <w:t xml:space="preserve">RSV-hospital case fatality rate </w:t>
      </w:r>
      <w:r w:rsidR="00FE18C5" w:rsidRPr="001310AD">
        <w:t>of 4.22% to the model for the population aged ≥75 years, i.e. as recommended by the PBAC for the RSVPreF submission.</w:t>
      </w:r>
    </w:p>
    <w:p w14:paraId="5AE78A8D" w14:textId="0F104267" w:rsidR="004E5979" w:rsidRPr="001310AD" w:rsidRDefault="000E78F1" w:rsidP="003738D7">
      <w:pPr>
        <w:pStyle w:val="3-BodyText"/>
      </w:pPr>
      <w:r w:rsidRPr="001310AD">
        <w:t xml:space="preserve">The resubmission applied the same </w:t>
      </w:r>
      <w:r w:rsidR="0060544D" w:rsidRPr="001310AD">
        <w:t>RSV-related death probability that was used in</w:t>
      </w:r>
      <w:r w:rsidR="00A66052" w:rsidRPr="001310AD">
        <w:t xml:space="preserve"> the </w:t>
      </w:r>
      <w:r w:rsidR="00A66052" w:rsidRPr="001310AD">
        <w:rPr>
          <w:rFonts w:cstheme="minorHAnsi"/>
        </w:rPr>
        <w:t>≥</w:t>
      </w:r>
      <w:r w:rsidR="008315C0" w:rsidRPr="001310AD">
        <w:t>75 YOA population (</w:t>
      </w:r>
      <w:r w:rsidR="0080211D" w:rsidRPr="001310AD">
        <w:t>the AIHW NHMD 2012-2019</w:t>
      </w:r>
      <w:r w:rsidR="008315C0" w:rsidRPr="001310AD">
        <w:t>) to</w:t>
      </w:r>
      <w:r w:rsidRPr="001310AD">
        <w:t xml:space="preserve"> the Aboriginal and Torres Strait Islander people 60-74 YOA population, using the corresponding age group</w:t>
      </w:r>
      <w:r w:rsidR="00EC1A4F" w:rsidRPr="001310AD">
        <w:t>'s</w:t>
      </w:r>
      <w:r w:rsidRPr="001310AD">
        <w:t xml:space="preserve"> RSV-related death probability (2.57% for 60-64 YOA, 3.26% for 65-69 YOA, and 3.60% for 70-74 YOA). The ATAGI noted that it is likely that the </w:t>
      </w:r>
      <w:r w:rsidR="00EC4612" w:rsidRPr="001310AD">
        <w:t xml:space="preserve">RSV-hospital case fatality rate </w:t>
      </w:r>
      <w:r w:rsidRPr="001310AD">
        <w:t>would be higher in this population</w:t>
      </w:r>
      <w:r w:rsidR="00FD0A85" w:rsidRPr="001310AD">
        <w:t>, and</w:t>
      </w:r>
      <w:r w:rsidRPr="001310AD">
        <w:t xml:space="preserve"> that in the absence of more granular</w:t>
      </w:r>
      <w:r w:rsidR="00C81580" w:rsidRPr="001310AD">
        <w:t xml:space="preserve"> data on</w:t>
      </w:r>
      <w:r w:rsidRPr="001310AD">
        <w:t xml:space="preserve"> </w:t>
      </w:r>
      <w:r w:rsidR="00EC4612" w:rsidRPr="001310AD">
        <w:t>this parameter</w:t>
      </w:r>
      <w:r w:rsidRPr="001310AD">
        <w:t>, applying the rate for ≥75 YOA (4.22%) to Aboriginal and Torres Strait Islander people (aged from 60 years), allows for a moderate increase in the death probability above that of the general population (ATAGI Advice, March 2025).</w:t>
      </w:r>
      <w:r w:rsidR="001620BB" w:rsidRPr="001310AD">
        <w:t xml:space="preserve"> The impact on the cost-effectiveness results of </w:t>
      </w:r>
      <w:r w:rsidR="00C81580" w:rsidRPr="001310AD">
        <w:t xml:space="preserve">applying </w:t>
      </w:r>
      <w:r w:rsidR="001620BB" w:rsidRPr="001310AD">
        <w:t xml:space="preserve">the </w:t>
      </w:r>
      <w:r w:rsidR="00F604DB" w:rsidRPr="001310AD">
        <w:t xml:space="preserve">death </w:t>
      </w:r>
      <w:r w:rsidR="001620BB" w:rsidRPr="001310AD">
        <w:t>rate for ≥75 YOA (4.22%)</w:t>
      </w:r>
      <w:r w:rsidR="00DD0F41" w:rsidRPr="001310AD">
        <w:t xml:space="preserve"> to Aboriginal and Torres Strait Islander people 60-74 YOA </w:t>
      </w:r>
      <w:r w:rsidR="001620BB" w:rsidRPr="001310AD">
        <w:t xml:space="preserve">is presented in </w:t>
      </w:r>
      <w:r w:rsidR="009802F2" w:rsidRPr="001310AD">
        <w:t xml:space="preserve">a </w:t>
      </w:r>
      <w:r w:rsidR="001620BB" w:rsidRPr="001310AD">
        <w:t>sensitivity analys</w:t>
      </w:r>
      <w:r w:rsidR="009802F2" w:rsidRPr="001310AD">
        <w:t>i</w:t>
      </w:r>
      <w:r w:rsidR="001620BB" w:rsidRPr="001310AD">
        <w:t>s.</w:t>
      </w:r>
      <w:r w:rsidRPr="001310AD">
        <w:t xml:space="preserve"> </w:t>
      </w:r>
      <w:r w:rsidR="00FE18C5" w:rsidRPr="001310AD">
        <w:t xml:space="preserve">The </w:t>
      </w:r>
      <w:r w:rsidR="00EC4612" w:rsidRPr="001310AD">
        <w:t xml:space="preserve">RSV-hospital case fatality rate </w:t>
      </w:r>
      <w:r w:rsidR="00FE18C5" w:rsidRPr="001310AD">
        <w:t>was unchanged in the scenario analysis presented in the PSCR for the Aboriginal and Torres Strait Islander people 60-74 YOA population.</w:t>
      </w:r>
    </w:p>
    <w:p w14:paraId="7FBB2B85" w14:textId="270262F7" w:rsidR="004E5979" w:rsidRPr="001310AD" w:rsidRDefault="004E5979" w:rsidP="00E82A8D">
      <w:pPr>
        <w:pStyle w:val="3-BodyText"/>
      </w:pPr>
      <w:r w:rsidRPr="001310AD">
        <w:t xml:space="preserve">A summary of the key drivers of the model is presented in </w:t>
      </w:r>
      <w:r w:rsidRPr="001310AD">
        <w:fldChar w:fldCharType="begin"/>
      </w:r>
      <w:r w:rsidRPr="001310AD">
        <w:instrText xml:space="preserve"> REF _Ref196992650 \h </w:instrText>
      </w:r>
      <w:r w:rsidRPr="001310AD">
        <w:fldChar w:fldCharType="separate"/>
      </w:r>
      <w:r w:rsidR="001F75E0" w:rsidRPr="001310AD">
        <w:t>Table 17</w:t>
      </w:r>
      <w:r w:rsidRPr="001310AD">
        <w:fldChar w:fldCharType="end"/>
      </w:r>
      <w:r w:rsidRPr="001310AD">
        <w:t>.</w:t>
      </w:r>
      <w:r w:rsidRPr="001310AD">
        <w:rPr>
          <w:color w:val="0066FF"/>
        </w:rPr>
        <w:t xml:space="preserve"> </w:t>
      </w:r>
    </w:p>
    <w:p w14:paraId="4A818786" w14:textId="2171E9FC" w:rsidR="004E5979" w:rsidRPr="001310AD" w:rsidRDefault="004E5979" w:rsidP="004E5979">
      <w:pPr>
        <w:pStyle w:val="TableFigureHeading"/>
        <w:rPr>
          <w:rStyle w:val="CommentReference"/>
          <w:b/>
          <w:szCs w:val="24"/>
        </w:rPr>
      </w:pPr>
      <w:bookmarkStart w:id="80" w:name="_Ref196992650"/>
      <w:r w:rsidRPr="001310AD">
        <w:lastRenderedPageBreak/>
        <w:t xml:space="preserve">Table </w:t>
      </w:r>
      <w:fldSimple w:instr=" SEQ Table \* ARABIC ">
        <w:r w:rsidR="001F75E0" w:rsidRPr="001310AD">
          <w:t>17</w:t>
        </w:r>
      </w:fldSimple>
      <w:bookmarkEnd w:id="80"/>
      <w:r w:rsidRPr="001310AD">
        <w:t>:</w:t>
      </w:r>
      <w:r w:rsidRPr="001310AD">
        <w:rPr>
          <w:rStyle w:val="CommentReference"/>
          <w:b/>
          <w:szCs w:val="24"/>
        </w:rPr>
        <w:t xml:space="preserve"> Key drivers of the model</w:t>
      </w:r>
      <w:r w:rsidR="00FE18C5" w:rsidRPr="001310AD">
        <w:rPr>
          <w:rStyle w:val="CommentReference"/>
          <w:b/>
          <w:szCs w:val="24"/>
        </w:rPr>
        <w:t xml:space="preserve"> (submission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drivers of the model (submission base case)"/>
      </w:tblPr>
      <w:tblGrid>
        <w:gridCol w:w="1573"/>
        <w:gridCol w:w="3385"/>
        <w:gridCol w:w="4059"/>
      </w:tblGrid>
      <w:tr w:rsidR="004E5979" w:rsidRPr="001310AD" w14:paraId="70325DF6" w14:textId="77777777" w:rsidTr="004D41B5">
        <w:trPr>
          <w:tblHeader/>
        </w:trPr>
        <w:tc>
          <w:tcPr>
            <w:tcW w:w="872" w:type="pct"/>
            <w:vAlign w:val="center"/>
          </w:tcPr>
          <w:p w14:paraId="66390368" w14:textId="77777777" w:rsidR="004E5979" w:rsidRPr="001310AD" w:rsidRDefault="004E5979">
            <w:pPr>
              <w:pStyle w:val="In-tableHeading"/>
            </w:pPr>
            <w:r w:rsidRPr="001310AD">
              <w:t>Description</w:t>
            </w:r>
          </w:p>
        </w:tc>
        <w:tc>
          <w:tcPr>
            <w:tcW w:w="1876" w:type="pct"/>
            <w:vAlign w:val="center"/>
          </w:tcPr>
          <w:p w14:paraId="3444A3EB" w14:textId="67E1EB4C" w:rsidR="004E5979" w:rsidRPr="001310AD" w:rsidRDefault="004E5979">
            <w:pPr>
              <w:pStyle w:val="In-tableHeading"/>
            </w:pPr>
            <w:r w:rsidRPr="001310AD">
              <w:t>Method/Value</w:t>
            </w:r>
            <w:r w:rsidR="00FE18C5" w:rsidRPr="001310AD">
              <w:t xml:space="preserve"> in submission base case</w:t>
            </w:r>
          </w:p>
        </w:tc>
        <w:tc>
          <w:tcPr>
            <w:tcW w:w="2251" w:type="pct"/>
            <w:vAlign w:val="center"/>
          </w:tcPr>
          <w:p w14:paraId="485140DE" w14:textId="1AB98368" w:rsidR="004E5979" w:rsidRPr="001310AD" w:rsidRDefault="004E5979">
            <w:pPr>
              <w:pStyle w:val="In-tableHeading"/>
            </w:pPr>
            <w:r w:rsidRPr="001310AD">
              <w:t>Impact</w:t>
            </w:r>
            <w:r w:rsidR="000975CC" w:rsidRPr="001310AD">
              <w:t xml:space="preserve"> vs submission base case</w:t>
            </w:r>
          </w:p>
        </w:tc>
      </w:tr>
      <w:tr w:rsidR="004E5979" w:rsidRPr="001310AD" w14:paraId="06EE6A7F" w14:textId="77777777" w:rsidTr="004D41B5">
        <w:tc>
          <w:tcPr>
            <w:tcW w:w="2749" w:type="pct"/>
            <w:gridSpan w:val="2"/>
            <w:vAlign w:val="center"/>
          </w:tcPr>
          <w:p w14:paraId="574B93FC" w14:textId="4E679307" w:rsidR="004E5979" w:rsidRPr="001310AD" w:rsidRDefault="004E5979">
            <w:pPr>
              <w:pStyle w:val="TableText0"/>
              <w:rPr>
                <w:b/>
                <w:bCs w:val="0"/>
              </w:rPr>
            </w:pPr>
            <w:r w:rsidRPr="001310AD">
              <w:rPr>
                <w:b/>
                <w:bCs w:val="0"/>
              </w:rPr>
              <w:t>≥75 YOA</w:t>
            </w:r>
          </w:p>
        </w:tc>
        <w:tc>
          <w:tcPr>
            <w:tcW w:w="2251" w:type="pct"/>
            <w:vAlign w:val="center"/>
          </w:tcPr>
          <w:p w14:paraId="097920DD" w14:textId="5487CADA" w:rsidR="004E5979" w:rsidRPr="001310AD" w:rsidRDefault="004E5979">
            <w:pPr>
              <w:pStyle w:val="TableText0"/>
              <w:jc w:val="center"/>
              <w:rPr>
                <w:b/>
                <w:bCs w:val="0"/>
              </w:rPr>
            </w:pPr>
            <w:r w:rsidRPr="001310AD">
              <w:rPr>
                <w:rFonts w:cs="Arial"/>
                <w:b/>
                <w:bCs w:val="0"/>
              </w:rPr>
              <w:t xml:space="preserve">Base case: </w:t>
            </w:r>
            <w:r w:rsidRPr="003F69DC">
              <w:rPr>
                <w:rFonts w:cs="Arial"/>
                <w:b/>
                <w:bCs w:val="0"/>
              </w:rPr>
              <w:t>$</w:t>
            </w:r>
            <w:r w:rsidR="000A3A2D" w:rsidRPr="000A3A2D">
              <w:rPr>
                <w:rFonts w:cs="Arial"/>
                <w:b/>
                <w:bCs w:val="0"/>
                <w:color w:val="000000"/>
                <w:spacing w:val="58"/>
                <w:shd w:val="solid" w:color="000000" w:fill="000000"/>
                <w:fitText w:val="360" w:id="-628465916"/>
                <w14:textFill>
                  <w14:solidFill>
                    <w14:srgbClr w14:val="000000">
                      <w14:alpha w14:val="100000"/>
                    </w14:srgbClr>
                  </w14:solidFill>
                </w14:textFill>
              </w:rPr>
              <w:t>|||</w:t>
            </w:r>
            <w:r w:rsidR="000A3A2D" w:rsidRPr="000A3A2D">
              <w:rPr>
                <w:rFonts w:cs="Arial"/>
                <w:b/>
                <w:bCs w:val="0"/>
                <w:color w:val="000000"/>
                <w:spacing w:val="3"/>
                <w:shd w:val="solid" w:color="000000" w:fill="000000"/>
                <w:fitText w:val="360" w:id="-628465916"/>
                <w14:textFill>
                  <w14:solidFill>
                    <w14:srgbClr w14:val="000000">
                      <w14:alpha w14:val="100000"/>
                    </w14:srgbClr>
                  </w14:solidFill>
                </w14:textFill>
              </w:rPr>
              <w:t>|</w:t>
            </w:r>
            <w:r w:rsidR="001302EF">
              <w:rPr>
                <w:rFonts w:cs="Arial"/>
                <w:b/>
                <w:bCs w:val="0"/>
                <w:vertAlign w:val="superscript"/>
              </w:rPr>
              <w:t>3</w:t>
            </w:r>
            <w:r w:rsidRPr="001310AD">
              <w:rPr>
                <w:rFonts w:cs="Arial"/>
                <w:b/>
                <w:bCs w:val="0"/>
              </w:rPr>
              <w:t>/QALY gained</w:t>
            </w:r>
          </w:p>
        </w:tc>
      </w:tr>
      <w:tr w:rsidR="004E5979" w:rsidRPr="001310AD" w14:paraId="0F05BD1E" w14:textId="77777777" w:rsidTr="004D41B5">
        <w:tc>
          <w:tcPr>
            <w:tcW w:w="872" w:type="pct"/>
            <w:vAlign w:val="center"/>
          </w:tcPr>
          <w:p w14:paraId="70FCC54E" w14:textId="77777777" w:rsidR="004E5979" w:rsidRPr="001310AD" w:rsidRDefault="004E5979">
            <w:pPr>
              <w:pStyle w:val="TableText0"/>
            </w:pPr>
            <w:r w:rsidRPr="001310AD">
              <w:t>Under-ascertainment multipliers</w:t>
            </w:r>
          </w:p>
        </w:tc>
        <w:tc>
          <w:tcPr>
            <w:tcW w:w="1876" w:type="pct"/>
            <w:vAlign w:val="center"/>
          </w:tcPr>
          <w:p w14:paraId="2C2A29DD" w14:textId="77777777" w:rsidR="004E5979" w:rsidRPr="001310AD" w:rsidRDefault="004E5979">
            <w:pPr>
              <w:pStyle w:val="TableText0"/>
            </w:pPr>
            <w:r w:rsidRPr="001310AD">
              <w:t xml:space="preserve">Including 2.0 and 1.5 multipliers to 2016-2019 AIHW NHMD hospitalisation crude rates </w:t>
            </w:r>
          </w:p>
        </w:tc>
        <w:tc>
          <w:tcPr>
            <w:tcW w:w="2251" w:type="pct"/>
            <w:vAlign w:val="center"/>
          </w:tcPr>
          <w:p w14:paraId="6894C5BF" w14:textId="77777777" w:rsidR="004E5979" w:rsidRPr="001310AD" w:rsidRDefault="004E5979">
            <w:pPr>
              <w:pStyle w:val="TableText0"/>
            </w:pPr>
            <w:r w:rsidRPr="001310AD">
              <w:t>High, favours RSVPreF3 OA</w:t>
            </w:r>
          </w:p>
          <w:p w14:paraId="2E730EA6" w14:textId="56C8D303" w:rsidR="004E5979" w:rsidRPr="001310AD" w:rsidRDefault="004E5979">
            <w:pPr>
              <w:pStyle w:val="TableText0"/>
            </w:pPr>
            <w:r w:rsidRPr="001310AD">
              <w:t>Excluding the 1.5 multiplier increased the ICER to $</w:t>
            </w:r>
            <w:r w:rsidR="000A3A2D" w:rsidRPr="000A3A2D">
              <w:rPr>
                <w:color w:val="000000"/>
                <w:spacing w:val="51"/>
                <w:shd w:val="solid" w:color="000000" w:fill="000000"/>
                <w:fitText w:val="324" w:id="-628465915"/>
                <w14:textFill>
                  <w14:solidFill>
                    <w14:srgbClr w14:val="000000">
                      <w14:alpha w14:val="100000"/>
                    </w14:srgbClr>
                  </w14:solidFill>
                </w14:textFill>
              </w:rPr>
              <w:t>|||</w:t>
            </w:r>
            <w:r w:rsidR="000A3A2D" w:rsidRPr="000A3A2D">
              <w:rPr>
                <w:color w:val="000000"/>
                <w:spacing w:val="1"/>
                <w:shd w:val="solid" w:color="000000" w:fill="000000"/>
                <w:fitText w:val="324" w:id="-628465915"/>
                <w14:textFill>
                  <w14:solidFill>
                    <w14:srgbClr w14:val="000000">
                      <w14:alpha w14:val="100000"/>
                    </w14:srgbClr>
                  </w14:solidFill>
                </w14:textFill>
              </w:rPr>
              <w:t>|</w:t>
            </w:r>
            <w:r w:rsidR="009268AC">
              <w:rPr>
                <w:vertAlign w:val="superscript"/>
              </w:rPr>
              <w:t>1</w:t>
            </w:r>
            <w:r w:rsidRPr="001310AD">
              <w:t xml:space="preserve">/QALY gained. </w:t>
            </w:r>
          </w:p>
        </w:tc>
      </w:tr>
      <w:tr w:rsidR="004E5979" w:rsidRPr="001310AD" w14:paraId="13487107" w14:textId="77777777" w:rsidTr="004D41B5">
        <w:tc>
          <w:tcPr>
            <w:tcW w:w="872" w:type="pct"/>
            <w:vAlign w:val="center"/>
          </w:tcPr>
          <w:p w14:paraId="6A34CDF6" w14:textId="77777777" w:rsidR="004E5979" w:rsidRPr="001310AD" w:rsidRDefault="004E5979">
            <w:pPr>
              <w:pStyle w:val="TableText0"/>
            </w:pPr>
            <w:r w:rsidRPr="001310AD">
              <w:t xml:space="preserve">Hospitalisation cost </w:t>
            </w:r>
          </w:p>
        </w:tc>
        <w:tc>
          <w:tcPr>
            <w:tcW w:w="1876" w:type="pct"/>
            <w:vAlign w:val="center"/>
          </w:tcPr>
          <w:p w14:paraId="06CE3AB3" w14:textId="77777777" w:rsidR="004E5979" w:rsidRPr="001310AD" w:rsidRDefault="004E5979">
            <w:pPr>
              <w:pStyle w:val="TableText0"/>
            </w:pPr>
            <w:r w:rsidRPr="001310AD">
              <w:t>Using direct costs for treating viral pneumonias obtained from Hitch et al. 2024</w:t>
            </w:r>
          </w:p>
        </w:tc>
        <w:tc>
          <w:tcPr>
            <w:tcW w:w="2251" w:type="pct"/>
            <w:vAlign w:val="center"/>
          </w:tcPr>
          <w:p w14:paraId="30AEA0D2" w14:textId="77777777" w:rsidR="004E5979" w:rsidRPr="001310AD" w:rsidRDefault="004E5979">
            <w:pPr>
              <w:pStyle w:val="TableText0"/>
            </w:pPr>
            <w:r w:rsidRPr="001310AD">
              <w:t xml:space="preserve">High, favours RSVPreF3 OA </w:t>
            </w:r>
          </w:p>
          <w:p w14:paraId="365C702E" w14:textId="0CDE72B2" w:rsidR="004E5979" w:rsidRPr="001310AD" w:rsidRDefault="004E5979">
            <w:pPr>
              <w:pStyle w:val="TableText0"/>
            </w:pPr>
            <w:r w:rsidRPr="001310AD">
              <w:t>Use ≤ 5 YOA costs ($16,239) per Brusco et al. 2022 increased the ICER to $</w:t>
            </w:r>
            <w:r w:rsidR="000A3A2D" w:rsidRPr="000A3A2D">
              <w:rPr>
                <w:color w:val="000000"/>
                <w:spacing w:val="55"/>
                <w:shd w:val="solid" w:color="000000" w:fill="000000"/>
                <w:fitText w:val="336" w:id="-628465914"/>
                <w14:textFill>
                  <w14:solidFill>
                    <w14:srgbClr w14:val="000000">
                      <w14:alpha w14:val="100000"/>
                    </w14:srgbClr>
                  </w14:solidFill>
                </w14:textFill>
              </w:rPr>
              <w:t>|||</w:t>
            </w:r>
            <w:r w:rsidR="000A3A2D" w:rsidRPr="000A3A2D">
              <w:rPr>
                <w:color w:val="000000"/>
                <w:spacing w:val="1"/>
                <w:shd w:val="solid" w:color="000000" w:fill="000000"/>
                <w:fitText w:val="336" w:id="-628465914"/>
                <w14:textFill>
                  <w14:solidFill>
                    <w14:srgbClr w14:val="000000">
                      <w14:alpha w14:val="100000"/>
                    </w14:srgbClr>
                  </w14:solidFill>
                </w14:textFill>
              </w:rPr>
              <w:t>|</w:t>
            </w:r>
            <w:r w:rsidR="009268AC">
              <w:rPr>
                <w:vertAlign w:val="superscript"/>
              </w:rPr>
              <w:t>2</w:t>
            </w:r>
            <w:r w:rsidRPr="001310AD">
              <w:t>/QALY gained.</w:t>
            </w:r>
          </w:p>
        </w:tc>
      </w:tr>
      <w:tr w:rsidR="004E5979" w:rsidRPr="001310AD" w14:paraId="2E9E7974" w14:textId="77777777" w:rsidTr="004D41B5">
        <w:tc>
          <w:tcPr>
            <w:tcW w:w="872" w:type="pct"/>
            <w:vAlign w:val="center"/>
          </w:tcPr>
          <w:p w14:paraId="5D24C4A0" w14:textId="77777777" w:rsidR="004E5979" w:rsidRPr="001310AD" w:rsidRDefault="004E5979">
            <w:pPr>
              <w:pStyle w:val="TableText0"/>
            </w:pPr>
            <w:r w:rsidRPr="001310AD">
              <w:t>Waning</w:t>
            </w:r>
          </w:p>
        </w:tc>
        <w:tc>
          <w:tcPr>
            <w:tcW w:w="1876" w:type="pct"/>
            <w:vAlign w:val="center"/>
          </w:tcPr>
          <w:p w14:paraId="669818F9" w14:textId="77777777" w:rsidR="004E5979" w:rsidRPr="001310AD" w:rsidRDefault="004E5979">
            <w:pPr>
              <w:pStyle w:val="TableText0"/>
            </w:pPr>
            <w:r w:rsidRPr="001310AD">
              <w:t>2-year waning convergence to 0 at year 5</w:t>
            </w:r>
          </w:p>
        </w:tc>
        <w:tc>
          <w:tcPr>
            <w:tcW w:w="2251" w:type="pct"/>
            <w:vAlign w:val="center"/>
          </w:tcPr>
          <w:p w14:paraId="7402E30B" w14:textId="77777777" w:rsidR="004E5979" w:rsidRPr="001310AD" w:rsidRDefault="004E5979">
            <w:pPr>
              <w:pStyle w:val="TableText0"/>
            </w:pPr>
            <w:r w:rsidRPr="001310AD">
              <w:t xml:space="preserve">High, favours RSVPreF3 OA </w:t>
            </w:r>
          </w:p>
          <w:p w14:paraId="2DCD0DFD" w14:textId="79B6135F" w:rsidR="004E5979" w:rsidRPr="001310AD" w:rsidRDefault="004E5979">
            <w:pPr>
              <w:pStyle w:val="TableText0"/>
            </w:pPr>
            <w:r w:rsidRPr="001310AD">
              <w:t>Use 1-year linear logarithmic waning, convergence to 0% at year 4 increased the ICER to $</w:t>
            </w:r>
            <w:r w:rsidR="000A3A2D" w:rsidRPr="000A3A2D">
              <w:rPr>
                <w:color w:val="000000"/>
                <w:spacing w:val="51"/>
                <w:shd w:val="solid" w:color="000000" w:fill="000000"/>
                <w:fitText w:val="324" w:id="-628465913"/>
                <w14:textFill>
                  <w14:solidFill>
                    <w14:srgbClr w14:val="000000">
                      <w14:alpha w14:val="100000"/>
                    </w14:srgbClr>
                  </w14:solidFill>
                </w14:textFill>
              </w:rPr>
              <w:t>|||</w:t>
            </w:r>
            <w:r w:rsidR="000A3A2D" w:rsidRPr="000A3A2D">
              <w:rPr>
                <w:color w:val="000000"/>
                <w:spacing w:val="1"/>
                <w:shd w:val="solid" w:color="000000" w:fill="000000"/>
                <w:fitText w:val="324" w:id="-628465913"/>
                <w14:textFill>
                  <w14:solidFill>
                    <w14:srgbClr w14:val="000000">
                      <w14:alpha w14:val="100000"/>
                    </w14:srgbClr>
                  </w14:solidFill>
                </w14:textFill>
              </w:rPr>
              <w:t>|</w:t>
            </w:r>
            <w:r w:rsidR="00356787">
              <w:rPr>
                <w:vertAlign w:val="superscript"/>
              </w:rPr>
              <w:t>3</w:t>
            </w:r>
            <w:r w:rsidRPr="001310AD">
              <w:t>/QALY gained.</w:t>
            </w:r>
          </w:p>
        </w:tc>
      </w:tr>
      <w:tr w:rsidR="004E5979" w:rsidRPr="001310AD" w14:paraId="029EF2E0" w14:textId="77777777" w:rsidTr="004D41B5">
        <w:tc>
          <w:tcPr>
            <w:tcW w:w="872" w:type="pct"/>
            <w:vAlign w:val="center"/>
          </w:tcPr>
          <w:p w14:paraId="10A6291E" w14:textId="77777777" w:rsidR="004E5979" w:rsidRPr="001310AD" w:rsidRDefault="004E5979">
            <w:pPr>
              <w:pStyle w:val="TableText0"/>
            </w:pPr>
            <w:r w:rsidRPr="001310AD">
              <w:t>RSV-related death</w:t>
            </w:r>
          </w:p>
        </w:tc>
        <w:tc>
          <w:tcPr>
            <w:tcW w:w="1876" w:type="pct"/>
            <w:vAlign w:val="center"/>
          </w:tcPr>
          <w:p w14:paraId="51840C6F" w14:textId="77777777" w:rsidR="004E5979" w:rsidRPr="001310AD" w:rsidRDefault="004E5979">
            <w:pPr>
              <w:pStyle w:val="TableText0"/>
            </w:pPr>
            <w:r w:rsidRPr="001310AD">
              <w:t xml:space="preserve">Using AIHW NHMD 2012-2019 data (3.29%; 75-79 YOA, and 4.55%; </w:t>
            </w:r>
            <w:r w:rsidRPr="001310AD">
              <w:rPr>
                <w:rFonts w:cstheme="minorHAnsi"/>
              </w:rPr>
              <w:t>≥</w:t>
            </w:r>
            <w:r w:rsidRPr="001310AD">
              <w:t>80 YOA)</w:t>
            </w:r>
          </w:p>
        </w:tc>
        <w:tc>
          <w:tcPr>
            <w:tcW w:w="2251" w:type="pct"/>
            <w:vAlign w:val="center"/>
          </w:tcPr>
          <w:p w14:paraId="51DDE26D" w14:textId="77777777" w:rsidR="004E5979" w:rsidRPr="001310AD" w:rsidRDefault="004E5979">
            <w:pPr>
              <w:pStyle w:val="TableText0"/>
            </w:pPr>
            <w:r w:rsidRPr="001310AD">
              <w:t xml:space="preserve">High, favours no vaccine </w:t>
            </w:r>
          </w:p>
          <w:p w14:paraId="48446336" w14:textId="72287523" w:rsidR="004E5979" w:rsidRPr="001310AD" w:rsidRDefault="004E5979">
            <w:pPr>
              <w:pStyle w:val="TableText0"/>
            </w:pPr>
            <w:r w:rsidRPr="001310AD">
              <w:t>Use of ATAGI’s suggested upper bound rate (8.00%) for a sensitivity analysis decreased the ICER to $</w:t>
            </w:r>
            <w:r w:rsidR="000A3A2D" w:rsidRPr="000A3A2D">
              <w:rPr>
                <w:color w:val="000000"/>
                <w:spacing w:val="51"/>
                <w:shd w:val="solid" w:color="000000" w:fill="000000"/>
                <w:fitText w:val="324" w:id="-628465912"/>
                <w14:textFill>
                  <w14:solidFill>
                    <w14:srgbClr w14:val="000000">
                      <w14:alpha w14:val="100000"/>
                    </w14:srgbClr>
                  </w14:solidFill>
                </w14:textFill>
              </w:rPr>
              <w:t>|||</w:t>
            </w:r>
            <w:r w:rsidR="000A3A2D" w:rsidRPr="000A3A2D">
              <w:rPr>
                <w:color w:val="000000"/>
                <w:spacing w:val="1"/>
                <w:shd w:val="solid" w:color="000000" w:fill="000000"/>
                <w:fitText w:val="324" w:id="-628465912"/>
                <w14:textFill>
                  <w14:solidFill>
                    <w14:srgbClr w14:val="000000">
                      <w14:alpha w14:val="100000"/>
                    </w14:srgbClr>
                  </w14:solidFill>
                </w14:textFill>
              </w:rPr>
              <w:t>|</w:t>
            </w:r>
            <w:r w:rsidR="00D633C1">
              <w:rPr>
                <w:vertAlign w:val="superscript"/>
              </w:rPr>
              <w:t>4</w:t>
            </w:r>
            <w:r w:rsidRPr="001310AD">
              <w:t>/QALY gained.</w:t>
            </w:r>
          </w:p>
        </w:tc>
      </w:tr>
      <w:tr w:rsidR="004E5979" w:rsidRPr="001310AD" w14:paraId="67C1D112" w14:textId="77777777" w:rsidTr="004D41B5">
        <w:tc>
          <w:tcPr>
            <w:tcW w:w="2749" w:type="pct"/>
            <w:gridSpan w:val="2"/>
            <w:vAlign w:val="center"/>
          </w:tcPr>
          <w:p w14:paraId="26D83034" w14:textId="6F806BB1" w:rsidR="004E5979" w:rsidRPr="001310AD" w:rsidRDefault="004E5979">
            <w:pPr>
              <w:pStyle w:val="TableText0"/>
              <w:rPr>
                <w:b/>
                <w:bCs w:val="0"/>
              </w:rPr>
            </w:pPr>
            <w:r w:rsidRPr="001310AD">
              <w:rPr>
                <w:b/>
                <w:bCs w:val="0"/>
              </w:rPr>
              <w:t>Aboriginal and Torres Strait Islander people 60-74 YOA</w:t>
            </w:r>
          </w:p>
        </w:tc>
        <w:tc>
          <w:tcPr>
            <w:tcW w:w="2251" w:type="pct"/>
            <w:vAlign w:val="center"/>
          </w:tcPr>
          <w:p w14:paraId="4EBDF08B" w14:textId="71E323FB" w:rsidR="004E5979" w:rsidRPr="001310AD" w:rsidRDefault="004E5979">
            <w:pPr>
              <w:pStyle w:val="TableText0"/>
              <w:jc w:val="center"/>
              <w:rPr>
                <w:b/>
                <w:bCs w:val="0"/>
              </w:rPr>
            </w:pPr>
            <w:r w:rsidRPr="001310AD">
              <w:rPr>
                <w:rFonts w:cs="Arial"/>
                <w:b/>
                <w:bCs w:val="0"/>
              </w:rPr>
              <w:t>Base case: $</w:t>
            </w:r>
            <w:r w:rsidR="00044091" w:rsidRPr="00044091">
              <w:rPr>
                <w:rFonts w:cs="Arial"/>
                <w:b/>
                <w:bCs w:val="0"/>
                <w:sz w:val="2"/>
                <w:highlight w:val="black"/>
              </w:rPr>
              <w:t>redacted content</w:t>
            </w:r>
            <w:r w:rsidR="00A763D9">
              <w:rPr>
                <w:rFonts w:cs="Arial"/>
                <w:b/>
                <w:bCs w:val="0"/>
                <w:vertAlign w:val="superscript"/>
              </w:rPr>
              <w:t>2</w:t>
            </w:r>
            <w:r w:rsidRPr="001310AD">
              <w:rPr>
                <w:rFonts w:cs="Arial"/>
                <w:b/>
                <w:bCs w:val="0"/>
              </w:rPr>
              <w:t>/QALY gained</w:t>
            </w:r>
          </w:p>
        </w:tc>
      </w:tr>
      <w:tr w:rsidR="004E5979" w:rsidRPr="001310AD" w14:paraId="30DDB02F" w14:textId="77777777" w:rsidTr="004D41B5">
        <w:tc>
          <w:tcPr>
            <w:tcW w:w="872" w:type="pct"/>
            <w:vAlign w:val="center"/>
          </w:tcPr>
          <w:p w14:paraId="117E91CF" w14:textId="77777777" w:rsidR="004E5979" w:rsidRPr="001310AD" w:rsidRDefault="004E5979">
            <w:pPr>
              <w:pStyle w:val="TableText0"/>
            </w:pPr>
            <w:r w:rsidRPr="001310AD">
              <w:t xml:space="preserve">Hospitalisation cost </w:t>
            </w:r>
          </w:p>
        </w:tc>
        <w:tc>
          <w:tcPr>
            <w:tcW w:w="1876" w:type="pct"/>
            <w:vAlign w:val="center"/>
          </w:tcPr>
          <w:p w14:paraId="3FAC65C0" w14:textId="77777777" w:rsidR="004E5979" w:rsidRPr="001310AD" w:rsidRDefault="004E5979">
            <w:pPr>
              <w:pStyle w:val="TableText0"/>
            </w:pPr>
            <w:r w:rsidRPr="001310AD">
              <w:t>Using direct costs for treating viral pneumonias obtained from Hitch et al. 2024</w:t>
            </w:r>
          </w:p>
        </w:tc>
        <w:tc>
          <w:tcPr>
            <w:tcW w:w="2251" w:type="pct"/>
            <w:vAlign w:val="center"/>
          </w:tcPr>
          <w:p w14:paraId="53C84F64" w14:textId="77777777" w:rsidR="004E5979" w:rsidRPr="001310AD" w:rsidRDefault="004E5979">
            <w:pPr>
              <w:pStyle w:val="TableText0"/>
            </w:pPr>
            <w:r w:rsidRPr="001310AD">
              <w:t xml:space="preserve">High, favours RSVPreF3 OA </w:t>
            </w:r>
          </w:p>
          <w:p w14:paraId="469A8499" w14:textId="5997AF4E" w:rsidR="004E5979" w:rsidRPr="001310AD" w:rsidRDefault="004E5979">
            <w:pPr>
              <w:pStyle w:val="TableText0"/>
            </w:pPr>
            <w:r w:rsidRPr="001310AD">
              <w:t>Use ≤ 5 YOA costs ($16,950) per Brusco et al. 2022 increased the ICER to $</w:t>
            </w:r>
            <w:r w:rsidR="000A3A2D" w:rsidRPr="000A3A2D">
              <w:rPr>
                <w:color w:val="000000"/>
                <w:spacing w:val="55"/>
                <w:shd w:val="solid" w:color="000000" w:fill="000000"/>
                <w:fitText w:val="336" w:id="-628465911"/>
                <w14:textFill>
                  <w14:solidFill>
                    <w14:srgbClr w14:val="000000">
                      <w14:alpha w14:val="100000"/>
                    </w14:srgbClr>
                  </w14:solidFill>
                </w14:textFill>
              </w:rPr>
              <w:t>|||</w:t>
            </w:r>
            <w:r w:rsidR="000A3A2D" w:rsidRPr="000A3A2D">
              <w:rPr>
                <w:color w:val="000000"/>
                <w:spacing w:val="1"/>
                <w:shd w:val="solid" w:color="000000" w:fill="000000"/>
                <w:fitText w:val="336" w:id="-628465911"/>
                <w14:textFill>
                  <w14:solidFill>
                    <w14:srgbClr w14:val="000000">
                      <w14:alpha w14:val="100000"/>
                    </w14:srgbClr>
                  </w14:solidFill>
                </w14:textFill>
              </w:rPr>
              <w:t>|</w:t>
            </w:r>
            <w:r w:rsidR="009268AC">
              <w:rPr>
                <w:vertAlign w:val="superscript"/>
              </w:rPr>
              <w:t>1</w:t>
            </w:r>
            <w:r w:rsidRPr="001310AD">
              <w:t>/QALY gained.</w:t>
            </w:r>
          </w:p>
        </w:tc>
      </w:tr>
      <w:tr w:rsidR="004E5979" w:rsidRPr="001310AD" w14:paraId="53C29406" w14:textId="77777777" w:rsidTr="004D41B5">
        <w:tc>
          <w:tcPr>
            <w:tcW w:w="872" w:type="pct"/>
            <w:vAlign w:val="center"/>
          </w:tcPr>
          <w:p w14:paraId="43BCC34E" w14:textId="77777777" w:rsidR="004E5979" w:rsidRPr="001310AD" w:rsidRDefault="004E5979">
            <w:pPr>
              <w:pStyle w:val="TableText0"/>
            </w:pPr>
            <w:r w:rsidRPr="001310AD">
              <w:t>Waning</w:t>
            </w:r>
          </w:p>
        </w:tc>
        <w:tc>
          <w:tcPr>
            <w:tcW w:w="1876" w:type="pct"/>
            <w:vAlign w:val="center"/>
          </w:tcPr>
          <w:p w14:paraId="3B9D6512" w14:textId="77777777" w:rsidR="004E5979" w:rsidRPr="001310AD" w:rsidRDefault="004E5979">
            <w:pPr>
              <w:pStyle w:val="TableText0"/>
            </w:pPr>
            <w:r w:rsidRPr="001310AD">
              <w:t>2-year waning convergence to 0 at year 5</w:t>
            </w:r>
          </w:p>
        </w:tc>
        <w:tc>
          <w:tcPr>
            <w:tcW w:w="2251" w:type="pct"/>
            <w:vAlign w:val="center"/>
          </w:tcPr>
          <w:p w14:paraId="203B464C" w14:textId="77777777" w:rsidR="004E5979" w:rsidRPr="001310AD" w:rsidRDefault="004E5979">
            <w:pPr>
              <w:pStyle w:val="TableText0"/>
            </w:pPr>
            <w:r w:rsidRPr="001310AD">
              <w:t xml:space="preserve">Moderate/high, favours RSVPreF3 OA </w:t>
            </w:r>
          </w:p>
          <w:p w14:paraId="1D049486" w14:textId="49456BE2" w:rsidR="004E5979" w:rsidRPr="001310AD" w:rsidRDefault="004E5979">
            <w:pPr>
              <w:pStyle w:val="TableText0"/>
            </w:pPr>
            <w:r w:rsidRPr="001310AD">
              <w:t>Use 1-year linear logarithmic waning, convergence to 0% at year 4 increased the ICER to $</w:t>
            </w:r>
            <w:r w:rsidR="000A3A2D" w:rsidRPr="000A3A2D">
              <w:rPr>
                <w:rFonts w:cs="Calibri"/>
                <w:color w:val="000000"/>
                <w:spacing w:val="51"/>
                <w:shd w:val="solid" w:color="000000" w:fill="000000"/>
                <w:fitText w:val="324" w:id="-628465910"/>
                <w14:textFill>
                  <w14:solidFill>
                    <w14:srgbClr w14:val="000000">
                      <w14:alpha w14:val="100000"/>
                    </w14:srgbClr>
                  </w14:solidFill>
                </w14:textFill>
              </w:rPr>
              <w:t>|||</w:t>
            </w:r>
            <w:r w:rsidR="000A3A2D" w:rsidRPr="000A3A2D">
              <w:rPr>
                <w:rFonts w:cs="Calibri"/>
                <w:color w:val="000000"/>
                <w:spacing w:val="1"/>
                <w:shd w:val="solid" w:color="000000" w:fill="000000"/>
                <w:fitText w:val="324" w:id="-628465910"/>
                <w14:textFill>
                  <w14:solidFill>
                    <w14:srgbClr w14:val="000000">
                      <w14:alpha w14:val="100000"/>
                    </w14:srgbClr>
                  </w14:solidFill>
                </w14:textFill>
              </w:rPr>
              <w:t>|</w:t>
            </w:r>
            <w:r w:rsidR="003B00FB">
              <w:rPr>
                <w:rFonts w:cs="Calibri"/>
                <w:color w:val="000000"/>
                <w:vertAlign w:val="superscript"/>
              </w:rPr>
              <w:t>5</w:t>
            </w:r>
            <w:r w:rsidRPr="001310AD">
              <w:t>/QALY gained.</w:t>
            </w:r>
          </w:p>
        </w:tc>
      </w:tr>
      <w:tr w:rsidR="004E5979" w:rsidRPr="001310AD" w14:paraId="64868736" w14:textId="77777777" w:rsidTr="004D41B5">
        <w:tc>
          <w:tcPr>
            <w:tcW w:w="872" w:type="pct"/>
            <w:vAlign w:val="center"/>
          </w:tcPr>
          <w:p w14:paraId="6AB57E9F" w14:textId="77777777" w:rsidR="004E5979" w:rsidRPr="001310AD" w:rsidRDefault="004E5979">
            <w:pPr>
              <w:pStyle w:val="TableText0"/>
            </w:pPr>
            <w:r w:rsidRPr="001310AD">
              <w:t>RSV-related death</w:t>
            </w:r>
          </w:p>
        </w:tc>
        <w:tc>
          <w:tcPr>
            <w:tcW w:w="1876" w:type="pct"/>
            <w:vAlign w:val="center"/>
          </w:tcPr>
          <w:p w14:paraId="4FC78ECD" w14:textId="77777777" w:rsidR="004E5979" w:rsidRPr="001310AD" w:rsidRDefault="004E5979">
            <w:pPr>
              <w:pStyle w:val="TableText0"/>
            </w:pPr>
            <w:r w:rsidRPr="001310AD">
              <w:t>Using AIHW NHMD 2012-2019 data (2.57%; 60-64 YOA, 3.26%; 65-69 YOA, 3.60%; 70-74 YOA)</w:t>
            </w:r>
          </w:p>
        </w:tc>
        <w:tc>
          <w:tcPr>
            <w:tcW w:w="2251" w:type="pct"/>
            <w:vAlign w:val="center"/>
          </w:tcPr>
          <w:p w14:paraId="35BE1DAC" w14:textId="77777777" w:rsidR="004E5979" w:rsidRPr="001310AD" w:rsidRDefault="004E5979">
            <w:pPr>
              <w:pStyle w:val="TableText0"/>
            </w:pPr>
            <w:r w:rsidRPr="001310AD">
              <w:t xml:space="preserve">High, favours no vaccine </w:t>
            </w:r>
          </w:p>
          <w:p w14:paraId="59852919" w14:textId="279E53F6" w:rsidR="004E5979" w:rsidRPr="001310AD" w:rsidRDefault="004E5979">
            <w:pPr>
              <w:pStyle w:val="TableText0"/>
            </w:pPr>
            <w:r w:rsidRPr="001310AD">
              <w:t>Use ATAGI’s suggested upper bound rate (8.00%) for a sensitivity analysis decreased the ICER to $</w:t>
            </w:r>
            <w:r w:rsidR="000A3A2D" w:rsidRPr="000A3A2D">
              <w:rPr>
                <w:color w:val="000000"/>
                <w:spacing w:val="51"/>
                <w:shd w:val="solid" w:color="000000" w:fill="000000"/>
                <w:fitText w:val="324" w:id="-628465909"/>
                <w14:textFill>
                  <w14:solidFill>
                    <w14:srgbClr w14:val="000000">
                      <w14:alpha w14:val="100000"/>
                    </w14:srgbClr>
                  </w14:solidFill>
                </w14:textFill>
              </w:rPr>
              <w:t>|||</w:t>
            </w:r>
            <w:r w:rsidR="000A3A2D" w:rsidRPr="000A3A2D">
              <w:rPr>
                <w:color w:val="000000"/>
                <w:spacing w:val="1"/>
                <w:shd w:val="solid" w:color="000000" w:fill="000000"/>
                <w:fitText w:val="324" w:id="-628465909"/>
                <w14:textFill>
                  <w14:solidFill>
                    <w14:srgbClr w14:val="000000">
                      <w14:alpha w14:val="100000"/>
                    </w14:srgbClr>
                  </w14:solidFill>
                </w14:textFill>
              </w:rPr>
              <w:t>|</w:t>
            </w:r>
            <w:r w:rsidR="00D633C1">
              <w:rPr>
                <w:vertAlign w:val="superscript"/>
              </w:rPr>
              <w:t>3</w:t>
            </w:r>
            <w:r w:rsidRPr="001310AD">
              <w:t>/QALY gained.</w:t>
            </w:r>
          </w:p>
        </w:tc>
      </w:tr>
    </w:tbl>
    <w:p w14:paraId="17FE085F" w14:textId="77777777" w:rsidR="004E5979" w:rsidRPr="001310AD" w:rsidRDefault="004E5979" w:rsidP="004E5979">
      <w:pPr>
        <w:pStyle w:val="FooterTableFigure"/>
        <w:spacing w:after="0"/>
      </w:pPr>
      <w:r w:rsidRPr="001310AD">
        <w:t>Source: Compiled during the evaluation.</w:t>
      </w:r>
    </w:p>
    <w:p w14:paraId="0793F19E" w14:textId="7A149342" w:rsidR="004E5979" w:rsidRPr="001310AD" w:rsidRDefault="004E5979" w:rsidP="004E5979">
      <w:pPr>
        <w:pStyle w:val="TableNotes"/>
        <w:spacing w:after="0"/>
        <w:rPr>
          <w:szCs w:val="16"/>
        </w:rPr>
      </w:pPr>
      <w:r w:rsidRPr="001310AD">
        <w:rPr>
          <w:szCs w:val="16"/>
        </w:rPr>
        <w:t>AIHW = Australian Institute of Health and Welfare; ATAGI = Australian Technical Advisory Group on Immunisation; ICER = incremental cost-effectiveness ratio; NHMD = National Hospital Morbidity Database; PBAC = Pharmaceutical Benefits Advisory Committee; QALY = quality-adjusted life year; RSV= respiratory syncytial virus; YOA = years of age.</w:t>
      </w:r>
    </w:p>
    <w:p w14:paraId="00DB3ACE" w14:textId="77777777" w:rsidR="007E1E65" w:rsidRPr="007E1E65" w:rsidRDefault="007E1E65" w:rsidP="007E1E65">
      <w:pPr>
        <w:jc w:val="left"/>
        <w:rPr>
          <w:rFonts w:ascii="Arial Narrow" w:hAnsi="Arial Narrow"/>
          <w:i/>
          <w:sz w:val="18"/>
          <w:szCs w:val="18"/>
        </w:rPr>
      </w:pPr>
      <w:r w:rsidRPr="007E1E65">
        <w:rPr>
          <w:rFonts w:ascii="Arial Narrow" w:hAnsi="Arial Narrow"/>
          <w:i/>
          <w:sz w:val="18"/>
          <w:szCs w:val="18"/>
        </w:rPr>
        <w:t xml:space="preserve">The redacted values correspond to the following ranges: </w:t>
      </w:r>
    </w:p>
    <w:p w14:paraId="756BA522" w14:textId="4577ACC8" w:rsidR="007E1E65" w:rsidRPr="007E1E65" w:rsidRDefault="007E1E65" w:rsidP="007E1E65">
      <w:pPr>
        <w:jc w:val="left"/>
        <w:rPr>
          <w:rFonts w:ascii="Arial Narrow" w:hAnsi="Arial Narrow"/>
          <w:i/>
          <w:sz w:val="18"/>
          <w:szCs w:val="18"/>
        </w:rPr>
      </w:pPr>
      <w:r w:rsidRPr="007E1E65">
        <w:rPr>
          <w:rFonts w:ascii="Arial Narrow" w:hAnsi="Arial Narrow"/>
          <w:i/>
          <w:sz w:val="18"/>
          <w:szCs w:val="18"/>
          <w:vertAlign w:val="superscript"/>
        </w:rPr>
        <w:t>1</w:t>
      </w:r>
      <w:r w:rsidRPr="007E1E65">
        <w:rPr>
          <w:rFonts w:ascii="Arial Narrow" w:hAnsi="Arial Narrow"/>
          <w:i/>
          <w:sz w:val="18"/>
          <w:szCs w:val="18"/>
        </w:rPr>
        <w:t xml:space="preserve"> </w:t>
      </w:r>
      <w:r w:rsidR="009268AC" w:rsidRPr="009268AC">
        <w:rPr>
          <w:rFonts w:ascii="Arial Narrow" w:hAnsi="Arial Narrow"/>
          <w:i/>
          <w:sz w:val="18"/>
          <w:szCs w:val="18"/>
        </w:rPr>
        <w:t>$35,000 to &lt; $45,000</w:t>
      </w:r>
    </w:p>
    <w:p w14:paraId="3DAB0150" w14:textId="129CEF3F" w:rsidR="007E1E65" w:rsidRPr="007E1E65" w:rsidRDefault="007E1E65" w:rsidP="007E1E65">
      <w:pPr>
        <w:jc w:val="left"/>
        <w:rPr>
          <w:rFonts w:ascii="Arial Narrow" w:hAnsi="Arial Narrow"/>
          <w:i/>
          <w:sz w:val="18"/>
          <w:szCs w:val="18"/>
        </w:rPr>
      </w:pPr>
      <w:r w:rsidRPr="007E1E65">
        <w:rPr>
          <w:rFonts w:ascii="Arial Narrow" w:hAnsi="Arial Narrow"/>
          <w:i/>
          <w:sz w:val="18"/>
          <w:szCs w:val="18"/>
          <w:vertAlign w:val="superscript"/>
        </w:rPr>
        <w:t>2</w:t>
      </w:r>
      <w:r w:rsidRPr="007E1E65">
        <w:rPr>
          <w:rFonts w:ascii="Arial Narrow" w:hAnsi="Arial Narrow"/>
          <w:i/>
          <w:sz w:val="18"/>
          <w:szCs w:val="18"/>
        </w:rPr>
        <w:t xml:space="preserve"> </w:t>
      </w:r>
      <w:r w:rsidR="00356787" w:rsidRPr="00356787">
        <w:rPr>
          <w:rFonts w:ascii="Arial Narrow" w:hAnsi="Arial Narrow"/>
          <w:i/>
          <w:sz w:val="18"/>
          <w:szCs w:val="18"/>
        </w:rPr>
        <w:t>$15,000 to &lt; $25,000</w:t>
      </w:r>
    </w:p>
    <w:p w14:paraId="645E3818" w14:textId="40CF99CA" w:rsidR="007E1E65" w:rsidRPr="007E1E65" w:rsidRDefault="007E1E65" w:rsidP="007E1E65">
      <w:pPr>
        <w:jc w:val="left"/>
        <w:rPr>
          <w:rFonts w:ascii="Arial Narrow" w:hAnsi="Arial Narrow"/>
          <w:i/>
          <w:sz w:val="18"/>
          <w:szCs w:val="18"/>
        </w:rPr>
      </w:pPr>
      <w:r w:rsidRPr="007E1E65">
        <w:rPr>
          <w:rFonts w:ascii="Arial Narrow" w:hAnsi="Arial Narrow"/>
          <w:i/>
          <w:sz w:val="18"/>
          <w:szCs w:val="18"/>
          <w:vertAlign w:val="superscript"/>
        </w:rPr>
        <w:t>3</w:t>
      </w:r>
      <w:r w:rsidRPr="007E1E65">
        <w:rPr>
          <w:rFonts w:ascii="Arial Narrow" w:hAnsi="Arial Narrow"/>
          <w:i/>
          <w:sz w:val="18"/>
          <w:szCs w:val="18"/>
        </w:rPr>
        <w:t xml:space="preserve"> </w:t>
      </w:r>
      <w:r w:rsidR="00D633C1" w:rsidRPr="00D633C1">
        <w:rPr>
          <w:rFonts w:ascii="Arial Narrow" w:hAnsi="Arial Narrow"/>
          <w:i/>
          <w:sz w:val="18"/>
          <w:szCs w:val="18"/>
        </w:rPr>
        <w:t xml:space="preserve">$5,000 to &lt; $15,000 </w:t>
      </w:r>
    </w:p>
    <w:p w14:paraId="0D9AEF5A" w14:textId="7FD91DED" w:rsidR="007E1E65" w:rsidRPr="007E1E65" w:rsidRDefault="007E1E65" w:rsidP="007E1E65">
      <w:pPr>
        <w:jc w:val="left"/>
        <w:rPr>
          <w:rFonts w:ascii="Arial Narrow" w:hAnsi="Arial Narrow"/>
          <w:i/>
          <w:sz w:val="18"/>
          <w:szCs w:val="18"/>
        </w:rPr>
      </w:pPr>
      <w:r w:rsidRPr="007E1E65">
        <w:rPr>
          <w:rFonts w:ascii="Arial Narrow" w:hAnsi="Arial Narrow"/>
          <w:i/>
          <w:sz w:val="18"/>
          <w:szCs w:val="18"/>
          <w:vertAlign w:val="superscript"/>
        </w:rPr>
        <w:t>4</w:t>
      </w:r>
      <w:r w:rsidRPr="007E1E65">
        <w:rPr>
          <w:rFonts w:ascii="Arial Narrow" w:hAnsi="Arial Narrow"/>
          <w:i/>
          <w:sz w:val="18"/>
          <w:szCs w:val="18"/>
        </w:rPr>
        <w:t xml:space="preserve"> </w:t>
      </w:r>
      <w:r w:rsidR="00F10080" w:rsidRPr="00F10080">
        <w:rPr>
          <w:rFonts w:ascii="Arial Narrow" w:hAnsi="Arial Narrow"/>
          <w:i/>
          <w:sz w:val="18"/>
          <w:szCs w:val="18"/>
        </w:rPr>
        <w:t>$0 to &lt; $5,000</w:t>
      </w:r>
    </w:p>
    <w:p w14:paraId="38A74278" w14:textId="600F8FB0" w:rsidR="007E1E65" w:rsidRPr="007E1E65" w:rsidRDefault="007E1E65" w:rsidP="007E1E65">
      <w:pPr>
        <w:jc w:val="left"/>
        <w:rPr>
          <w:rFonts w:ascii="Arial Narrow" w:hAnsi="Arial Narrow"/>
          <w:i/>
          <w:sz w:val="18"/>
          <w:szCs w:val="18"/>
        </w:rPr>
      </w:pPr>
      <w:r w:rsidRPr="007E1E65">
        <w:rPr>
          <w:rFonts w:ascii="Arial Narrow" w:hAnsi="Arial Narrow"/>
          <w:i/>
          <w:sz w:val="18"/>
          <w:szCs w:val="18"/>
          <w:vertAlign w:val="superscript"/>
        </w:rPr>
        <w:t>5</w:t>
      </w:r>
      <w:r w:rsidRPr="007E1E65">
        <w:rPr>
          <w:rFonts w:ascii="Arial Narrow" w:hAnsi="Arial Narrow"/>
          <w:i/>
          <w:sz w:val="18"/>
          <w:szCs w:val="18"/>
        </w:rPr>
        <w:t xml:space="preserve"> </w:t>
      </w:r>
      <w:r w:rsidR="003B00FB" w:rsidRPr="003B00FB">
        <w:rPr>
          <w:rFonts w:ascii="Arial Narrow" w:hAnsi="Arial Narrow"/>
          <w:i/>
          <w:sz w:val="18"/>
          <w:szCs w:val="18"/>
        </w:rPr>
        <w:t>$25,000 to &lt; $35,000</w:t>
      </w:r>
    </w:p>
    <w:p w14:paraId="60F65D3A" w14:textId="77777777" w:rsidR="00002B49" w:rsidRPr="001310AD" w:rsidRDefault="00002B49" w:rsidP="004E5979">
      <w:pPr>
        <w:pStyle w:val="TableNotes"/>
        <w:spacing w:after="0"/>
        <w:rPr>
          <w:szCs w:val="16"/>
        </w:rPr>
      </w:pPr>
    </w:p>
    <w:p w14:paraId="51A8EA5A" w14:textId="5C88F560" w:rsidR="004E5979" w:rsidRPr="001310AD" w:rsidRDefault="004E5979" w:rsidP="00E82A8D">
      <w:pPr>
        <w:pStyle w:val="3-BodyText"/>
      </w:pPr>
      <w:r w:rsidRPr="001310AD">
        <w:t xml:space="preserve">A summary of the results of the economic evaluation from the resubmission is presented in </w:t>
      </w:r>
      <w:r w:rsidRPr="001310AD">
        <w:fldChar w:fldCharType="begin"/>
      </w:r>
      <w:r w:rsidRPr="001310AD">
        <w:instrText xml:space="preserve"> REF _Ref196992689 \h </w:instrText>
      </w:r>
      <w:r w:rsidRPr="001310AD">
        <w:fldChar w:fldCharType="separate"/>
      </w:r>
      <w:r w:rsidR="001F75E0" w:rsidRPr="001310AD">
        <w:t>Table 18</w:t>
      </w:r>
      <w:r w:rsidRPr="001310AD">
        <w:fldChar w:fldCharType="end"/>
      </w:r>
      <w:r w:rsidRPr="001310AD">
        <w:t>.</w:t>
      </w:r>
    </w:p>
    <w:p w14:paraId="58336220" w14:textId="3A32987A" w:rsidR="004E5979" w:rsidRPr="001310AD" w:rsidRDefault="004E5979" w:rsidP="004E5979">
      <w:pPr>
        <w:pStyle w:val="Caption"/>
        <w:rPr>
          <w:rStyle w:val="CommentReference"/>
          <w:b/>
          <w:szCs w:val="24"/>
        </w:rPr>
      </w:pPr>
      <w:bookmarkStart w:id="81" w:name="_Ref196992689"/>
      <w:r w:rsidRPr="001310AD">
        <w:lastRenderedPageBreak/>
        <w:t xml:space="preserve">Table </w:t>
      </w:r>
      <w:fldSimple w:instr=" SEQ Table \* ARABIC ">
        <w:r w:rsidR="001F75E0" w:rsidRPr="001310AD">
          <w:t>18</w:t>
        </w:r>
      </w:fldSimple>
      <w:bookmarkEnd w:id="81"/>
      <w:r w:rsidRPr="001310AD">
        <w:rPr>
          <w:rStyle w:val="CommentReference"/>
          <w:b/>
          <w:szCs w:val="24"/>
        </w:rPr>
        <w:t>: Results of the economic evaluation</w:t>
      </w:r>
    </w:p>
    <w:tbl>
      <w:tblPr>
        <w:tblStyle w:val="ASDTable2"/>
        <w:tblW w:w="0" w:type="auto"/>
        <w:tblInd w:w="0" w:type="dxa"/>
        <w:tblLayout w:type="fixed"/>
        <w:tblLook w:val="04A0" w:firstRow="1" w:lastRow="0" w:firstColumn="1" w:lastColumn="0" w:noHBand="0" w:noVBand="1"/>
        <w:tblCaption w:val="Table 18: Results of the economic evaluation"/>
      </w:tblPr>
      <w:tblGrid>
        <w:gridCol w:w="4106"/>
        <w:gridCol w:w="1559"/>
        <w:gridCol w:w="1463"/>
        <w:gridCol w:w="13"/>
        <w:gridCol w:w="13"/>
        <w:gridCol w:w="1863"/>
      </w:tblGrid>
      <w:tr w:rsidR="004E5979" w:rsidRPr="001310AD" w14:paraId="6328FBDC" w14:textId="77777777" w:rsidTr="000F0C46">
        <w:trPr>
          <w:cantSplit/>
        </w:trPr>
        <w:tc>
          <w:tcPr>
            <w:tcW w:w="4106" w:type="dxa"/>
            <w:noWrap/>
            <w:hideMark/>
          </w:tcPr>
          <w:p w14:paraId="464840E3" w14:textId="77777777" w:rsidR="004E5979" w:rsidRPr="001310AD" w:rsidRDefault="004E5979">
            <w:pPr>
              <w:pStyle w:val="PBACTabletext"/>
              <w:spacing w:after="0"/>
              <w:contextualSpacing/>
              <w:rPr>
                <w:rFonts w:ascii="Arial Narrow" w:hAnsi="Arial Narrow"/>
                <w:b/>
                <w:bCs/>
                <w:sz w:val="20"/>
                <w:szCs w:val="20"/>
              </w:rPr>
            </w:pPr>
          </w:p>
        </w:tc>
        <w:tc>
          <w:tcPr>
            <w:tcW w:w="1559" w:type="dxa"/>
            <w:noWrap/>
            <w:hideMark/>
          </w:tcPr>
          <w:p w14:paraId="5CEE2772" w14:textId="77777777" w:rsidR="004E5979" w:rsidRPr="001310AD" w:rsidRDefault="004E5979">
            <w:pPr>
              <w:pStyle w:val="PBACTabletext"/>
              <w:spacing w:after="0"/>
              <w:contextualSpacing/>
              <w:jc w:val="center"/>
              <w:rPr>
                <w:rFonts w:ascii="Arial Narrow" w:hAnsi="Arial Narrow"/>
                <w:b/>
                <w:bCs/>
                <w:sz w:val="20"/>
                <w:szCs w:val="20"/>
              </w:rPr>
            </w:pPr>
            <w:r w:rsidRPr="001310AD">
              <w:rPr>
                <w:rFonts w:ascii="Arial Narrow" w:hAnsi="Arial Narrow"/>
                <w:b/>
                <w:bCs/>
                <w:sz w:val="20"/>
                <w:szCs w:val="20"/>
              </w:rPr>
              <w:t>No vaccine</w:t>
            </w:r>
          </w:p>
        </w:tc>
        <w:tc>
          <w:tcPr>
            <w:tcW w:w="1463" w:type="dxa"/>
            <w:noWrap/>
            <w:hideMark/>
          </w:tcPr>
          <w:p w14:paraId="376C183B" w14:textId="77777777" w:rsidR="004E5979" w:rsidRPr="001310AD" w:rsidRDefault="004E5979">
            <w:pPr>
              <w:pStyle w:val="PBACTabletext"/>
              <w:spacing w:after="0"/>
              <w:contextualSpacing/>
              <w:jc w:val="center"/>
              <w:rPr>
                <w:rFonts w:ascii="Arial Narrow" w:hAnsi="Arial Narrow"/>
                <w:b/>
                <w:bCs/>
                <w:sz w:val="20"/>
                <w:szCs w:val="20"/>
              </w:rPr>
            </w:pPr>
            <w:r w:rsidRPr="001310AD">
              <w:rPr>
                <w:rFonts w:ascii="Arial Narrow" w:hAnsi="Arial Narrow"/>
                <w:b/>
                <w:bCs/>
                <w:sz w:val="20"/>
                <w:szCs w:val="20"/>
              </w:rPr>
              <w:t>RSVPreF3 OA</w:t>
            </w:r>
          </w:p>
        </w:tc>
        <w:tc>
          <w:tcPr>
            <w:tcW w:w="1889" w:type="dxa"/>
            <w:gridSpan w:val="3"/>
            <w:noWrap/>
            <w:hideMark/>
          </w:tcPr>
          <w:p w14:paraId="48EA64C7" w14:textId="77777777" w:rsidR="004E5979" w:rsidRPr="001310AD" w:rsidRDefault="004E5979">
            <w:pPr>
              <w:pStyle w:val="PBACTabletext"/>
              <w:spacing w:after="0"/>
              <w:contextualSpacing/>
              <w:jc w:val="center"/>
              <w:rPr>
                <w:rFonts w:ascii="Arial Narrow" w:hAnsi="Arial Narrow"/>
                <w:b/>
                <w:bCs/>
                <w:sz w:val="20"/>
                <w:szCs w:val="20"/>
              </w:rPr>
            </w:pPr>
            <w:r w:rsidRPr="001310AD">
              <w:rPr>
                <w:rFonts w:ascii="Arial Narrow" w:hAnsi="Arial Narrow"/>
                <w:b/>
                <w:bCs/>
                <w:sz w:val="20"/>
                <w:szCs w:val="20"/>
              </w:rPr>
              <w:t>Incremental difference</w:t>
            </w:r>
          </w:p>
        </w:tc>
      </w:tr>
      <w:tr w:rsidR="004E5979" w:rsidRPr="001310AD" w14:paraId="2BCF2DCE" w14:textId="77777777" w:rsidTr="000F0C46">
        <w:trPr>
          <w:cantSplit/>
        </w:trPr>
        <w:tc>
          <w:tcPr>
            <w:tcW w:w="9017" w:type="dxa"/>
            <w:gridSpan w:val="6"/>
            <w:noWrap/>
            <w:hideMark/>
          </w:tcPr>
          <w:p w14:paraId="36531165" w14:textId="77777777" w:rsidR="004E5979" w:rsidRPr="001310AD" w:rsidRDefault="004E5979">
            <w:pPr>
              <w:pStyle w:val="PBACTabletext"/>
              <w:spacing w:after="0"/>
              <w:contextualSpacing/>
              <w:rPr>
                <w:rFonts w:ascii="Arial Narrow" w:hAnsi="Arial Narrow"/>
                <w:b/>
                <w:bCs/>
                <w:sz w:val="20"/>
                <w:szCs w:val="20"/>
              </w:rPr>
            </w:pPr>
            <w:r w:rsidRPr="001310AD">
              <w:rPr>
                <w:rFonts w:ascii="Arial Narrow" w:hAnsi="Arial Narrow"/>
                <w:b/>
                <w:bCs/>
                <w:sz w:val="20"/>
                <w:szCs w:val="20"/>
              </w:rPr>
              <w:t>Adults ≥75 YOA</w:t>
            </w:r>
          </w:p>
        </w:tc>
      </w:tr>
      <w:tr w:rsidR="004E5979" w:rsidRPr="001310AD" w14:paraId="6FDA2D93" w14:textId="77777777" w:rsidTr="000F0C46">
        <w:trPr>
          <w:cantSplit/>
        </w:trPr>
        <w:tc>
          <w:tcPr>
            <w:tcW w:w="4106" w:type="dxa"/>
            <w:noWrap/>
          </w:tcPr>
          <w:p w14:paraId="461CF0B5"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Population</w:t>
            </w:r>
          </w:p>
        </w:tc>
        <w:tc>
          <w:tcPr>
            <w:tcW w:w="1559" w:type="dxa"/>
            <w:noWrap/>
          </w:tcPr>
          <w:p w14:paraId="5F4B246C" w14:textId="4AFAE669" w:rsidR="004E5979" w:rsidRPr="002D1815" w:rsidRDefault="000A3A2D">
            <w:pPr>
              <w:pStyle w:val="PBACTabletext"/>
              <w:spacing w:after="0"/>
              <w:contextualSpacing/>
              <w:jc w:val="center"/>
              <w:rPr>
                <w:rFonts w:ascii="Arial Narrow" w:hAnsi="Arial Narrow"/>
                <w:sz w:val="20"/>
                <w:szCs w:val="20"/>
              </w:rPr>
            </w:pPr>
            <w:r w:rsidRPr="000A3A2D">
              <w:rPr>
                <w:rFonts w:ascii="Arial Narrow" w:hAnsi="Arial Narrow"/>
                <w:color w:val="000000"/>
                <w:spacing w:val="55"/>
                <w:sz w:val="20"/>
                <w:szCs w:val="20"/>
                <w:shd w:val="solid" w:color="000000" w:fill="000000"/>
                <w:fitText w:val="336" w:id="-628465908"/>
                <w14:textFill>
                  <w14:solidFill>
                    <w14:srgbClr w14:val="000000">
                      <w14:alpha w14:val="100000"/>
                    </w14:srgbClr>
                  </w14:solidFill>
                </w14:textFill>
              </w:rPr>
              <w:t>|||</w:t>
            </w:r>
            <w:r w:rsidRPr="000A3A2D">
              <w:rPr>
                <w:rFonts w:ascii="Arial Narrow" w:hAnsi="Arial Narrow"/>
                <w:color w:val="000000"/>
                <w:spacing w:val="1"/>
                <w:sz w:val="20"/>
                <w:szCs w:val="20"/>
                <w:shd w:val="solid" w:color="000000" w:fill="000000"/>
                <w:fitText w:val="336" w:id="-628465908"/>
                <w14:textFill>
                  <w14:solidFill>
                    <w14:srgbClr w14:val="000000">
                      <w14:alpha w14:val="100000"/>
                    </w14:srgbClr>
                  </w14:solidFill>
                </w14:textFill>
              </w:rPr>
              <w:t>|</w:t>
            </w:r>
            <w:r w:rsidR="00EC52C3">
              <w:rPr>
                <w:rFonts w:ascii="Arial Narrow" w:hAnsi="Arial Narrow"/>
                <w:sz w:val="20"/>
                <w:szCs w:val="20"/>
                <w:vertAlign w:val="superscript"/>
              </w:rPr>
              <w:t>1</w:t>
            </w:r>
            <w:r w:rsidR="002D1815" w:rsidRPr="002D1815">
              <w:rPr>
                <w:rFonts w:ascii="Arial Narrow" w:hAnsi="Arial Narrow"/>
                <w:sz w:val="20"/>
                <w:szCs w:val="20"/>
              </w:rPr>
              <w:t xml:space="preserve"> </w:t>
            </w:r>
          </w:p>
        </w:tc>
        <w:tc>
          <w:tcPr>
            <w:tcW w:w="1463" w:type="dxa"/>
            <w:noWrap/>
          </w:tcPr>
          <w:p w14:paraId="60C126D0" w14:textId="5BAEE420" w:rsidR="004E5979" w:rsidRPr="002D1815" w:rsidRDefault="000A3A2D">
            <w:pPr>
              <w:pStyle w:val="PBACTabletext"/>
              <w:spacing w:after="0"/>
              <w:contextualSpacing/>
              <w:jc w:val="center"/>
              <w:rPr>
                <w:rFonts w:ascii="Arial Narrow" w:hAnsi="Arial Narrow"/>
                <w:sz w:val="20"/>
                <w:szCs w:val="20"/>
              </w:rPr>
            </w:pPr>
            <w:r w:rsidRPr="000A3A2D">
              <w:rPr>
                <w:rFonts w:ascii="Arial Narrow" w:hAnsi="Arial Narrow"/>
                <w:color w:val="000000"/>
                <w:spacing w:val="55"/>
                <w:sz w:val="20"/>
                <w:szCs w:val="20"/>
                <w:shd w:val="solid" w:color="000000" w:fill="000000"/>
                <w:fitText w:val="336" w:id="-628465907"/>
                <w14:textFill>
                  <w14:solidFill>
                    <w14:srgbClr w14:val="000000">
                      <w14:alpha w14:val="100000"/>
                    </w14:srgbClr>
                  </w14:solidFill>
                </w14:textFill>
              </w:rPr>
              <w:t>|||</w:t>
            </w:r>
            <w:r w:rsidRPr="000A3A2D">
              <w:rPr>
                <w:rFonts w:ascii="Arial Narrow" w:hAnsi="Arial Narrow"/>
                <w:color w:val="000000"/>
                <w:spacing w:val="1"/>
                <w:sz w:val="20"/>
                <w:szCs w:val="20"/>
                <w:shd w:val="solid" w:color="000000" w:fill="000000"/>
                <w:fitText w:val="336" w:id="-628465907"/>
                <w14:textFill>
                  <w14:solidFill>
                    <w14:srgbClr w14:val="000000">
                      <w14:alpha w14:val="100000"/>
                    </w14:srgbClr>
                  </w14:solidFill>
                </w14:textFill>
              </w:rPr>
              <w:t>|</w:t>
            </w:r>
            <w:r w:rsidR="00EC52C3">
              <w:rPr>
                <w:rFonts w:ascii="Arial Narrow" w:hAnsi="Arial Narrow"/>
                <w:sz w:val="20"/>
                <w:szCs w:val="20"/>
                <w:vertAlign w:val="superscript"/>
              </w:rPr>
              <w:t>1</w:t>
            </w:r>
          </w:p>
        </w:tc>
        <w:tc>
          <w:tcPr>
            <w:tcW w:w="1889" w:type="dxa"/>
            <w:gridSpan w:val="3"/>
            <w:noWrap/>
          </w:tcPr>
          <w:p w14:paraId="6CFAE2C2" w14:textId="77777777" w:rsidR="004E5979" w:rsidRPr="001310AD" w:rsidRDefault="004E5979">
            <w:pPr>
              <w:pStyle w:val="PBACTabletext"/>
              <w:spacing w:after="0"/>
              <w:contextualSpacing/>
              <w:jc w:val="center"/>
              <w:rPr>
                <w:rFonts w:ascii="Arial Narrow" w:hAnsi="Arial Narrow"/>
                <w:sz w:val="20"/>
                <w:szCs w:val="20"/>
                <w:highlight w:val="yellow"/>
              </w:rPr>
            </w:pPr>
            <w:r w:rsidRPr="001310AD">
              <w:rPr>
                <w:rFonts w:ascii="Arial Narrow" w:hAnsi="Arial Narrow"/>
                <w:sz w:val="20"/>
                <w:szCs w:val="20"/>
              </w:rPr>
              <w:t>0</w:t>
            </w:r>
          </w:p>
        </w:tc>
      </w:tr>
      <w:tr w:rsidR="004E5979" w:rsidRPr="001310AD" w14:paraId="1E23648B" w14:textId="77777777" w:rsidTr="000F0C46">
        <w:trPr>
          <w:cantSplit/>
        </w:trPr>
        <w:tc>
          <w:tcPr>
            <w:tcW w:w="4106" w:type="dxa"/>
            <w:noWrap/>
          </w:tcPr>
          <w:p w14:paraId="20135F68"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Vaccinated population</w:t>
            </w:r>
          </w:p>
        </w:tc>
        <w:tc>
          <w:tcPr>
            <w:tcW w:w="1559" w:type="dxa"/>
            <w:noWrap/>
          </w:tcPr>
          <w:p w14:paraId="223FEE20" w14:textId="6CF523EF" w:rsidR="004E5979" w:rsidRPr="00EC52C3" w:rsidRDefault="004E5979">
            <w:pPr>
              <w:pStyle w:val="PBACTabletext"/>
              <w:spacing w:after="0"/>
              <w:contextualSpacing/>
              <w:jc w:val="center"/>
              <w:rPr>
                <w:rFonts w:ascii="Arial Narrow" w:hAnsi="Arial Narrow"/>
                <w:sz w:val="20"/>
                <w:szCs w:val="20"/>
                <w:vertAlign w:val="superscript"/>
              </w:rPr>
            </w:pPr>
            <w:r w:rsidRPr="001606DF">
              <w:rPr>
                <w:rFonts w:ascii="Arial Narrow" w:hAnsi="Arial Narrow"/>
                <w:sz w:val="20"/>
                <w:szCs w:val="20"/>
              </w:rPr>
              <w:t>0</w:t>
            </w:r>
          </w:p>
        </w:tc>
        <w:tc>
          <w:tcPr>
            <w:tcW w:w="1463" w:type="dxa"/>
            <w:noWrap/>
          </w:tcPr>
          <w:p w14:paraId="099F1732" w14:textId="45016076" w:rsidR="004E5979" w:rsidRPr="001310AD" w:rsidRDefault="000A3A2D">
            <w:pPr>
              <w:pStyle w:val="PBACTabletext"/>
              <w:spacing w:after="0"/>
              <w:contextualSpacing/>
              <w:jc w:val="center"/>
              <w:rPr>
                <w:rFonts w:ascii="Arial Narrow" w:hAnsi="Arial Narrow"/>
                <w:sz w:val="20"/>
                <w:szCs w:val="20"/>
              </w:rPr>
            </w:pPr>
            <w:r w:rsidRPr="000A3A2D">
              <w:rPr>
                <w:rFonts w:ascii="Arial Narrow" w:hAnsi="Arial Narrow"/>
                <w:color w:val="000000"/>
                <w:spacing w:val="55"/>
                <w:sz w:val="20"/>
                <w:szCs w:val="20"/>
                <w:shd w:val="solid" w:color="000000" w:fill="000000"/>
                <w:fitText w:val="336" w:id="-628465906"/>
                <w14:textFill>
                  <w14:solidFill>
                    <w14:srgbClr w14:val="000000">
                      <w14:alpha w14:val="100000"/>
                    </w14:srgbClr>
                  </w14:solidFill>
                </w14:textFill>
              </w:rPr>
              <w:t>|||</w:t>
            </w:r>
            <w:r w:rsidRPr="000A3A2D">
              <w:rPr>
                <w:rFonts w:ascii="Arial Narrow" w:hAnsi="Arial Narrow"/>
                <w:color w:val="000000"/>
                <w:spacing w:val="1"/>
                <w:sz w:val="20"/>
                <w:szCs w:val="20"/>
                <w:shd w:val="solid" w:color="000000" w:fill="000000"/>
                <w:fitText w:val="336" w:id="-628465906"/>
                <w14:textFill>
                  <w14:solidFill>
                    <w14:srgbClr w14:val="000000">
                      <w14:alpha w14:val="100000"/>
                    </w14:srgbClr>
                  </w14:solidFill>
                </w14:textFill>
              </w:rPr>
              <w:t>|</w:t>
            </w:r>
            <w:r w:rsidR="00EC52C3">
              <w:rPr>
                <w:rFonts w:ascii="Arial Narrow" w:hAnsi="Arial Narrow"/>
                <w:sz w:val="20"/>
                <w:szCs w:val="20"/>
                <w:vertAlign w:val="superscript"/>
              </w:rPr>
              <w:t>1</w:t>
            </w:r>
          </w:p>
        </w:tc>
        <w:tc>
          <w:tcPr>
            <w:tcW w:w="1889" w:type="dxa"/>
            <w:gridSpan w:val="3"/>
            <w:noWrap/>
          </w:tcPr>
          <w:p w14:paraId="37499D46" w14:textId="31CD1CB0" w:rsidR="004E5979" w:rsidRPr="001310AD" w:rsidRDefault="00AF3BC7">
            <w:pPr>
              <w:pStyle w:val="PBACTabletext"/>
              <w:spacing w:after="0"/>
              <w:contextualSpacing/>
              <w:jc w:val="center"/>
              <w:rPr>
                <w:rFonts w:ascii="Arial Narrow" w:hAnsi="Arial Narrow"/>
                <w:sz w:val="20"/>
                <w:szCs w:val="20"/>
              </w:rPr>
            </w:pPr>
            <w:r w:rsidRPr="00AF3BC7">
              <w:rPr>
                <w:rFonts w:ascii="Arial Narrow" w:hAnsi="Arial Narrow"/>
                <w:sz w:val="2"/>
                <w:szCs w:val="20"/>
                <w:highlight w:val="black"/>
              </w:rPr>
              <w:t>redacted content</w:t>
            </w:r>
            <w:r w:rsidR="00EC52C3">
              <w:rPr>
                <w:rFonts w:ascii="Arial Narrow" w:hAnsi="Arial Narrow"/>
                <w:sz w:val="20"/>
                <w:szCs w:val="20"/>
                <w:vertAlign w:val="superscript"/>
              </w:rPr>
              <w:t>1</w:t>
            </w:r>
          </w:p>
        </w:tc>
      </w:tr>
      <w:tr w:rsidR="004E5979" w:rsidRPr="001310AD" w14:paraId="5179A68D" w14:textId="77777777" w:rsidTr="000F0C46">
        <w:trPr>
          <w:cantSplit/>
        </w:trPr>
        <w:tc>
          <w:tcPr>
            <w:tcW w:w="4106" w:type="dxa"/>
            <w:noWrap/>
          </w:tcPr>
          <w:p w14:paraId="4ED4E15E"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Direct costs</w:t>
            </w:r>
          </w:p>
        </w:tc>
        <w:tc>
          <w:tcPr>
            <w:tcW w:w="1559" w:type="dxa"/>
            <w:noWrap/>
          </w:tcPr>
          <w:p w14:paraId="57D6A7D1" w14:textId="78E3DBA5" w:rsidR="004E5979" w:rsidRPr="00DA1C30" w:rsidRDefault="004E5979">
            <w:pPr>
              <w:pStyle w:val="PBACTabletext"/>
              <w:spacing w:after="0"/>
              <w:contextualSpacing/>
              <w:jc w:val="center"/>
              <w:rPr>
                <w:rFonts w:ascii="Arial Narrow" w:hAnsi="Arial Narrow"/>
                <w:sz w:val="20"/>
                <w:szCs w:val="20"/>
              </w:rPr>
            </w:pPr>
            <w:r w:rsidRPr="00DA1C30">
              <w:rPr>
                <w:rFonts w:ascii="Arial Narrow" w:hAnsi="Arial Narrow"/>
                <w:sz w:val="20"/>
                <w:szCs w:val="20"/>
              </w:rPr>
              <w:t>$1,170,646,212</w:t>
            </w:r>
          </w:p>
        </w:tc>
        <w:tc>
          <w:tcPr>
            <w:tcW w:w="1463" w:type="dxa"/>
            <w:noWrap/>
          </w:tcPr>
          <w:p w14:paraId="60F0E081" w14:textId="4EB07FA8"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w:t>
            </w:r>
            <w:r w:rsidR="000A3A2D" w:rsidRPr="000A3A2D">
              <w:rPr>
                <w:rFonts w:ascii="Arial Narrow" w:hAnsi="Arial Narrow"/>
                <w:color w:val="000000"/>
                <w:spacing w:val="51"/>
                <w:sz w:val="20"/>
                <w:szCs w:val="20"/>
                <w:shd w:val="solid" w:color="000000" w:fill="000000"/>
                <w:fitText w:val="324" w:id="-628465905"/>
                <w14:textFill>
                  <w14:solidFill>
                    <w14:srgbClr w14:val="000000">
                      <w14:alpha w14:val="100000"/>
                    </w14:srgbClr>
                  </w14:solidFill>
                </w14:textFill>
              </w:rPr>
              <w:t>|||</w:t>
            </w:r>
            <w:r w:rsidR="000A3A2D" w:rsidRPr="000A3A2D">
              <w:rPr>
                <w:rFonts w:ascii="Arial Narrow" w:hAnsi="Arial Narrow"/>
                <w:color w:val="000000"/>
                <w:spacing w:val="1"/>
                <w:sz w:val="20"/>
                <w:szCs w:val="20"/>
                <w:shd w:val="solid" w:color="000000" w:fill="000000"/>
                <w:fitText w:val="324" w:id="-628465905"/>
                <w14:textFill>
                  <w14:solidFill>
                    <w14:srgbClr w14:val="000000">
                      <w14:alpha w14:val="100000"/>
                    </w14:srgbClr>
                  </w14:solidFill>
                </w14:textFill>
              </w:rPr>
              <w:t>|</w:t>
            </w:r>
          </w:p>
        </w:tc>
        <w:tc>
          <w:tcPr>
            <w:tcW w:w="1889" w:type="dxa"/>
            <w:gridSpan w:val="3"/>
            <w:noWrap/>
          </w:tcPr>
          <w:p w14:paraId="13E19E11" w14:textId="746AB1AD"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w:t>
            </w:r>
            <w:r w:rsidR="000A3A2D" w:rsidRPr="000A3A2D">
              <w:rPr>
                <w:rFonts w:ascii="Arial Narrow" w:hAnsi="Arial Narrow"/>
                <w:color w:val="000000"/>
                <w:spacing w:val="55"/>
                <w:sz w:val="20"/>
                <w:szCs w:val="20"/>
                <w:shd w:val="solid" w:color="000000" w:fill="000000"/>
                <w:fitText w:val="336" w:id="-628465904"/>
                <w14:textFill>
                  <w14:solidFill>
                    <w14:srgbClr w14:val="000000">
                      <w14:alpha w14:val="100000"/>
                    </w14:srgbClr>
                  </w14:solidFill>
                </w14:textFill>
              </w:rPr>
              <w:t>|||</w:t>
            </w:r>
            <w:r w:rsidR="000A3A2D" w:rsidRPr="000A3A2D">
              <w:rPr>
                <w:rFonts w:ascii="Arial Narrow" w:hAnsi="Arial Narrow"/>
                <w:color w:val="000000"/>
                <w:spacing w:val="1"/>
                <w:sz w:val="20"/>
                <w:szCs w:val="20"/>
                <w:shd w:val="solid" w:color="000000" w:fill="000000"/>
                <w:fitText w:val="336" w:id="-628465904"/>
                <w14:textFill>
                  <w14:solidFill>
                    <w14:srgbClr w14:val="000000">
                      <w14:alpha w14:val="100000"/>
                    </w14:srgbClr>
                  </w14:solidFill>
                </w14:textFill>
              </w:rPr>
              <w:t>|</w:t>
            </w:r>
          </w:p>
        </w:tc>
      </w:tr>
      <w:tr w:rsidR="004E5979" w:rsidRPr="001310AD" w14:paraId="03EE1791" w14:textId="77777777" w:rsidTr="000F0C46">
        <w:trPr>
          <w:cantSplit/>
        </w:trPr>
        <w:tc>
          <w:tcPr>
            <w:tcW w:w="4106" w:type="dxa"/>
            <w:noWrap/>
            <w:hideMark/>
          </w:tcPr>
          <w:p w14:paraId="42F747CA"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LYs lost</w:t>
            </w:r>
          </w:p>
        </w:tc>
        <w:tc>
          <w:tcPr>
            <w:tcW w:w="1559" w:type="dxa"/>
            <w:noWrap/>
          </w:tcPr>
          <w:p w14:paraId="2389DEAF" w14:textId="77777777" w:rsidR="004E5979" w:rsidRPr="001310AD" w:rsidRDefault="004E5979">
            <w:pPr>
              <w:pStyle w:val="PBACTabletext"/>
              <w:spacing w:after="0"/>
              <w:contextualSpacing/>
              <w:jc w:val="center"/>
              <w:rPr>
                <w:rFonts w:ascii="Arial Narrow" w:hAnsi="Arial Narrow"/>
                <w:sz w:val="20"/>
                <w:szCs w:val="20"/>
                <w:highlight w:val="yellow"/>
              </w:rPr>
            </w:pPr>
            <w:r w:rsidRPr="001310AD">
              <w:rPr>
                <w:rFonts w:ascii="Arial Narrow" w:hAnsi="Arial Narrow"/>
                <w:sz w:val="20"/>
                <w:szCs w:val="20"/>
              </w:rPr>
              <w:t>14,219</w:t>
            </w:r>
          </w:p>
        </w:tc>
        <w:tc>
          <w:tcPr>
            <w:tcW w:w="1463" w:type="dxa"/>
            <w:noWrap/>
          </w:tcPr>
          <w:p w14:paraId="7B30B24B" w14:textId="77777777" w:rsidR="004E5979" w:rsidRPr="001310AD" w:rsidRDefault="004E5979">
            <w:pPr>
              <w:pStyle w:val="PBACTabletext"/>
              <w:spacing w:after="0"/>
              <w:contextualSpacing/>
              <w:jc w:val="center"/>
              <w:rPr>
                <w:rFonts w:ascii="Arial Narrow" w:hAnsi="Arial Narrow"/>
                <w:sz w:val="20"/>
                <w:szCs w:val="20"/>
                <w:highlight w:val="yellow"/>
              </w:rPr>
            </w:pPr>
            <w:r w:rsidRPr="001310AD">
              <w:rPr>
                <w:rFonts w:ascii="Arial Narrow" w:hAnsi="Arial Narrow"/>
                <w:sz w:val="20"/>
                <w:szCs w:val="20"/>
              </w:rPr>
              <w:t>7,518</w:t>
            </w:r>
          </w:p>
        </w:tc>
        <w:tc>
          <w:tcPr>
            <w:tcW w:w="1889" w:type="dxa"/>
            <w:gridSpan w:val="3"/>
            <w:noWrap/>
          </w:tcPr>
          <w:p w14:paraId="1634D578" w14:textId="77777777" w:rsidR="004E5979" w:rsidRPr="001310AD" w:rsidRDefault="004E5979">
            <w:pPr>
              <w:pStyle w:val="PBACTabletext"/>
              <w:spacing w:after="0"/>
              <w:contextualSpacing/>
              <w:jc w:val="center"/>
              <w:rPr>
                <w:rFonts w:ascii="Arial Narrow" w:hAnsi="Arial Narrow"/>
                <w:sz w:val="20"/>
                <w:szCs w:val="20"/>
                <w:highlight w:val="yellow"/>
              </w:rPr>
            </w:pPr>
            <w:r w:rsidRPr="001310AD">
              <w:rPr>
                <w:rFonts w:ascii="Arial Narrow" w:hAnsi="Arial Narrow"/>
                <w:sz w:val="20"/>
                <w:szCs w:val="20"/>
              </w:rPr>
              <w:t>-6,701</w:t>
            </w:r>
          </w:p>
        </w:tc>
      </w:tr>
      <w:tr w:rsidR="004E5979" w:rsidRPr="001310AD" w14:paraId="1ABC3051" w14:textId="77777777" w:rsidTr="000F0C46">
        <w:trPr>
          <w:cantSplit/>
        </w:trPr>
        <w:tc>
          <w:tcPr>
            <w:tcW w:w="4106" w:type="dxa"/>
            <w:noWrap/>
            <w:hideMark/>
          </w:tcPr>
          <w:p w14:paraId="600AC747"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QALYs lost</w:t>
            </w:r>
          </w:p>
        </w:tc>
        <w:tc>
          <w:tcPr>
            <w:tcW w:w="1559" w:type="dxa"/>
            <w:noWrap/>
          </w:tcPr>
          <w:p w14:paraId="188BD213" w14:textId="77777777" w:rsidR="004E5979" w:rsidRPr="001310AD" w:rsidRDefault="004E5979">
            <w:pPr>
              <w:pStyle w:val="PBACTabletext"/>
              <w:spacing w:after="0"/>
              <w:contextualSpacing/>
              <w:jc w:val="center"/>
              <w:rPr>
                <w:rFonts w:ascii="Arial Narrow" w:hAnsi="Arial Narrow"/>
                <w:sz w:val="20"/>
                <w:szCs w:val="20"/>
                <w:highlight w:val="yellow"/>
              </w:rPr>
            </w:pPr>
            <w:r w:rsidRPr="001310AD">
              <w:rPr>
                <w:rFonts w:ascii="Arial Narrow" w:hAnsi="Arial Narrow"/>
                <w:sz w:val="20"/>
                <w:szCs w:val="20"/>
              </w:rPr>
              <w:t>17,863</w:t>
            </w:r>
          </w:p>
        </w:tc>
        <w:tc>
          <w:tcPr>
            <w:tcW w:w="1463" w:type="dxa"/>
            <w:noWrap/>
          </w:tcPr>
          <w:p w14:paraId="4706F03A" w14:textId="77777777" w:rsidR="004E5979" w:rsidRPr="001310AD" w:rsidRDefault="004E5979">
            <w:pPr>
              <w:pStyle w:val="PBACTabletext"/>
              <w:spacing w:after="0"/>
              <w:contextualSpacing/>
              <w:jc w:val="center"/>
              <w:rPr>
                <w:rFonts w:ascii="Arial Narrow" w:hAnsi="Arial Narrow"/>
                <w:sz w:val="20"/>
                <w:szCs w:val="20"/>
                <w:highlight w:val="yellow"/>
              </w:rPr>
            </w:pPr>
            <w:r w:rsidRPr="001310AD">
              <w:rPr>
                <w:rFonts w:ascii="Arial Narrow" w:hAnsi="Arial Narrow"/>
                <w:sz w:val="20"/>
                <w:szCs w:val="20"/>
              </w:rPr>
              <w:t>10,054</w:t>
            </w:r>
          </w:p>
        </w:tc>
        <w:tc>
          <w:tcPr>
            <w:tcW w:w="1889" w:type="dxa"/>
            <w:gridSpan w:val="3"/>
            <w:noWrap/>
          </w:tcPr>
          <w:p w14:paraId="703ACC4A" w14:textId="77777777" w:rsidR="004E5979" w:rsidRPr="001310AD" w:rsidRDefault="004E5979">
            <w:pPr>
              <w:pStyle w:val="PBACTabletext"/>
              <w:spacing w:after="0"/>
              <w:contextualSpacing/>
              <w:jc w:val="center"/>
              <w:rPr>
                <w:rFonts w:ascii="Arial Narrow" w:hAnsi="Arial Narrow"/>
                <w:sz w:val="20"/>
                <w:szCs w:val="20"/>
                <w:highlight w:val="yellow"/>
              </w:rPr>
            </w:pPr>
            <w:r w:rsidRPr="001310AD">
              <w:rPr>
                <w:rFonts w:ascii="Arial Narrow" w:hAnsi="Arial Narrow"/>
                <w:sz w:val="20"/>
                <w:szCs w:val="20"/>
              </w:rPr>
              <w:t>-7,808</w:t>
            </w:r>
          </w:p>
        </w:tc>
      </w:tr>
      <w:tr w:rsidR="004E5979" w:rsidRPr="001310AD" w14:paraId="38896B93" w14:textId="77777777" w:rsidTr="000F0C46">
        <w:trPr>
          <w:cantSplit/>
        </w:trPr>
        <w:tc>
          <w:tcPr>
            <w:tcW w:w="4106" w:type="dxa"/>
            <w:noWrap/>
            <w:hideMark/>
          </w:tcPr>
          <w:p w14:paraId="40964999" w14:textId="77777777" w:rsidR="004E5979" w:rsidRPr="001310AD" w:rsidRDefault="004E5979">
            <w:pPr>
              <w:pStyle w:val="PBACTabletext"/>
              <w:spacing w:after="0"/>
              <w:contextualSpacing/>
              <w:rPr>
                <w:rFonts w:ascii="Arial Narrow" w:hAnsi="Arial Narrow"/>
                <w:b/>
                <w:bCs/>
                <w:sz w:val="20"/>
                <w:szCs w:val="20"/>
              </w:rPr>
            </w:pPr>
            <w:r w:rsidRPr="001310AD">
              <w:rPr>
                <w:rFonts w:ascii="Arial Narrow" w:hAnsi="Arial Narrow"/>
                <w:b/>
                <w:bCs/>
                <w:sz w:val="20"/>
                <w:szCs w:val="20"/>
              </w:rPr>
              <w:t>Cost per LY gained</w:t>
            </w:r>
          </w:p>
        </w:tc>
        <w:tc>
          <w:tcPr>
            <w:tcW w:w="1559" w:type="dxa"/>
            <w:noWrap/>
          </w:tcPr>
          <w:p w14:paraId="609258EF" w14:textId="77777777" w:rsidR="004E5979" w:rsidRPr="001310AD" w:rsidRDefault="004E5979">
            <w:pPr>
              <w:pStyle w:val="PBACTabletext"/>
              <w:spacing w:after="0"/>
              <w:contextualSpacing/>
              <w:jc w:val="center"/>
              <w:rPr>
                <w:rFonts w:ascii="Arial Narrow" w:hAnsi="Arial Narrow"/>
                <w:b/>
                <w:bCs/>
                <w:sz w:val="20"/>
                <w:szCs w:val="20"/>
              </w:rPr>
            </w:pPr>
          </w:p>
        </w:tc>
        <w:tc>
          <w:tcPr>
            <w:tcW w:w="1463" w:type="dxa"/>
            <w:noWrap/>
          </w:tcPr>
          <w:p w14:paraId="696AA74E" w14:textId="77777777" w:rsidR="004E5979" w:rsidRPr="001310AD" w:rsidRDefault="004E5979">
            <w:pPr>
              <w:pStyle w:val="PBACTabletext"/>
              <w:spacing w:after="0"/>
              <w:contextualSpacing/>
              <w:jc w:val="center"/>
              <w:rPr>
                <w:rFonts w:ascii="Arial Narrow" w:hAnsi="Arial Narrow"/>
                <w:b/>
                <w:bCs/>
                <w:sz w:val="20"/>
                <w:szCs w:val="20"/>
              </w:rPr>
            </w:pPr>
          </w:p>
        </w:tc>
        <w:tc>
          <w:tcPr>
            <w:tcW w:w="1889" w:type="dxa"/>
            <w:gridSpan w:val="3"/>
            <w:noWrap/>
          </w:tcPr>
          <w:p w14:paraId="3BA15D69" w14:textId="18F6ED55" w:rsidR="004E5979" w:rsidRPr="008855E6" w:rsidRDefault="004E5979">
            <w:pPr>
              <w:pStyle w:val="PBACTabletext"/>
              <w:spacing w:after="0"/>
              <w:contextualSpacing/>
              <w:jc w:val="center"/>
              <w:rPr>
                <w:rFonts w:ascii="Arial Narrow" w:hAnsi="Arial Narrow"/>
                <w:sz w:val="20"/>
                <w:szCs w:val="20"/>
                <w:vertAlign w:val="superscript"/>
              </w:rPr>
            </w:pPr>
            <w:r w:rsidRPr="001310AD">
              <w:rPr>
                <w:rFonts w:ascii="Arial Narrow" w:hAnsi="Arial Narrow"/>
                <w:sz w:val="20"/>
                <w:szCs w:val="20"/>
              </w:rPr>
              <w:t>$</w:t>
            </w:r>
            <w:r w:rsidR="000A3A2D" w:rsidRPr="000A3A2D">
              <w:rPr>
                <w:rFonts w:ascii="Arial Narrow" w:hAnsi="Arial Narrow"/>
                <w:color w:val="000000"/>
                <w:spacing w:val="51"/>
                <w:sz w:val="20"/>
                <w:szCs w:val="20"/>
                <w:shd w:val="solid" w:color="000000" w:fill="000000"/>
                <w:fitText w:val="324" w:id="-628465920"/>
                <w14:textFill>
                  <w14:solidFill>
                    <w14:srgbClr w14:val="000000">
                      <w14:alpha w14:val="100000"/>
                    </w14:srgbClr>
                  </w14:solidFill>
                </w14:textFill>
              </w:rPr>
              <w:t>|||</w:t>
            </w:r>
            <w:r w:rsidR="000A3A2D" w:rsidRPr="000A3A2D">
              <w:rPr>
                <w:rFonts w:ascii="Arial Narrow" w:hAnsi="Arial Narrow"/>
                <w:color w:val="000000"/>
                <w:spacing w:val="1"/>
                <w:sz w:val="20"/>
                <w:szCs w:val="20"/>
                <w:shd w:val="solid" w:color="000000" w:fill="000000"/>
                <w:fitText w:val="324" w:id="-628465920"/>
                <w14:textFill>
                  <w14:solidFill>
                    <w14:srgbClr w14:val="000000">
                      <w14:alpha w14:val="100000"/>
                    </w14:srgbClr>
                  </w14:solidFill>
                </w14:textFill>
              </w:rPr>
              <w:t>|</w:t>
            </w:r>
            <w:r w:rsidR="00D8415C">
              <w:rPr>
                <w:rFonts w:ascii="Arial Narrow" w:hAnsi="Arial Narrow"/>
                <w:sz w:val="20"/>
                <w:szCs w:val="20"/>
                <w:vertAlign w:val="superscript"/>
              </w:rPr>
              <w:t>3</w:t>
            </w:r>
          </w:p>
        </w:tc>
      </w:tr>
      <w:tr w:rsidR="004E5979" w:rsidRPr="001310AD" w14:paraId="24ADDC96" w14:textId="77777777" w:rsidTr="000F0C46">
        <w:trPr>
          <w:cantSplit/>
        </w:trPr>
        <w:tc>
          <w:tcPr>
            <w:tcW w:w="4106" w:type="dxa"/>
            <w:noWrap/>
            <w:hideMark/>
          </w:tcPr>
          <w:p w14:paraId="0AF0A57F" w14:textId="77777777" w:rsidR="004E5979" w:rsidRPr="001310AD" w:rsidRDefault="004E5979">
            <w:pPr>
              <w:pStyle w:val="PBACTabletext"/>
              <w:spacing w:after="0"/>
              <w:contextualSpacing/>
              <w:rPr>
                <w:rFonts w:ascii="Arial Narrow" w:hAnsi="Arial Narrow"/>
                <w:b/>
                <w:bCs/>
                <w:sz w:val="20"/>
                <w:szCs w:val="20"/>
              </w:rPr>
            </w:pPr>
            <w:r w:rsidRPr="001310AD">
              <w:rPr>
                <w:rFonts w:ascii="Arial Narrow" w:hAnsi="Arial Narrow"/>
                <w:b/>
                <w:bCs/>
                <w:sz w:val="20"/>
                <w:szCs w:val="20"/>
              </w:rPr>
              <w:t>Cost per QALY gained</w:t>
            </w:r>
          </w:p>
        </w:tc>
        <w:tc>
          <w:tcPr>
            <w:tcW w:w="1559" w:type="dxa"/>
            <w:noWrap/>
          </w:tcPr>
          <w:p w14:paraId="4D09AA5D" w14:textId="77777777" w:rsidR="004E5979" w:rsidRPr="001310AD" w:rsidRDefault="004E5979">
            <w:pPr>
              <w:pStyle w:val="PBACTabletext"/>
              <w:spacing w:after="0"/>
              <w:contextualSpacing/>
              <w:jc w:val="center"/>
              <w:rPr>
                <w:rFonts w:ascii="Arial Narrow" w:hAnsi="Arial Narrow"/>
                <w:b/>
                <w:bCs/>
                <w:sz w:val="20"/>
                <w:szCs w:val="20"/>
              </w:rPr>
            </w:pPr>
          </w:p>
        </w:tc>
        <w:tc>
          <w:tcPr>
            <w:tcW w:w="1463" w:type="dxa"/>
            <w:noWrap/>
          </w:tcPr>
          <w:p w14:paraId="06D99897" w14:textId="77777777" w:rsidR="004E5979" w:rsidRPr="001310AD" w:rsidRDefault="004E5979">
            <w:pPr>
              <w:pStyle w:val="PBACTabletext"/>
              <w:spacing w:after="0"/>
              <w:contextualSpacing/>
              <w:jc w:val="center"/>
              <w:rPr>
                <w:rFonts w:ascii="Arial Narrow" w:hAnsi="Arial Narrow"/>
                <w:b/>
                <w:bCs/>
                <w:sz w:val="20"/>
                <w:szCs w:val="20"/>
              </w:rPr>
            </w:pPr>
          </w:p>
        </w:tc>
        <w:tc>
          <w:tcPr>
            <w:tcW w:w="1889" w:type="dxa"/>
            <w:gridSpan w:val="3"/>
            <w:noWrap/>
          </w:tcPr>
          <w:p w14:paraId="64BF946C" w14:textId="39D82B95" w:rsidR="004E5979" w:rsidRPr="008855E6" w:rsidRDefault="004E5979">
            <w:pPr>
              <w:pStyle w:val="PBACTabletext"/>
              <w:spacing w:after="0"/>
              <w:contextualSpacing/>
              <w:jc w:val="center"/>
              <w:rPr>
                <w:rFonts w:ascii="Arial Narrow" w:hAnsi="Arial Narrow"/>
                <w:b/>
                <w:bCs/>
                <w:sz w:val="20"/>
                <w:szCs w:val="20"/>
                <w:vertAlign w:val="superscript"/>
              </w:rPr>
            </w:pPr>
            <w:r w:rsidRPr="001310AD">
              <w:rPr>
                <w:rFonts w:ascii="Arial Narrow" w:hAnsi="Arial Narrow"/>
                <w:b/>
                <w:bCs/>
                <w:sz w:val="20"/>
                <w:szCs w:val="20"/>
              </w:rPr>
              <w:t>$</w:t>
            </w:r>
            <w:r w:rsidR="000A3A2D" w:rsidRPr="000A3A2D">
              <w:rPr>
                <w:rFonts w:ascii="Arial Narrow" w:hAnsi="Arial Narrow"/>
                <w:b/>
                <w:bCs/>
                <w:color w:val="000000"/>
                <w:spacing w:val="58"/>
                <w:sz w:val="20"/>
                <w:szCs w:val="20"/>
                <w:shd w:val="solid" w:color="000000" w:fill="000000"/>
                <w:fitText w:val="360" w:id="-628465919"/>
                <w14:textFill>
                  <w14:solidFill>
                    <w14:srgbClr w14:val="000000">
                      <w14:alpha w14:val="100000"/>
                    </w14:srgbClr>
                  </w14:solidFill>
                </w14:textFill>
              </w:rPr>
              <w:t>|||</w:t>
            </w:r>
            <w:r w:rsidR="000A3A2D" w:rsidRPr="000A3A2D">
              <w:rPr>
                <w:rFonts w:ascii="Arial Narrow" w:hAnsi="Arial Narrow"/>
                <w:b/>
                <w:bCs/>
                <w:color w:val="000000"/>
                <w:spacing w:val="3"/>
                <w:sz w:val="20"/>
                <w:szCs w:val="20"/>
                <w:shd w:val="solid" w:color="000000" w:fill="000000"/>
                <w:fitText w:val="360" w:id="-628465919"/>
                <w14:textFill>
                  <w14:solidFill>
                    <w14:srgbClr w14:val="000000">
                      <w14:alpha w14:val="100000"/>
                    </w14:srgbClr>
                  </w14:solidFill>
                </w14:textFill>
              </w:rPr>
              <w:t>|</w:t>
            </w:r>
            <w:r w:rsidR="00D8415C">
              <w:rPr>
                <w:rFonts w:ascii="Arial Narrow" w:hAnsi="Arial Narrow"/>
                <w:b/>
                <w:bCs/>
                <w:sz w:val="20"/>
                <w:szCs w:val="20"/>
                <w:vertAlign w:val="superscript"/>
              </w:rPr>
              <w:t>4</w:t>
            </w:r>
          </w:p>
        </w:tc>
      </w:tr>
      <w:tr w:rsidR="000B08AF" w:rsidRPr="001310AD" w14:paraId="0A9624B6" w14:textId="77777777" w:rsidTr="00A56418">
        <w:trPr>
          <w:cantSplit/>
        </w:trPr>
        <w:tc>
          <w:tcPr>
            <w:tcW w:w="9017" w:type="dxa"/>
            <w:gridSpan w:val="6"/>
            <w:noWrap/>
          </w:tcPr>
          <w:p w14:paraId="701C592E" w14:textId="4D54FAB7" w:rsidR="000B08AF" w:rsidRPr="001310AD" w:rsidRDefault="000B08AF" w:rsidP="000B08AF">
            <w:pPr>
              <w:pStyle w:val="PBACTabletext"/>
              <w:spacing w:after="0"/>
              <w:contextualSpacing/>
              <w:rPr>
                <w:rFonts w:ascii="Arial Narrow" w:hAnsi="Arial Narrow"/>
                <w:b/>
                <w:bCs/>
                <w:sz w:val="20"/>
                <w:szCs w:val="20"/>
              </w:rPr>
            </w:pPr>
            <w:r w:rsidRPr="001310AD">
              <w:rPr>
                <w:rFonts w:ascii="Arial Narrow" w:hAnsi="Arial Narrow"/>
                <w:b/>
                <w:bCs/>
                <w:sz w:val="20"/>
                <w:szCs w:val="20"/>
              </w:rPr>
              <w:t xml:space="preserve">PSCR </w:t>
            </w:r>
            <w:r w:rsidRPr="001310AD">
              <w:rPr>
                <w:rFonts w:ascii="Arial Narrow" w:hAnsi="Arial Narrow"/>
                <w:b/>
                <w:bCs/>
                <w:sz w:val="20"/>
                <w:szCs w:val="20"/>
                <w:vertAlign w:val="superscript"/>
              </w:rPr>
              <w:t>a</w:t>
            </w:r>
          </w:p>
        </w:tc>
      </w:tr>
      <w:tr w:rsidR="009B083A" w:rsidRPr="001310AD" w14:paraId="18C329E4" w14:textId="77777777" w:rsidTr="000F0C46">
        <w:trPr>
          <w:cantSplit/>
        </w:trPr>
        <w:tc>
          <w:tcPr>
            <w:tcW w:w="4106" w:type="dxa"/>
            <w:noWrap/>
          </w:tcPr>
          <w:p w14:paraId="7BC875A7" w14:textId="493D40EC" w:rsidR="00C67F18" w:rsidRPr="001310AD" w:rsidRDefault="00C67F18" w:rsidP="00C67F18">
            <w:pPr>
              <w:pStyle w:val="PBACTabletext"/>
              <w:spacing w:after="0"/>
              <w:contextualSpacing/>
              <w:rPr>
                <w:rFonts w:ascii="Arial Narrow" w:hAnsi="Arial Narrow"/>
                <w:b/>
                <w:bCs/>
                <w:sz w:val="20"/>
                <w:szCs w:val="20"/>
              </w:rPr>
            </w:pPr>
            <w:r w:rsidRPr="001310AD">
              <w:rPr>
                <w:rFonts w:ascii="Arial Narrow" w:hAnsi="Arial Narrow"/>
                <w:b/>
                <w:bCs/>
                <w:sz w:val="20"/>
                <w:szCs w:val="20"/>
              </w:rPr>
              <w:t>Cost per QALY gained</w:t>
            </w:r>
            <w:r w:rsidRPr="001310AD">
              <w:rPr>
                <w:rFonts w:ascii="Arial Narrow" w:hAnsi="Arial Narrow"/>
                <w:sz w:val="20"/>
                <w:szCs w:val="20"/>
              </w:rPr>
              <w:t xml:space="preserve"> with hospital costs $20,091</w:t>
            </w:r>
          </w:p>
        </w:tc>
        <w:tc>
          <w:tcPr>
            <w:tcW w:w="1559" w:type="dxa"/>
            <w:noWrap/>
          </w:tcPr>
          <w:p w14:paraId="54568BFE" w14:textId="77777777" w:rsidR="00C67F18" w:rsidRPr="001310AD" w:rsidRDefault="00C67F18" w:rsidP="00C67F18">
            <w:pPr>
              <w:pStyle w:val="PBACTabletext"/>
              <w:spacing w:after="0"/>
              <w:contextualSpacing/>
              <w:jc w:val="center"/>
              <w:rPr>
                <w:rFonts w:ascii="Arial Narrow" w:hAnsi="Arial Narrow"/>
                <w:b/>
                <w:bCs/>
                <w:sz w:val="20"/>
                <w:szCs w:val="20"/>
              </w:rPr>
            </w:pPr>
          </w:p>
        </w:tc>
        <w:tc>
          <w:tcPr>
            <w:tcW w:w="1476" w:type="dxa"/>
            <w:gridSpan w:val="2"/>
            <w:noWrap/>
          </w:tcPr>
          <w:p w14:paraId="174560B9" w14:textId="77777777" w:rsidR="00C67F18" w:rsidRPr="001310AD" w:rsidRDefault="00C67F18" w:rsidP="00C67F18">
            <w:pPr>
              <w:pStyle w:val="PBACTabletext"/>
              <w:spacing w:after="0"/>
              <w:contextualSpacing/>
              <w:jc w:val="center"/>
              <w:rPr>
                <w:rFonts w:ascii="Arial Narrow" w:hAnsi="Arial Narrow"/>
                <w:b/>
                <w:bCs/>
                <w:sz w:val="20"/>
                <w:szCs w:val="20"/>
              </w:rPr>
            </w:pPr>
          </w:p>
        </w:tc>
        <w:tc>
          <w:tcPr>
            <w:tcW w:w="1876" w:type="dxa"/>
            <w:gridSpan w:val="2"/>
            <w:noWrap/>
          </w:tcPr>
          <w:p w14:paraId="5B9C5DB1" w14:textId="2CDEBF04" w:rsidR="00C67F18" w:rsidRPr="001310AD" w:rsidRDefault="00C67F18" w:rsidP="00C67F18">
            <w:pPr>
              <w:pStyle w:val="PBACTabletext"/>
              <w:spacing w:after="0"/>
              <w:contextualSpacing/>
              <w:jc w:val="center"/>
              <w:rPr>
                <w:rFonts w:ascii="Arial Narrow" w:hAnsi="Arial Narrow"/>
                <w:b/>
                <w:bCs/>
                <w:sz w:val="20"/>
                <w:szCs w:val="20"/>
              </w:rPr>
            </w:pPr>
            <w:r w:rsidRPr="001310AD">
              <w:rPr>
                <w:rFonts w:ascii="Arial Narrow" w:hAnsi="Arial Narrow"/>
                <w:b/>
                <w:bCs/>
                <w:sz w:val="20"/>
                <w:szCs w:val="20"/>
              </w:rPr>
              <w:t>$</w:t>
            </w:r>
            <w:r w:rsidR="000A3A2D" w:rsidRPr="000A3A2D">
              <w:rPr>
                <w:rFonts w:ascii="Arial Narrow" w:hAnsi="Arial Narrow"/>
                <w:b/>
                <w:bCs/>
                <w:color w:val="000000"/>
                <w:spacing w:val="58"/>
                <w:sz w:val="20"/>
                <w:szCs w:val="20"/>
                <w:shd w:val="solid" w:color="000000" w:fill="000000"/>
                <w:fitText w:val="360" w:id="-628465918"/>
                <w14:textFill>
                  <w14:solidFill>
                    <w14:srgbClr w14:val="000000">
                      <w14:alpha w14:val="100000"/>
                    </w14:srgbClr>
                  </w14:solidFill>
                </w14:textFill>
              </w:rPr>
              <w:t>|||</w:t>
            </w:r>
            <w:r w:rsidR="000A3A2D" w:rsidRPr="000A3A2D">
              <w:rPr>
                <w:rFonts w:ascii="Arial Narrow" w:hAnsi="Arial Narrow"/>
                <w:b/>
                <w:bCs/>
                <w:color w:val="000000"/>
                <w:spacing w:val="3"/>
                <w:sz w:val="20"/>
                <w:szCs w:val="20"/>
                <w:shd w:val="solid" w:color="000000" w:fill="000000"/>
                <w:fitText w:val="360" w:id="-628465918"/>
                <w14:textFill>
                  <w14:solidFill>
                    <w14:srgbClr w14:val="000000">
                      <w14:alpha w14:val="100000"/>
                    </w14:srgbClr>
                  </w14:solidFill>
                </w14:textFill>
              </w:rPr>
              <w:t>|</w:t>
            </w:r>
            <w:r w:rsidRPr="001310AD">
              <w:rPr>
                <w:rFonts w:ascii="Arial Narrow" w:hAnsi="Arial Narrow"/>
                <w:b/>
                <w:bCs/>
                <w:sz w:val="20"/>
                <w:szCs w:val="20"/>
              </w:rPr>
              <w:t xml:space="preserve"> </w:t>
            </w:r>
            <w:r w:rsidR="00F651EF" w:rsidRPr="001310AD">
              <w:rPr>
                <w:rFonts w:ascii="Arial Narrow" w:hAnsi="Arial Narrow"/>
                <w:b/>
                <w:bCs/>
                <w:sz w:val="20"/>
                <w:szCs w:val="20"/>
                <w:vertAlign w:val="superscript"/>
              </w:rPr>
              <w:t>a</w:t>
            </w:r>
            <w:r w:rsidR="00D8415C">
              <w:rPr>
                <w:rFonts w:ascii="Arial Narrow" w:hAnsi="Arial Narrow"/>
                <w:b/>
                <w:bCs/>
                <w:sz w:val="20"/>
                <w:szCs w:val="20"/>
                <w:vertAlign w:val="superscript"/>
              </w:rPr>
              <w:t>4</w:t>
            </w:r>
          </w:p>
        </w:tc>
      </w:tr>
      <w:tr w:rsidR="009B083A" w:rsidRPr="001310AD" w14:paraId="0AF7C32F" w14:textId="77777777" w:rsidTr="000F0C46">
        <w:trPr>
          <w:cantSplit/>
        </w:trPr>
        <w:tc>
          <w:tcPr>
            <w:tcW w:w="4106" w:type="dxa"/>
            <w:noWrap/>
          </w:tcPr>
          <w:p w14:paraId="208BC0CA" w14:textId="1CE3172E" w:rsidR="00C67F18" w:rsidRPr="001310AD" w:rsidRDefault="00C67F18" w:rsidP="00C67F18">
            <w:pPr>
              <w:pStyle w:val="PBACTabletext"/>
              <w:spacing w:after="0"/>
              <w:contextualSpacing/>
              <w:rPr>
                <w:rFonts w:ascii="Arial Narrow" w:hAnsi="Arial Narrow"/>
                <w:b/>
                <w:bCs/>
                <w:sz w:val="20"/>
                <w:szCs w:val="20"/>
              </w:rPr>
            </w:pPr>
            <w:r w:rsidRPr="001310AD">
              <w:rPr>
                <w:rFonts w:ascii="Arial Narrow" w:hAnsi="Arial Narrow"/>
                <w:b/>
                <w:bCs/>
                <w:sz w:val="20"/>
                <w:szCs w:val="20"/>
              </w:rPr>
              <w:t>Cost per QALY gained</w:t>
            </w:r>
            <w:r w:rsidRPr="001310AD">
              <w:rPr>
                <w:rFonts w:ascii="Arial Narrow" w:hAnsi="Arial Narrow"/>
                <w:sz w:val="20"/>
                <w:szCs w:val="20"/>
              </w:rPr>
              <w:t xml:space="preserve"> with hospital costs $15,525 to $16,693</w:t>
            </w:r>
          </w:p>
        </w:tc>
        <w:tc>
          <w:tcPr>
            <w:tcW w:w="1559" w:type="dxa"/>
            <w:noWrap/>
          </w:tcPr>
          <w:p w14:paraId="2C6FDC00" w14:textId="77777777" w:rsidR="00C67F18" w:rsidRPr="001310AD" w:rsidRDefault="00C67F18" w:rsidP="00C67F18">
            <w:pPr>
              <w:pStyle w:val="PBACTabletext"/>
              <w:spacing w:after="0"/>
              <w:contextualSpacing/>
              <w:jc w:val="center"/>
              <w:rPr>
                <w:rFonts w:ascii="Arial Narrow" w:hAnsi="Arial Narrow"/>
                <w:b/>
                <w:bCs/>
                <w:sz w:val="20"/>
                <w:szCs w:val="20"/>
              </w:rPr>
            </w:pPr>
          </w:p>
        </w:tc>
        <w:tc>
          <w:tcPr>
            <w:tcW w:w="1476" w:type="dxa"/>
            <w:gridSpan w:val="2"/>
            <w:noWrap/>
          </w:tcPr>
          <w:p w14:paraId="5A57C4F0" w14:textId="77777777" w:rsidR="00C67F18" w:rsidRPr="001310AD" w:rsidRDefault="00C67F18" w:rsidP="00C67F18">
            <w:pPr>
              <w:pStyle w:val="PBACTabletext"/>
              <w:spacing w:after="0"/>
              <w:contextualSpacing/>
              <w:jc w:val="center"/>
              <w:rPr>
                <w:rFonts w:ascii="Arial Narrow" w:hAnsi="Arial Narrow"/>
                <w:b/>
                <w:bCs/>
                <w:sz w:val="20"/>
                <w:szCs w:val="20"/>
              </w:rPr>
            </w:pPr>
          </w:p>
        </w:tc>
        <w:tc>
          <w:tcPr>
            <w:tcW w:w="1876" w:type="dxa"/>
            <w:gridSpan w:val="2"/>
            <w:noWrap/>
          </w:tcPr>
          <w:p w14:paraId="742B1C54" w14:textId="1CC74141" w:rsidR="00C67F18" w:rsidRPr="001310AD" w:rsidRDefault="00C67F18" w:rsidP="00C67F18">
            <w:pPr>
              <w:pStyle w:val="PBACTabletext"/>
              <w:spacing w:after="0"/>
              <w:contextualSpacing/>
              <w:jc w:val="center"/>
              <w:rPr>
                <w:rFonts w:ascii="Arial Narrow" w:hAnsi="Arial Narrow"/>
                <w:b/>
                <w:bCs/>
                <w:sz w:val="20"/>
                <w:szCs w:val="20"/>
              </w:rPr>
            </w:pPr>
            <w:r w:rsidRPr="001310AD">
              <w:rPr>
                <w:rFonts w:ascii="Arial Narrow" w:hAnsi="Arial Narrow"/>
                <w:b/>
                <w:bCs/>
                <w:sz w:val="20"/>
                <w:szCs w:val="20"/>
              </w:rPr>
              <w:t>$</w:t>
            </w:r>
            <w:r w:rsidR="000A3A2D" w:rsidRPr="000A3A2D">
              <w:rPr>
                <w:rFonts w:ascii="Arial Narrow" w:hAnsi="Arial Narrow"/>
                <w:b/>
                <w:bCs/>
                <w:color w:val="000000"/>
                <w:spacing w:val="58"/>
                <w:sz w:val="20"/>
                <w:szCs w:val="20"/>
                <w:shd w:val="solid" w:color="000000" w:fill="000000"/>
                <w:fitText w:val="360" w:id="-628465917"/>
                <w14:textFill>
                  <w14:solidFill>
                    <w14:srgbClr w14:val="000000">
                      <w14:alpha w14:val="100000"/>
                    </w14:srgbClr>
                  </w14:solidFill>
                </w14:textFill>
              </w:rPr>
              <w:t>|||</w:t>
            </w:r>
            <w:r w:rsidR="000A3A2D" w:rsidRPr="000A3A2D">
              <w:rPr>
                <w:rFonts w:ascii="Arial Narrow" w:hAnsi="Arial Narrow"/>
                <w:b/>
                <w:bCs/>
                <w:color w:val="000000"/>
                <w:spacing w:val="3"/>
                <w:sz w:val="20"/>
                <w:szCs w:val="20"/>
                <w:shd w:val="solid" w:color="000000" w:fill="000000"/>
                <w:fitText w:val="360" w:id="-628465917"/>
                <w14:textFill>
                  <w14:solidFill>
                    <w14:srgbClr w14:val="000000">
                      <w14:alpha w14:val="100000"/>
                    </w14:srgbClr>
                  </w14:solidFill>
                </w14:textFill>
              </w:rPr>
              <w:t>|</w:t>
            </w:r>
            <w:r w:rsidR="00D8415C">
              <w:rPr>
                <w:rFonts w:ascii="Arial Narrow" w:hAnsi="Arial Narrow"/>
                <w:b/>
                <w:bCs/>
                <w:sz w:val="20"/>
                <w:szCs w:val="20"/>
                <w:vertAlign w:val="superscript"/>
              </w:rPr>
              <w:t>3</w:t>
            </w:r>
            <w:r w:rsidRPr="001310AD">
              <w:rPr>
                <w:rFonts w:ascii="Arial Narrow" w:hAnsi="Arial Narrow"/>
                <w:b/>
                <w:bCs/>
                <w:sz w:val="20"/>
                <w:szCs w:val="20"/>
              </w:rPr>
              <w:t xml:space="preserve"> to $</w:t>
            </w:r>
            <w:r w:rsidR="000A3A2D" w:rsidRPr="000A3A2D">
              <w:rPr>
                <w:rFonts w:ascii="Arial Narrow" w:hAnsi="Arial Narrow"/>
                <w:b/>
                <w:bCs/>
                <w:color w:val="000000"/>
                <w:spacing w:val="58"/>
                <w:sz w:val="20"/>
                <w:szCs w:val="20"/>
                <w:shd w:val="solid" w:color="000000" w:fill="000000"/>
                <w:fitText w:val="360" w:id="-628465916"/>
                <w14:textFill>
                  <w14:solidFill>
                    <w14:srgbClr w14:val="000000">
                      <w14:alpha w14:val="100000"/>
                    </w14:srgbClr>
                  </w14:solidFill>
                </w14:textFill>
              </w:rPr>
              <w:t>|||</w:t>
            </w:r>
            <w:r w:rsidR="000A3A2D" w:rsidRPr="000A3A2D">
              <w:rPr>
                <w:rFonts w:ascii="Arial Narrow" w:hAnsi="Arial Narrow"/>
                <w:b/>
                <w:bCs/>
                <w:color w:val="000000"/>
                <w:spacing w:val="3"/>
                <w:sz w:val="20"/>
                <w:szCs w:val="20"/>
                <w:shd w:val="solid" w:color="000000" w:fill="000000"/>
                <w:fitText w:val="360" w:id="-628465916"/>
                <w14:textFill>
                  <w14:solidFill>
                    <w14:srgbClr w14:val="000000">
                      <w14:alpha w14:val="100000"/>
                    </w14:srgbClr>
                  </w14:solidFill>
                </w14:textFill>
              </w:rPr>
              <w:t>|</w:t>
            </w:r>
            <w:r w:rsidR="00D8415C">
              <w:rPr>
                <w:rFonts w:ascii="Arial Narrow" w:hAnsi="Arial Narrow"/>
                <w:b/>
                <w:bCs/>
                <w:sz w:val="20"/>
                <w:szCs w:val="20"/>
                <w:vertAlign w:val="superscript"/>
              </w:rPr>
              <w:t>3</w:t>
            </w:r>
          </w:p>
        </w:tc>
      </w:tr>
      <w:tr w:rsidR="004E5979" w:rsidRPr="001310AD" w14:paraId="7DCE3728" w14:textId="77777777" w:rsidTr="000F0C46">
        <w:trPr>
          <w:cantSplit/>
        </w:trPr>
        <w:tc>
          <w:tcPr>
            <w:tcW w:w="9017" w:type="dxa"/>
            <w:gridSpan w:val="6"/>
            <w:shd w:val="clear" w:color="auto" w:fill="C6D9F1" w:themeFill="text2" w:themeFillTint="33"/>
            <w:noWrap/>
            <w:vAlign w:val="center"/>
          </w:tcPr>
          <w:p w14:paraId="3CF428CE" w14:textId="77777777" w:rsidR="004E5979" w:rsidRPr="001310AD" w:rsidRDefault="004E5979">
            <w:pPr>
              <w:pStyle w:val="PBACTabletext"/>
              <w:spacing w:after="0"/>
              <w:contextualSpacing/>
              <w:rPr>
                <w:rFonts w:ascii="Arial Narrow" w:hAnsi="Arial Narrow"/>
                <w:b/>
                <w:bCs/>
                <w:szCs w:val="20"/>
              </w:rPr>
            </w:pPr>
            <w:r w:rsidRPr="001310AD">
              <w:rPr>
                <w:rFonts w:ascii="Arial Narrow" w:eastAsia="Calibri" w:hAnsi="Arial Narrow"/>
                <w:b/>
                <w:sz w:val="20"/>
                <w:szCs w:val="20"/>
              </w:rPr>
              <w:t xml:space="preserve">Previous PBAC July 2024 consideration </w:t>
            </w:r>
          </w:p>
        </w:tc>
      </w:tr>
      <w:tr w:rsidR="004E5979" w:rsidRPr="001310AD" w14:paraId="3579BD2D" w14:textId="77777777" w:rsidTr="000F0C46">
        <w:trPr>
          <w:cantSplit/>
        </w:trPr>
        <w:tc>
          <w:tcPr>
            <w:tcW w:w="7128" w:type="dxa"/>
            <w:gridSpan w:val="3"/>
            <w:shd w:val="clear" w:color="auto" w:fill="C6D9F1" w:themeFill="text2" w:themeFillTint="33"/>
            <w:noWrap/>
          </w:tcPr>
          <w:p w14:paraId="6B26EEF1" w14:textId="77777777" w:rsidR="004E5979" w:rsidRPr="001310AD" w:rsidRDefault="004E5979">
            <w:pPr>
              <w:pStyle w:val="PBACTabletext"/>
              <w:spacing w:after="0"/>
              <w:contextualSpacing/>
              <w:rPr>
                <w:rFonts w:ascii="Arial Narrow" w:hAnsi="Arial Narrow"/>
                <w:sz w:val="20"/>
                <w:szCs w:val="18"/>
              </w:rPr>
            </w:pPr>
            <w:r w:rsidRPr="001310AD">
              <w:rPr>
                <w:rFonts w:ascii="Arial Narrow" w:hAnsi="Arial Narrow"/>
                <w:sz w:val="20"/>
                <w:szCs w:val="18"/>
              </w:rPr>
              <w:t xml:space="preserve">Incremental cost per </w:t>
            </w:r>
            <w:r w:rsidRPr="001310AD">
              <w:rPr>
                <w:rFonts w:ascii="Arial Narrow" w:hAnsi="Arial Narrow"/>
                <w:sz w:val="20"/>
                <w:szCs w:val="20"/>
              </w:rPr>
              <w:t>QALY gained</w:t>
            </w:r>
          </w:p>
        </w:tc>
        <w:tc>
          <w:tcPr>
            <w:tcW w:w="1889" w:type="dxa"/>
            <w:gridSpan w:val="3"/>
            <w:shd w:val="clear" w:color="auto" w:fill="C6D9F1" w:themeFill="text2" w:themeFillTint="33"/>
            <w:noWrap/>
          </w:tcPr>
          <w:p w14:paraId="4FA985AA" w14:textId="38796E8B" w:rsidR="004E5979" w:rsidRPr="00D17A33" w:rsidRDefault="004E5979">
            <w:pPr>
              <w:pStyle w:val="PBACTabletext"/>
              <w:spacing w:after="0"/>
              <w:contextualSpacing/>
              <w:jc w:val="center"/>
              <w:rPr>
                <w:rFonts w:ascii="Arial Narrow" w:hAnsi="Arial Narrow"/>
                <w:b/>
                <w:bCs/>
                <w:szCs w:val="20"/>
                <w:vertAlign w:val="superscript"/>
              </w:rPr>
            </w:pPr>
            <w:r w:rsidRPr="001310AD">
              <w:rPr>
                <w:rFonts w:ascii="Arial Narrow" w:hAnsi="Arial Narrow"/>
                <w:b/>
                <w:bCs/>
                <w:sz w:val="20"/>
                <w:szCs w:val="18"/>
              </w:rPr>
              <w:t>$</w:t>
            </w:r>
            <w:r w:rsidR="000A3A2D" w:rsidRPr="000A3A2D">
              <w:rPr>
                <w:rFonts w:ascii="Arial Narrow" w:hAnsi="Arial Narrow"/>
                <w:b/>
                <w:bCs/>
                <w:color w:val="000000"/>
                <w:spacing w:val="58"/>
                <w:sz w:val="20"/>
                <w:szCs w:val="18"/>
                <w:shd w:val="solid" w:color="000000" w:fill="000000"/>
                <w:fitText w:val="360" w:id="-628465915"/>
                <w14:textFill>
                  <w14:solidFill>
                    <w14:srgbClr w14:val="000000">
                      <w14:alpha w14:val="100000"/>
                    </w14:srgbClr>
                  </w14:solidFill>
                </w14:textFill>
              </w:rPr>
              <w:t>|||</w:t>
            </w:r>
            <w:r w:rsidR="000A3A2D" w:rsidRPr="000A3A2D">
              <w:rPr>
                <w:rFonts w:ascii="Arial Narrow" w:hAnsi="Arial Narrow"/>
                <w:b/>
                <w:bCs/>
                <w:color w:val="000000"/>
                <w:spacing w:val="3"/>
                <w:sz w:val="20"/>
                <w:szCs w:val="18"/>
                <w:shd w:val="solid" w:color="000000" w:fill="000000"/>
                <w:fitText w:val="360" w:id="-628465915"/>
                <w14:textFill>
                  <w14:solidFill>
                    <w14:srgbClr w14:val="000000">
                      <w14:alpha w14:val="100000"/>
                    </w14:srgbClr>
                  </w14:solidFill>
                </w14:textFill>
              </w:rPr>
              <w:t>|</w:t>
            </w:r>
            <w:r w:rsidR="00D8415C">
              <w:rPr>
                <w:rFonts w:ascii="Arial Narrow" w:hAnsi="Arial Narrow"/>
                <w:b/>
                <w:bCs/>
                <w:sz w:val="20"/>
                <w:szCs w:val="18"/>
                <w:vertAlign w:val="superscript"/>
              </w:rPr>
              <w:t>3</w:t>
            </w:r>
          </w:p>
        </w:tc>
      </w:tr>
      <w:tr w:rsidR="004E5979" w:rsidRPr="001310AD" w14:paraId="7A06BD18" w14:textId="77777777" w:rsidTr="000F0C46">
        <w:trPr>
          <w:cantSplit/>
        </w:trPr>
        <w:tc>
          <w:tcPr>
            <w:tcW w:w="7128" w:type="dxa"/>
            <w:gridSpan w:val="3"/>
            <w:shd w:val="clear" w:color="auto" w:fill="C6D9F1" w:themeFill="text2" w:themeFillTint="33"/>
            <w:noWrap/>
          </w:tcPr>
          <w:p w14:paraId="1A5B28D6" w14:textId="77777777" w:rsidR="004E5979" w:rsidRPr="001310AD" w:rsidRDefault="004E5979">
            <w:pPr>
              <w:pStyle w:val="PBACTabletext"/>
              <w:spacing w:after="0"/>
              <w:contextualSpacing/>
              <w:rPr>
                <w:rFonts w:ascii="Arial Narrow" w:hAnsi="Arial Narrow"/>
                <w:szCs w:val="18"/>
              </w:rPr>
            </w:pPr>
            <w:r w:rsidRPr="001310AD">
              <w:rPr>
                <w:rFonts w:ascii="Arial Narrow" w:hAnsi="Arial Narrow"/>
                <w:sz w:val="20"/>
                <w:szCs w:val="18"/>
              </w:rPr>
              <w:t xml:space="preserve">Incremental cost per </w:t>
            </w:r>
            <w:r w:rsidRPr="001310AD">
              <w:rPr>
                <w:rFonts w:ascii="Arial Narrow" w:hAnsi="Arial Narrow"/>
                <w:sz w:val="20"/>
                <w:szCs w:val="20"/>
              </w:rPr>
              <w:t>QALY gained</w:t>
            </w:r>
            <w:r w:rsidRPr="001310AD">
              <w:rPr>
                <w:rFonts w:ascii="Arial Narrow" w:hAnsi="Arial Narrow"/>
                <w:sz w:val="20"/>
                <w:szCs w:val="18"/>
              </w:rPr>
              <w:t xml:space="preserve"> (revised base case from the PSCR)</w:t>
            </w:r>
          </w:p>
        </w:tc>
        <w:tc>
          <w:tcPr>
            <w:tcW w:w="1889" w:type="dxa"/>
            <w:gridSpan w:val="3"/>
            <w:shd w:val="clear" w:color="auto" w:fill="C6D9F1" w:themeFill="text2" w:themeFillTint="33"/>
            <w:noWrap/>
          </w:tcPr>
          <w:p w14:paraId="363A6A24" w14:textId="3AD6EEE9" w:rsidR="004E5979" w:rsidRPr="00582B3F" w:rsidRDefault="004E5979">
            <w:pPr>
              <w:pStyle w:val="PBACTabletext"/>
              <w:spacing w:after="0"/>
              <w:contextualSpacing/>
              <w:jc w:val="center"/>
              <w:rPr>
                <w:rFonts w:ascii="Arial Narrow" w:hAnsi="Arial Narrow"/>
                <w:b/>
                <w:bCs/>
                <w:szCs w:val="18"/>
                <w:vertAlign w:val="superscript"/>
              </w:rPr>
            </w:pPr>
            <w:r w:rsidRPr="001310AD">
              <w:rPr>
                <w:rFonts w:ascii="Arial Narrow" w:hAnsi="Arial Narrow"/>
                <w:b/>
                <w:bCs/>
                <w:sz w:val="20"/>
                <w:szCs w:val="18"/>
              </w:rPr>
              <w:t>$</w:t>
            </w:r>
            <w:r w:rsidR="000A3A2D" w:rsidRPr="000A3A2D">
              <w:rPr>
                <w:rFonts w:ascii="Arial Narrow" w:hAnsi="Arial Narrow"/>
                <w:b/>
                <w:bCs/>
                <w:color w:val="000000"/>
                <w:spacing w:val="58"/>
                <w:sz w:val="20"/>
                <w:szCs w:val="18"/>
                <w:shd w:val="solid" w:color="000000" w:fill="000000"/>
                <w:fitText w:val="360" w:id="-628465914"/>
                <w14:textFill>
                  <w14:solidFill>
                    <w14:srgbClr w14:val="000000">
                      <w14:alpha w14:val="100000"/>
                    </w14:srgbClr>
                  </w14:solidFill>
                </w14:textFill>
              </w:rPr>
              <w:t>|||</w:t>
            </w:r>
            <w:r w:rsidR="000A3A2D" w:rsidRPr="000A3A2D">
              <w:rPr>
                <w:rFonts w:ascii="Arial Narrow" w:hAnsi="Arial Narrow"/>
                <w:b/>
                <w:bCs/>
                <w:color w:val="000000"/>
                <w:spacing w:val="3"/>
                <w:sz w:val="20"/>
                <w:szCs w:val="18"/>
                <w:shd w:val="solid" w:color="000000" w:fill="000000"/>
                <w:fitText w:val="360" w:id="-628465914"/>
                <w14:textFill>
                  <w14:solidFill>
                    <w14:srgbClr w14:val="000000">
                      <w14:alpha w14:val="100000"/>
                    </w14:srgbClr>
                  </w14:solidFill>
                </w14:textFill>
              </w:rPr>
              <w:t>|</w:t>
            </w:r>
            <w:r w:rsidR="00D8415C">
              <w:rPr>
                <w:rFonts w:ascii="Arial Narrow" w:hAnsi="Arial Narrow"/>
                <w:b/>
                <w:bCs/>
                <w:sz w:val="20"/>
                <w:szCs w:val="18"/>
                <w:vertAlign w:val="superscript"/>
              </w:rPr>
              <w:t>4</w:t>
            </w:r>
          </w:p>
        </w:tc>
      </w:tr>
      <w:tr w:rsidR="004E5979" w:rsidRPr="001310AD" w14:paraId="2FDD6C0A" w14:textId="77777777" w:rsidTr="000F0C46">
        <w:trPr>
          <w:cantSplit/>
        </w:trPr>
        <w:tc>
          <w:tcPr>
            <w:tcW w:w="9017" w:type="dxa"/>
            <w:gridSpan w:val="6"/>
            <w:noWrap/>
            <w:hideMark/>
          </w:tcPr>
          <w:p w14:paraId="6F912FA3" w14:textId="02625214" w:rsidR="004E5979" w:rsidRPr="001310AD" w:rsidRDefault="004E5979">
            <w:pPr>
              <w:pStyle w:val="PBACTabletext"/>
              <w:spacing w:after="0"/>
              <w:contextualSpacing/>
              <w:rPr>
                <w:rFonts w:ascii="Arial Narrow" w:hAnsi="Arial Narrow"/>
                <w:b/>
                <w:bCs/>
                <w:sz w:val="20"/>
                <w:szCs w:val="20"/>
              </w:rPr>
            </w:pPr>
            <w:r w:rsidRPr="001310AD">
              <w:rPr>
                <w:rFonts w:ascii="Arial Narrow" w:hAnsi="Arial Narrow"/>
                <w:b/>
                <w:bCs/>
                <w:sz w:val="20"/>
                <w:szCs w:val="20"/>
              </w:rPr>
              <w:t>Aboriginal and Torres Strait Islander people</w:t>
            </w:r>
            <w:r w:rsidRPr="001310AD" w:rsidDel="00EE704E">
              <w:rPr>
                <w:rFonts w:ascii="Arial Narrow" w:hAnsi="Arial Narrow"/>
                <w:b/>
                <w:bCs/>
                <w:sz w:val="20"/>
                <w:szCs w:val="20"/>
              </w:rPr>
              <w:t xml:space="preserve"> </w:t>
            </w:r>
            <w:r w:rsidRPr="001310AD">
              <w:rPr>
                <w:rFonts w:ascii="Arial Narrow" w:hAnsi="Arial Narrow"/>
                <w:b/>
                <w:bCs/>
                <w:sz w:val="20"/>
                <w:szCs w:val="20"/>
              </w:rPr>
              <w:t xml:space="preserve">60-74 YOA </w:t>
            </w:r>
          </w:p>
        </w:tc>
      </w:tr>
      <w:tr w:rsidR="004E5979" w:rsidRPr="001310AD" w14:paraId="656E2CE1" w14:textId="77777777" w:rsidTr="000A3A2D">
        <w:trPr>
          <w:cantSplit/>
        </w:trPr>
        <w:tc>
          <w:tcPr>
            <w:tcW w:w="4106" w:type="dxa"/>
            <w:noWrap/>
          </w:tcPr>
          <w:p w14:paraId="5C867DCB"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Population</w:t>
            </w:r>
          </w:p>
        </w:tc>
        <w:tc>
          <w:tcPr>
            <w:tcW w:w="1559" w:type="dxa"/>
            <w:tcBorders>
              <w:bottom w:val="single" w:sz="4" w:space="0" w:color="auto"/>
            </w:tcBorders>
            <w:noWrap/>
          </w:tcPr>
          <w:p w14:paraId="2E94BD7F" w14:textId="42502F93" w:rsidR="004E5979" w:rsidRPr="00D8415C" w:rsidRDefault="000A3A2D">
            <w:pPr>
              <w:pStyle w:val="PBACTabletext"/>
              <w:spacing w:after="0"/>
              <w:contextualSpacing/>
              <w:jc w:val="center"/>
              <w:rPr>
                <w:rFonts w:ascii="Arial Narrow" w:hAnsi="Arial Narrow"/>
                <w:sz w:val="20"/>
                <w:szCs w:val="20"/>
                <w:vertAlign w:val="superscript"/>
              </w:rPr>
            </w:pPr>
            <w:r w:rsidRPr="000A3A2D">
              <w:rPr>
                <w:rFonts w:ascii="Arial Narrow" w:hAnsi="Arial Narrow"/>
                <w:color w:val="000000"/>
                <w:spacing w:val="55"/>
                <w:sz w:val="20"/>
                <w:szCs w:val="20"/>
                <w:shd w:val="solid" w:color="000000" w:fill="000000"/>
                <w:fitText w:val="336" w:id="-628465913"/>
                <w14:textFill>
                  <w14:solidFill>
                    <w14:srgbClr w14:val="000000">
                      <w14:alpha w14:val="100000"/>
                    </w14:srgbClr>
                  </w14:solidFill>
                </w14:textFill>
              </w:rPr>
              <w:t>|||</w:t>
            </w:r>
            <w:r w:rsidRPr="000A3A2D">
              <w:rPr>
                <w:rFonts w:ascii="Arial Narrow" w:hAnsi="Arial Narrow"/>
                <w:color w:val="000000"/>
                <w:spacing w:val="1"/>
                <w:sz w:val="20"/>
                <w:szCs w:val="20"/>
                <w:shd w:val="solid" w:color="000000" w:fill="000000"/>
                <w:fitText w:val="336" w:id="-628465913"/>
                <w14:textFill>
                  <w14:solidFill>
                    <w14:srgbClr w14:val="000000">
                      <w14:alpha w14:val="100000"/>
                    </w14:srgbClr>
                  </w14:solidFill>
                </w14:textFill>
              </w:rPr>
              <w:t>|</w:t>
            </w:r>
            <w:r w:rsidR="00D8415C">
              <w:rPr>
                <w:rFonts w:ascii="Arial Narrow" w:hAnsi="Arial Narrow"/>
                <w:sz w:val="20"/>
                <w:szCs w:val="20"/>
                <w:vertAlign w:val="superscript"/>
              </w:rPr>
              <w:t>5</w:t>
            </w:r>
          </w:p>
        </w:tc>
        <w:tc>
          <w:tcPr>
            <w:tcW w:w="1463" w:type="dxa"/>
            <w:noWrap/>
          </w:tcPr>
          <w:p w14:paraId="1B36886E" w14:textId="423679EA" w:rsidR="004E5979" w:rsidRPr="00D8415C" w:rsidRDefault="000A3A2D">
            <w:pPr>
              <w:pStyle w:val="PBACTabletext"/>
              <w:spacing w:after="0"/>
              <w:contextualSpacing/>
              <w:jc w:val="center"/>
              <w:rPr>
                <w:rFonts w:ascii="Arial Narrow" w:hAnsi="Arial Narrow"/>
                <w:sz w:val="20"/>
                <w:szCs w:val="20"/>
                <w:vertAlign w:val="superscript"/>
              </w:rPr>
            </w:pPr>
            <w:r w:rsidRPr="000A3A2D">
              <w:rPr>
                <w:rFonts w:ascii="Arial Narrow" w:hAnsi="Arial Narrow"/>
                <w:color w:val="000000"/>
                <w:spacing w:val="55"/>
                <w:sz w:val="20"/>
                <w:szCs w:val="20"/>
                <w:shd w:val="solid" w:color="000000" w:fill="000000"/>
                <w:fitText w:val="336" w:id="-628465912"/>
                <w14:textFill>
                  <w14:solidFill>
                    <w14:srgbClr w14:val="000000">
                      <w14:alpha w14:val="100000"/>
                    </w14:srgbClr>
                  </w14:solidFill>
                </w14:textFill>
              </w:rPr>
              <w:t>|||</w:t>
            </w:r>
            <w:r w:rsidRPr="000A3A2D">
              <w:rPr>
                <w:rFonts w:ascii="Arial Narrow" w:hAnsi="Arial Narrow"/>
                <w:color w:val="000000"/>
                <w:spacing w:val="1"/>
                <w:sz w:val="20"/>
                <w:szCs w:val="20"/>
                <w:shd w:val="solid" w:color="000000" w:fill="000000"/>
                <w:fitText w:val="336" w:id="-628465912"/>
                <w14:textFill>
                  <w14:solidFill>
                    <w14:srgbClr w14:val="000000">
                      <w14:alpha w14:val="100000"/>
                    </w14:srgbClr>
                  </w14:solidFill>
                </w14:textFill>
              </w:rPr>
              <w:t>|</w:t>
            </w:r>
            <w:r w:rsidR="00D8415C">
              <w:rPr>
                <w:rFonts w:ascii="Arial Narrow" w:hAnsi="Arial Narrow"/>
                <w:sz w:val="20"/>
                <w:szCs w:val="20"/>
                <w:vertAlign w:val="superscript"/>
              </w:rPr>
              <w:t>5</w:t>
            </w:r>
          </w:p>
        </w:tc>
        <w:tc>
          <w:tcPr>
            <w:tcW w:w="1889" w:type="dxa"/>
            <w:gridSpan w:val="3"/>
            <w:noWrap/>
          </w:tcPr>
          <w:p w14:paraId="161CAEE4" w14:textId="7777777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0</w:t>
            </w:r>
          </w:p>
        </w:tc>
      </w:tr>
      <w:tr w:rsidR="004E5979" w:rsidRPr="001310AD" w14:paraId="7937C29A" w14:textId="77777777" w:rsidTr="005B52E1">
        <w:trPr>
          <w:cantSplit/>
        </w:trPr>
        <w:tc>
          <w:tcPr>
            <w:tcW w:w="4106" w:type="dxa"/>
            <w:noWrap/>
          </w:tcPr>
          <w:p w14:paraId="4EBC9B97"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Vaccinated population</w:t>
            </w:r>
          </w:p>
        </w:tc>
        <w:tc>
          <w:tcPr>
            <w:tcW w:w="1559" w:type="dxa"/>
            <w:noWrap/>
          </w:tcPr>
          <w:p w14:paraId="34A9C041" w14:textId="23CF3F07" w:rsidR="004E5979" w:rsidRPr="005B52E1" w:rsidRDefault="005B52E1">
            <w:pPr>
              <w:pStyle w:val="PBACTabletext"/>
              <w:spacing w:after="0"/>
              <w:contextualSpacing/>
              <w:jc w:val="center"/>
              <w:rPr>
                <w:rFonts w:ascii="Arial Narrow" w:hAnsi="Arial Narrow"/>
                <w:sz w:val="20"/>
                <w:szCs w:val="20"/>
                <w:highlight w:val="yellow"/>
              </w:rPr>
            </w:pPr>
            <w:r w:rsidRPr="005B52E1">
              <w:rPr>
                <w:rFonts w:ascii="Arial Narrow" w:hAnsi="Arial Narrow"/>
                <w:sz w:val="20"/>
                <w:szCs w:val="20"/>
              </w:rPr>
              <w:t>0</w:t>
            </w:r>
          </w:p>
        </w:tc>
        <w:tc>
          <w:tcPr>
            <w:tcW w:w="1463" w:type="dxa"/>
            <w:noWrap/>
          </w:tcPr>
          <w:p w14:paraId="6F4153A1" w14:textId="5B786436" w:rsidR="004E5979" w:rsidRPr="007F6D3D" w:rsidRDefault="000A3A2D">
            <w:pPr>
              <w:pStyle w:val="PBACTabletext"/>
              <w:spacing w:after="0"/>
              <w:contextualSpacing/>
              <w:jc w:val="center"/>
              <w:rPr>
                <w:rFonts w:ascii="Arial Narrow" w:hAnsi="Arial Narrow"/>
                <w:sz w:val="20"/>
                <w:szCs w:val="20"/>
                <w:highlight w:val="yellow"/>
              </w:rPr>
            </w:pPr>
            <w:r w:rsidRPr="000A3A2D">
              <w:rPr>
                <w:rFonts w:ascii="Arial Narrow" w:hAnsi="Arial Narrow"/>
                <w:color w:val="000000"/>
                <w:spacing w:val="55"/>
                <w:sz w:val="20"/>
                <w:szCs w:val="20"/>
                <w:shd w:val="solid" w:color="000000" w:fill="000000"/>
                <w:fitText w:val="336" w:id="-628465910"/>
                <w14:textFill>
                  <w14:solidFill>
                    <w14:srgbClr w14:val="000000">
                      <w14:alpha w14:val="100000"/>
                    </w14:srgbClr>
                  </w14:solidFill>
                </w14:textFill>
              </w:rPr>
              <w:t>|||</w:t>
            </w:r>
            <w:r w:rsidRPr="000A3A2D">
              <w:rPr>
                <w:rFonts w:ascii="Arial Narrow" w:hAnsi="Arial Narrow"/>
                <w:color w:val="000000"/>
                <w:spacing w:val="1"/>
                <w:sz w:val="20"/>
                <w:szCs w:val="20"/>
                <w:shd w:val="solid" w:color="000000" w:fill="000000"/>
                <w:fitText w:val="336" w:id="-628465910"/>
                <w14:textFill>
                  <w14:solidFill>
                    <w14:srgbClr w14:val="000000">
                      <w14:alpha w14:val="100000"/>
                    </w14:srgbClr>
                  </w14:solidFill>
                </w14:textFill>
              </w:rPr>
              <w:t>|</w:t>
            </w:r>
            <w:r w:rsidR="00D8415C">
              <w:rPr>
                <w:rFonts w:ascii="Arial Narrow" w:hAnsi="Arial Narrow"/>
                <w:sz w:val="20"/>
                <w:szCs w:val="20"/>
                <w:vertAlign w:val="superscript"/>
              </w:rPr>
              <w:t>5</w:t>
            </w:r>
          </w:p>
        </w:tc>
        <w:tc>
          <w:tcPr>
            <w:tcW w:w="1889" w:type="dxa"/>
            <w:gridSpan w:val="3"/>
            <w:noWrap/>
          </w:tcPr>
          <w:p w14:paraId="38323569" w14:textId="2DF7D115" w:rsidR="004E5979" w:rsidRPr="001310AD" w:rsidRDefault="000A3A2D">
            <w:pPr>
              <w:pStyle w:val="PBACTabletext"/>
              <w:spacing w:after="0"/>
              <w:contextualSpacing/>
              <w:jc w:val="center"/>
              <w:rPr>
                <w:rFonts w:ascii="Arial Narrow" w:hAnsi="Arial Narrow"/>
                <w:sz w:val="20"/>
                <w:szCs w:val="20"/>
              </w:rPr>
            </w:pPr>
            <w:r w:rsidRPr="000A3A2D">
              <w:rPr>
                <w:rFonts w:ascii="Arial Narrow" w:hAnsi="Arial Narrow"/>
                <w:color w:val="000000"/>
                <w:spacing w:val="51"/>
                <w:sz w:val="20"/>
                <w:szCs w:val="20"/>
                <w:shd w:val="solid" w:color="000000" w:fill="000000"/>
                <w:fitText w:val="324" w:id="-628465909"/>
                <w14:textFill>
                  <w14:solidFill>
                    <w14:srgbClr w14:val="000000">
                      <w14:alpha w14:val="100000"/>
                    </w14:srgbClr>
                  </w14:solidFill>
                </w14:textFill>
              </w:rPr>
              <w:t>|||</w:t>
            </w:r>
            <w:r w:rsidRPr="000A3A2D">
              <w:rPr>
                <w:rFonts w:ascii="Arial Narrow" w:hAnsi="Arial Narrow"/>
                <w:color w:val="000000"/>
                <w:spacing w:val="1"/>
                <w:sz w:val="20"/>
                <w:szCs w:val="20"/>
                <w:shd w:val="solid" w:color="000000" w:fill="000000"/>
                <w:fitText w:val="324" w:id="-628465909"/>
                <w14:textFill>
                  <w14:solidFill>
                    <w14:srgbClr w14:val="000000">
                      <w14:alpha w14:val="100000"/>
                    </w14:srgbClr>
                  </w14:solidFill>
                </w14:textFill>
              </w:rPr>
              <w:t>|</w:t>
            </w:r>
            <w:r w:rsidR="00D8415C">
              <w:rPr>
                <w:rFonts w:ascii="Arial Narrow" w:hAnsi="Arial Narrow"/>
                <w:sz w:val="20"/>
                <w:szCs w:val="20"/>
                <w:vertAlign w:val="superscript"/>
              </w:rPr>
              <w:t>5</w:t>
            </w:r>
          </w:p>
        </w:tc>
      </w:tr>
      <w:tr w:rsidR="004E5979" w:rsidRPr="001310AD" w14:paraId="3B6F000C" w14:textId="77777777" w:rsidTr="000F0C46">
        <w:trPr>
          <w:cantSplit/>
        </w:trPr>
        <w:tc>
          <w:tcPr>
            <w:tcW w:w="4106" w:type="dxa"/>
            <w:noWrap/>
          </w:tcPr>
          <w:p w14:paraId="6B317665"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Direct costs</w:t>
            </w:r>
          </w:p>
        </w:tc>
        <w:tc>
          <w:tcPr>
            <w:tcW w:w="1559" w:type="dxa"/>
            <w:noWrap/>
          </w:tcPr>
          <w:p w14:paraId="6397E29F" w14:textId="13AC5DA7" w:rsidR="004E5979" w:rsidRPr="001310AD" w:rsidRDefault="004E5979">
            <w:pPr>
              <w:pStyle w:val="PBACTabletext"/>
              <w:spacing w:after="0"/>
              <w:contextualSpacing/>
              <w:jc w:val="center"/>
              <w:rPr>
                <w:rFonts w:ascii="Arial Narrow" w:hAnsi="Arial Narrow"/>
                <w:sz w:val="20"/>
                <w:szCs w:val="20"/>
              </w:rPr>
            </w:pPr>
            <w:r w:rsidRPr="00D90A22">
              <w:rPr>
                <w:rFonts w:ascii="Arial Narrow" w:hAnsi="Arial Narrow"/>
                <w:sz w:val="20"/>
                <w:szCs w:val="20"/>
              </w:rPr>
              <w:t>$30,477,143</w:t>
            </w:r>
          </w:p>
        </w:tc>
        <w:tc>
          <w:tcPr>
            <w:tcW w:w="1463" w:type="dxa"/>
            <w:noWrap/>
          </w:tcPr>
          <w:p w14:paraId="54DDD72F" w14:textId="5194060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w:t>
            </w:r>
            <w:r w:rsidR="000A3A2D">
              <w:rPr>
                <w:rFonts w:ascii="Arial Narrow" w:hAnsi="Arial Narrow"/>
                <w:color w:val="000000"/>
                <w:spacing w:val="50"/>
                <w:sz w:val="20"/>
                <w:szCs w:val="20"/>
                <w:shd w:val="solid" w:color="000000" w:fill="000000"/>
                <w:fitText w:val="324" w:id="-628465908"/>
                <w14:textFill>
                  <w14:solidFill>
                    <w14:srgbClr w14:val="000000">
                      <w14:alpha w14:val="100000"/>
                    </w14:srgbClr>
                  </w14:solidFill>
                </w14:textFill>
              </w:rPr>
              <w:t>|||</w:t>
            </w:r>
            <w:r w:rsidR="000A3A2D">
              <w:rPr>
                <w:rFonts w:ascii="Arial Narrow" w:hAnsi="Arial Narrow"/>
                <w:color w:val="000000"/>
                <w:spacing w:val="2"/>
                <w:sz w:val="20"/>
                <w:szCs w:val="20"/>
                <w:shd w:val="solid" w:color="000000" w:fill="000000"/>
                <w:fitText w:val="324" w:id="-628465908"/>
                <w14:textFill>
                  <w14:solidFill>
                    <w14:srgbClr w14:val="000000">
                      <w14:alpha w14:val="100000"/>
                    </w14:srgbClr>
                  </w14:solidFill>
                </w14:textFill>
              </w:rPr>
              <w:t>|</w:t>
            </w:r>
          </w:p>
        </w:tc>
        <w:tc>
          <w:tcPr>
            <w:tcW w:w="1889" w:type="dxa"/>
            <w:gridSpan w:val="3"/>
            <w:noWrap/>
          </w:tcPr>
          <w:p w14:paraId="5D9515B7" w14:textId="2C849172"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w:t>
            </w:r>
            <w:r w:rsidR="000A3A2D">
              <w:rPr>
                <w:rFonts w:ascii="Arial Narrow" w:hAnsi="Arial Narrow"/>
                <w:color w:val="000000"/>
                <w:spacing w:val="54"/>
                <w:sz w:val="20"/>
                <w:szCs w:val="20"/>
                <w:shd w:val="solid" w:color="000000" w:fill="000000"/>
                <w:fitText w:val="336" w:id="-628465907"/>
                <w14:textFill>
                  <w14:solidFill>
                    <w14:srgbClr w14:val="000000">
                      <w14:alpha w14:val="100000"/>
                    </w14:srgbClr>
                  </w14:solidFill>
                </w14:textFill>
              </w:rPr>
              <w:t>|||</w:t>
            </w:r>
            <w:r w:rsidR="000A3A2D">
              <w:rPr>
                <w:rFonts w:ascii="Arial Narrow" w:hAnsi="Arial Narrow"/>
                <w:color w:val="000000"/>
                <w:spacing w:val="2"/>
                <w:sz w:val="20"/>
                <w:szCs w:val="20"/>
                <w:shd w:val="solid" w:color="000000" w:fill="000000"/>
                <w:fitText w:val="336" w:id="-628465907"/>
                <w14:textFill>
                  <w14:solidFill>
                    <w14:srgbClr w14:val="000000">
                      <w14:alpha w14:val="100000"/>
                    </w14:srgbClr>
                  </w14:solidFill>
                </w14:textFill>
              </w:rPr>
              <w:t>|</w:t>
            </w:r>
          </w:p>
        </w:tc>
      </w:tr>
      <w:tr w:rsidR="004E5979" w:rsidRPr="001310AD" w14:paraId="3476930C" w14:textId="77777777" w:rsidTr="000F0C46">
        <w:trPr>
          <w:cantSplit/>
        </w:trPr>
        <w:tc>
          <w:tcPr>
            <w:tcW w:w="4106" w:type="dxa"/>
            <w:noWrap/>
            <w:hideMark/>
          </w:tcPr>
          <w:p w14:paraId="2C619BC9"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LYs lost</w:t>
            </w:r>
          </w:p>
        </w:tc>
        <w:tc>
          <w:tcPr>
            <w:tcW w:w="1559" w:type="dxa"/>
            <w:noWrap/>
          </w:tcPr>
          <w:p w14:paraId="37A2362D" w14:textId="7777777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215</w:t>
            </w:r>
          </w:p>
        </w:tc>
        <w:tc>
          <w:tcPr>
            <w:tcW w:w="1463" w:type="dxa"/>
            <w:noWrap/>
          </w:tcPr>
          <w:p w14:paraId="6505331D" w14:textId="7777777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110</w:t>
            </w:r>
          </w:p>
        </w:tc>
        <w:tc>
          <w:tcPr>
            <w:tcW w:w="1889" w:type="dxa"/>
            <w:gridSpan w:val="3"/>
            <w:noWrap/>
          </w:tcPr>
          <w:p w14:paraId="1386C66A" w14:textId="7777777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-105</w:t>
            </w:r>
          </w:p>
        </w:tc>
      </w:tr>
      <w:tr w:rsidR="004E5979" w:rsidRPr="001310AD" w14:paraId="0193C900" w14:textId="77777777" w:rsidTr="000F0C46">
        <w:trPr>
          <w:cantSplit/>
        </w:trPr>
        <w:tc>
          <w:tcPr>
            <w:tcW w:w="4106" w:type="dxa"/>
            <w:noWrap/>
            <w:hideMark/>
          </w:tcPr>
          <w:p w14:paraId="43F3F239" w14:textId="77777777" w:rsidR="004E5979" w:rsidRPr="001310AD" w:rsidRDefault="004E5979">
            <w:pPr>
              <w:pStyle w:val="PBACTabletext"/>
              <w:spacing w:after="0"/>
              <w:contextualSpacing/>
              <w:rPr>
                <w:rFonts w:ascii="Arial Narrow" w:hAnsi="Arial Narrow"/>
                <w:sz w:val="20"/>
                <w:szCs w:val="20"/>
              </w:rPr>
            </w:pPr>
            <w:r w:rsidRPr="001310AD">
              <w:rPr>
                <w:rFonts w:ascii="Arial Narrow" w:hAnsi="Arial Narrow"/>
                <w:sz w:val="20"/>
                <w:szCs w:val="20"/>
              </w:rPr>
              <w:t>QALYs lost</w:t>
            </w:r>
          </w:p>
        </w:tc>
        <w:tc>
          <w:tcPr>
            <w:tcW w:w="1559" w:type="dxa"/>
            <w:noWrap/>
          </w:tcPr>
          <w:p w14:paraId="00A05DC3" w14:textId="7777777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340</w:t>
            </w:r>
          </w:p>
        </w:tc>
        <w:tc>
          <w:tcPr>
            <w:tcW w:w="1463" w:type="dxa"/>
            <w:noWrap/>
          </w:tcPr>
          <w:p w14:paraId="2339A848" w14:textId="7777777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191</w:t>
            </w:r>
          </w:p>
        </w:tc>
        <w:tc>
          <w:tcPr>
            <w:tcW w:w="1889" w:type="dxa"/>
            <w:gridSpan w:val="3"/>
            <w:noWrap/>
          </w:tcPr>
          <w:p w14:paraId="75F98C99" w14:textId="77777777" w:rsidR="004E5979" w:rsidRPr="001310AD" w:rsidRDefault="004E5979">
            <w:pPr>
              <w:pStyle w:val="PBACTabletext"/>
              <w:spacing w:after="0"/>
              <w:contextualSpacing/>
              <w:jc w:val="center"/>
              <w:rPr>
                <w:rFonts w:ascii="Arial Narrow" w:hAnsi="Arial Narrow"/>
                <w:sz w:val="20"/>
                <w:szCs w:val="20"/>
              </w:rPr>
            </w:pPr>
            <w:r w:rsidRPr="001310AD">
              <w:rPr>
                <w:rFonts w:ascii="Arial Narrow" w:hAnsi="Arial Narrow"/>
                <w:sz w:val="20"/>
                <w:szCs w:val="20"/>
              </w:rPr>
              <w:t>-149</w:t>
            </w:r>
          </w:p>
        </w:tc>
      </w:tr>
      <w:tr w:rsidR="004E5979" w:rsidRPr="001310AD" w14:paraId="3BF362CD" w14:textId="77777777" w:rsidTr="000F0C46">
        <w:trPr>
          <w:cantSplit/>
        </w:trPr>
        <w:tc>
          <w:tcPr>
            <w:tcW w:w="4106" w:type="dxa"/>
            <w:noWrap/>
            <w:hideMark/>
          </w:tcPr>
          <w:p w14:paraId="1D92C72A" w14:textId="77777777" w:rsidR="004E5979" w:rsidRPr="001310AD" w:rsidRDefault="004E5979">
            <w:pPr>
              <w:pStyle w:val="PBACTabletext"/>
              <w:spacing w:after="0"/>
              <w:contextualSpacing/>
              <w:rPr>
                <w:rFonts w:ascii="Arial Narrow" w:hAnsi="Arial Narrow"/>
                <w:b/>
                <w:sz w:val="20"/>
                <w:szCs w:val="20"/>
              </w:rPr>
            </w:pPr>
            <w:r w:rsidRPr="001310AD">
              <w:rPr>
                <w:rFonts w:ascii="Arial Narrow" w:hAnsi="Arial Narrow"/>
                <w:b/>
                <w:sz w:val="20"/>
                <w:szCs w:val="20"/>
              </w:rPr>
              <w:t>Cost per LY gained</w:t>
            </w:r>
          </w:p>
        </w:tc>
        <w:tc>
          <w:tcPr>
            <w:tcW w:w="1559" w:type="dxa"/>
            <w:noWrap/>
          </w:tcPr>
          <w:p w14:paraId="22EF58A6" w14:textId="77777777" w:rsidR="004E5979" w:rsidRPr="001310AD" w:rsidRDefault="004E5979">
            <w:pPr>
              <w:pStyle w:val="PBACTabletext"/>
              <w:spacing w:after="0"/>
              <w:contextualSpacing/>
              <w:jc w:val="center"/>
              <w:rPr>
                <w:rFonts w:ascii="Arial Narrow" w:hAnsi="Arial Narrow"/>
                <w:sz w:val="20"/>
                <w:szCs w:val="20"/>
              </w:rPr>
            </w:pPr>
          </w:p>
        </w:tc>
        <w:tc>
          <w:tcPr>
            <w:tcW w:w="1463" w:type="dxa"/>
            <w:noWrap/>
          </w:tcPr>
          <w:p w14:paraId="532894BC" w14:textId="77777777" w:rsidR="004E5979" w:rsidRPr="001310AD" w:rsidRDefault="004E5979">
            <w:pPr>
              <w:pStyle w:val="PBACTabletext"/>
              <w:spacing w:after="0"/>
              <w:contextualSpacing/>
              <w:jc w:val="center"/>
              <w:rPr>
                <w:rFonts w:ascii="Arial Narrow" w:hAnsi="Arial Narrow"/>
                <w:sz w:val="20"/>
                <w:szCs w:val="20"/>
              </w:rPr>
            </w:pPr>
          </w:p>
        </w:tc>
        <w:tc>
          <w:tcPr>
            <w:tcW w:w="1889" w:type="dxa"/>
            <w:gridSpan w:val="3"/>
            <w:noWrap/>
          </w:tcPr>
          <w:p w14:paraId="56DEC9DF" w14:textId="71B29572" w:rsidR="004E5979" w:rsidRPr="00CA70C9" w:rsidRDefault="004E5979">
            <w:pPr>
              <w:pStyle w:val="PBACTabletext"/>
              <w:spacing w:after="0"/>
              <w:contextualSpacing/>
              <w:jc w:val="center"/>
              <w:rPr>
                <w:rFonts w:ascii="Arial Narrow" w:hAnsi="Arial Narrow"/>
                <w:sz w:val="20"/>
                <w:szCs w:val="20"/>
                <w:vertAlign w:val="superscript"/>
              </w:rPr>
            </w:pPr>
            <w:r w:rsidRPr="001310AD">
              <w:rPr>
                <w:rFonts w:ascii="Arial Narrow" w:hAnsi="Arial Narrow"/>
                <w:sz w:val="20"/>
                <w:szCs w:val="20"/>
              </w:rPr>
              <w:t>$</w:t>
            </w:r>
            <w:r w:rsidR="000A3A2D">
              <w:rPr>
                <w:rFonts w:ascii="Arial Narrow" w:hAnsi="Arial Narrow"/>
                <w:color w:val="000000"/>
                <w:spacing w:val="50"/>
                <w:sz w:val="20"/>
                <w:szCs w:val="20"/>
                <w:shd w:val="solid" w:color="000000" w:fill="000000"/>
                <w:fitText w:val="324" w:id="-628465906"/>
                <w14:textFill>
                  <w14:solidFill>
                    <w14:srgbClr w14:val="000000">
                      <w14:alpha w14:val="100000"/>
                    </w14:srgbClr>
                  </w14:solidFill>
                </w14:textFill>
              </w:rPr>
              <w:t>|||</w:t>
            </w:r>
            <w:r w:rsidR="000A3A2D">
              <w:rPr>
                <w:rFonts w:ascii="Arial Narrow" w:hAnsi="Arial Narrow"/>
                <w:color w:val="000000"/>
                <w:spacing w:val="2"/>
                <w:sz w:val="20"/>
                <w:szCs w:val="20"/>
                <w:shd w:val="solid" w:color="000000" w:fill="000000"/>
                <w:fitText w:val="324" w:id="-628465906"/>
                <w14:textFill>
                  <w14:solidFill>
                    <w14:srgbClr w14:val="000000">
                      <w14:alpha w14:val="100000"/>
                    </w14:srgbClr>
                  </w14:solidFill>
                </w14:textFill>
              </w:rPr>
              <w:t>|</w:t>
            </w:r>
            <w:r w:rsidR="00D8415C" w:rsidRPr="00D8415C">
              <w:rPr>
                <w:rFonts w:ascii="Arial Narrow" w:hAnsi="Arial Narrow"/>
                <w:iCs/>
                <w:sz w:val="18"/>
                <w:szCs w:val="18"/>
                <w:vertAlign w:val="superscript"/>
              </w:rPr>
              <w:t>6</w:t>
            </w:r>
          </w:p>
        </w:tc>
      </w:tr>
      <w:tr w:rsidR="004E5979" w:rsidRPr="001310AD" w14:paraId="4476EC0B" w14:textId="77777777" w:rsidTr="000F0C46">
        <w:trPr>
          <w:cantSplit/>
        </w:trPr>
        <w:tc>
          <w:tcPr>
            <w:tcW w:w="4106" w:type="dxa"/>
            <w:noWrap/>
            <w:hideMark/>
          </w:tcPr>
          <w:p w14:paraId="032236CE" w14:textId="77777777" w:rsidR="004E5979" w:rsidRPr="001310AD" w:rsidRDefault="004E5979">
            <w:pPr>
              <w:pStyle w:val="PBACTabletext"/>
              <w:spacing w:after="0"/>
              <w:contextualSpacing/>
              <w:rPr>
                <w:rFonts w:ascii="Arial Narrow" w:hAnsi="Arial Narrow"/>
                <w:b/>
                <w:sz w:val="20"/>
                <w:szCs w:val="20"/>
              </w:rPr>
            </w:pPr>
            <w:r w:rsidRPr="001310AD">
              <w:rPr>
                <w:rFonts w:ascii="Arial Narrow" w:hAnsi="Arial Narrow"/>
                <w:b/>
                <w:sz w:val="20"/>
                <w:szCs w:val="20"/>
              </w:rPr>
              <w:t>Cost per QALY gained</w:t>
            </w:r>
          </w:p>
        </w:tc>
        <w:tc>
          <w:tcPr>
            <w:tcW w:w="1559" w:type="dxa"/>
            <w:noWrap/>
          </w:tcPr>
          <w:p w14:paraId="529D38A1" w14:textId="77777777" w:rsidR="004E5979" w:rsidRPr="001310AD" w:rsidRDefault="004E5979">
            <w:pPr>
              <w:pStyle w:val="PBACTabletext"/>
              <w:spacing w:after="0"/>
              <w:contextualSpacing/>
              <w:jc w:val="center"/>
              <w:rPr>
                <w:rFonts w:ascii="Arial Narrow" w:hAnsi="Arial Narrow"/>
                <w:sz w:val="20"/>
                <w:szCs w:val="20"/>
              </w:rPr>
            </w:pPr>
          </w:p>
        </w:tc>
        <w:tc>
          <w:tcPr>
            <w:tcW w:w="1463" w:type="dxa"/>
            <w:noWrap/>
          </w:tcPr>
          <w:p w14:paraId="74925061" w14:textId="77777777" w:rsidR="004E5979" w:rsidRPr="001310AD" w:rsidRDefault="004E5979">
            <w:pPr>
              <w:pStyle w:val="PBACTabletext"/>
              <w:spacing w:after="0"/>
              <w:contextualSpacing/>
              <w:jc w:val="center"/>
              <w:rPr>
                <w:rFonts w:ascii="Arial Narrow" w:hAnsi="Arial Narrow"/>
                <w:sz w:val="20"/>
                <w:szCs w:val="20"/>
              </w:rPr>
            </w:pPr>
          </w:p>
        </w:tc>
        <w:tc>
          <w:tcPr>
            <w:tcW w:w="1889" w:type="dxa"/>
            <w:gridSpan w:val="3"/>
            <w:noWrap/>
          </w:tcPr>
          <w:p w14:paraId="2C228C8E" w14:textId="1884BBB7" w:rsidR="004E5979" w:rsidRPr="00CA70C9" w:rsidRDefault="004E5979">
            <w:pPr>
              <w:pStyle w:val="PBACTabletext"/>
              <w:spacing w:after="0"/>
              <w:contextualSpacing/>
              <w:jc w:val="center"/>
              <w:rPr>
                <w:rFonts w:ascii="Arial Narrow" w:hAnsi="Arial Narrow"/>
                <w:b/>
                <w:bCs/>
                <w:sz w:val="20"/>
                <w:szCs w:val="20"/>
                <w:vertAlign w:val="superscript"/>
              </w:rPr>
            </w:pPr>
            <w:r w:rsidRPr="001310AD">
              <w:rPr>
                <w:rFonts w:ascii="Arial Narrow" w:hAnsi="Arial Narrow"/>
                <w:b/>
                <w:bCs/>
                <w:sz w:val="20"/>
                <w:szCs w:val="20"/>
              </w:rPr>
              <w:t>$</w:t>
            </w:r>
            <w:r w:rsidR="000A3A2D">
              <w:rPr>
                <w:rFonts w:ascii="Arial Narrow" w:hAnsi="Arial Narrow"/>
                <w:b/>
                <w:bCs/>
                <w:color w:val="000000"/>
                <w:spacing w:val="58"/>
                <w:sz w:val="20"/>
                <w:szCs w:val="20"/>
                <w:shd w:val="solid" w:color="000000" w:fill="000000"/>
                <w:fitText w:val="360" w:id="-628465905"/>
                <w14:textFill>
                  <w14:solidFill>
                    <w14:srgbClr w14:val="000000">
                      <w14:alpha w14:val="100000"/>
                    </w14:srgbClr>
                  </w14:solidFill>
                </w14:textFill>
              </w:rPr>
              <w:t>|||</w:t>
            </w:r>
            <w:r w:rsidR="000A3A2D">
              <w:rPr>
                <w:rFonts w:ascii="Arial Narrow" w:hAnsi="Arial Narrow"/>
                <w:b/>
                <w:bCs/>
                <w:color w:val="000000"/>
                <w:spacing w:val="2"/>
                <w:sz w:val="20"/>
                <w:szCs w:val="20"/>
                <w:shd w:val="solid" w:color="000000" w:fill="000000"/>
                <w:fitText w:val="360" w:id="-628465905"/>
                <w14:textFill>
                  <w14:solidFill>
                    <w14:srgbClr w14:val="000000">
                      <w14:alpha w14:val="100000"/>
                    </w14:srgbClr>
                  </w14:solidFill>
                </w14:textFill>
              </w:rPr>
              <w:t>|</w:t>
            </w:r>
            <w:r w:rsidR="00D8415C" w:rsidRPr="00D8415C">
              <w:rPr>
                <w:rFonts w:ascii="Arial Narrow" w:hAnsi="Arial Narrow"/>
                <w:sz w:val="20"/>
                <w:szCs w:val="20"/>
                <w:vertAlign w:val="superscript"/>
              </w:rPr>
              <w:t>7</w:t>
            </w:r>
          </w:p>
        </w:tc>
      </w:tr>
      <w:tr w:rsidR="000B08AF" w:rsidRPr="001310AD" w14:paraId="31B00052" w14:textId="77777777" w:rsidTr="0044328D">
        <w:trPr>
          <w:cantSplit/>
        </w:trPr>
        <w:tc>
          <w:tcPr>
            <w:tcW w:w="9017" w:type="dxa"/>
            <w:gridSpan w:val="6"/>
            <w:noWrap/>
          </w:tcPr>
          <w:p w14:paraId="24D59B35" w14:textId="4F7E457D" w:rsidR="000B08AF" w:rsidRPr="001310AD" w:rsidRDefault="000B08AF" w:rsidP="000B08AF">
            <w:pPr>
              <w:pStyle w:val="PBACTabletext"/>
              <w:spacing w:after="0"/>
              <w:contextualSpacing/>
              <w:rPr>
                <w:rFonts w:ascii="Arial Narrow" w:hAnsi="Arial Narrow"/>
                <w:b/>
                <w:bCs/>
                <w:szCs w:val="20"/>
              </w:rPr>
            </w:pPr>
            <w:r w:rsidRPr="001310AD">
              <w:rPr>
                <w:rFonts w:ascii="Arial Narrow" w:hAnsi="Arial Narrow"/>
                <w:b/>
                <w:bCs/>
                <w:sz w:val="20"/>
                <w:szCs w:val="20"/>
              </w:rPr>
              <w:t xml:space="preserve">PSCR </w:t>
            </w:r>
            <w:r w:rsidRPr="001310AD">
              <w:rPr>
                <w:rFonts w:ascii="Arial Narrow" w:hAnsi="Arial Narrow"/>
                <w:b/>
                <w:bCs/>
                <w:sz w:val="20"/>
                <w:szCs w:val="20"/>
                <w:vertAlign w:val="superscript"/>
              </w:rPr>
              <w:t>b</w:t>
            </w:r>
          </w:p>
        </w:tc>
      </w:tr>
      <w:tr w:rsidR="009B083A" w:rsidRPr="001310AD" w14:paraId="2C2AFE6C" w14:textId="77777777" w:rsidTr="000F0C46">
        <w:trPr>
          <w:cantSplit/>
        </w:trPr>
        <w:tc>
          <w:tcPr>
            <w:tcW w:w="4106" w:type="dxa"/>
            <w:noWrap/>
          </w:tcPr>
          <w:p w14:paraId="63A291F3" w14:textId="59DCF529" w:rsidR="00C67F18" w:rsidRPr="001310AD" w:rsidRDefault="00C67F18" w:rsidP="00C67F18">
            <w:pPr>
              <w:pStyle w:val="PBACTabletext"/>
              <w:spacing w:after="0"/>
              <w:contextualSpacing/>
              <w:rPr>
                <w:rFonts w:ascii="Arial Narrow" w:hAnsi="Arial Narrow"/>
                <w:b/>
                <w:szCs w:val="20"/>
              </w:rPr>
            </w:pPr>
            <w:r w:rsidRPr="001310AD">
              <w:rPr>
                <w:rFonts w:ascii="Arial Narrow" w:hAnsi="Arial Narrow"/>
                <w:b/>
                <w:bCs/>
                <w:sz w:val="20"/>
                <w:szCs w:val="20"/>
              </w:rPr>
              <w:t xml:space="preserve">Cost per QALY gained </w:t>
            </w:r>
            <w:r w:rsidRPr="001310AD">
              <w:rPr>
                <w:rFonts w:ascii="Arial Narrow" w:hAnsi="Arial Narrow"/>
                <w:sz w:val="20"/>
                <w:szCs w:val="20"/>
              </w:rPr>
              <w:t>with hospital costs $20,091</w:t>
            </w:r>
          </w:p>
        </w:tc>
        <w:tc>
          <w:tcPr>
            <w:tcW w:w="1559" w:type="dxa"/>
            <w:noWrap/>
          </w:tcPr>
          <w:p w14:paraId="6EC607BE" w14:textId="77777777" w:rsidR="00C67F18" w:rsidRPr="001310AD" w:rsidRDefault="00C67F18" w:rsidP="00C67F18">
            <w:pPr>
              <w:pStyle w:val="PBACTabletext"/>
              <w:spacing w:after="0"/>
              <w:contextualSpacing/>
              <w:jc w:val="center"/>
              <w:rPr>
                <w:rFonts w:ascii="Arial Narrow" w:hAnsi="Arial Narrow"/>
                <w:szCs w:val="20"/>
              </w:rPr>
            </w:pPr>
          </w:p>
        </w:tc>
        <w:tc>
          <w:tcPr>
            <w:tcW w:w="1489" w:type="dxa"/>
            <w:gridSpan w:val="3"/>
            <w:noWrap/>
          </w:tcPr>
          <w:p w14:paraId="3E23F684" w14:textId="77777777" w:rsidR="00C67F18" w:rsidRPr="001310AD" w:rsidRDefault="00C67F18" w:rsidP="00C67F18">
            <w:pPr>
              <w:pStyle w:val="PBACTabletext"/>
              <w:spacing w:after="0"/>
              <w:contextualSpacing/>
              <w:jc w:val="center"/>
              <w:rPr>
                <w:rFonts w:ascii="Arial Narrow" w:hAnsi="Arial Narrow"/>
                <w:szCs w:val="20"/>
              </w:rPr>
            </w:pPr>
          </w:p>
        </w:tc>
        <w:tc>
          <w:tcPr>
            <w:tcW w:w="1863" w:type="dxa"/>
            <w:noWrap/>
          </w:tcPr>
          <w:p w14:paraId="04B4EE6A" w14:textId="0CB60608" w:rsidR="00C67F18" w:rsidRPr="001310AD" w:rsidRDefault="00C67F18" w:rsidP="00C67F18">
            <w:pPr>
              <w:pStyle w:val="PBACTabletext"/>
              <w:spacing w:after="0"/>
              <w:contextualSpacing/>
              <w:jc w:val="center"/>
              <w:rPr>
                <w:rFonts w:ascii="Arial Narrow" w:hAnsi="Arial Narrow"/>
                <w:b/>
                <w:bCs/>
                <w:szCs w:val="20"/>
              </w:rPr>
            </w:pPr>
            <w:r w:rsidRPr="001310AD">
              <w:rPr>
                <w:rFonts w:ascii="Arial Narrow" w:hAnsi="Arial Narrow"/>
                <w:b/>
                <w:bCs/>
                <w:sz w:val="20"/>
                <w:szCs w:val="20"/>
              </w:rPr>
              <w:t>Dominant</w:t>
            </w:r>
          </w:p>
        </w:tc>
      </w:tr>
      <w:tr w:rsidR="009B083A" w:rsidRPr="001310AD" w14:paraId="6FCCD117" w14:textId="77777777" w:rsidTr="000F0C46">
        <w:trPr>
          <w:cantSplit/>
        </w:trPr>
        <w:tc>
          <w:tcPr>
            <w:tcW w:w="4106" w:type="dxa"/>
            <w:noWrap/>
          </w:tcPr>
          <w:p w14:paraId="2B76E977" w14:textId="3E12161B" w:rsidR="00C67F18" w:rsidRPr="001310AD" w:rsidRDefault="00C67F18" w:rsidP="00C67F18">
            <w:pPr>
              <w:pStyle w:val="PBACTabletext"/>
              <w:spacing w:after="0"/>
              <w:contextualSpacing/>
              <w:rPr>
                <w:rFonts w:ascii="Arial Narrow" w:hAnsi="Arial Narrow"/>
                <w:b/>
                <w:szCs w:val="20"/>
              </w:rPr>
            </w:pPr>
            <w:r w:rsidRPr="001310AD">
              <w:rPr>
                <w:rFonts w:ascii="Arial Narrow" w:hAnsi="Arial Narrow"/>
                <w:b/>
                <w:bCs/>
                <w:sz w:val="20"/>
                <w:szCs w:val="20"/>
              </w:rPr>
              <w:t xml:space="preserve">Cost per QALY gained </w:t>
            </w:r>
            <w:r w:rsidRPr="001310AD">
              <w:rPr>
                <w:rFonts w:ascii="Arial Narrow" w:hAnsi="Arial Narrow"/>
                <w:sz w:val="20"/>
                <w:szCs w:val="20"/>
              </w:rPr>
              <w:t>with hospital costs $15,525 to $16,693</w:t>
            </w:r>
          </w:p>
        </w:tc>
        <w:tc>
          <w:tcPr>
            <w:tcW w:w="1559" w:type="dxa"/>
            <w:noWrap/>
          </w:tcPr>
          <w:p w14:paraId="0BE73CD8" w14:textId="77777777" w:rsidR="00C67F18" w:rsidRPr="001310AD" w:rsidRDefault="00C67F18" w:rsidP="00C67F18">
            <w:pPr>
              <w:pStyle w:val="PBACTabletext"/>
              <w:spacing w:after="0"/>
              <w:contextualSpacing/>
              <w:jc w:val="center"/>
              <w:rPr>
                <w:rFonts w:ascii="Arial Narrow" w:hAnsi="Arial Narrow"/>
                <w:szCs w:val="20"/>
              </w:rPr>
            </w:pPr>
          </w:p>
        </w:tc>
        <w:tc>
          <w:tcPr>
            <w:tcW w:w="1489" w:type="dxa"/>
            <w:gridSpan w:val="3"/>
            <w:noWrap/>
          </w:tcPr>
          <w:p w14:paraId="4115F04D" w14:textId="77777777" w:rsidR="00C67F18" w:rsidRPr="001310AD" w:rsidRDefault="00C67F18" w:rsidP="00C67F18">
            <w:pPr>
              <w:pStyle w:val="PBACTabletext"/>
              <w:spacing w:after="0"/>
              <w:contextualSpacing/>
              <w:jc w:val="center"/>
              <w:rPr>
                <w:rFonts w:ascii="Arial Narrow" w:hAnsi="Arial Narrow"/>
                <w:szCs w:val="20"/>
              </w:rPr>
            </w:pPr>
          </w:p>
        </w:tc>
        <w:tc>
          <w:tcPr>
            <w:tcW w:w="1863" w:type="dxa"/>
            <w:noWrap/>
            <w:vAlign w:val="center"/>
          </w:tcPr>
          <w:p w14:paraId="01B09EE8" w14:textId="1B21D07C" w:rsidR="00C67F18" w:rsidRPr="00582B3F" w:rsidRDefault="00C67F18" w:rsidP="00C67F18">
            <w:pPr>
              <w:pStyle w:val="PBACTabletext"/>
              <w:spacing w:after="0"/>
              <w:contextualSpacing/>
              <w:jc w:val="center"/>
              <w:rPr>
                <w:rFonts w:ascii="Arial Narrow" w:hAnsi="Arial Narrow"/>
                <w:b/>
                <w:bCs/>
                <w:szCs w:val="20"/>
                <w:vertAlign w:val="superscript"/>
              </w:rPr>
            </w:pPr>
            <w:r w:rsidRPr="001310AD">
              <w:rPr>
                <w:rFonts w:ascii="Arial Narrow" w:hAnsi="Arial Narrow"/>
                <w:b/>
                <w:bCs/>
                <w:sz w:val="20"/>
                <w:szCs w:val="20"/>
              </w:rPr>
              <w:t>Dominant to $</w:t>
            </w:r>
            <w:r w:rsidR="000A3A2D">
              <w:rPr>
                <w:rFonts w:ascii="Arial Narrow" w:hAnsi="Arial Narrow"/>
                <w:b/>
                <w:bCs/>
                <w:color w:val="000000"/>
                <w:spacing w:val="54"/>
                <w:sz w:val="20"/>
                <w:szCs w:val="20"/>
                <w:shd w:val="solid" w:color="000000" w:fill="000000"/>
                <w:fitText w:val="348" w:id="-628465904"/>
                <w14:textFill>
                  <w14:solidFill>
                    <w14:srgbClr w14:val="000000">
                      <w14:alpha w14:val="100000"/>
                    </w14:srgbClr>
                  </w14:solidFill>
                </w14:textFill>
              </w:rPr>
              <w:t>|||</w:t>
            </w:r>
            <w:r w:rsidR="000A3A2D">
              <w:rPr>
                <w:rFonts w:ascii="Arial Narrow" w:hAnsi="Arial Narrow"/>
                <w:b/>
                <w:bCs/>
                <w:color w:val="000000"/>
                <w:spacing w:val="2"/>
                <w:sz w:val="20"/>
                <w:szCs w:val="20"/>
                <w:shd w:val="solid" w:color="000000" w:fill="000000"/>
                <w:fitText w:val="348" w:id="-628465904"/>
                <w14:textFill>
                  <w14:solidFill>
                    <w14:srgbClr w14:val="000000">
                      <w14:alpha w14:val="100000"/>
                    </w14:srgbClr>
                  </w14:solidFill>
                </w14:textFill>
              </w:rPr>
              <w:t>|</w:t>
            </w:r>
            <w:r w:rsidR="0066052E" w:rsidRPr="0066052E">
              <w:rPr>
                <w:rFonts w:ascii="Arial Narrow" w:hAnsi="Arial Narrow"/>
                <w:b/>
                <w:bCs/>
                <w:sz w:val="20"/>
                <w:szCs w:val="20"/>
                <w:vertAlign w:val="superscript"/>
              </w:rPr>
              <w:t>4</w:t>
            </w:r>
          </w:p>
        </w:tc>
      </w:tr>
    </w:tbl>
    <w:p w14:paraId="214A2E46" w14:textId="6BC501D8" w:rsidR="004E5979" w:rsidRPr="001310AD" w:rsidRDefault="004E5979" w:rsidP="004E5979">
      <w:pPr>
        <w:pStyle w:val="TableNotes"/>
        <w:spacing w:after="0"/>
        <w:rPr>
          <w:szCs w:val="18"/>
        </w:rPr>
      </w:pPr>
      <w:r w:rsidRPr="001310AD">
        <w:rPr>
          <w:szCs w:val="18"/>
        </w:rPr>
        <w:t>Source: Table 3-65, p248 of the resubmission; Table 6.71, para 6.84, RSVPreF3 OA, PBAC Minutes, July 2024 PBAC meeting.</w:t>
      </w:r>
    </w:p>
    <w:p w14:paraId="35DE09D3" w14:textId="10F36990" w:rsidR="004E5979" w:rsidRPr="001310AD" w:rsidRDefault="004E5979" w:rsidP="004E5979">
      <w:pPr>
        <w:pStyle w:val="TableNotes"/>
        <w:spacing w:after="0"/>
        <w:rPr>
          <w:szCs w:val="18"/>
        </w:rPr>
      </w:pPr>
      <w:r w:rsidRPr="001310AD">
        <w:rPr>
          <w:szCs w:val="18"/>
        </w:rPr>
        <w:t xml:space="preserve">LY = life years, </w:t>
      </w:r>
      <w:r w:rsidRPr="001310AD">
        <w:rPr>
          <w:szCs w:val="16"/>
        </w:rPr>
        <w:t>PSCR = Pre-subcommittee response;</w:t>
      </w:r>
      <w:r w:rsidRPr="001310AD">
        <w:rPr>
          <w:szCs w:val="18"/>
        </w:rPr>
        <w:t xml:space="preserve"> QALY = quality-adjusted life year, YOA = years of age.</w:t>
      </w:r>
    </w:p>
    <w:p w14:paraId="222BA7B0" w14:textId="77777777" w:rsidR="004E5979" w:rsidRPr="001310AD" w:rsidRDefault="004E5979" w:rsidP="004E5979">
      <w:pPr>
        <w:pStyle w:val="TableFigureFooter"/>
      </w:pPr>
      <w:r w:rsidRPr="001310AD">
        <w:t>Blue shading indicates data previously seen by the PBAC.</w:t>
      </w:r>
    </w:p>
    <w:p w14:paraId="7ECC782B" w14:textId="595A0149" w:rsidR="00C67F18" w:rsidRPr="001310AD" w:rsidRDefault="00C67F18" w:rsidP="00190ECC">
      <w:pPr>
        <w:rPr>
          <w:rFonts w:ascii="Arial Narrow" w:eastAsiaTheme="minorHAnsi" w:hAnsi="Arial Narrow" w:cstheme="minorBidi"/>
          <w:sz w:val="18"/>
          <w:szCs w:val="18"/>
        </w:rPr>
      </w:pPr>
      <w:r w:rsidRPr="001310AD">
        <w:rPr>
          <w:rFonts w:ascii="Arial Narrow" w:eastAsiaTheme="minorHAnsi" w:hAnsi="Arial Narrow" w:cstheme="minorBidi"/>
          <w:sz w:val="18"/>
          <w:szCs w:val="18"/>
          <w:vertAlign w:val="superscript"/>
        </w:rPr>
        <w:t>a</w:t>
      </w:r>
      <w:r w:rsidRPr="001310AD">
        <w:rPr>
          <w:rFonts w:ascii="Arial Narrow" w:eastAsiaTheme="minorHAnsi" w:hAnsi="Arial Narrow" w:cstheme="minorBidi"/>
          <w:sz w:val="18"/>
          <w:szCs w:val="18"/>
        </w:rPr>
        <w:t xml:space="preserve"> PSCR Updated inputs: new proposed price, revised hospitalisation rate, revised hospitalisation costs, and applying parameters used in the RSVPreF submission ($7.00 administration cost and 4.22% RSV related-death rate).</w:t>
      </w:r>
      <w:r w:rsidR="00F651EF" w:rsidRPr="001310AD">
        <w:rPr>
          <w:rFonts w:ascii="Arial Narrow" w:eastAsiaTheme="minorHAnsi" w:hAnsi="Arial Narrow" w:cstheme="minorBidi"/>
          <w:sz w:val="18"/>
          <w:szCs w:val="18"/>
        </w:rPr>
        <w:t xml:space="preserve"> </w:t>
      </w:r>
    </w:p>
    <w:p w14:paraId="201D2F54" w14:textId="77777777" w:rsidR="00B02326" w:rsidRDefault="00C67F18" w:rsidP="00B02326">
      <w:pPr>
        <w:rPr>
          <w:rFonts w:ascii="Arial Narrow" w:hAnsi="Arial Narrow"/>
          <w:i/>
          <w:sz w:val="18"/>
          <w:szCs w:val="18"/>
        </w:rPr>
      </w:pPr>
      <w:r w:rsidRPr="001310AD">
        <w:rPr>
          <w:rFonts w:ascii="Arial Narrow" w:eastAsiaTheme="minorHAnsi" w:hAnsi="Arial Narrow" w:cstheme="minorBidi"/>
          <w:sz w:val="18"/>
          <w:szCs w:val="18"/>
          <w:vertAlign w:val="superscript"/>
        </w:rPr>
        <w:t xml:space="preserve">b </w:t>
      </w:r>
      <w:r w:rsidRPr="001310AD">
        <w:rPr>
          <w:rFonts w:ascii="Arial Narrow" w:eastAsiaTheme="minorHAnsi" w:hAnsi="Arial Narrow" w:cstheme="minorBidi"/>
          <w:sz w:val="18"/>
          <w:szCs w:val="18"/>
        </w:rPr>
        <w:t>PSCR updated inputs: new proposed price, revised hospitalisation rate, revised hospitalisation costs, and applying parameters used in the RSVPreF submission ($7.00 administration cost, 0.67 baseline utility)</w:t>
      </w:r>
      <w:r w:rsidR="004422FF" w:rsidRPr="001310AD">
        <w:rPr>
          <w:rFonts w:ascii="Arial Narrow" w:eastAsiaTheme="minorHAnsi" w:hAnsi="Arial Narrow" w:cstheme="minorBidi"/>
          <w:sz w:val="18"/>
          <w:szCs w:val="18"/>
        </w:rPr>
        <w:t>.</w:t>
      </w:r>
      <w:r w:rsidR="00B02326" w:rsidRPr="00B02326">
        <w:rPr>
          <w:rFonts w:ascii="Arial Narrow" w:hAnsi="Arial Narrow"/>
          <w:i/>
          <w:sz w:val="18"/>
          <w:szCs w:val="18"/>
        </w:rPr>
        <w:t xml:space="preserve"> </w:t>
      </w:r>
    </w:p>
    <w:p w14:paraId="7F42B267" w14:textId="1173BCC3" w:rsidR="00B02326" w:rsidRPr="00B02326" w:rsidRDefault="00B02326" w:rsidP="00B02326">
      <w:pPr>
        <w:rPr>
          <w:rFonts w:ascii="Arial Narrow" w:hAnsi="Arial Narrow"/>
          <w:i/>
          <w:sz w:val="18"/>
          <w:szCs w:val="18"/>
        </w:rPr>
      </w:pPr>
      <w:r w:rsidRPr="00B02326">
        <w:rPr>
          <w:rFonts w:ascii="Arial Narrow" w:hAnsi="Arial Narrow"/>
          <w:i/>
          <w:sz w:val="18"/>
          <w:szCs w:val="18"/>
        </w:rPr>
        <w:t xml:space="preserve">The redacted values correspond to the following ranges: </w:t>
      </w:r>
    </w:p>
    <w:p w14:paraId="3A11645D" w14:textId="36024025" w:rsidR="00EC52C3" w:rsidRDefault="00B02326" w:rsidP="00B02326">
      <w:pPr>
        <w:jc w:val="left"/>
        <w:rPr>
          <w:rFonts w:ascii="Arial Narrow" w:hAnsi="Arial Narrow"/>
          <w:i/>
          <w:sz w:val="18"/>
          <w:szCs w:val="18"/>
        </w:rPr>
      </w:pPr>
      <w:r w:rsidRPr="00B02326">
        <w:rPr>
          <w:rFonts w:ascii="Arial Narrow" w:hAnsi="Arial Narrow"/>
          <w:i/>
          <w:sz w:val="18"/>
          <w:szCs w:val="18"/>
          <w:vertAlign w:val="superscript"/>
        </w:rPr>
        <w:t>1</w:t>
      </w:r>
      <w:r w:rsidRPr="00B02326">
        <w:rPr>
          <w:rFonts w:ascii="Arial Narrow" w:hAnsi="Arial Narrow"/>
          <w:i/>
          <w:sz w:val="18"/>
          <w:szCs w:val="18"/>
        </w:rPr>
        <w:t xml:space="preserve"> </w:t>
      </w:r>
      <w:r w:rsidR="00EC52C3">
        <w:rPr>
          <w:rFonts w:ascii="Arial Narrow" w:hAnsi="Arial Narrow"/>
          <w:i/>
          <w:sz w:val="18"/>
          <w:szCs w:val="18"/>
        </w:rPr>
        <w:t>2,000,000 to &lt; 3,000,000</w:t>
      </w:r>
    </w:p>
    <w:p w14:paraId="12141A3D" w14:textId="1DC952DB" w:rsidR="00EC52C3" w:rsidRPr="00EC52C3" w:rsidRDefault="00EC52C3" w:rsidP="00B02326">
      <w:pPr>
        <w:jc w:val="left"/>
        <w:rPr>
          <w:rFonts w:ascii="Arial Narrow" w:hAnsi="Arial Narrow"/>
          <w:i/>
          <w:sz w:val="18"/>
          <w:szCs w:val="18"/>
        </w:rPr>
      </w:pPr>
      <w:r w:rsidRPr="00B02326">
        <w:rPr>
          <w:rFonts w:ascii="Arial Narrow" w:hAnsi="Arial Narrow"/>
          <w:i/>
          <w:sz w:val="18"/>
          <w:szCs w:val="18"/>
          <w:vertAlign w:val="superscript"/>
        </w:rPr>
        <w:t>2</w:t>
      </w:r>
      <w:r>
        <w:rPr>
          <w:rFonts w:ascii="Arial Narrow" w:hAnsi="Arial Narrow"/>
          <w:i/>
          <w:sz w:val="18"/>
          <w:szCs w:val="18"/>
        </w:rPr>
        <w:t xml:space="preserve"> &lt; 500</w:t>
      </w:r>
    </w:p>
    <w:p w14:paraId="3CC30B62" w14:textId="535EB80F" w:rsidR="00B02326" w:rsidRPr="00B02326" w:rsidRDefault="00D8415C" w:rsidP="00B02326">
      <w:pPr>
        <w:jc w:val="left"/>
        <w:rPr>
          <w:rFonts w:ascii="Arial Narrow" w:hAnsi="Arial Narrow"/>
          <w:i/>
          <w:sz w:val="18"/>
          <w:szCs w:val="18"/>
        </w:rPr>
      </w:pPr>
      <w:r>
        <w:rPr>
          <w:rFonts w:ascii="Arial Narrow" w:hAnsi="Arial Narrow"/>
          <w:i/>
          <w:sz w:val="18"/>
          <w:szCs w:val="18"/>
          <w:vertAlign w:val="superscript"/>
        </w:rPr>
        <w:t xml:space="preserve">3 </w:t>
      </w:r>
      <w:r w:rsidR="008855E6" w:rsidRPr="008855E6">
        <w:rPr>
          <w:rFonts w:ascii="Arial Narrow" w:hAnsi="Arial Narrow"/>
          <w:i/>
          <w:sz w:val="18"/>
          <w:szCs w:val="18"/>
        </w:rPr>
        <w:t xml:space="preserve">$5,000 to &lt; $15,000 </w:t>
      </w:r>
    </w:p>
    <w:p w14:paraId="21989315" w14:textId="391DAC2C" w:rsidR="00B02326" w:rsidRPr="00B02326" w:rsidRDefault="00D8415C" w:rsidP="00B02326">
      <w:pPr>
        <w:jc w:val="left"/>
        <w:rPr>
          <w:rFonts w:ascii="Arial Narrow" w:hAnsi="Arial Narrow"/>
          <w:i/>
          <w:sz w:val="18"/>
          <w:szCs w:val="18"/>
        </w:rPr>
      </w:pPr>
      <w:r>
        <w:rPr>
          <w:rFonts w:ascii="Arial Narrow" w:hAnsi="Arial Narrow"/>
          <w:i/>
          <w:sz w:val="18"/>
          <w:szCs w:val="18"/>
          <w:vertAlign w:val="superscript"/>
        </w:rPr>
        <w:t xml:space="preserve">4 </w:t>
      </w:r>
      <w:r w:rsidR="00582B3F" w:rsidRPr="00582B3F">
        <w:rPr>
          <w:rFonts w:ascii="Arial Narrow" w:hAnsi="Arial Narrow"/>
          <w:i/>
          <w:sz w:val="18"/>
          <w:szCs w:val="18"/>
        </w:rPr>
        <w:t>$0 to &lt; $5,000</w:t>
      </w:r>
    </w:p>
    <w:p w14:paraId="2072257D" w14:textId="64D6BF56" w:rsidR="00D8415C" w:rsidRPr="00D8415C" w:rsidRDefault="00D8415C" w:rsidP="00B02326">
      <w:pPr>
        <w:jc w:val="lef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70,000 to 80,000</w:t>
      </w:r>
    </w:p>
    <w:p w14:paraId="754F565B" w14:textId="120E1B34" w:rsidR="00B02326" w:rsidRPr="00B02326" w:rsidRDefault="00D8415C" w:rsidP="00B02326">
      <w:pPr>
        <w:jc w:val="left"/>
        <w:rPr>
          <w:rFonts w:ascii="Arial Narrow" w:hAnsi="Arial Narrow"/>
          <w:i/>
          <w:sz w:val="18"/>
          <w:szCs w:val="18"/>
        </w:rPr>
      </w:pPr>
      <w:r>
        <w:rPr>
          <w:rFonts w:ascii="Arial Narrow" w:hAnsi="Arial Narrow"/>
          <w:i/>
          <w:sz w:val="18"/>
          <w:szCs w:val="18"/>
          <w:vertAlign w:val="superscript"/>
        </w:rPr>
        <w:t xml:space="preserve">6 </w:t>
      </w:r>
      <w:r w:rsidR="00002139" w:rsidRPr="00002139">
        <w:rPr>
          <w:rFonts w:ascii="Arial Narrow" w:hAnsi="Arial Narrow"/>
          <w:i/>
          <w:sz w:val="18"/>
          <w:szCs w:val="18"/>
        </w:rPr>
        <w:t>$35,000 to &lt; $45,000</w:t>
      </w:r>
    </w:p>
    <w:p w14:paraId="2F1F407E" w14:textId="285C3653" w:rsidR="00EC52C3" w:rsidRPr="00EC52C3" w:rsidRDefault="00B02326" w:rsidP="00B02326">
      <w:pPr>
        <w:jc w:val="left"/>
        <w:rPr>
          <w:rFonts w:ascii="Arial Narrow" w:hAnsi="Arial Narrow"/>
          <w:i/>
          <w:sz w:val="18"/>
          <w:szCs w:val="18"/>
        </w:rPr>
      </w:pPr>
      <w:r w:rsidRPr="00B02326">
        <w:rPr>
          <w:rFonts w:ascii="Arial Narrow" w:hAnsi="Arial Narrow"/>
          <w:i/>
          <w:sz w:val="18"/>
          <w:szCs w:val="18"/>
          <w:vertAlign w:val="superscript"/>
        </w:rPr>
        <w:t>4</w:t>
      </w:r>
      <w:r w:rsidRPr="00B02326">
        <w:rPr>
          <w:rFonts w:ascii="Arial Narrow" w:hAnsi="Arial Narrow"/>
          <w:i/>
          <w:sz w:val="18"/>
          <w:szCs w:val="18"/>
        </w:rPr>
        <w:t xml:space="preserve"> </w:t>
      </w:r>
      <w:r w:rsidR="00CA70C9" w:rsidRPr="00CA70C9">
        <w:rPr>
          <w:rFonts w:ascii="Arial Narrow" w:hAnsi="Arial Narrow"/>
          <w:i/>
          <w:sz w:val="18"/>
          <w:szCs w:val="18"/>
        </w:rPr>
        <w:t>$15,000 to &lt; $25,000</w:t>
      </w:r>
    </w:p>
    <w:p w14:paraId="052AF2AD" w14:textId="0095A819" w:rsidR="00C67F18" w:rsidRPr="001310AD" w:rsidRDefault="00C67F18" w:rsidP="00002139">
      <w:pPr>
        <w:jc w:val="left"/>
        <w:rPr>
          <w:rFonts w:ascii="Arial Narrow" w:eastAsiaTheme="minorHAnsi" w:hAnsi="Arial Narrow" w:cstheme="minorBidi"/>
          <w:sz w:val="18"/>
          <w:szCs w:val="18"/>
        </w:rPr>
      </w:pPr>
    </w:p>
    <w:p w14:paraId="7FCCE213" w14:textId="01577165" w:rsidR="004E5979" w:rsidRPr="001310AD" w:rsidRDefault="00C67F18" w:rsidP="004E5979">
      <w:pPr>
        <w:pStyle w:val="3-BodyText"/>
      </w:pPr>
      <w:bookmarkStart w:id="82" w:name="_Ref204241249"/>
      <w:r w:rsidRPr="001310AD">
        <w:t>In the submission base case, t</w:t>
      </w:r>
      <w:r w:rsidR="004E5979" w:rsidRPr="001310AD">
        <w:t>he ICERs differ</w:t>
      </w:r>
      <w:r w:rsidRPr="001310AD">
        <w:t>ed</w:t>
      </w:r>
      <w:r w:rsidR="004E5979" w:rsidRPr="001310AD">
        <w:t xml:space="preserve"> between the ≥75 YOA population, with</w:t>
      </w:r>
      <w:r w:rsidR="00100512" w:rsidRPr="00100512">
        <w:t>$5,000 to &lt; $15,000</w:t>
      </w:r>
      <w:r w:rsidR="00044091">
        <w:t xml:space="preserve"> </w:t>
      </w:r>
      <w:r w:rsidR="004E5979" w:rsidRPr="001310AD">
        <w:t xml:space="preserve">per QALY gained, and the Aboriginal and Torres Strait Islander peoples 60-74 YOA, with </w:t>
      </w:r>
      <w:r w:rsidR="000B7A29" w:rsidRPr="000B7A29">
        <w:t>$15,000 to &lt; $25,000</w:t>
      </w:r>
      <w:r w:rsidR="004E5979" w:rsidRPr="001310AD">
        <w:t xml:space="preserve"> per QALY gained. The PBAC</w:t>
      </w:r>
      <w:r w:rsidR="00990C19" w:rsidRPr="001310AD">
        <w:t xml:space="preserve"> previously</w:t>
      </w:r>
      <w:r w:rsidR="004E5979" w:rsidRPr="001310AD">
        <w:t xml:space="preserve"> noted that given the increased rate of hospitalisation in Aboriginal and Torres Strait Islander people (and other high-risk individuals), it would be expected that RSVPreF3 OA would be associated with lower incremental costs and higher incremental QALYs and LYs in these populations. However, the impact of other population characteristics </w:t>
      </w:r>
      <w:r w:rsidR="004E5979" w:rsidRPr="001310AD">
        <w:lastRenderedPageBreak/>
        <w:t>on cost-effectiveness is uncertain (e.g., the impact of comorbidities affecting survival in the population, which may lead to increased ICERs) (para</w:t>
      </w:r>
      <w:r w:rsidR="001A269E" w:rsidRPr="001310AD">
        <w:t>graph</w:t>
      </w:r>
      <w:r w:rsidR="004E5979" w:rsidRPr="001310AD">
        <w:t xml:space="preserve"> 6.45, RSVPreF3 OA PSD, July 2024). The results from the resubmission, where the ICER is more favourable in the ≥ 75 YOA population than in Aboriginal and Torres Strait Islander people 60-74 YOA, are contrary to such expectations. This is explained by the resubmission applying overestimated hospitalisation rates to the ≥75 YOA population. Additionally, the less favourable results for the Aboriginal and Torres Strait Islander people 60-74 YOA group are explained by their higher background mortality rates compared to those of the ≥75 YOA population.</w:t>
      </w:r>
      <w:bookmarkEnd w:id="82"/>
    </w:p>
    <w:p w14:paraId="7209FC9E" w14:textId="05CB872D" w:rsidR="004E5979" w:rsidRPr="001310AD" w:rsidRDefault="004E5979" w:rsidP="00314018">
      <w:pPr>
        <w:pStyle w:val="3-BodyText"/>
        <w:rPr>
          <w:bCs/>
        </w:rPr>
      </w:pPr>
      <w:r w:rsidRPr="001310AD">
        <w:rPr>
          <w:bCs/>
        </w:rPr>
        <w:t>The ESC previously noted that vaccine cost-effectiveness had a strong age gradient, and that presenting the results in age bands would be required for decision-making (para</w:t>
      </w:r>
      <w:r w:rsidR="00C20006" w:rsidRPr="001310AD">
        <w:rPr>
          <w:bCs/>
        </w:rPr>
        <w:t>graph</w:t>
      </w:r>
      <w:r w:rsidRPr="001310AD">
        <w:rPr>
          <w:bCs/>
        </w:rPr>
        <w:t xml:space="preserve"> 6.88, RSVPreF3 OA PSD, July 2024). Accordingly, a summary of the results for the ≥ 75 YOA population in age bands is presented in </w:t>
      </w:r>
      <w:r w:rsidRPr="001310AD">
        <w:rPr>
          <w:bCs/>
        </w:rPr>
        <w:fldChar w:fldCharType="begin"/>
      </w:r>
      <w:r w:rsidRPr="001310AD">
        <w:rPr>
          <w:bCs/>
        </w:rPr>
        <w:instrText xml:space="preserve"> REF _Ref196992727 \h </w:instrText>
      </w:r>
      <w:r w:rsidR="00416852" w:rsidRPr="001310AD">
        <w:rPr>
          <w:bCs/>
        </w:rPr>
        <w:instrText xml:space="preserve"> \* MERGEFORMAT </w:instrText>
      </w:r>
      <w:r w:rsidRPr="001310AD">
        <w:rPr>
          <w:bCs/>
        </w:rPr>
      </w:r>
      <w:r w:rsidRPr="001310AD">
        <w:rPr>
          <w:bCs/>
        </w:rPr>
        <w:fldChar w:fldCharType="separate"/>
      </w:r>
      <w:r w:rsidR="001F75E0" w:rsidRPr="001310AD">
        <w:t>Table 19</w:t>
      </w:r>
      <w:r w:rsidRPr="001310AD">
        <w:rPr>
          <w:bCs/>
        </w:rPr>
        <w:fldChar w:fldCharType="end"/>
      </w:r>
      <w:r w:rsidR="00C67F18" w:rsidRPr="001310AD">
        <w:rPr>
          <w:bCs/>
        </w:rPr>
        <w:t>, based on the submission base case</w:t>
      </w:r>
      <w:r w:rsidRPr="001310AD">
        <w:rPr>
          <w:bCs/>
        </w:rPr>
        <w:t xml:space="preserve">. </w:t>
      </w:r>
      <w:proofErr w:type="gramStart"/>
      <w:r w:rsidRPr="001310AD">
        <w:rPr>
          <w:bCs/>
        </w:rPr>
        <w:t>Similar to</w:t>
      </w:r>
      <w:proofErr w:type="gramEnd"/>
      <w:r w:rsidRPr="001310AD">
        <w:rPr>
          <w:bCs/>
        </w:rPr>
        <w:t xml:space="preserve"> the previous submission, the cost-effectiveness of the vaccine continues to show a strong age gradient</w:t>
      </w:r>
      <w:r w:rsidR="002C1F3D" w:rsidRPr="001310AD">
        <w:rPr>
          <w:bCs/>
          <w:i/>
          <w:iCs/>
        </w:rPr>
        <w:t xml:space="preserve">, </w:t>
      </w:r>
      <w:r w:rsidR="002C1F3D" w:rsidRPr="001310AD">
        <w:rPr>
          <w:bCs/>
        </w:rPr>
        <w:t xml:space="preserve">though the ESC considered the age gradient was less relevant given the resubmission was not requesting listing in the </w:t>
      </w:r>
      <w:r w:rsidR="001D63E8" w:rsidRPr="001310AD">
        <w:rPr>
          <w:bCs/>
        </w:rPr>
        <w:t xml:space="preserve">population aged </w:t>
      </w:r>
      <w:r w:rsidR="002C1F3D" w:rsidRPr="001310AD">
        <w:rPr>
          <w:bCs/>
        </w:rPr>
        <w:t xml:space="preserve">60-74 </w:t>
      </w:r>
      <w:r w:rsidR="001D63E8" w:rsidRPr="001310AD">
        <w:rPr>
          <w:bCs/>
        </w:rPr>
        <w:t>years</w:t>
      </w:r>
      <w:r w:rsidR="002C1F3D" w:rsidRPr="001310AD">
        <w:rPr>
          <w:bCs/>
        </w:rPr>
        <w:t xml:space="preserve"> with risk factors</w:t>
      </w:r>
      <w:r w:rsidRPr="001310AD">
        <w:rPr>
          <w:bCs/>
        </w:rPr>
        <w:t>.</w:t>
      </w:r>
    </w:p>
    <w:p w14:paraId="042D3436" w14:textId="3A94AB67" w:rsidR="004E5979" w:rsidRPr="001310AD" w:rsidRDefault="004E5979" w:rsidP="004E5979">
      <w:pPr>
        <w:pStyle w:val="TableFigureHeading"/>
      </w:pPr>
      <w:bookmarkStart w:id="83" w:name="_Ref196992727"/>
      <w:r w:rsidRPr="001310AD">
        <w:t xml:space="preserve">Table </w:t>
      </w:r>
      <w:fldSimple w:instr=" SEQ Table \* ARABIC ">
        <w:r w:rsidR="001F75E0" w:rsidRPr="001310AD">
          <w:t>19</w:t>
        </w:r>
      </w:fldSimple>
      <w:bookmarkEnd w:id="83"/>
      <w:r w:rsidRPr="001310AD">
        <w:t>:</w:t>
      </w:r>
      <w:r w:rsidRPr="001310AD">
        <w:rPr>
          <w:rStyle w:val="CommentReference"/>
          <w:b/>
          <w:szCs w:val="24"/>
        </w:rPr>
        <w:t xml:space="preserve"> Results of the economic evaluation</w:t>
      </w:r>
      <w:r w:rsidRPr="001310AD">
        <w:t xml:space="preserve"> of the ≥ 75 YOA population per age group in five</w:t>
      </w:r>
      <w:r w:rsidRPr="001310AD">
        <w:noBreakHyphen/>
        <w:t xml:space="preserve">year categories </w:t>
      </w:r>
      <w:r w:rsidR="001D63E8" w:rsidRPr="001310AD">
        <w:t>(based on the submission base case)</w:t>
      </w:r>
      <w:r w:rsidR="0075552E" w:rsidRPr="001310AD">
        <w:t>: based on submission model</w:t>
      </w:r>
    </w:p>
    <w:tbl>
      <w:tblPr>
        <w:tblStyle w:val="TableGrid"/>
        <w:tblW w:w="5000" w:type="pct"/>
        <w:tblLook w:val="04A0" w:firstRow="1" w:lastRow="0" w:firstColumn="1" w:lastColumn="0" w:noHBand="0" w:noVBand="1"/>
        <w:tblCaption w:val="Table 19: Results of the economic evaluation of the ≥ 75 YOA population per age group in five year categories (based on the submission base case): based on submission model"/>
      </w:tblPr>
      <w:tblGrid>
        <w:gridCol w:w="657"/>
        <w:gridCol w:w="1041"/>
        <w:gridCol w:w="891"/>
        <w:gridCol w:w="926"/>
        <w:gridCol w:w="935"/>
        <w:gridCol w:w="1217"/>
        <w:gridCol w:w="934"/>
        <w:gridCol w:w="1071"/>
        <w:gridCol w:w="1345"/>
      </w:tblGrid>
      <w:tr w:rsidR="001B35CF" w:rsidRPr="001310AD" w14:paraId="2B389FD6" w14:textId="77777777" w:rsidTr="0055415B">
        <w:tc>
          <w:tcPr>
            <w:tcW w:w="364" w:type="pct"/>
            <w:tcMar>
              <w:left w:w="57" w:type="dxa"/>
              <w:right w:w="57" w:type="dxa"/>
            </w:tcMar>
            <w:vAlign w:val="center"/>
          </w:tcPr>
          <w:p w14:paraId="5538A401" w14:textId="77777777" w:rsidR="004E5979" w:rsidRPr="001310AD" w:rsidRDefault="004E5979">
            <w:pPr>
              <w:pStyle w:val="In-tableHeading"/>
            </w:pPr>
            <w:r w:rsidRPr="001310AD">
              <w:t>Age group (YOA)</w:t>
            </w:r>
          </w:p>
        </w:tc>
        <w:tc>
          <w:tcPr>
            <w:tcW w:w="577" w:type="pct"/>
            <w:tcMar>
              <w:left w:w="57" w:type="dxa"/>
              <w:right w:w="57" w:type="dxa"/>
            </w:tcMar>
            <w:vAlign w:val="center"/>
          </w:tcPr>
          <w:p w14:paraId="78F89087" w14:textId="77777777" w:rsidR="004E5979" w:rsidRPr="001310AD" w:rsidRDefault="004E5979">
            <w:pPr>
              <w:pStyle w:val="In-tableHeading"/>
            </w:pPr>
            <w:r w:rsidRPr="001310AD">
              <w:t>Population</w:t>
            </w:r>
          </w:p>
        </w:tc>
        <w:tc>
          <w:tcPr>
            <w:tcW w:w="494" w:type="pct"/>
            <w:tcMar>
              <w:left w:w="57" w:type="dxa"/>
              <w:right w:w="57" w:type="dxa"/>
            </w:tcMar>
            <w:vAlign w:val="center"/>
          </w:tcPr>
          <w:p w14:paraId="72CD86E6" w14:textId="62E3A2B6" w:rsidR="004E5979" w:rsidRPr="001310AD" w:rsidRDefault="004E5979">
            <w:pPr>
              <w:pStyle w:val="In-tableHeading"/>
            </w:pPr>
            <w:r w:rsidRPr="001310AD">
              <w:t>RSV-LRTD hospital</w:t>
            </w:r>
            <w:r w:rsidR="005B0EAD" w:rsidRPr="001310AD">
              <w:t>.</w:t>
            </w:r>
            <w:r w:rsidRPr="001310AD">
              <w:t xml:space="preserve"> </w:t>
            </w:r>
          </w:p>
        </w:tc>
        <w:tc>
          <w:tcPr>
            <w:tcW w:w="513" w:type="pct"/>
            <w:tcMar>
              <w:left w:w="57" w:type="dxa"/>
              <w:right w:w="57" w:type="dxa"/>
            </w:tcMar>
            <w:vAlign w:val="center"/>
          </w:tcPr>
          <w:p w14:paraId="51BD0922" w14:textId="77777777" w:rsidR="004E5979" w:rsidRPr="001310AD" w:rsidRDefault="004E5979">
            <w:pPr>
              <w:pStyle w:val="In-tableHeading"/>
            </w:pPr>
            <w:r w:rsidRPr="001310AD">
              <w:t>30-day mortality within hospital admission</w:t>
            </w:r>
          </w:p>
        </w:tc>
        <w:tc>
          <w:tcPr>
            <w:tcW w:w="518" w:type="pct"/>
            <w:tcMar>
              <w:left w:w="57" w:type="dxa"/>
              <w:right w:w="57" w:type="dxa"/>
            </w:tcMar>
            <w:vAlign w:val="center"/>
          </w:tcPr>
          <w:p w14:paraId="5C1446A0" w14:textId="77777777" w:rsidR="004E5979" w:rsidRPr="001310AD" w:rsidRDefault="004E5979">
            <w:pPr>
              <w:pStyle w:val="In-tableHeading"/>
            </w:pPr>
            <w:r w:rsidRPr="001310AD">
              <w:t xml:space="preserve">Possibility of death given RSV-LRTD </w:t>
            </w:r>
          </w:p>
        </w:tc>
        <w:tc>
          <w:tcPr>
            <w:tcW w:w="675" w:type="pct"/>
            <w:tcMar>
              <w:left w:w="57" w:type="dxa"/>
              <w:right w:w="57" w:type="dxa"/>
            </w:tcMar>
            <w:vAlign w:val="center"/>
          </w:tcPr>
          <w:p w14:paraId="10E649D6" w14:textId="77777777" w:rsidR="004E5979" w:rsidRPr="001310AD" w:rsidRDefault="004E5979">
            <w:pPr>
              <w:pStyle w:val="In-tableHeading"/>
            </w:pPr>
            <w:r w:rsidRPr="001310AD">
              <w:t>Inc. costs</w:t>
            </w:r>
          </w:p>
        </w:tc>
        <w:tc>
          <w:tcPr>
            <w:tcW w:w="518" w:type="pct"/>
            <w:tcMar>
              <w:left w:w="57" w:type="dxa"/>
              <w:right w:w="57" w:type="dxa"/>
            </w:tcMar>
            <w:vAlign w:val="center"/>
          </w:tcPr>
          <w:p w14:paraId="6DAB44D2" w14:textId="77777777" w:rsidR="004E5979" w:rsidRPr="001310AD" w:rsidRDefault="004E5979">
            <w:pPr>
              <w:pStyle w:val="In-tableHeading"/>
            </w:pPr>
            <w:r w:rsidRPr="001310AD">
              <w:t>Inc. QALYs</w:t>
            </w:r>
          </w:p>
        </w:tc>
        <w:tc>
          <w:tcPr>
            <w:tcW w:w="594" w:type="pct"/>
            <w:tcMar>
              <w:left w:w="57" w:type="dxa"/>
              <w:right w:w="57" w:type="dxa"/>
            </w:tcMar>
            <w:vAlign w:val="center"/>
          </w:tcPr>
          <w:p w14:paraId="5E7C2153" w14:textId="77777777" w:rsidR="004E5979" w:rsidRPr="001310AD" w:rsidRDefault="004E5979">
            <w:pPr>
              <w:pStyle w:val="In-tableHeading"/>
            </w:pPr>
            <w:r w:rsidRPr="001310AD">
              <w:t>ICER</w:t>
            </w:r>
          </w:p>
        </w:tc>
        <w:tc>
          <w:tcPr>
            <w:tcW w:w="746" w:type="pct"/>
            <w:vAlign w:val="center"/>
          </w:tcPr>
          <w:p w14:paraId="5B1762DD" w14:textId="77777777" w:rsidR="004E5979" w:rsidRPr="001310AD" w:rsidRDefault="004E5979">
            <w:pPr>
              <w:pStyle w:val="In-tableHeading"/>
            </w:pPr>
            <w:r w:rsidRPr="001310AD">
              <w:t>ICER (July 2024)</w:t>
            </w:r>
          </w:p>
        </w:tc>
      </w:tr>
      <w:tr w:rsidR="001B35CF" w:rsidRPr="001310AD" w14:paraId="72403A28" w14:textId="77777777" w:rsidTr="000A3A2D">
        <w:tc>
          <w:tcPr>
            <w:tcW w:w="364" w:type="pct"/>
            <w:tcMar>
              <w:left w:w="57" w:type="dxa"/>
              <w:right w:w="57" w:type="dxa"/>
            </w:tcMar>
            <w:vAlign w:val="center"/>
          </w:tcPr>
          <w:p w14:paraId="3658AFA2" w14:textId="77777777" w:rsidR="004E5979" w:rsidRPr="001310AD" w:rsidRDefault="004E5979">
            <w:pPr>
              <w:pStyle w:val="TableText0"/>
              <w:jc w:val="center"/>
            </w:pPr>
            <w:r w:rsidRPr="001310AD">
              <w:t>75-79</w:t>
            </w:r>
          </w:p>
        </w:tc>
        <w:tc>
          <w:tcPr>
            <w:tcW w:w="577" w:type="pct"/>
            <w:tcBorders>
              <w:bottom w:val="single" w:sz="4" w:space="0" w:color="auto"/>
            </w:tcBorders>
            <w:tcMar>
              <w:left w:w="57" w:type="dxa"/>
              <w:right w:w="57" w:type="dxa"/>
            </w:tcMar>
            <w:vAlign w:val="center"/>
          </w:tcPr>
          <w:p w14:paraId="035699FF" w14:textId="3AA43B5D" w:rsidR="004E5979" w:rsidRPr="00E04727" w:rsidRDefault="000A3A2D">
            <w:pPr>
              <w:pStyle w:val="TableText0"/>
              <w:jc w:val="center"/>
              <w:rPr>
                <w:highlight w:val="yellow"/>
              </w:rPr>
            </w:pPr>
            <w:r w:rsidRPr="000A3A2D">
              <w:rPr>
                <w:color w:val="000000"/>
                <w:spacing w:val="51"/>
                <w:shd w:val="solid" w:color="000000" w:fill="000000"/>
                <w:fitText w:val="324" w:id="-628465920"/>
                <w14:textFill>
                  <w14:solidFill>
                    <w14:srgbClr w14:val="000000">
                      <w14:alpha w14:val="100000"/>
                    </w14:srgbClr>
                  </w14:solidFill>
                </w14:textFill>
              </w:rPr>
              <w:t>|||</w:t>
            </w:r>
            <w:r w:rsidRPr="000A3A2D">
              <w:rPr>
                <w:color w:val="000000"/>
                <w:spacing w:val="1"/>
                <w:shd w:val="solid" w:color="000000" w:fill="000000"/>
                <w:fitText w:val="324" w:id="-628465920"/>
                <w14:textFill>
                  <w14:solidFill>
                    <w14:srgbClr w14:val="000000">
                      <w14:alpha w14:val="100000"/>
                    </w14:srgbClr>
                  </w14:solidFill>
                </w14:textFill>
              </w:rPr>
              <w:t>|</w:t>
            </w:r>
            <w:r w:rsidR="00EE27B7" w:rsidRPr="00EE27B7">
              <w:rPr>
                <w:vertAlign w:val="superscript"/>
              </w:rPr>
              <w:t>1</w:t>
            </w:r>
          </w:p>
        </w:tc>
        <w:tc>
          <w:tcPr>
            <w:tcW w:w="494" w:type="pct"/>
            <w:tcMar>
              <w:left w:w="57" w:type="dxa"/>
              <w:right w:w="57" w:type="dxa"/>
            </w:tcMar>
            <w:vAlign w:val="center"/>
          </w:tcPr>
          <w:p w14:paraId="2C5E6B55" w14:textId="77777777" w:rsidR="004E5979" w:rsidRPr="001310AD" w:rsidRDefault="004E5979">
            <w:pPr>
              <w:pStyle w:val="TableText0"/>
              <w:jc w:val="center"/>
            </w:pPr>
            <w:r w:rsidRPr="001310AD">
              <w:t>19.3%</w:t>
            </w:r>
          </w:p>
        </w:tc>
        <w:tc>
          <w:tcPr>
            <w:tcW w:w="513" w:type="pct"/>
            <w:tcMar>
              <w:left w:w="57" w:type="dxa"/>
              <w:right w:w="57" w:type="dxa"/>
            </w:tcMar>
            <w:vAlign w:val="center"/>
          </w:tcPr>
          <w:p w14:paraId="3D486F59" w14:textId="77777777" w:rsidR="004E5979" w:rsidRPr="001310AD" w:rsidRDefault="004E5979">
            <w:pPr>
              <w:pStyle w:val="TableText0"/>
              <w:jc w:val="center"/>
            </w:pPr>
            <w:r w:rsidRPr="001310AD">
              <w:t>3.29%</w:t>
            </w:r>
          </w:p>
        </w:tc>
        <w:tc>
          <w:tcPr>
            <w:tcW w:w="518" w:type="pct"/>
            <w:tcMar>
              <w:left w:w="57" w:type="dxa"/>
              <w:right w:w="57" w:type="dxa"/>
            </w:tcMar>
            <w:vAlign w:val="center"/>
          </w:tcPr>
          <w:p w14:paraId="1EE49083" w14:textId="77777777" w:rsidR="004E5979" w:rsidRPr="001310AD" w:rsidRDefault="004E5979">
            <w:pPr>
              <w:pStyle w:val="TableText0"/>
              <w:jc w:val="center"/>
            </w:pPr>
            <w:r w:rsidRPr="001310AD">
              <w:t>0.64%</w:t>
            </w:r>
          </w:p>
        </w:tc>
        <w:tc>
          <w:tcPr>
            <w:tcW w:w="675" w:type="pct"/>
            <w:tcMar>
              <w:left w:w="57" w:type="dxa"/>
              <w:right w:w="57" w:type="dxa"/>
            </w:tcMar>
            <w:vAlign w:val="center"/>
          </w:tcPr>
          <w:p w14:paraId="4188A9A3" w14:textId="7C431606" w:rsidR="004E5979" w:rsidRPr="001310AD" w:rsidRDefault="004E5979">
            <w:pPr>
              <w:pStyle w:val="TableText0"/>
              <w:jc w:val="center"/>
            </w:pPr>
            <w:r w:rsidRPr="001310AD">
              <w:t>$</w:t>
            </w:r>
            <w:r w:rsidR="000A3A2D" w:rsidRPr="000A3A2D">
              <w:rPr>
                <w:color w:val="000000"/>
                <w:spacing w:val="51"/>
                <w:shd w:val="solid" w:color="000000" w:fill="000000"/>
                <w:fitText w:val="324" w:id="-628465919"/>
                <w14:textFill>
                  <w14:solidFill>
                    <w14:srgbClr w14:val="000000">
                      <w14:alpha w14:val="100000"/>
                    </w14:srgbClr>
                  </w14:solidFill>
                </w14:textFill>
              </w:rPr>
              <w:t>|||</w:t>
            </w:r>
            <w:r w:rsidR="000A3A2D" w:rsidRPr="000A3A2D">
              <w:rPr>
                <w:color w:val="000000"/>
                <w:spacing w:val="1"/>
                <w:shd w:val="solid" w:color="000000" w:fill="000000"/>
                <w:fitText w:val="324" w:id="-628465919"/>
                <w14:textFill>
                  <w14:solidFill>
                    <w14:srgbClr w14:val="000000">
                      <w14:alpha w14:val="100000"/>
                    </w14:srgbClr>
                  </w14:solidFill>
                </w14:textFill>
              </w:rPr>
              <w:t>|</w:t>
            </w:r>
          </w:p>
        </w:tc>
        <w:tc>
          <w:tcPr>
            <w:tcW w:w="518" w:type="pct"/>
            <w:tcMar>
              <w:left w:w="57" w:type="dxa"/>
              <w:right w:w="57" w:type="dxa"/>
            </w:tcMar>
            <w:vAlign w:val="center"/>
          </w:tcPr>
          <w:p w14:paraId="32E0A6F6" w14:textId="77777777" w:rsidR="004E5979" w:rsidRPr="001310AD" w:rsidRDefault="004E5979">
            <w:pPr>
              <w:pStyle w:val="TableText0"/>
              <w:jc w:val="center"/>
            </w:pPr>
            <w:r w:rsidRPr="001310AD">
              <w:t>3,331</w:t>
            </w:r>
          </w:p>
        </w:tc>
        <w:tc>
          <w:tcPr>
            <w:tcW w:w="594" w:type="pct"/>
            <w:tcMar>
              <w:left w:w="57" w:type="dxa"/>
              <w:right w:w="57" w:type="dxa"/>
            </w:tcMar>
            <w:vAlign w:val="center"/>
          </w:tcPr>
          <w:p w14:paraId="6F71EF8D" w14:textId="15098822" w:rsidR="004E5979" w:rsidRPr="00D0080B" w:rsidRDefault="004E5979">
            <w:pPr>
              <w:pStyle w:val="TableText0"/>
              <w:jc w:val="center"/>
              <w:rPr>
                <w:vertAlign w:val="superscript"/>
              </w:rPr>
            </w:pPr>
            <w:r w:rsidRPr="001310AD">
              <w:t>$</w:t>
            </w:r>
            <w:r w:rsidR="000A3A2D" w:rsidRPr="000A3A2D">
              <w:rPr>
                <w:color w:val="000000"/>
                <w:spacing w:val="51"/>
                <w:shd w:val="solid" w:color="000000" w:fill="000000"/>
                <w:fitText w:val="324" w:id="-628465918"/>
                <w14:textFill>
                  <w14:solidFill>
                    <w14:srgbClr w14:val="000000">
                      <w14:alpha w14:val="100000"/>
                    </w14:srgbClr>
                  </w14:solidFill>
                </w14:textFill>
              </w:rPr>
              <w:t>|||</w:t>
            </w:r>
            <w:r w:rsidR="000A3A2D" w:rsidRPr="000A3A2D">
              <w:rPr>
                <w:color w:val="000000"/>
                <w:spacing w:val="1"/>
                <w:shd w:val="solid" w:color="000000" w:fill="000000"/>
                <w:fitText w:val="324" w:id="-628465918"/>
                <w14:textFill>
                  <w14:solidFill>
                    <w14:srgbClr w14:val="000000">
                      <w14:alpha w14:val="100000"/>
                    </w14:srgbClr>
                  </w14:solidFill>
                </w14:textFill>
              </w:rPr>
              <w:t>|</w:t>
            </w:r>
            <w:r w:rsidR="00D0080B">
              <w:rPr>
                <w:vertAlign w:val="superscript"/>
              </w:rPr>
              <w:t>2</w:t>
            </w:r>
          </w:p>
        </w:tc>
        <w:tc>
          <w:tcPr>
            <w:tcW w:w="746" w:type="pct"/>
            <w:shd w:val="clear" w:color="auto" w:fill="C6D9F1" w:themeFill="text2" w:themeFillTint="33"/>
            <w:vAlign w:val="center"/>
          </w:tcPr>
          <w:p w14:paraId="00FFD94E" w14:textId="03AEF129" w:rsidR="004E5979" w:rsidRPr="00621F10" w:rsidRDefault="004E5979">
            <w:pPr>
              <w:pStyle w:val="TableText0"/>
              <w:jc w:val="center"/>
              <w:rPr>
                <w:vertAlign w:val="superscript"/>
              </w:rPr>
            </w:pPr>
            <w:r w:rsidRPr="001310AD">
              <w:t>$</w:t>
            </w:r>
            <w:r w:rsidR="000A3A2D" w:rsidRPr="000A3A2D">
              <w:rPr>
                <w:color w:val="000000"/>
                <w:spacing w:val="55"/>
                <w:shd w:val="solid" w:color="000000" w:fill="000000"/>
                <w:fitText w:val="336" w:id="-628465917"/>
                <w14:textFill>
                  <w14:solidFill>
                    <w14:srgbClr w14:val="000000">
                      <w14:alpha w14:val="100000"/>
                    </w14:srgbClr>
                  </w14:solidFill>
                </w14:textFill>
              </w:rPr>
              <w:t>|||</w:t>
            </w:r>
            <w:r w:rsidR="000A3A2D" w:rsidRPr="000A3A2D">
              <w:rPr>
                <w:color w:val="000000"/>
                <w:spacing w:val="1"/>
                <w:shd w:val="solid" w:color="000000" w:fill="000000"/>
                <w:fitText w:val="336" w:id="-628465917"/>
                <w14:textFill>
                  <w14:solidFill>
                    <w14:srgbClr w14:val="000000">
                      <w14:alpha w14:val="100000"/>
                    </w14:srgbClr>
                  </w14:solidFill>
                </w14:textFill>
              </w:rPr>
              <w:t>|</w:t>
            </w:r>
            <w:r w:rsidR="0066052E">
              <w:rPr>
                <w:vertAlign w:val="superscript"/>
              </w:rPr>
              <w:t>3</w:t>
            </w:r>
          </w:p>
        </w:tc>
      </w:tr>
      <w:tr w:rsidR="001B35CF" w:rsidRPr="001310AD" w14:paraId="3DDAB256" w14:textId="77777777" w:rsidTr="005B52E1">
        <w:tc>
          <w:tcPr>
            <w:tcW w:w="364" w:type="pct"/>
            <w:tcMar>
              <w:left w:w="57" w:type="dxa"/>
              <w:right w:w="57" w:type="dxa"/>
            </w:tcMar>
            <w:vAlign w:val="center"/>
          </w:tcPr>
          <w:p w14:paraId="250412E9" w14:textId="77777777" w:rsidR="004E5979" w:rsidRPr="001310AD" w:rsidRDefault="004E5979">
            <w:pPr>
              <w:pStyle w:val="TableText0"/>
              <w:jc w:val="center"/>
            </w:pPr>
            <w:r w:rsidRPr="001310AD">
              <w:t>80-84</w:t>
            </w:r>
          </w:p>
        </w:tc>
        <w:tc>
          <w:tcPr>
            <w:tcW w:w="577" w:type="pct"/>
            <w:tcBorders>
              <w:bottom w:val="single" w:sz="4" w:space="0" w:color="auto"/>
            </w:tcBorders>
            <w:tcMar>
              <w:left w:w="57" w:type="dxa"/>
              <w:right w:w="57" w:type="dxa"/>
            </w:tcMar>
            <w:vAlign w:val="center"/>
          </w:tcPr>
          <w:p w14:paraId="285635C2" w14:textId="15453002" w:rsidR="004E5979" w:rsidRPr="00BD7C46" w:rsidRDefault="00BD7C46" w:rsidP="005B52E1">
            <w:pPr>
              <w:pStyle w:val="TableText0"/>
              <w:jc w:val="center"/>
              <w:rPr>
                <w:highlight w:val="yellow"/>
                <w:vertAlign w:val="superscript"/>
              </w:rPr>
            </w:pPr>
            <w:r w:rsidRPr="00BD7C46">
              <w:rPr>
                <w:sz w:val="2"/>
                <w:highlight w:val="black"/>
              </w:rPr>
              <w:t>redacted content</w:t>
            </w:r>
            <w:r w:rsidRPr="00BD7C46">
              <w:rPr>
                <w:vertAlign w:val="superscript"/>
              </w:rPr>
              <w:t>3</w:t>
            </w:r>
          </w:p>
        </w:tc>
        <w:tc>
          <w:tcPr>
            <w:tcW w:w="494" w:type="pct"/>
            <w:vMerge w:val="restart"/>
            <w:tcMar>
              <w:left w:w="57" w:type="dxa"/>
              <w:right w:w="57" w:type="dxa"/>
            </w:tcMar>
            <w:vAlign w:val="center"/>
          </w:tcPr>
          <w:p w14:paraId="0E592766" w14:textId="77777777" w:rsidR="004E5979" w:rsidRPr="001310AD" w:rsidRDefault="004E5979">
            <w:pPr>
              <w:pStyle w:val="TableText0"/>
              <w:jc w:val="center"/>
            </w:pPr>
            <w:r w:rsidRPr="001310AD">
              <w:t>39.8%</w:t>
            </w:r>
          </w:p>
        </w:tc>
        <w:tc>
          <w:tcPr>
            <w:tcW w:w="513" w:type="pct"/>
            <w:vMerge w:val="restart"/>
            <w:tcMar>
              <w:left w:w="57" w:type="dxa"/>
              <w:right w:w="57" w:type="dxa"/>
            </w:tcMar>
            <w:vAlign w:val="center"/>
          </w:tcPr>
          <w:p w14:paraId="0D493851" w14:textId="77777777" w:rsidR="004E5979" w:rsidRPr="001310AD" w:rsidRDefault="004E5979">
            <w:pPr>
              <w:pStyle w:val="TableText0"/>
              <w:jc w:val="center"/>
            </w:pPr>
            <w:r w:rsidRPr="001310AD">
              <w:t>4.55%</w:t>
            </w:r>
          </w:p>
        </w:tc>
        <w:tc>
          <w:tcPr>
            <w:tcW w:w="518" w:type="pct"/>
            <w:tcMar>
              <w:left w:w="57" w:type="dxa"/>
              <w:right w:w="57" w:type="dxa"/>
            </w:tcMar>
            <w:vAlign w:val="center"/>
          </w:tcPr>
          <w:p w14:paraId="4D02411C" w14:textId="77777777" w:rsidR="004E5979" w:rsidRPr="001310AD" w:rsidRDefault="004E5979">
            <w:pPr>
              <w:pStyle w:val="TableText0"/>
              <w:jc w:val="center"/>
            </w:pPr>
            <w:r w:rsidRPr="001310AD">
              <w:t>1.81%</w:t>
            </w:r>
          </w:p>
        </w:tc>
        <w:tc>
          <w:tcPr>
            <w:tcW w:w="675" w:type="pct"/>
            <w:tcMar>
              <w:left w:w="57" w:type="dxa"/>
              <w:right w:w="57" w:type="dxa"/>
            </w:tcMar>
            <w:vAlign w:val="center"/>
          </w:tcPr>
          <w:p w14:paraId="6A88A629" w14:textId="6ADAA5F5" w:rsidR="004E5979" w:rsidRPr="001310AD" w:rsidRDefault="004E5979">
            <w:pPr>
              <w:pStyle w:val="TableText0"/>
              <w:jc w:val="center"/>
            </w:pPr>
            <w:r w:rsidRPr="001310AD">
              <w:t>-$</w:t>
            </w:r>
            <w:r w:rsidR="000A3A2D" w:rsidRPr="005B52E1">
              <w:rPr>
                <w:color w:val="000000"/>
                <w:spacing w:val="51"/>
                <w:shd w:val="solid" w:color="000000" w:fill="000000"/>
                <w:fitText w:val="324" w:id="-628465915"/>
                <w14:textFill>
                  <w14:solidFill>
                    <w14:srgbClr w14:val="000000">
                      <w14:alpha w14:val="100000"/>
                    </w14:srgbClr>
                  </w14:solidFill>
                </w14:textFill>
              </w:rPr>
              <w:t>|||</w:t>
            </w:r>
            <w:r w:rsidR="000A3A2D" w:rsidRPr="005B52E1">
              <w:rPr>
                <w:color w:val="000000"/>
                <w:spacing w:val="1"/>
                <w:shd w:val="solid" w:color="000000" w:fill="000000"/>
                <w:fitText w:val="324" w:id="-628465915"/>
                <w14:textFill>
                  <w14:solidFill>
                    <w14:srgbClr w14:val="000000">
                      <w14:alpha w14:val="100000"/>
                    </w14:srgbClr>
                  </w14:solidFill>
                </w14:textFill>
              </w:rPr>
              <w:t>|</w:t>
            </w:r>
          </w:p>
        </w:tc>
        <w:tc>
          <w:tcPr>
            <w:tcW w:w="518" w:type="pct"/>
            <w:tcMar>
              <w:left w:w="57" w:type="dxa"/>
              <w:right w:w="57" w:type="dxa"/>
            </w:tcMar>
            <w:vAlign w:val="center"/>
          </w:tcPr>
          <w:p w14:paraId="175B6EAE" w14:textId="77777777" w:rsidR="004E5979" w:rsidRPr="001310AD" w:rsidRDefault="004E5979">
            <w:pPr>
              <w:pStyle w:val="TableText0"/>
              <w:jc w:val="center"/>
            </w:pPr>
            <w:r w:rsidRPr="001310AD">
              <w:t>3,684</w:t>
            </w:r>
          </w:p>
        </w:tc>
        <w:tc>
          <w:tcPr>
            <w:tcW w:w="594" w:type="pct"/>
            <w:tcMar>
              <w:left w:w="57" w:type="dxa"/>
              <w:right w:w="57" w:type="dxa"/>
            </w:tcMar>
            <w:vAlign w:val="center"/>
          </w:tcPr>
          <w:p w14:paraId="2307F8F5" w14:textId="77777777" w:rsidR="004E5979" w:rsidRPr="001310AD" w:rsidRDefault="004E5979">
            <w:pPr>
              <w:pStyle w:val="TableText0"/>
              <w:jc w:val="center"/>
            </w:pPr>
            <w:r w:rsidRPr="001310AD">
              <w:t>Dominant</w:t>
            </w:r>
          </w:p>
        </w:tc>
        <w:tc>
          <w:tcPr>
            <w:tcW w:w="746" w:type="pct"/>
            <w:shd w:val="clear" w:color="auto" w:fill="C6D9F1" w:themeFill="text2" w:themeFillTint="33"/>
            <w:vAlign w:val="center"/>
          </w:tcPr>
          <w:p w14:paraId="03E68721" w14:textId="069FCEAF" w:rsidR="004E5979" w:rsidRPr="00621F10" w:rsidRDefault="004E5979">
            <w:pPr>
              <w:pStyle w:val="TableText0"/>
              <w:jc w:val="center"/>
              <w:rPr>
                <w:vertAlign w:val="superscript"/>
              </w:rPr>
            </w:pPr>
            <w:r w:rsidRPr="001310AD">
              <w:t>$</w:t>
            </w:r>
            <w:r w:rsidR="000A3A2D" w:rsidRPr="005B52E1">
              <w:rPr>
                <w:color w:val="000000"/>
                <w:spacing w:val="55"/>
                <w:shd w:val="solid" w:color="000000" w:fill="000000"/>
                <w:fitText w:val="336" w:id="-628465914"/>
                <w14:textFill>
                  <w14:solidFill>
                    <w14:srgbClr w14:val="000000">
                      <w14:alpha w14:val="100000"/>
                    </w14:srgbClr>
                  </w14:solidFill>
                </w14:textFill>
              </w:rPr>
              <w:t>|||</w:t>
            </w:r>
            <w:r w:rsidR="000A3A2D" w:rsidRPr="005B52E1">
              <w:rPr>
                <w:color w:val="000000"/>
                <w:spacing w:val="1"/>
                <w:shd w:val="solid" w:color="000000" w:fill="000000"/>
                <w:fitText w:val="336" w:id="-628465914"/>
                <w14:textFill>
                  <w14:solidFill>
                    <w14:srgbClr w14:val="000000">
                      <w14:alpha w14:val="100000"/>
                    </w14:srgbClr>
                  </w14:solidFill>
                </w14:textFill>
              </w:rPr>
              <w:t>|</w:t>
            </w:r>
            <w:r w:rsidR="0066052E">
              <w:rPr>
                <w:vertAlign w:val="superscript"/>
              </w:rPr>
              <w:t>3</w:t>
            </w:r>
          </w:p>
        </w:tc>
      </w:tr>
      <w:tr w:rsidR="001B35CF" w:rsidRPr="001310AD" w14:paraId="3F1CA92A" w14:textId="77777777" w:rsidTr="005B52E1">
        <w:tc>
          <w:tcPr>
            <w:tcW w:w="364" w:type="pct"/>
            <w:tcMar>
              <w:left w:w="57" w:type="dxa"/>
              <w:right w:w="57" w:type="dxa"/>
            </w:tcMar>
            <w:vAlign w:val="center"/>
          </w:tcPr>
          <w:p w14:paraId="09F873AC" w14:textId="77777777" w:rsidR="004E5979" w:rsidRPr="001310AD" w:rsidRDefault="004E5979">
            <w:pPr>
              <w:pStyle w:val="TableText0"/>
              <w:jc w:val="center"/>
            </w:pPr>
            <w:r w:rsidRPr="001310AD">
              <w:t>≥85-89</w:t>
            </w:r>
          </w:p>
        </w:tc>
        <w:tc>
          <w:tcPr>
            <w:tcW w:w="577" w:type="pct"/>
            <w:tcMar>
              <w:left w:w="57" w:type="dxa"/>
              <w:right w:w="57" w:type="dxa"/>
            </w:tcMar>
            <w:vAlign w:val="center"/>
          </w:tcPr>
          <w:p w14:paraId="1B7A4C94" w14:textId="37D0AAC2" w:rsidR="004E5979" w:rsidRPr="00BD7C46" w:rsidRDefault="00BD7C46">
            <w:pPr>
              <w:pStyle w:val="TableText0"/>
              <w:jc w:val="center"/>
              <w:rPr>
                <w:highlight w:val="yellow"/>
                <w:vertAlign w:val="superscript"/>
              </w:rPr>
            </w:pPr>
            <w:r w:rsidRPr="00BD7C46">
              <w:rPr>
                <w:sz w:val="2"/>
                <w:highlight w:val="black"/>
              </w:rPr>
              <w:t>redacted content</w:t>
            </w:r>
            <w:r w:rsidRPr="00BD7C46">
              <w:rPr>
                <w:vertAlign w:val="superscript"/>
              </w:rPr>
              <w:t>4</w:t>
            </w:r>
          </w:p>
        </w:tc>
        <w:tc>
          <w:tcPr>
            <w:tcW w:w="494" w:type="pct"/>
            <w:vMerge/>
            <w:tcMar>
              <w:left w:w="57" w:type="dxa"/>
              <w:right w:w="57" w:type="dxa"/>
            </w:tcMar>
            <w:vAlign w:val="center"/>
          </w:tcPr>
          <w:p w14:paraId="3DD87AFE" w14:textId="77777777" w:rsidR="004E5979" w:rsidRPr="001310AD" w:rsidRDefault="004E5979">
            <w:pPr>
              <w:pStyle w:val="TableText0"/>
              <w:jc w:val="center"/>
            </w:pPr>
          </w:p>
        </w:tc>
        <w:tc>
          <w:tcPr>
            <w:tcW w:w="513" w:type="pct"/>
            <w:vMerge/>
            <w:tcBorders>
              <w:bottom w:val="single" w:sz="4" w:space="0" w:color="auto"/>
            </w:tcBorders>
            <w:tcMar>
              <w:left w:w="57" w:type="dxa"/>
              <w:right w:w="57" w:type="dxa"/>
            </w:tcMar>
            <w:vAlign w:val="center"/>
          </w:tcPr>
          <w:p w14:paraId="34F34913" w14:textId="77777777" w:rsidR="004E5979" w:rsidRPr="001310AD" w:rsidRDefault="004E5979">
            <w:pPr>
              <w:pStyle w:val="TableText0"/>
              <w:jc w:val="center"/>
            </w:pPr>
          </w:p>
        </w:tc>
        <w:tc>
          <w:tcPr>
            <w:tcW w:w="518" w:type="pct"/>
            <w:tcMar>
              <w:left w:w="57" w:type="dxa"/>
              <w:right w:w="57" w:type="dxa"/>
            </w:tcMar>
            <w:vAlign w:val="center"/>
          </w:tcPr>
          <w:p w14:paraId="74473FD5" w14:textId="77777777" w:rsidR="004E5979" w:rsidRPr="001310AD" w:rsidRDefault="004E5979">
            <w:pPr>
              <w:pStyle w:val="TableText0"/>
              <w:jc w:val="center"/>
            </w:pPr>
            <w:r w:rsidRPr="001310AD">
              <w:t>1.81%</w:t>
            </w:r>
          </w:p>
        </w:tc>
        <w:tc>
          <w:tcPr>
            <w:tcW w:w="675" w:type="pct"/>
            <w:tcMar>
              <w:left w:w="57" w:type="dxa"/>
              <w:right w:w="57" w:type="dxa"/>
            </w:tcMar>
            <w:vAlign w:val="center"/>
          </w:tcPr>
          <w:p w14:paraId="6C68B7BA" w14:textId="49EAF8BB" w:rsidR="004E5979" w:rsidRPr="001310AD" w:rsidRDefault="004E5979">
            <w:pPr>
              <w:pStyle w:val="TableText0"/>
              <w:jc w:val="center"/>
            </w:pPr>
            <w:r w:rsidRPr="001310AD">
              <w:t>-$</w:t>
            </w:r>
            <w:r w:rsidR="000A3A2D" w:rsidRPr="000A3A2D">
              <w:rPr>
                <w:color w:val="000000"/>
                <w:spacing w:val="51"/>
                <w:shd w:val="solid" w:color="000000" w:fill="000000"/>
                <w:fitText w:val="324" w:id="-628465912"/>
                <w14:textFill>
                  <w14:solidFill>
                    <w14:srgbClr w14:val="000000">
                      <w14:alpha w14:val="100000"/>
                    </w14:srgbClr>
                  </w14:solidFill>
                </w14:textFill>
              </w:rPr>
              <w:t>|||</w:t>
            </w:r>
            <w:r w:rsidR="000A3A2D" w:rsidRPr="000A3A2D">
              <w:rPr>
                <w:color w:val="000000"/>
                <w:spacing w:val="1"/>
                <w:shd w:val="solid" w:color="000000" w:fill="000000"/>
                <w:fitText w:val="324" w:id="-628465912"/>
                <w14:textFill>
                  <w14:solidFill>
                    <w14:srgbClr w14:val="000000">
                      <w14:alpha w14:val="100000"/>
                    </w14:srgbClr>
                  </w14:solidFill>
                </w14:textFill>
              </w:rPr>
              <w:t>|</w:t>
            </w:r>
          </w:p>
        </w:tc>
        <w:tc>
          <w:tcPr>
            <w:tcW w:w="518" w:type="pct"/>
            <w:tcMar>
              <w:left w:w="57" w:type="dxa"/>
              <w:right w:w="57" w:type="dxa"/>
            </w:tcMar>
            <w:vAlign w:val="center"/>
          </w:tcPr>
          <w:p w14:paraId="085D4366" w14:textId="77777777" w:rsidR="004E5979" w:rsidRPr="001310AD" w:rsidRDefault="004E5979">
            <w:pPr>
              <w:pStyle w:val="TableText0"/>
              <w:jc w:val="center"/>
            </w:pPr>
            <w:r w:rsidRPr="001310AD">
              <w:t>1,960</w:t>
            </w:r>
          </w:p>
        </w:tc>
        <w:tc>
          <w:tcPr>
            <w:tcW w:w="594" w:type="pct"/>
            <w:tcMar>
              <w:left w:w="57" w:type="dxa"/>
              <w:right w:w="57" w:type="dxa"/>
            </w:tcMar>
            <w:vAlign w:val="center"/>
          </w:tcPr>
          <w:p w14:paraId="0510D253" w14:textId="77777777" w:rsidR="004E5979" w:rsidRPr="001310AD" w:rsidRDefault="004E5979">
            <w:pPr>
              <w:pStyle w:val="TableText0"/>
              <w:jc w:val="center"/>
            </w:pPr>
            <w:r w:rsidRPr="001310AD">
              <w:t>Dominant</w:t>
            </w:r>
          </w:p>
        </w:tc>
        <w:tc>
          <w:tcPr>
            <w:tcW w:w="746" w:type="pct"/>
            <w:shd w:val="clear" w:color="auto" w:fill="C6D9F1" w:themeFill="text2" w:themeFillTint="33"/>
            <w:vAlign w:val="center"/>
          </w:tcPr>
          <w:p w14:paraId="71615C3E" w14:textId="77777777" w:rsidR="004E5979" w:rsidRPr="001310AD" w:rsidRDefault="004E5979">
            <w:pPr>
              <w:pStyle w:val="TableText0"/>
              <w:jc w:val="center"/>
            </w:pPr>
            <w:r w:rsidRPr="001310AD">
              <w:t>Dominant</w:t>
            </w:r>
          </w:p>
        </w:tc>
      </w:tr>
    </w:tbl>
    <w:p w14:paraId="499286CD" w14:textId="4ED487D7" w:rsidR="004E5979" w:rsidRPr="001310AD" w:rsidRDefault="004E5979" w:rsidP="004E5979">
      <w:pPr>
        <w:pStyle w:val="FooterTableFigure"/>
        <w:spacing w:after="0"/>
      </w:pPr>
      <w:r w:rsidRPr="001310AD">
        <w:t>Source: Table 3-22, p207; Table 3-47, p232 of the resubmission; Attachment ‘RSV OA static model_v16_PBAC_FINAL_March_2025’</w:t>
      </w:r>
    </w:p>
    <w:p w14:paraId="154A3872" w14:textId="77777777" w:rsidR="004E5979" w:rsidRPr="001310AD" w:rsidRDefault="004E5979" w:rsidP="004E5979">
      <w:pPr>
        <w:pStyle w:val="FooterTableFigure"/>
        <w:spacing w:after="0"/>
      </w:pPr>
      <w:r w:rsidRPr="001310AD">
        <w:t>Inc = incremental; ICER = incremental cost-effectiveness ratio; LRTD = lower respiratory tract disease; QALY = quality-adjusted life years; RSV = respiratory syncytial virus; RSVPreF3 OA= RSV Pre-fusion protein 3 older adult; YOA = years of age.</w:t>
      </w:r>
    </w:p>
    <w:p w14:paraId="2CFCDD5D" w14:textId="77777777" w:rsidR="002C5059" w:rsidRDefault="004E5979" w:rsidP="002C5059">
      <w:pPr>
        <w:pStyle w:val="TableFigureFooter"/>
      </w:pPr>
      <w:r w:rsidRPr="001310AD">
        <w:t>Blue shading indicates data previously seen by the PBAC.</w:t>
      </w:r>
    </w:p>
    <w:p w14:paraId="2778CB46" w14:textId="7C51D800" w:rsidR="002C5059" w:rsidRPr="002C5059" w:rsidRDefault="002C5059" w:rsidP="002C5059">
      <w:pPr>
        <w:pStyle w:val="TableFigureFooter"/>
        <w:rPr>
          <w:i/>
        </w:rPr>
      </w:pPr>
      <w:r w:rsidRPr="002C5059">
        <w:rPr>
          <w:i/>
        </w:rPr>
        <w:t xml:space="preserve">The redacted values correspond to the following ranges: </w:t>
      </w:r>
    </w:p>
    <w:p w14:paraId="3FF895C0" w14:textId="1788E372" w:rsidR="0066052E" w:rsidRDefault="002C5059" w:rsidP="0066052E">
      <w:pPr>
        <w:pStyle w:val="TableFigureFooter"/>
        <w:rPr>
          <w:i/>
        </w:rPr>
      </w:pPr>
      <w:r w:rsidRPr="002C5059">
        <w:rPr>
          <w:i/>
          <w:vertAlign w:val="superscript"/>
        </w:rPr>
        <w:t>1</w:t>
      </w:r>
      <w:r w:rsidRPr="002C5059">
        <w:rPr>
          <w:i/>
        </w:rPr>
        <w:t xml:space="preserve"> </w:t>
      </w:r>
      <w:r w:rsidR="0066052E" w:rsidRPr="0066052E">
        <w:rPr>
          <w:i/>
        </w:rPr>
        <w:t>1,000,000 to &lt; 2,000,000</w:t>
      </w:r>
    </w:p>
    <w:p w14:paraId="66D72506" w14:textId="77777777" w:rsidR="005B52E1" w:rsidRDefault="002C5059" w:rsidP="005B52E1">
      <w:pPr>
        <w:pStyle w:val="FooterTableFigure"/>
        <w:rPr>
          <w:i/>
        </w:rPr>
      </w:pPr>
      <w:r w:rsidRPr="002C5059">
        <w:rPr>
          <w:bCs/>
          <w:i/>
          <w:szCs w:val="18"/>
          <w:vertAlign w:val="superscript"/>
        </w:rPr>
        <w:t>2</w:t>
      </w:r>
      <w:r w:rsidRPr="002C5059">
        <w:rPr>
          <w:bCs/>
          <w:i/>
          <w:szCs w:val="18"/>
        </w:rPr>
        <w:t xml:space="preserve"> </w:t>
      </w:r>
      <w:r w:rsidR="00D0080B" w:rsidRPr="00D0080B">
        <w:rPr>
          <w:i/>
        </w:rPr>
        <w:t>$</w:t>
      </w:r>
      <w:r w:rsidR="00125C51">
        <w:rPr>
          <w:i/>
        </w:rPr>
        <w:t>2</w:t>
      </w:r>
      <w:r w:rsidR="00D0080B" w:rsidRPr="00D0080B">
        <w:rPr>
          <w:i/>
        </w:rPr>
        <w:t>5,000 to &lt; $</w:t>
      </w:r>
      <w:r w:rsidR="00125C51">
        <w:rPr>
          <w:i/>
        </w:rPr>
        <w:t>3</w:t>
      </w:r>
      <w:r w:rsidR="00D0080B" w:rsidRPr="00D0080B">
        <w:rPr>
          <w:i/>
        </w:rPr>
        <w:t>5,000</w:t>
      </w:r>
    </w:p>
    <w:p w14:paraId="65847025" w14:textId="7F57D018" w:rsidR="0066052E" w:rsidRDefault="0066052E" w:rsidP="005B52E1">
      <w:pPr>
        <w:pStyle w:val="FooterTableFigure"/>
        <w:spacing w:after="0"/>
        <w:rPr>
          <w:i/>
        </w:rPr>
      </w:pPr>
      <w:r>
        <w:rPr>
          <w:i/>
          <w:vertAlign w:val="superscript"/>
        </w:rPr>
        <w:t xml:space="preserve">3 </w:t>
      </w:r>
      <w:r>
        <w:rPr>
          <w:i/>
        </w:rPr>
        <w:t>$5</w:t>
      </w:r>
      <w:r w:rsidRPr="00621F10">
        <w:rPr>
          <w:i/>
        </w:rPr>
        <w:t>,000 to &lt; $15,000</w:t>
      </w:r>
    </w:p>
    <w:p w14:paraId="2E4543E4" w14:textId="36F3A863" w:rsidR="0066052E" w:rsidRPr="00BD7C46" w:rsidRDefault="0066052E" w:rsidP="00BD7C46">
      <w:pPr>
        <w:pStyle w:val="TableFigureFooter"/>
        <w:rPr>
          <w:i/>
        </w:rPr>
      </w:pPr>
      <w:r w:rsidRPr="0066052E">
        <w:rPr>
          <w:i/>
          <w:vertAlign w:val="superscript"/>
        </w:rPr>
        <w:t>4</w:t>
      </w:r>
      <w:r w:rsidR="00044091">
        <w:rPr>
          <w:i/>
          <w:vertAlign w:val="superscript"/>
        </w:rPr>
        <w:t xml:space="preserve"> </w:t>
      </w:r>
      <w:r w:rsidRPr="0066052E">
        <w:rPr>
          <w:i/>
        </w:rPr>
        <w:t>600,000 to &lt; 700,000</w:t>
      </w:r>
      <w:r>
        <w:rPr>
          <w:i/>
        </w:rPr>
        <w:br/>
      </w:r>
      <w:r w:rsidRPr="0066052E">
        <w:rPr>
          <w:i/>
          <w:vertAlign w:val="superscript"/>
        </w:rPr>
        <w:t>5</w:t>
      </w:r>
      <w:r>
        <w:rPr>
          <w:i/>
        </w:rPr>
        <w:t xml:space="preserve"> </w:t>
      </w:r>
      <w:r w:rsidRPr="0066052E">
        <w:rPr>
          <w:i/>
        </w:rPr>
        <w:t>300,000 to &lt; 400,000</w:t>
      </w:r>
    </w:p>
    <w:p w14:paraId="578302A6" w14:textId="77777777" w:rsidR="00D0080B" w:rsidRPr="001310AD" w:rsidRDefault="00D0080B" w:rsidP="004E5979">
      <w:pPr>
        <w:pStyle w:val="FooterTableFigure"/>
      </w:pPr>
    </w:p>
    <w:p w14:paraId="315B2524" w14:textId="52453376" w:rsidR="00F164F4" w:rsidRPr="001310AD" w:rsidRDefault="004E5979" w:rsidP="00335ECF">
      <w:pPr>
        <w:pStyle w:val="3-BodyText"/>
      </w:pPr>
      <w:r w:rsidRPr="001310AD">
        <w:t>The results of key univariate / multivariate sensitivity analyses are summarised in</w:t>
      </w:r>
      <w:r w:rsidR="00495042" w:rsidRPr="001310AD">
        <w:t xml:space="preserve"> </w:t>
      </w:r>
      <w:r w:rsidR="00495042" w:rsidRPr="001310AD">
        <w:fldChar w:fldCharType="begin"/>
      </w:r>
      <w:r w:rsidR="00495042" w:rsidRPr="001310AD">
        <w:instrText xml:space="preserve"> REF _Ref201305158 \h </w:instrText>
      </w:r>
      <w:r w:rsidR="00495042" w:rsidRPr="001310AD">
        <w:fldChar w:fldCharType="separate"/>
      </w:r>
      <w:r w:rsidR="001F75E0" w:rsidRPr="001310AD">
        <w:t>Table 20</w:t>
      </w:r>
      <w:r w:rsidR="00495042" w:rsidRPr="001310AD">
        <w:fldChar w:fldCharType="end"/>
      </w:r>
      <w:r w:rsidR="00C67F18" w:rsidRPr="001310AD">
        <w:t xml:space="preserve">, based on the </w:t>
      </w:r>
      <w:r w:rsidR="00495042" w:rsidRPr="001310AD">
        <w:t>PSCR</w:t>
      </w:r>
      <w:r w:rsidR="007114C9" w:rsidRPr="001310AD">
        <w:t>’s economic model</w:t>
      </w:r>
      <w:r w:rsidR="00DD2D79" w:rsidRPr="001310AD">
        <w:t xml:space="preserve">. As the PSCR proposed </w:t>
      </w:r>
      <w:r w:rsidR="007114C9" w:rsidRPr="001310AD">
        <w:t>three</w:t>
      </w:r>
      <w:r w:rsidR="00DD2D79" w:rsidRPr="001310AD">
        <w:t xml:space="preserve"> scenario analyses using different hospitalisation costs, the sensitivity analyses </w:t>
      </w:r>
      <w:r w:rsidR="007114C9" w:rsidRPr="001310AD">
        <w:t xml:space="preserve">in </w:t>
      </w:r>
      <w:r w:rsidR="007114C9" w:rsidRPr="001310AD">
        <w:fldChar w:fldCharType="begin"/>
      </w:r>
      <w:r w:rsidR="007114C9" w:rsidRPr="001310AD">
        <w:instrText xml:space="preserve"> REF _Ref201305158 \h  \* MERGEFORMAT </w:instrText>
      </w:r>
      <w:r w:rsidR="007114C9" w:rsidRPr="001310AD">
        <w:fldChar w:fldCharType="separate"/>
      </w:r>
      <w:r w:rsidR="001F75E0" w:rsidRPr="001310AD">
        <w:t>Table 20</w:t>
      </w:r>
      <w:r w:rsidR="007114C9" w:rsidRPr="001310AD">
        <w:fldChar w:fldCharType="end"/>
      </w:r>
      <w:r w:rsidR="007114C9" w:rsidRPr="001310AD">
        <w:t xml:space="preserve"> </w:t>
      </w:r>
      <w:r w:rsidR="00DD2D79" w:rsidRPr="001310AD">
        <w:t xml:space="preserve">are based on the cost of $16,125 (the intermediate of the three </w:t>
      </w:r>
      <w:r w:rsidR="007114C9" w:rsidRPr="001310AD">
        <w:t xml:space="preserve">hospitalisation </w:t>
      </w:r>
      <w:r w:rsidR="00DD2D79" w:rsidRPr="001310AD">
        <w:t>costs proposed in the PSCR).</w:t>
      </w:r>
    </w:p>
    <w:p w14:paraId="43CBD406" w14:textId="25DC0941" w:rsidR="00495042" w:rsidRPr="001310AD" w:rsidRDefault="00495042" w:rsidP="00495042">
      <w:pPr>
        <w:pStyle w:val="Caption"/>
        <w:rPr>
          <w:rFonts w:cs="Aptos"/>
          <w:szCs w:val="20"/>
          <w:lang w:eastAsia="en-US"/>
        </w:rPr>
      </w:pPr>
      <w:bookmarkStart w:id="84" w:name="_Ref201305158"/>
      <w:bookmarkStart w:id="85" w:name="_Ref196992750"/>
      <w:r w:rsidRPr="001310AD">
        <w:t xml:space="preserve">Table </w:t>
      </w:r>
      <w:fldSimple w:instr=" SEQ Table \* ARABIC ">
        <w:r w:rsidR="001F75E0" w:rsidRPr="001310AD">
          <w:t>20</w:t>
        </w:r>
      </w:fldSimple>
      <w:bookmarkEnd w:id="84"/>
      <w:r w:rsidRPr="001310AD">
        <w:t>:</w:t>
      </w:r>
      <w:r w:rsidRPr="001310AD">
        <w:rPr>
          <w:i/>
          <w:iCs/>
          <w:szCs w:val="20"/>
          <w:lang w:eastAsia="en-US"/>
        </w:rPr>
        <w:t xml:space="preserve"> </w:t>
      </w:r>
      <w:r w:rsidRPr="001310AD">
        <w:rPr>
          <w:szCs w:val="20"/>
          <w:lang w:eastAsia="en-US"/>
        </w:rPr>
        <w:t xml:space="preserve">Sensitivity analyses based on PSCR </w:t>
      </w:r>
      <w:r w:rsidR="000A64D3" w:rsidRPr="001310AD">
        <w:rPr>
          <w:szCs w:val="20"/>
          <w:lang w:eastAsia="en-US"/>
        </w:rPr>
        <w:t>model</w:t>
      </w:r>
    </w:p>
    <w:tbl>
      <w:tblPr>
        <w:tblW w:w="0" w:type="auto"/>
        <w:tblLayout w:type="fixed"/>
        <w:tblCellMar>
          <w:left w:w="0" w:type="dxa"/>
          <w:right w:w="0" w:type="dxa"/>
        </w:tblCellMar>
        <w:tblLook w:val="04A0" w:firstRow="1" w:lastRow="0" w:firstColumn="1" w:lastColumn="0" w:noHBand="0" w:noVBand="1"/>
        <w:tblCaption w:val="Table 20: Sensitivity analyses based on PSCR model"/>
      </w:tblPr>
      <w:tblGrid>
        <w:gridCol w:w="6369"/>
        <w:gridCol w:w="1134"/>
        <w:gridCol w:w="709"/>
        <w:gridCol w:w="795"/>
      </w:tblGrid>
      <w:tr w:rsidR="00F164F4" w:rsidRPr="001310AD" w14:paraId="5B59DC73" w14:textId="77777777" w:rsidTr="00F164F4">
        <w:trPr>
          <w:cantSplit/>
          <w:trHeight w:val="20"/>
          <w:tblHeader/>
        </w:trPr>
        <w:tc>
          <w:tcPr>
            <w:tcW w:w="636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D91D21A" w14:textId="77777777" w:rsidR="00F164F4" w:rsidRPr="001310AD" w:rsidRDefault="00F164F4" w:rsidP="00977DCE">
            <w:pPr>
              <w:pStyle w:val="Tabletext"/>
              <w:rPr>
                <w:b/>
                <w:bCs/>
              </w:rPr>
            </w:pPr>
            <w:r w:rsidRPr="001310AD">
              <w:rPr>
                <w:b/>
                <w:bCs/>
              </w:rPr>
              <w:t xml:space="preserve">Analysis </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5E362D2C" w14:textId="77777777" w:rsidR="00F164F4" w:rsidRPr="001310AD" w:rsidRDefault="00F164F4" w:rsidP="00977DCE">
            <w:pPr>
              <w:pStyle w:val="Tabletext"/>
              <w:rPr>
                <w:b/>
                <w:bCs/>
              </w:rPr>
            </w:pPr>
            <w:r w:rsidRPr="001310AD">
              <w:rPr>
                <w:b/>
                <w:bCs/>
              </w:rPr>
              <w:t>Inc. costs</w:t>
            </w:r>
          </w:p>
        </w:tc>
        <w:tc>
          <w:tcPr>
            <w:tcW w:w="70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5F6FE964" w14:textId="77777777" w:rsidR="00F164F4" w:rsidRPr="001310AD" w:rsidRDefault="00F164F4" w:rsidP="00977DCE">
            <w:pPr>
              <w:pStyle w:val="Tabletext"/>
              <w:rPr>
                <w:b/>
                <w:bCs/>
              </w:rPr>
            </w:pPr>
            <w:r w:rsidRPr="001310AD">
              <w:rPr>
                <w:b/>
                <w:bCs/>
              </w:rPr>
              <w:t>Inc. QALYs</w:t>
            </w:r>
          </w:p>
        </w:tc>
        <w:tc>
          <w:tcPr>
            <w:tcW w:w="79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3599D8F" w14:textId="77777777" w:rsidR="00F164F4" w:rsidRPr="001310AD" w:rsidRDefault="00F164F4" w:rsidP="00977DCE">
            <w:pPr>
              <w:pStyle w:val="Tabletext"/>
              <w:rPr>
                <w:b/>
                <w:bCs/>
              </w:rPr>
            </w:pPr>
            <w:r w:rsidRPr="001310AD">
              <w:rPr>
                <w:b/>
                <w:bCs/>
              </w:rPr>
              <w:t>ICER</w:t>
            </w:r>
          </w:p>
        </w:tc>
      </w:tr>
      <w:tr w:rsidR="00F164F4" w:rsidRPr="001310AD" w14:paraId="3116F479" w14:textId="77777777" w:rsidTr="004D0EDF">
        <w:trPr>
          <w:cantSplit/>
          <w:trHeight w:val="20"/>
        </w:trPr>
        <w:tc>
          <w:tcPr>
            <w:tcW w:w="9007" w:type="dxa"/>
            <w:gridSpan w:val="4"/>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F6DA382" w14:textId="1EECB09B" w:rsidR="00F164F4" w:rsidRPr="001310AD" w:rsidRDefault="00F164F4" w:rsidP="00977DCE">
            <w:pPr>
              <w:pStyle w:val="Tabletext"/>
              <w:rPr>
                <w:b/>
                <w:bCs/>
              </w:rPr>
            </w:pPr>
            <w:r w:rsidRPr="001310AD">
              <w:rPr>
                <w:b/>
                <w:bCs/>
              </w:rPr>
              <w:t xml:space="preserve">Adults ≥75 YOA (based on population size of </w:t>
            </w:r>
            <w:r w:rsidR="000A3A2D">
              <w:rPr>
                <w:b/>
                <w:bCs/>
                <w:color w:val="000000"/>
                <w:spacing w:val="58"/>
                <w:shd w:val="solid" w:color="000000" w:fill="000000"/>
                <w:fitText w:val="360" w:id="-628465911"/>
                <w14:textFill>
                  <w14:solidFill>
                    <w14:srgbClr w14:val="000000">
                      <w14:alpha w14:val="100000"/>
                    </w14:srgbClr>
                  </w14:solidFill>
                </w14:textFill>
              </w:rPr>
              <w:t>|||</w:t>
            </w:r>
            <w:r w:rsidR="000A3A2D">
              <w:rPr>
                <w:b/>
                <w:bCs/>
                <w:color w:val="000000"/>
                <w:spacing w:val="2"/>
                <w:shd w:val="solid" w:color="000000" w:fill="000000"/>
                <w:fitText w:val="360" w:id="-628465911"/>
                <w14:textFill>
                  <w14:solidFill>
                    <w14:srgbClr w14:val="000000">
                      <w14:alpha w14:val="100000"/>
                    </w14:srgbClr>
                  </w14:solidFill>
                </w14:textFill>
              </w:rPr>
              <w:t>|</w:t>
            </w:r>
            <w:r w:rsidR="0066052E">
              <w:rPr>
                <w:b/>
                <w:bCs/>
                <w:vertAlign w:val="superscript"/>
              </w:rPr>
              <w:t>1</w:t>
            </w:r>
            <w:r w:rsidRPr="001310AD">
              <w:rPr>
                <w:b/>
                <w:bCs/>
              </w:rPr>
              <w:t xml:space="preserve"> in each arm)</w:t>
            </w:r>
          </w:p>
        </w:tc>
      </w:tr>
      <w:tr w:rsidR="00F164F4" w:rsidRPr="001310AD" w14:paraId="374BAE97"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F3A85DE" w14:textId="77777777" w:rsidR="00F164F4" w:rsidRPr="001310AD" w:rsidRDefault="00F164F4" w:rsidP="00977DCE">
            <w:pPr>
              <w:pStyle w:val="Tabletext"/>
            </w:pPr>
            <w:r w:rsidRPr="001310AD">
              <w:t>Base case</w:t>
            </w:r>
          </w:p>
        </w:tc>
        <w:tc>
          <w:tcPr>
            <w:tcW w:w="1134" w:type="dxa"/>
            <w:tcBorders>
              <w:top w:val="nil"/>
              <w:left w:val="nil"/>
              <w:bottom w:val="single" w:sz="8" w:space="0" w:color="auto"/>
              <w:right w:val="single" w:sz="8" w:space="0" w:color="auto"/>
            </w:tcBorders>
            <w:tcMar>
              <w:top w:w="0" w:type="dxa"/>
              <w:left w:w="28" w:type="dxa"/>
              <w:bottom w:w="0" w:type="dxa"/>
              <w:right w:w="28" w:type="dxa"/>
            </w:tcMar>
            <w:hideMark/>
          </w:tcPr>
          <w:p w14:paraId="032E8658" w14:textId="486DE586" w:rsidR="00F164F4" w:rsidRPr="001310AD" w:rsidRDefault="00F164F4" w:rsidP="00977DCE">
            <w:pPr>
              <w:pStyle w:val="Tabletext"/>
            </w:pPr>
            <w:r w:rsidRPr="001310AD">
              <w:t>$</w:t>
            </w:r>
            <w:r w:rsidR="000A3A2D">
              <w:rPr>
                <w:color w:val="000000"/>
                <w:spacing w:val="50"/>
                <w:shd w:val="solid" w:color="000000" w:fill="000000"/>
                <w:fitText w:val="324" w:id="-628465910"/>
                <w14:textFill>
                  <w14:solidFill>
                    <w14:srgbClr w14:val="000000">
                      <w14:alpha w14:val="100000"/>
                    </w14:srgbClr>
                  </w14:solidFill>
                </w14:textFill>
              </w:rPr>
              <w:t>|||</w:t>
            </w:r>
            <w:r w:rsidR="000A3A2D">
              <w:rPr>
                <w:color w:val="000000"/>
                <w:spacing w:val="2"/>
                <w:shd w:val="solid" w:color="000000" w:fill="000000"/>
                <w:fitText w:val="324" w:id="-628465910"/>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14:paraId="2AE498A4" w14:textId="77777777" w:rsidR="00F164F4" w:rsidRPr="001310AD" w:rsidRDefault="00F164F4" w:rsidP="00977DCE">
            <w:pPr>
              <w:pStyle w:val="Tabletext"/>
            </w:pPr>
            <w:r w:rsidRPr="001310AD">
              <w:t>6,699</w:t>
            </w:r>
          </w:p>
        </w:tc>
        <w:tc>
          <w:tcPr>
            <w:tcW w:w="795" w:type="dxa"/>
            <w:tcBorders>
              <w:top w:val="nil"/>
              <w:left w:val="nil"/>
              <w:bottom w:val="single" w:sz="8" w:space="0" w:color="auto"/>
              <w:right w:val="single" w:sz="8" w:space="0" w:color="auto"/>
            </w:tcBorders>
            <w:tcMar>
              <w:top w:w="0" w:type="dxa"/>
              <w:left w:w="28" w:type="dxa"/>
              <w:bottom w:w="0" w:type="dxa"/>
              <w:right w:w="28" w:type="dxa"/>
            </w:tcMar>
            <w:hideMark/>
          </w:tcPr>
          <w:p w14:paraId="1EC087AD" w14:textId="50C32636" w:rsidR="00F164F4" w:rsidRPr="0066052E" w:rsidRDefault="00F164F4" w:rsidP="00977DCE">
            <w:pPr>
              <w:pStyle w:val="Tabletext"/>
              <w:rPr>
                <w:vertAlign w:val="superscript"/>
              </w:rPr>
            </w:pPr>
            <w:r w:rsidRPr="001310AD">
              <w:t>$</w:t>
            </w:r>
            <w:r w:rsidR="000A3A2D">
              <w:rPr>
                <w:color w:val="000000"/>
                <w:spacing w:val="50"/>
                <w:shd w:val="solid" w:color="000000" w:fill="000000"/>
                <w:fitText w:val="324" w:id="-628465909"/>
                <w14:textFill>
                  <w14:solidFill>
                    <w14:srgbClr w14:val="000000">
                      <w14:alpha w14:val="100000"/>
                    </w14:srgbClr>
                  </w14:solidFill>
                </w14:textFill>
              </w:rPr>
              <w:t>|||</w:t>
            </w:r>
            <w:r w:rsidR="000A3A2D">
              <w:rPr>
                <w:color w:val="000000"/>
                <w:spacing w:val="2"/>
                <w:shd w:val="solid" w:color="000000" w:fill="000000"/>
                <w:fitText w:val="324" w:id="-628465909"/>
                <w14:textFill>
                  <w14:solidFill>
                    <w14:srgbClr w14:val="000000">
                      <w14:alpha w14:val="100000"/>
                    </w14:srgbClr>
                  </w14:solidFill>
                </w14:textFill>
              </w:rPr>
              <w:t>|</w:t>
            </w:r>
            <w:r w:rsidR="0066052E">
              <w:rPr>
                <w:vertAlign w:val="superscript"/>
              </w:rPr>
              <w:t>2</w:t>
            </w:r>
          </w:p>
        </w:tc>
      </w:tr>
      <w:tr w:rsidR="00F164F4" w:rsidRPr="001310AD" w14:paraId="07006694"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D75AA9F" w14:textId="77777777" w:rsidR="00F164F4" w:rsidRPr="001310AD" w:rsidRDefault="00F164F4" w:rsidP="00977DCE">
            <w:pPr>
              <w:pStyle w:val="Tabletext"/>
            </w:pPr>
            <w:r w:rsidRPr="001310AD">
              <w:lastRenderedPageBreak/>
              <w:t>Discount rate: 3.5% (base case: 5%)</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61F98CF" w14:textId="69FAF20D" w:rsidR="00F164F4" w:rsidRPr="001310AD" w:rsidRDefault="00F164F4" w:rsidP="00977DCE">
            <w:pPr>
              <w:pStyle w:val="Tabletext"/>
            </w:pPr>
            <w:r w:rsidRPr="001310AD">
              <w:t>$</w:t>
            </w:r>
            <w:r w:rsidR="000A3A2D">
              <w:rPr>
                <w:color w:val="000000"/>
                <w:spacing w:val="50"/>
                <w:shd w:val="solid" w:color="000000" w:fill="000000"/>
                <w:fitText w:val="324" w:id="-628465908"/>
                <w14:textFill>
                  <w14:solidFill>
                    <w14:srgbClr w14:val="000000">
                      <w14:alpha w14:val="100000"/>
                    </w14:srgbClr>
                  </w14:solidFill>
                </w14:textFill>
              </w:rPr>
              <w:t>|||</w:t>
            </w:r>
            <w:r w:rsidR="000A3A2D">
              <w:rPr>
                <w:color w:val="000000"/>
                <w:spacing w:val="2"/>
                <w:shd w:val="solid" w:color="000000" w:fill="000000"/>
                <w:fitText w:val="324" w:id="-628465908"/>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5363191" w14:textId="77777777" w:rsidR="00F164F4" w:rsidRPr="001310AD" w:rsidRDefault="00F164F4" w:rsidP="00977DCE">
            <w:pPr>
              <w:pStyle w:val="Tabletext"/>
            </w:pPr>
            <w:r w:rsidRPr="001310AD">
              <w:t>7,204</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B183E86" w14:textId="1FDCD544" w:rsidR="00F164F4" w:rsidRPr="001310AD" w:rsidRDefault="00F164F4" w:rsidP="00977DCE">
            <w:pPr>
              <w:pStyle w:val="Tabletext"/>
            </w:pPr>
            <w:r w:rsidRPr="001310AD">
              <w:t>$</w:t>
            </w:r>
            <w:r w:rsidR="000A3A2D">
              <w:rPr>
                <w:color w:val="000000"/>
                <w:spacing w:val="50"/>
                <w:shd w:val="solid" w:color="000000" w:fill="000000"/>
                <w:fitText w:val="324" w:id="-628465907"/>
                <w14:textFill>
                  <w14:solidFill>
                    <w14:srgbClr w14:val="000000">
                      <w14:alpha w14:val="100000"/>
                    </w14:srgbClr>
                  </w14:solidFill>
                </w14:textFill>
              </w:rPr>
              <w:t>|||</w:t>
            </w:r>
            <w:r w:rsidR="000A3A2D">
              <w:rPr>
                <w:color w:val="000000"/>
                <w:spacing w:val="2"/>
                <w:shd w:val="solid" w:color="000000" w:fill="000000"/>
                <w:fitText w:val="324" w:id="-628465907"/>
                <w14:textFill>
                  <w14:solidFill>
                    <w14:srgbClr w14:val="000000">
                      <w14:alpha w14:val="100000"/>
                    </w14:srgbClr>
                  </w14:solidFill>
                </w14:textFill>
              </w:rPr>
              <w:t>|</w:t>
            </w:r>
            <w:r w:rsidR="0066052E">
              <w:rPr>
                <w:vertAlign w:val="superscript"/>
              </w:rPr>
              <w:t>2</w:t>
            </w:r>
          </w:p>
        </w:tc>
      </w:tr>
      <w:tr w:rsidR="00F164F4" w:rsidRPr="001310AD" w14:paraId="3C1444DB"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56BF47D" w14:textId="77777777" w:rsidR="00F164F4" w:rsidRPr="001310AD" w:rsidRDefault="00F164F4" w:rsidP="00977DCE">
            <w:pPr>
              <w:pStyle w:val="Tabletext"/>
            </w:pPr>
            <w:r w:rsidRPr="001310AD">
              <w:t>Discount rate: 0% (base case: 5%)</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98F2625" w14:textId="07622DB4" w:rsidR="00F164F4" w:rsidRPr="001310AD" w:rsidRDefault="00F164F4" w:rsidP="00977DCE">
            <w:pPr>
              <w:pStyle w:val="Tabletext"/>
            </w:pPr>
            <w:r w:rsidRPr="001310AD">
              <w:t>$</w:t>
            </w:r>
            <w:r w:rsidR="000A3A2D">
              <w:rPr>
                <w:color w:val="000000"/>
                <w:spacing w:val="50"/>
                <w:shd w:val="solid" w:color="000000" w:fill="000000"/>
                <w:fitText w:val="324" w:id="-628465906"/>
                <w14:textFill>
                  <w14:solidFill>
                    <w14:srgbClr w14:val="000000">
                      <w14:alpha w14:val="100000"/>
                    </w14:srgbClr>
                  </w14:solidFill>
                </w14:textFill>
              </w:rPr>
              <w:t>|||</w:t>
            </w:r>
            <w:r w:rsidR="000A3A2D">
              <w:rPr>
                <w:color w:val="000000"/>
                <w:spacing w:val="2"/>
                <w:shd w:val="solid" w:color="000000" w:fill="000000"/>
                <w:fitText w:val="324" w:id="-628465906"/>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3B71EE6" w14:textId="77777777" w:rsidR="00F164F4" w:rsidRPr="001310AD" w:rsidRDefault="00F164F4" w:rsidP="00977DCE">
            <w:pPr>
              <w:pStyle w:val="Tabletext"/>
            </w:pPr>
            <w:r w:rsidRPr="001310AD">
              <w:t>8,748</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3294601" w14:textId="66F05F33" w:rsidR="00F164F4" w:rsidRPr="001310AD" w:rsidRDefault="00F164F4" w:rsidP="00977DCE">
            <w:pPr>
              <w:pStyle w:val="Tabletext"/>
            </w:pPr>
            <w:r w:rsidRPr="001310AD">
              <w:t>$</w:t>
            </w:r>
            <w:r w:rsidR="000A3A2D">
              <w:rPr>
                <w:color w:val="000000"/>
                <w:spacing w:val="50"/>
                <w:shd w:val="solid" w:color="000000" w:fill="000000"/>
                <w:fitText w:val="324" w:id="-628465905"/>
                <w14:textFill>
                  <w14:solidFill>
                    <w14:srgbClr w14:val="000000">
                      <w14:alpha w14:val="100000"/>
                    </w14:srgbClr>
                  </w14:solidFill>
                </w14:textFill>
              </w:rPr>
              <w:t>|||</w:t>
            </w:r>
            <w:r w:rsidR="000A3A2D">
              <w:rPr>
                <w:color w:val="000000"/>
                <w:spacing w:val="2"/>
                <w:shd w:val="solid" w:color="000000" w:fill="000000"/>
                <w:fitText w:val="324" w:id="-628465905"/>
                <w14:textFill>
                  <w14:solidFill>
                    <w14:srgbClr w14:val="000000">
                      <w14:alpha w14:val="100000"/>
                    </w14:srgbClr>
                  </w14:solidFill>
                </w14:textFill>
              </w:rPr>
              <w:t>|</w:t>
            </w:r>
            <w:r w:rsidR="0066052E">
              <w:rPr>
                <w:vertAlign w:val="superscript"/>
              </w:rPr>
              <w:t>2</w:t>
            </w:r>
          </w:p>
        </w:tc>
      </w:tr>
      <w:tr w:rsidR="00FF5C62" w:rsidRPr="001310AD" w14:paraId="51841420" w14:textId="77777777" w:rsidTr="00032DD7">
        <w:trPr>
          <w:cantSplit/>
          <w:trHeight w:val="20"/>
        </w:trPr>
        <w:tc>
          <w:tcPr>
            <w:tcW w:w="9007"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tcPr>
          <w:p w14:paraId="086C3409" w14:textId="2364AFBD" w:rsidR="00FF5C62" w:rsidRPr="001310AD" w:rsidRDefault="00FF5C62" w:rsidP="00977DCE">
            <w:pPr>
              <w:pStyle w:val="Tabletext"/>
            </w:pPr>
            <w:r w:rsidRPr="001310AD">
              <w:t>VE and waning (base case: 3-year logarithmic model + 2-year linear waning, converges to 0% at year 5)</w:t>
            </w:r>
          </w:p>
        </w:tc>
      </w:tr>
      <w:tr w:rsidR="00F164F4" w:rsidRPr="001310AD" w14:paraId="67DC6D63"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AECE5FF" w14:textId="482AA9FF" w:rsidR="00F164F4" w:rsidRPr="001310AD" w:rsidRDefault="00F164F4" w:rsidP="00977DCE">
            <w:pPr>
              <w:pStyle w:val="Tabletext"/>
            </w:pPr>
            <w:r w:rsidRPr="001310AD">
              <w:t>A.3-year logarithmic model</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3D40163E" w14:textId="3770DCED" w:rsidR="00F164F4" w:rsidRPr="001310AD" w:rsidRDefault="00F164F4" w:rsidP="00977DCE">
            <w:pPr>
              <w:pStyle w:val="Tabletext"/>
            </w:pPr>
            <w:r w:rsidRPr="001310AD">
              <w:t>$</w:t>
            </w:r>
            <w:r w:rsidR="000A3A2D">
              <w:rPr>
                <w:color w:val="000000"/>
                <w:spacing w:val="50"/>
                <w:shd w:val="solid" w:color="000000" w:fill="000000"/>
                <w:fitText w:val="324" w:id="-628465904"/>
                <w14:textFill>
                  <w14:solidFill>
                    <w14:srgbClr w14:val="000000">
                      <w14:alpha w14:val="100000"/>
                    </w14:srgbClr>
                  </w14:solidFill>
                </w14:textFill>
              </w:rPr>
              <w:t>|||</w:t>
            </w:r>
            <w:r w:rsidR="000A3A2D">
              <w:rPr>
                <w:color w:val="000000"/>
                <w:spacing w:val="2"/>
                <w:shd w:val="solid" w:color="000000" w:fill="000000"/>
                <w:fitText w:val="324" w:id="-628465904"/>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5EA2219D" w14:textId="08D11D3A" w:rsidR="00F164F4" w:rsidRPr="001310AD" w:rsidRDefault="00F164F4" w:rsidP="00977DCE">
            <w:pPr>
              <w:pStyle w:val="Tabletext"/>
            </w:pPr>
            <w:r w:rsidRPr="001310AD">
              <w:t>5,785</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0CF05CC1" w14:textId="6692311C" w:rsidR="00F164F4" w:rsidRPr="00574AE4" w:rsidRDefault="00F164F4" w:rsidP="00977DCE">
            <w:pPr>
              <w:pStyle w:val="Tabletext"/>
              <w:rPr>
                <w:vertAlign w:val="superscript"/>
              </w:rPr>
            </w:pPr>
            <w:r w:rsidRPr="001310AD">
              <w:t>$</w:t>
            </w:r>
            <w:r w:rsidR="000A3A2D">
              <w:rPr>
                <w:color w:val="000000"/>
                <w:spacing w:val="50"/>
                <w:shd w:val="solid" w:color="000000" w:fill="000000"/>
                <w:fitText w:val="324" w:id="-628465920"/>
                <w14:textFill>
                  <w14:solidFill>
                    <w14:srgbClr w14:val="000000">
                      <w14:alpha w14:val="100000"/>
                    </w14:srgbClr>
                  </w14:solidFill>
                </w14:textFill>
              </w:rPr>
              <w:t>|||</w:t>
            </w:r>
            <w:r w:rsidR="000A3A2D">
              <w:rPr>
                <w:color w:val="000000"/>
                <w:spacing w:val="2"/>
                <w:shd w:val="solid" w:color="000000" w:fill="000000"/>
                <w:fitText w:val="324" w:id="-628465920"/>
                <w14:textFill>
                  <w14:solidFill>
                    <w14:srgbClr w14:val="000000">
                      <w14:alpha w14:val="100000"/>
                    </w14:srgbClr>
                  </w14:solidFill>
                </w14:textFill>
              </w:rPr>
              <w:t>|</w:t>
            </w:r>
            <w:r w:rsidR="0066052E">
              <w:rPr>
                <w:vertAlign w:val="superscript"/>
              </w:rPr>
              <w:t>3</w:t>
            </w:r>
          </w:p>
        </w:tc>
      </w:tr>
      <w:tr w:rsidR="00F164F4" w:rsidRPr="001310AD" w14:paraId="0299D4C2"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0BD6069" w14:textId="326663AE" w:rsidR="00F164F4" w:rsidRPr="001310AD" w:rsidRDefault="00F164F4" w:rsidP="00977DCE">
            <w:pPr>
              <w:pStyle w:val="Tabletext"/>
            </w:pPr>
            <w:r w:rsidRPr="001310AD">
              <w:t>B.3-year logarithmic model + 1-year linear wanning (VE to 0% at year 4)</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C289EF9" w14:textId="5BE2CDAB" w:rsidR="00F164F4" w:rsidRPr="001310AD" w:rsidRDefault="00F164F4" w:rsidP="00977DCE">
            <w:pPr>
              <w:pStyle w:val="Tabletext"/>
            </w:pPr>
            <w:r w:rsidRPr="001310AD">
              <w:t>$</w:t>
            </w:r>
            <w:r w:rsidR="000A3A2D">
              <w:rPr>
                <w:color w:val="000000"/>
                <w:spacing w:val="50"/>
                <w:shd w:val="solid" w:color="000000" w:fill="000000"/>
                <w:fitText w:val="324" w:id="-628465919"/>
                <w14:textFill>
                  <w14:solidFill>
                    <w14:srgbClr w14:val="000000">
                      <w14:alpha w14:val="100000"/>
                    </w14:srgbClr>
                  </w14:solidFill>
                </w14:textFill>
              </w:rPr>
              <w:t>|||</w:t>
            </w:r>
            <w:r w:rsidR="000A3A2D">
              <w:rPr>
                <w:color w:val="000000"/>
                <w:spacing w:val="2"/>
                <w:shd w:val="solid" w:color="000000" w:fill="000000"/>
                <w:fitText w:val="324" w:id="-628465919"/>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676FA1" w14:textId="77777777" w:rsidR="00F164F4" w:rsidRPr="001310AD" w:rsidRDefault="00F164F4" w:rsidP="00977DCE">
            <w:pPr>
              <w:pStyle w:val="Tabletext"/>
            </w:pPr>
            <w:r w:rsidRPr="001310AD">
              <w:t>6,247</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4323DAA" w14:textId="3BFB42AC" w:rsidR="00F164F4" w:rsidRPr="00574AE4" w:rsidRDefault="00F164F4" w:rsidP="00977DCE">
            <w:pPr>
              <w:pStyle w:val="Tabletext"/>
              <w:rPr>
                <w:vertAlign w:val="superscript"/>
              </w:rPr>
            </w:pPr>
            <w:r w:rsidRPr="001310AD">
              <w:t>$</w:t>
            </w:r>
            <w:r w:rsidR="000A3A2D">
              <w:rPr>
                <w:color w:val="000000"/>
                <w:spacing w:val="50"/>
                <w:shd w:val="solid" w:color="000000" w:fill="000000"/>
                <w:fitText w:val="324" w:id="-628465918"/>
                <w14:textFill>
                  <w14:solidFill>
                    <w14:srgbClr w14:val="000000">
                      <w14:alpha w14:val="100000"/>
                    </w14:srgbClr>
                  </w14:solidFill>
                </w14:textFill>
              </w:rPr>
              <w:t>|||</w:t>
            </w:r>
            <w:r w:rsidR="000A3A2D">
              <w:rPr>
                <w:color w:val="000000"/>
                <w:spacing w:val="2"/>
                <w:shd w:val="solid" w:color="000000" w:fill="000000"/>
                <w:fitText w:val="324" w:id="-628465918"/>
                <w14:textFill>
                  <w14:solidFill>
                    <w14:srgbClr w14:val="000000">
                      <w14:alpha w14:val="100000"/>
                    </w14:srgbClr>
                  </w14:solidFill>
                </w14:textFill>
              </w:rPr>
              <w:t>|</w:t>
            </w:r>
            <w:r w:rsidR="0066052E">
              <w:rPr>
                <w:vertAlign w:val="superscript"/>
              </w:rPr>
              <w:t>3</w:t>
            </w:r>
          </w:p>
        </w:tc>
      </w:tr>
      <w:tr w:rsidR="00FF5C62" w:rsidRPr="001310AD" w14:paraId="3F9248E3" w14:textId="77777777" w:rsidTr="00724663">
        <w:trPr>
          <w:cantSplit/>
          <w:trHeight w:val="20"/>
        </w:trPr>
        <w:tc>
          <w:tcPr>
            <w:tcW w:w="9007"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tcPr>
          <w:p w14:paraId="51CE7183" w14:textId="1A1B1671" w:rsidR="00FF5C62" w:rsidRPr="001310AD" w:rsidRDefault="00FF5C62" w:rsidP="00977DCE">
            <w:pPr>
              <w:pStyle w:val="Tabletext"/>
            </w:pPr>
            <w:r w:rsidRPr="001310AD">
              <w:t>RSV-associated hospitalisation rates (base case in PSCR: 443 per 100,000 person-years for ≥75 YOA)</w:t>
            </w:r>
          </w:p>
        </w:tc>
      </w:tr>
      <w:tr w:rsidR="00F164F4" w:rsidRPr="001310AD" w14:paraId="28E9B0F1"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5F48291" w14:textId="64E2DC90" w:rsidR="00F164F4" w:rsidRPr="001310AD" w:rsidRDefault="00F164F4" w:rsidP="00977DCE">
            <w:pPr>
              <w:pStyle w:val="Tabletext"/>
            </w:pPr>
            <w:r w:rsidRPr="001310AD">
              <w:t xml:space="preserve">C. ATAGI </w:t>
            </w:r>
            <w:proofErr w:type="spellStart"/>
            <w:r w:rsidRPr="001310AD">
              <w:t>pre-submission</w:t>
            </w:r>
            <w:proofErr w:type="spellEnd"/>
            <w:r w:rsidRPr="001310AD">
              <w:t xml:space="preserve"> advice to PBAC March 2025: 384 per 100,000 person-years </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041F121" w14:textId="407B4DBB" w:rsidR="00F164F4" w:rsidRPr="001310AD" w:rsidRDefault="00F164F4" w:rsidP="00977DCE">
            <w:pPr>
              <w:pStyle w:val="Tabletext"/>
            </w:pPr>
            <w:r w:rsidRPr="001310AD">
              <w:t>$</w:t>
            </w:r>
            <w:r w:rsidR="000A3A2D">
              <w:rPr>
                <w:color w:val="000000"/>
                <w:spacing w:val="50"/>
                <w:shd w:val="solid" w:color="000000" w:fill="000000"/>
                <w:fitText w:val="324" w:id="-628465917"/>
                <w14:textFill>
                  <w14:solidFill>
                    <w14:srgbClr w14:val="000000">
                      <w14:alpha w14:val="100000"/>
                    </w14:srgbClr>
                  </w14:solidFill>
                </w14:textFill>
              </w:rPr>
              <w:t>|||</w:t>
            </w:r>
            <w:r w:rsidR="000A3A2D">
              <w:rPr>
                <w:color w:val="000000"/>
                <w:spacing w:val="2"/>
                <w:shd w:val="solid" w:color="000000" w:fill="000000"/>
                <w:fitText w:val="324" w:id="-628465917"/>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CCC73E1" w14:textId="77777777" w:rsidR="00F164F4" w:rsidRPr="001310AD" w:rsidRDefault="00F164F4" w:rsidP="00977DCE">
            <w:pPr>
              <w:pStyle w:val="Tabletext"/>
            </w:pPr>
            <w:r w:rsidRPr="001310AD">
              <w:t xml:space="preserve">5,995 </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A864000" w14:textId="12D4DB6D" w:rsidR="00F164F4" w:rsidRPr="00574AE4" w:rsidRDefault="00F164F4" w:rsidP="00977DCE">
            <w:pPr>
              <w:pStyle w:val="Tabletext"/>
              <w:rPr>
                <w:vertAlign w:val="superscript"/>
              </w:rPr>
            </w:pPr>
            <w:r w:rsidRPr="001310AD">
              <w:t>$</w:t>
            </w:r>
            <w:r w:rsidR="000A3A2D">
              <w:rPr>
                <w:color w:val="000000"/>
                <w:spacing w:val="50"/>
                <w:shd w:val="solid" w:color="000000" w:fill="000000"/>
                <w:fitText w:val="324" w:id="-628465916"/>
                <w14:textFill>
                  <w14:solidFill>
                    <w14:srgbClr w14:val="000000">
                      <w14:alpha w14:val="100000"/>
                    </w14:srgbClr>
                  </w14:solidFill>
                </w14:textFill>
              </w:rPr>
              <w:t>|||</w:t>
            </w:r>
            <w:r w:rsidR="000A3A2D">
              <w:rPr>
                <w:color w:val="000000"/>
                <w:spacing w:val="2"/>
                <w:shd w:val="solid" w:color="000000" w:fill="000000"/>
                <w:fitText w:val="324" w:id="-628465916"/>
                <w14:textFill>
                  <w14:solidFill>
                    <w14:srgbClr w14:val="000000">
                      <w14:alpha w14:val="100000"/>
                    </w14:srgbClr>
                  </w14:solidFill>
                </w14:textFill>
              </w:rPr>
              <w:t>|</w:t>
            </w:r>
            <w:r w:rsidR="0066052E">
              <w:rPr>
                <w:vertAlign w:val="superscript"/>
              </w:rPr>
              <w:t>3</w:t>
            </w:r>
          </w:p>
        </w:tc>
      </w:tr>
      <w:tr w:rsidR="00F164F4" w:rsidRPr="001310AD" w14:paraId="28B3F32A"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0AE876C" w14:textId="52D7E63D" w:rsidR="00F164F4" w:rsidRPr="001310AD" w:rsidRDefault="00F164F4" w:rsidP="00977DCE">
            <w:pPr>
              <w:pStyle w:val="Tabletext"/>
            </w:pPr>
            <w:r w:rsidRPr="001310AD">
              <w:t>RSV-hospital case fatality rate (base case in PSCR: 4.22%)</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028E028B" w14:textId="77777777" w:rsidR="00F164F4" w:rsidRPr="001310AD" w:rsidRDefault="00F164F4" w:rsidP="00977DCE">
            <w:pPr>
              <w:pStyle w:val="Tabletext"/>
            </w:pP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1D044CD7" w14:textId="77777777" w:rsidR="00F164F4" w:rsidRPr="001310AD" w:rsidRDefault="00F164F4" w:rsidP="00977DCE">
            <w:pPr>
              <w:pStyle w:val="Tabletext"/>
            </w:pP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49048C61" w14:textId="77777777" w:rsidR="00F164F4" w:rsidRPr="001310AD" w:rsidRDefault="00F164F4" w:rsidP="00977DCE">
            <w:pPr>
              <w:pStyle w:val="Tabletext"/>
            </w:pPr>
          </w:p>
        </w:tc>
      </w:tr>
      <w:tr w:rsidR="00F164F4" w:rsidRPr="001310AD" w14:paraId="0DEAF166"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A5AECB5" w14:textId="77777777" w:rsidR="00F164F4" w:rsidRPr="001310AD" w:rsidRDefault="00F164F4" w:rsidP="00977DCE">
            <w:pPr>
              <w:pStyle w:val="Tabletext"/>
            </w:pPr>
            <w:r w:rsidRPr="001310AD">
              <w:t>ATAGI’s advised upper bound for a sensitivity analysis (8.00%)</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D37BC09" w14:textId="1BC06EC2" w:rsidR="00F164F4" w:rsidRPr="001310AD" w:rsidRDefault="00F164F4" w:rsidP="00977DCE">
            <w:pPr>
              <w:pStyle w:val="Tabletext"/>
            </w:pPr>
            <w:r w:rsidRPr="001310AD">
              <w:t>$</w:t>
            </w:r>
            <w:r w:rsidR="000A3A2D">
              <w:rPr>
                <w:color w:val="000000"/>
                <w:spacing w:val="50"/>
                <w:shd w:val="solid" w:color="000000" w:fill="000000"/>
                <w:fitText w:val="324" w:id="-628465915"/>
                <w14:textFill>
                  <w14:solidFill>
                    <w14:srgbClr w14:val="000000">
                      <w14:alpha w14:val="100000"/>
                    </w14:srgbClr>
                  </w14:solidFill>
                </w14:textFill>
              </w:rPr>
              <w:t>|||</w:t>
            </w:r>
            <w:r w:rsidR="000A3A2D">
              <w:rPr>
                <w:color w:val="000000"/>
                <w:spacing w:val="2"/>
                <w:shd w:val="solid" w:color="000000" w:fill="000000"/>
                <w:fitText w:val="324" w:id="-628465915"/>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E358EC4" w14:textId="77777777" w:rsidR="00F164F4" w:rsidRPr="001310AD" w:rsidRDefault="00F164F4" w:rsidP="00977DCE">
            <w:pPr>
              <w:pStyle w:val="Tabletext"/>
            </w:pPr>
            <w:r w:rsidRPr="001310AD">
              <w:t>10,862</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7B2EBD1" w14:textId="0F534576" w:rsidR="00F164F4" w:rsidRPr="00574AE4" w:rsidRDefault="00F164F4" w:rsidP="00977DCE">
            <w:pPr>
              <w:pStyle w:val="Tabletext"/>
              <w:rPr>
                <w:vertAlign w:val="superscript"/>
              </w:rPr>
            </w:pPr>
            <w:r w:rsidRPr="001310AD">
              <w:t>$</w:t>
            </w:r>
            <w:r w:rsidR="000A3A2D">
              <w:rPr>
                <w:color w:val="000000"/>
                <w:spacing w:val="50"/>
                <w:shd w:val="solid" w:color="000000" w:fill="000000"/>
                <w:fitText w:val="324" w:id="-628465914"/>
                <w14:textFill>
                  <w14:solidFill>
                    <w14:srgbClr w14:val="000000">
                      <w14:alpha w14:val="100000"/>
                    </w14:srgbClr>
                  </w14:solidFill>
                </w14:textFill>
              </w:rPr>
              <w:t>|||</w:t>
            </w:r>
            <w:r w:rsidR="000A3A2D">
              <w:rPr>
                <w:color w:val="000000"/>
                <w:spacing w:val="2"/>
                <w:shd w:val="solid" w:color="000000" w:fill="000000"/>
                <w:fitText w:val="324" w:id="-628465914"/>
                <w14:textFill>
                  <w14:solidFill>
                    <w14:srgbClr w14:val="000000">
                      <w14:alpha w14:val="100000"/>
                    </w14:srgbClr>
                  </w14:solidFill>
                </w14:textFill>
              </w:rPr>
              <w:t>|</w:t>
            </w:r>
            <w:r w:rsidR="00574AE4">
              <w:rPr>
                <w:vertAlign w:val="superscript"/>
              </w:rPr>
              <w:t>2</w:t>
            </w:r>
          </w:p>
        </w:tc>
      </w:tr>
      <w:tr w:rsidR="00F164F4" w:rsidRPr="001310AD" w14:paraId="5F1128D0"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DFB5FB1" w14:textId="11C1545E" w:rsidR="00F164F4" w:rsidRPr="001310AD" w:rsidRDefault="00F164F4" w:rsidP="00977DCE">
            <w:pPr>
              <w:pStyle w:val="Tabletext"/>
            </w:pPr>
            <w:r w:rsidRPr="001310AD">
              <w:t>RSV-associated hospitalisation costs (PSCR: $15,525 to $16,693)</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7F92B9A0" w14:textId="77777777" w:rsidR="00F164F4" w:rsidRPr="001310AD" w:rsidRDefault="00F164F4" w:rsidP="00977DCE">
            <w:pPr>
              <w:pStyle w:val="Tabletext"/>
            </w:pP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3AE83566" w14:textId="77777777" w:rsidR="00F164F4" w:rsidRPr="001310AD" w:rsidRDefault="00F164F4" w:rsidP="00977DCE">
            <w:pPr>
              <w:pStyle w:val="Tabletext"/>
            </w:pP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795550B5" w14:textId="77777777" w:rsidR="00F164F4" w:rsidRPr="001310AD" w:rsidRDefault="00F164F4" w:rsidP="00977DCE">
            <w:pPr>
              <w:pStyle w:val="Tabletext"/>
            </w:pPr>
          </w:p>
        </w:tc>
      </w:tr>
      <w:tr w:rsidR="00F164F4" w:rsidRPr="001310AD" w14:paraId="0DA2C266"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270E9A1" w14:textId="4BFA0BB2" w:rsidR="00F164F4" w:rsidRPr="001310AD" w:rsidRDefault="00F164F4" w:rsidP="00977DCE">
            <w:pPr>
              <w:pStyle w:val="Tabletext"/>
            </w:pPr>
            <w:r w:rsidRPr="001310AD">
              <w:t>D. Hospitalisation costs per RSVPreF November 2024 submission ($8,542)</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0BFAE8B" w14:textId="41D982F8" w:rsidR="00F164F4" w:rsidRPr="001310AD" w:rsidRDefault="00F164F4" w:rsidP="00977DCE">
            <w:pPr>
              <w:pStyle w:val="Tabletext"/>
            </w:pPr>
            <w:r w:rsidRPr="001310AD">
              <w:t>$</w:t>
            </w:r>
            <w:r w:rsidR="000A3A2D">
              <w:rPr>
                <w:color w:val="000000"/>
                <w:spacing w:val="50"/>
                <w:shd w:val="solid" w:color="000000" w:fill="000000"/>
                <w:fitText w:val="324" w:id="-628465913"/>
                <w14:textFill>
                  <w14:solidFill>
                    <w14:srgbClr w14:val="000000">
                      <w14:alpha w14:val="100000"/>
                    </w14:srgbClr>
                  </w14:solidFill>
                </w14:textFill>
              </w:rPr>
              <w:t>|||</w:t>
            </w:r>
            <w:r w:rsidR="000A3A2D">
              <w:rPr>
                <w:color w:val="000000"/>
                <w:spacing w:val="2"/>
                <w:shd w:val="solid" w:color="000000" w:fill="000000"/>
                <w:fitText w:val="324" w:id="-628465913"/>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497B0EF" w14:textId="77777777" w:rsidR="00F164F4" w:rsidRPr="001310AD" w:rsidRDefault="00F164F4" w:rsidP="00977DCE">
            <w:pPr>
              <w:pStyle w:val="Tabletext"/>
            </w:pPr>
            <w:r w:rsidRPr="001310AD">
              <w:t>6,699</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A6BA1A2" w14:textId="47B8955F" w:rsidR="00F164F4" w:rsidRPr="00F52DED" w:rsidRDefault="00F164F4" w:rsidP="00977DCE">
            <w:pPr>
              <w:pStyle w:val="Tabletext"/>
              <w:rPr>
                <w:vertAlign w:val="superscript"/>
              </w:rPr>
            </w:pPr>
            <w:r w:rsidRPr="001310AD">
              <w:t>$</w:t>
            </w:r>
            <w:r w:rsidR="000A3A2D">
              <w:rPr>
                <w:color w:val="000000"/>
                <w:spacing w:val="50"/>
                <w:shd w:val="solid" w:color="000000" w:fill="000000"/>
                <w:fitText w:val="324" w:id="-628465912"/>
                <w14:textFill>
                  <w14:solidFill>
                    <w14:srgbClr w14:val="000000">
                      <w14:alpha w14:val="100000"/>
                    </w14:srgbClr>
                  </w14:solidFill>
                </w14:textFill>
              </w:rPr>
              <w:t>|||</w:t>
            </w:r>
            <w:r w:rsidR="000A3A2D">
              <w:rPr>
                <w:color w:val="000000"/>
                <w:spacing w:val="2"/>
                <w:shd w:val="solid" w:color="000000" w:fill="000000"/>
                <w:fitText w:val="324" w:id="-628465912"/>
                <w14:textFill>
                  <w14:solidFill>
                    <w14:srgbClr w14:val="000000">
                      <w14:alpha w14:val="100000"/>
                    </w14:srgbClr>
                  </w14:solidFill>
                </w14:textFill>
              </w:rPr>
              <w:t>|</w:t>
            </w:r>
            <w:r w:rsidR="0066052E">
              <w:rPr>
                <w:vertAlign w:val="superscript"/>
              </w:rPr>
              <w:t>4</w:t>
            </w:r>
          </w:p>
        </w:tc>
      </w:tr>
      <w:tr w:rsidR="00F164F4" w:rsidRPr="001310AD" w14:paraId="779C88FD"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69E030EC" w14:textId="3CD888BA" w:rsidR="00F164F4" w:rsidRPr="001310AD" w:rsidRDefault="00F164F4" w:rsidP="00977DCE">
            <w:pPr>
              <w:pStyle w:val="Tabletext"/>
            </w:pPr>
            <w:r w:rsidRPr="001310AD">
              <w:t>Multivariate sensitivity analyses (PSCR model)</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58C1BE93" w14:textId="77777777" w:rsidR="00F164F4" w:rsidRPr="001310AD" w:rsidRDefault="00F164F4" w:rsidP="00977DCE">
            <w:pPr>
              <w:pStyle w:val="Tabletext"/>
            </w:pP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1BB8FC60" w14:textId="77777777" w:rsidR="00F164F4" w:rsidRPr="001310AD" w:rsidRDefault="00F164F4" w:rsidP="00977DCE">
            <w:pPr>
              <w:pStyle w:val="Tabletext"/>
            </w:pP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22B6A2BA" w14:textId="77777777" w:rsidR="00F164F4" w:rsidRPr="001310AD" w:rsidRDefault="00F164F4" w:rsidP="00977DCE">
            <w:pPr>
              <w:pStyle w:val="Tabletext"/>
            </w:pPr>
          </w:p>
        </w:tc>
      </w:tr>
      <w:tr w:rsidR="00F164F4" w:rsidRPr="001310AD" w14:paraId="68994FDE"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3A86C09" w14:textId="55FFEBBA" w:rsidR="00F164F4" w:rsidRPr="001310AD" w:rsidRDefault="00F164F4" w:rsidP="00977DCE">
            <w:pPr>
              <w:pStyle w:val="Tabletext"/>
            </w:pPr>
            <w:r w:rsidRPr="001310AD">
              <w:t>C+D: Hospitalisation rate of 384 per 100,000 person-years, $8,542 hospitalisation costs (VE over 5 years)</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F455E1A" w14:textId="45BC45A1" w:rsidR="00F164F4" w:rsidRPr="001310AD" w:rsidRDefault="00F164F4" w:rsidP="00977DCE">
            <w:pPr>
              <w:pStyle w:val="Tabletext"/>
            </w:pPr>
            <w:r w:rsidRPr="001310AD">
              <w:t>$</w:t>
            </w:r>
            <w:r w:rsidR="000A3A2D">
              <w:rPr>
                <w:color w:val="000000"/>
                <w:spacing w:val="50"/>
                <w:shd w:val="solid" w:color="000000" w:fill="000000"/>
                <w:fitText w:val="324" w:id="-628465911"/>
                <w14:textFill>
                  <w14:solidFill>
                    <w14:srgbClr w14:val="000000">
                      <w14:alpha w14:val="100000"/>
                    </w14:srgbClr>
                  </w14:solidFill>
                </w14:textFill>
              </w:rPr>
              <w:t>|||</w:t>
            </w:r>
            <w:r w:rsidR="000A3A2D">
              <w:rPr>
                <w:color w:val="000000"/>
                <w:spacing w:val="2"/>
                <w:shd w:val="solid" w:color="000000" w:fill="000000"/>
                <w:fitText w:val="324" w:id="-628465911"/>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337D433" w14:textId="77777777" w:rsidR="00F164F4" w:rsidRPr="001310AD" w:rsidRDefault="00F164F4" w:rsidP="00977DCE">
            <w:pPr>
              <w:pStyle w:val="Tabletext"/>
            </w:pPr>
            <w:r w:rsidRPr="001310AD">
              <w:t>6,361</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FD490AD" w14:textId="332FC4C4" w:rsidR="00F164F4" w:rsidRPr="0066052E" w:rsidRDefault="00F164F4" w:rsidP="00977DCE">
            <w:pPr>
              <w:pStyle w:val="Tabletext"/>
              <w:rPr>
                <w:vertAlign w:val="superscript"/>
              </w:rPr>
            </w:pPr>
            <w:r w:rsidRPr="001310AD">
              <w:t>$</w:t>
            </w:r>
            <w:r w:rsidR="000A3A2D">
              <w:rPr>
                <w:color w:val="000000"/>
                <w:spacing w:val="50"/>
                <w:shd w:val="solid" w:color="000000" w:fill="000000"/>
                <w:fitText w:val="324" w:id="-628465910"/>
                <w14:textFill>
                  <w14:solidFill>
                    <w14:srgbClr w14:val="000000">
                      <w14:alpha w14:val="100000"/>
                    </w14:srgbClr>
                  </w14:solidFill>
                </w14:textFill>
              </w:rPr>
              <w:t>|||</w:t>
            </w:r>
            <w:r w:rsidR="000A3A2D">
              <w:rPr>
                <w:color w:val="000000"/>
                <w:spacing w:val="2"/>
                <w:shd w:val="solid" w:color="000000" w:fill="000000"/>
                <w:fitText w:val="324" w:id="-628465910"/>
                <w14:textFill>
                  <w14:solidFill>
                    <w14:srgbClr w14:val="000000">
                      <w14:alpha w14:val="100000"/>
                    </w14:srgbClr>
                  </w14:solidFill>
                </w14:textFill>
              </w:rPr>
              <w:t>|</w:t>
            </w:r>
            <w:r w:rsidR="0066052E">
              <w:rPr>
                <w:vertAlign w:val="superscript"/>
              </w:rPr>
              <w:t>5</w:t>
            </w:r>
          </w:p>
        </w:tc>
      </w:tr>
      <w:tr w:rsidR="00F164F4" w:rsidRPr="001310AD" w14:paraId="20D973A3"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9DA6F3B" w14:textId="0C7A0A01" w:rsidR="00F164F4" w:rsidRPr="001310AD" w:rsidRDefault="00F164F4" w:rsidP="00977DCE">
            <w:pPr>
              <w:pStyle w:val="Tabletext"/>
            </w:pPr>
            <w:r w:rsidRPr="001310AD">
              <w:t>B+C+D: Hospitalisation rate of 384 per 100,000 person-years, $8,542 hospitalisation costs and VE over 4 years</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BE9F7AF" w14:textId="4982B23B" w:rsidR="00F164F4" w:rsidRPr="001310AD" w:rsidRDefault="00F164F4" w:rsidP="00977DCE">
            <w:pPr>
              <w:pStyle w:val="Tabletext"/>
            </w:pPr>
            <w:r w:rsidRPr="001310AD">
              <w:t>$</w:t>
            </w:r>
            <w:r w:rsidR="000A3A2D">
              <w:rPr>
                <w:color w:val="000000"/>
                <w:spacing w:val="50"/>
                <w:shd w:val="solid" w:color="000000" w:fill="000000"/>
                <w:fitText w:val="324" w:id="-628465909"/>
                <w14:textFill>
                  <w14:solidFill>
                    <w14:srgbClr w14:val="000000">
                      <w14:alpha w14:val="100000"/>
                    </w14:srgbClr>
                  </w14:solidFill>
                </w14:textFill>
              </w:rPr>
              <w:t>|||</w:t>
            </w:r>
            <w:r w:rsidR="000A3A2D">
              <w:rPr>
                <w:color w:val="000000"/>
                <w:spacing w:val="2"/>
                <w:shd w:val="solid" w:color="000000" w:fill="000000"/>
                <w:fitText w:val="324" w:id="-628465909"/>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9CFD8D5" w14:textId="77777777" w:rsidR="00F164F4" w:rsidRPr="001310AD" w:rsidRDefault="00F164F4" w:rsidP="00977DCE">
            <w:pPr>
              <w:pStyle w:val="Tabletext"/>
            </w:pPr>
            <w:r w:rsidRPr="001310AD">
              <w:t>5,925</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5BE185B" w14:textId="09787D31" w:rsidR="00F164F4" w:rsidRPr="0084273D" w:rsidRDefault="00F164F4" w:rsidP="00977DCE">
            <w:pPr>
              <w:pStyle w:val="Tabletext"/>
              <w:rPr>
                <w:vertAlign w:val="superscript"/>
              </w:rPr>
            </w:pPr>
            <w:r w:rsidRPr="001310AD">
              <w:t>$</w:t>
            </w:r>
            <w:r w:rsidR="000A3A2D">
              <w:rPr>
                <w:color w:val="000000"/>
                <w:spacing w:val="50"/>
                <w:shd w:val="solid" w:color="000000" w:fill="000000"/>
                <w:fitText w:val="324" w:id="-628465908"/>
                <w14:textFill>
                  <w14:solidFill>
                    <w14:srgbClr w14:val="000000">
                      <w14:alpha w14:val="100000"/>
                    </w14:srgbClr>
                  </w14:solidFill>
                </w14:textFill>
              </w:rPr>
              <w:t>|||</w:t>
            </w:r>
            <w:r w:rsidR="000A3A2D">
              <w:rPr>
                <w:color w:val="000000"/>
                <w:spacing w:val="2"/>
                <w:shd w:val="solid" w:color="000000" w:fill="000000"/>
                <w:fitText w:val="324" w:id="-628465908"/>
                <w14:textFill>
                  <w14:solidFill>
                    <w14:srgbClr w14:val="000000">
                      <w14:alpha w14:val="100000"/>
                    </w14:srgbClr>
                  </w14:solidFill>
                </w14:textFill>
              </w:rPr>
              <w:t>|</w:t>
            </w:r>
            <w:r w:rsidR="0066052E">
              <w:rPr>
                <w:vertAlign w:val="superscript"/>
              </w:rPr>
              <w:t>5</w:t>
            </w:r>
          </w:p>
        </w:tc>
      </w:tr>
      <w:tr w:rsidR="00F164F4" w:rsidRPr="001310AD" w14:paraId="3C20B4E5"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021A104" w14:textId="7F844734" w:rsidR="00F164F4" w:rsidRPr="001310AD" w:rsidRDefault="00F164F4" w:rsidP="00977DCE">
            <w:pPr>
              <w:pStyle w:val="Tabletext"/>
            </w:pPr>
            <w:r w:rsidRPr="001310AD">
              <w:t>A+C+D: Hospitalisation rate of 384 per 100,000 person-years, $8,542 hospitalisation costs and VE over 3 years</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652AEC05" w14:textId="4039FA4D" w:rsidR="00F164F4" w:rsidRPr="001310AD" w:rsidRDefault="00F164F4" w:rsidP="00977DCE">
            <w:pPr>
              <w:pStyle w:val="Tabletext"/>
            </w:pPr>
            <w:r w:rsidRPr="001310AD">
              <w:t>$</w:t>
            </w:r>
            <w:r w:rsidR="000A3A2D">
              <w:rPr>
                <w:color w:val="000000"/>
                <w:spacing w:val="50"/>
                <w:shd w:val="solid" w:color="000000" w:fill="000000"/>
                <w:fitText w:val="324" w:id="-628465907"/>
                <w14:textFill>
                  <w14:solidFill>
                    <w14:srgbClr w14:val="000000">
                      <w14:alpha w14:val="100000"/>
                    </w14:srgbClr>
                  </w14:solidFill>
                </w14:textFill>
              </w:rPr>
              <w:t>|||</w:t>
            </w:r>
            <w:r w:rsidR="000A3A2D">
              <w:rPr>
                <w:color w:val="000000"/>
                <w:spacing w:val="2"/>
                <w:shd w:val="solid" w:color="000000" w:fill="000000"/>
                <w:fitText w:val="324" w:id="-628465907"/>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3AAD664A" w14:textId="007905E5" w:rsidR="00F164F4" w:rsidRPr="001310AD" w:rsidRDefault="00F164F4" w:rsidP="00977DCE">
            <w:pPr>
              <w:pStyle w:val="Tabletext"/>
            </w:pPr>
            <w:r w:rsidRPr="001310AD">
              <w:t>5,483</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293A02FF" w14:textId="4F307A82" w:rsidR="00F164F4" w:rsidRPr="00805A63" w:rsidRDefault="00F164F4" w:rsidP="00977DCE">
            <w:pPr>
              <w:pStyle w:val="Tabletext"/>
              <w:rPr>
                <w:vertAlign w:val="superscript"/>
              </w:rPr>
            </w:pPr>
            <w:r w:rsidRPr="001310AD">
              <w:t>$</w:t>
            </w:r>
            <w:r w:rsidR="000A3A2D">
              <w:rPr>
                <w:color w:val="000000"/>
                <w:spacing w:val="50"/>
                <w:shd w:val="solid" w:color="000000" w:fill="000000"/>
                <w:fitText w:val="324" w:id="-628465906"/>
                <w14:textFill>
                  <w14:solidFill>
                    <w14:srgbClr w14:val="000000">
                      <w14:alpha w14:val="100000"/>
                    </w14:srgbClr>
                  </w14:solidFill>
                </w14:textFill>
              </w:rPr>
              <w:t>|||</w:t>
            </w:r>
            <w:r w:rsidR="000A3A2D">
              <w:rPr>
                <w:color w:val="000000"/>
                <w:spacing w:val="2"/>
                <w:shd w:val="solid" w:color="000000" w:fill="000000"/>
                <w:fitText w:val="324" w:id="-628465906"/>
                <w14:textFill>
                  <w14:solidFill>
                    <w14:srgbClr w14:val="000000">
                      <w14:alpha w14:val="100000"/>
                    </w14:srgbClr>
                  </w14:solidFill>
                </w14:textFill>
              </w:rPr>
              <w:t>|</w:t>
            </w:r>
            <w:r w:rsidR="0066052E">
              <w:rPr>
                <w:vertAlign w:val="superscript"/>
              </w:rPr>
              <w:t>6</w:t>
            </w:r>
          </w:p>
        </w:tc>
      </w:tr>
      <w:tr w:rsidR="00F164F4" w:rsidRPr="001310AD" w14:paraId="708176A5"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0287FF7" w14:textId="650FA95D" w:rsidR="00F164F4" w:rsidRPr="001310AD" w:rsidRDefault="00F164F4" w:rsidP="00977DCE">
            <w:pPr>
              <w:pStyle w:val="Tabletext"/>
            </w:pPr>
            <w:r w:rsidRPr="001310AD">
              <w:t>PSCR base case (with hospital costs of $20,091, and VE of 5 years)</w:t>
            </w:r>
          </w:p>
        </w:tc>
        <w:tc>
          <w:tcPr>
            <w:tcW w:w="1134" w:type="dxa"/>
            <w:tcBorders>
              <w:top w:val="nil"/>
              <w:left w:val="nil"/>
              <w:bottom w:val="single" w:sz="8" w:space="0" w:color="auto"/>
              <w:right w:val="single" w:sz="8" w:space="0" w:color="auto"/>
            </w:tcBorders>
            <w:tcMar>
              <w:top w:w="0" w:type="dxa"/>
              <w:left w:w="28" w:type="dxa"/>
              <w:bottom w:w="0" w:type="dxa"/>
              <w:right w:w="28" w:type="dxa"/>
            </w:tcMar>
          </w:tcPr>
          <w:p w14:paraId="7CC1E7C4" w14:textId="41842D42" w:rsidR="00F164F4" w:rsidRPr="001310AD" w:rsidRDefault="00F164F4" w:rsidP="00977DCE">
            <w:pPr>
              <w:pStyle w:val="Tabletext"/>
            </w:pPr>
            <w:r w:rsidRPr="001310AD">
              <w:t>$</w:t>
            </w:r>
            <w:r w:rsidR="000A3A2D">
              <w:rPr>
                <w:color w:val="000000"/>
                <w:spacing w:val="50"/>
                <w:shd w:val="solid" w:color="000000" w:fill="000000"/>
                <w:fitText w:val="324" w:id="-628465905"/>
                <w14:textFill>
                  <w14:solidFill>
                    <w14:srgbClr w14:val="000000">
                      <w14:alpha w14:val="100000"/>
                    </w14:srgbClr>
                  </w14:solidFill>
                </w14:textFill>
              </w:rPr>
              <w:t>|||</w:t>
            </w:r>
            <w:r w:rsidR="000A3A2D">
              <w:rPr>
                <w:color w:val="000000"/>
                <w:spacing w:val="2"/>
                <w:shd w:val="solid" w:color="000000" w:fill="000000"/>
                <w:fitText w:val="324" w:id="-628465905"/>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tcPr>
          <w:p w14:paraId="35E53D85" w14:textId="7E5B2B5E" w:rsidR="00F164F4" w:rsidRPr="001310AD" w:rsidRDefault="00F164F4" w:rsidP="00977DCE">
            <w:pPr>
              <w:pStyle w:val="Tabletext"/>
            </w:pPr>
            <w:r w:rsidRPr="001310AD">
              <w:t>294</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3675DFC6" w14:textId="0C96E80A" w:rsidR="00F164F4" w:rsidRPr="0066052E" w:rsidRDefault="00F164F4" w:rsidP="00977DCE">
            <w:pPr>
              <w:pStyle w:val="Tabletext"/>
              <w:rPr>
                <w:vertAlign w:val="superscript"/>
              </w:rPr>
            </w:pPr>
            <w:r w:rsidRPr="001310AD">
              <w:t>$</w:t>
            </w:r>
            <w:r w:rsidR="000A3A2D">
              <w:rPr>
                <w:color w:val="000000"/>
                <w:spacing w:val="50"/>
                <w:shd w:val="solid" w:color="000000" w:fill="000000"/>
                <w:fitText w:val="324" w:id="-628465904"/>
                <w14:textFill>
                  <w14:solidFill>
                    <w14:srgbClr w14:val="000000">
                      <w14:alpha w14:val="100000"/>
                    </w14:srgbClr>
                  </w14:solidFill>
                </w14:textFill>
              </w:rPr>
              <w:t>|||</w:t>
            </w:r>
            <w:r w:rsidR="000A3A2D">
              <w:rPr>
                <w:color w:val="000000"/>
                <w:spacing w:val="2"/>
                <w:shd w:val="solid" w:color="000000" w:fill="000000"/>
                <w:fitText w:val="324" w:id="-628465904"/>
                <w14:textFill>
                  <w14:solidFill>
                    <w14:srgbClr w14:val="000000">
                      <w14:alpha w14:val="100000"/>
                    </w14:srgbClr>
                  </w14:solidFill>
                </w14:textFill>
              </w:rPr>
              <w:t>|</w:t>
            </w:r>
            <w:r w:rsidR="0066052E">
              <w:rPr>
                <w:vertAlign w:val="superscript"/>
              </w:rPr>
              <w:t>7</w:t>
            </w:r>
          </w:p>
        </w:tc>
      </w:tr>
      <w:tr w:rsidR="00F164F4" w:rsidRPr="001310AD" w14:paraId="789A6814"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7F0948E" w14:textId="67201616" w:rsidR="00F164F4" w:rsidRPr="001310AD" w:rsidRDefault="00F164F4" w:rsidP="00977DCE">
            <w:pPr>
              <w:pStyle w:val="Tabletext"/>
            </w:pPr>
            <w:r w:rsidRPr="001310AD">
              <w:t>PBAC Scenario: PSCR model with hospital costs reduced from $20,091 to $9,900</w:t>
            </w:r>
            <w:r w:rsidRPr="001310AD">
              <w:rPr>
                <w:vertAlign w:val="superscript"/>
              </w:rPr>
              <w:t>a</w:t>
            </w:r>
            <w:r w:rsidRPr="001310AD">
              <w:t xml:space="preserve"> and ED costs from $1,565 to $1,457</w:t>
            </w:r>
            <w:r w:rsidRPr="001310AD">
              <w:rPr>
                <w:vertAlign w:val="superscript"/>
              </w:rPr>
              <w:t>b</w:t>
            </w:r>
            <w:r w:rsidRPr="001310AD">
              <w:t>, hospitalisation rate reduced from 443 to 384</w:t>
            </w:r>
            <w:r w:rsidRPr="001310AD">
              <w:rPr>
                <w:vertAlign w:val="superscript"/>
              </w:rPr>
              <w:t>c</w:t>
            </w:r>
            <w:r w:rsidRPr="001310AD">
              <w:t xml:space="preserve"> (also reduces deaths in the model as mortality is a proportion of hospitalisations) and VE of 3 years, and RSVPreF3 OA price of $</w:t>
            </w:r>
            <w:r w:rsidR="000A3A2D">
              <w:rPr>
                <w:color w:val="000000"/>
                <w:spacing w:val="54"/>
                <w:shd w:val="solid" w:color="000000" w:fill="000000"/>
                <w:fitText w:val="336" w:id="-628465920"/>
                <w14:textFill>
                  <w14:solidFill>
                    <w14:srgbClr w14:val="000000">
                      <w14:alpha w14:val="100000"/>
                    </w14:srgbClr>
                  </w14:solidFill>
                </w14:textFill>
              </w:rPr>
              <w:t>|||</w:t>
            </w:r>
            <w:r w:rsidR="000A3A2D">
              <w:rPr>
                <w:color w:val="000000"/>
                <w:spacing w:val="2"/>
                <w:shd w:val="solid" w:color="000000" w:fill="000000"/>
                <w:fitText w:val="336" w:id="-628465920"/>
                <w14:textFill>
                  <w14:solidFill>
                    <w14:srgbClr w14:val="000000">
                      <w14:alpha w14:val="100000"/>
                    </w14:srgbClr>
                  </w14:solidFill>
                </w14:textFill>
              </w:rPr>
              <w:t>|</w:t>
            </w:r>
            <w:r w:rsidRPr="001310AD">
              <w:t xml:space="preserve"> as proposed in pre-PBAC response</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237FE92C" w14:textId="7468C10F" w:rsidR="00F164F4" w:rsidRPr="001310AD" w:rsidRDefault="00F164F4" w:rsidP="00977DCE">
            <w:pPr>
              <w:pStyle w:val="Tabletext"/>
            </w:pPr>
            <w:r w:rsidRPr="001310AD">
              <w:t>$</w:t>
            </w:r>
            <w:r w:rsidR="000A3A2D">
              <w:rPr>
                <w:color w:val="000000"/>
                <w:spacing w:val="50"/>
                <w:shd w:val="solid" w:color="000000" w:fill="000000"/>
                <w:fitText w:val="324" w:id="-628465919"/>
                <w14:textFill>
                  <w14:solidFill>
                    <w14:srgbClr w14:val="000000">
                      <w14:alpha w14:val="100000"/>
                    </w14:srgbClr>
                  </w14:solidFill>
                </w14:textFill>
              </w:rPr>
              <w:t>|||</w:t>
            </w:r>
            <w:r w:rsidR="000A3A2D">
              <w:rPr>
                <w:color w:val="000000"/>
                <w:spacing w:val="2"/>
                <w:shd w:val="solid" w:color="000000" w:fill="000000"/>
                <w:fitText w:val="324" w:id="-628465919"/>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7D2111CD" w14:textId="7E3AF29F" w:rsidR="00F164F4" w:rsidRPr="001310AD" w:rsidRDefault="00F164F4" w:rsidP="00977DCE">
            <w:pPr>
              <w:pStyle w:val="Tabletext"/>
            </w:pPr>
            <w:r w:rsidRPr="001310AD">
              <w:t>241</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78B4D6FC" w14:textId="44D20B61" w:rsidR="00F164F4" w:rsidRPr="00B33364" w:rsidRDefault="00F164F4" w:rsidP="00977DCE">
            <w:pPr>
              <w:pStyle w:val="Tabletext"/>
              <w:rPr>
                <w:vertAlign w:val="superscript"/>
              </w:rPr>
            </w:pPr>
            <w:r w:rsidRPr="001310AD">
              <w:t>$</w:t>
            </w:r>
            <w:r w:rsidR="000A3A2D">
              <w:rPr>
                <w:color w:val="000000"/>
                <w:spacing w:val="50"/>
                <w:shd w:val="solid" w:color="000000" w:fill="000000"/>
                <w:fitText w:val="324" w:id="-628465918"/>
                <w14:textFill>
                  <w14:solidFill>
                    <w14:srgbClr w14:val="000000">
                      <w14:alpha w14:val="100000"/>
                    </w14:srgbClr>
                  </w14:solidFill>
                </w14:textFill>
              </w:rPr>
              <w:t>|||</w:t>
            </w:r>
            <w:r w:rsidR="000A3A2D">
              <w:rPr>
                <w:color w:val="000000"/>
                <w:spacing w:val="2"/>
                <w:shd w:val="solid" w:color="000000" w:fill="000000"/>
                <w:fitText w:val="324" w:id="-628465918"/>
                <w14:textFill>
                  <w14:solidFill>
                    <w14:srgbClr w14:val="000000">
                      <w14:alpha w14:val="100000"/>
                    </w14:srgbClr>
                  </w14:solidFill>
                </w14:textFill>
              </w:rPr>
              <w:t>|</w:t>
            </w:r>
            <w:r w:rsidR="00612F69">
              <w:rPr>
                <w:vertAlign w:val="superscript"/>
              </w:rPr>
              <w:t>4</w:t>
            </w:r>
          </w:p>
        </w:tc>
      </w:tr>
      <w:tr w:rsidR="00F164F4" w:rsidRPr="001310AD" w14:paraId="3DEF2AE0" w14:textId="77777777" w:rsidTr="008363F6">
        <w:trPr>
          <w:cantSplit/>
          <w:trHeight w:val="20"/>
        </w:trPr>
        <w:tc>
          <w:tcPr>
            <w:tcW w:w="9007"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tcPr>
          <w:p w14:paraId="46AD81CB" w14:textId="2FA10B45" w:rsidR="00F164F4" w:rsidRPr="001310AD" w:rsidRDefault="00F164F4" w:rsidP="00977DCE">
            <w:pPr>
              <w:pStyle w:val="Tabletext"/>
            </w:pPr>
            <w:r w:rsidRPr="001310AD">
              <w:rPr>
                <w:b/>
                <w:bCs/>
              </w:rPr>
              <w:t xml:space="preserve">Aboriginal and Torres Strait Islander people 60-74 YOA (based on population size of </w:t>
            </w:r>
            <w:r w:rsidR="000A3A2D">
              <w:rPr>
                <w:b/>
                <w:bCs/>
                <w:color w:val="000000"/>
                <w:spacing w:val="58"/>
                <w:shd w:val="solid" w:color="000000" w:fill="000000"/>
                <w:fitText w:val="360" w:id="-628465917"/>
                <w14:textFill>
                  <w14:solidFill>
                    <w14:srgbClr w14:val="000000">
                      <w14:alpha w14:val="100000"/>
                    </w14:srgbClr>
                  </w14:solidFill>
                </w14:textFill>
              </w:rPr>
              <w:t>|||</w:t>
            </w:r>
            <w:r w:rsidR="000A3A2D">
              <w:rPr>
                <w:b/>
                <w:bCs/>
                <w:color w:val="000000"/>
                <w:spacing w:val="2"/>
                <w:shd w:val="solid" w:color="000000" w:fill="000000"/>
                <w:fitText w:val="360" w:id="-628465917"/>
                <w14:textFill>
                  <w14:solidFill>
                    <w14:srgbClr w14:val="000000">
                      <w14:alpha w14:val="100000"/>
                    </w14:srgbClr>
                  </w14:solidFill>
                </w14:textFill>
              </w:rPr>
              <w:t>|</w:t>
            </w:r>
            <w:r w:rsidRPr="001310AD">
              <w:rPr>
                <w:b/>
                <w:bCs/>
              </w:rPr>
              <w:t xml:space="preserve"> </w:t>
            </w:r>
            <w:r w:rsidR="00F23C00" w:rsidRPr="00F23C00">
              <w:rPr>
                <w:b/>
                <w:bCs/>
                <w:vertAlign w:val="superscript"/>
              </w:rPr>
              <w:t>8</w:t>
            </w:r>
            <w:r w:rsidR="00F23C00">
              <w:rPr>
                <w:b/>
                <w:bCs/>
              </w:rPr>
              <w:t xml:space="preserve"> </w:t>
            </w:r>
            <w:r w:rsidRPr="001310AD">
              <w:rPr>
                <w:b/>
                <w:bCs/>
              </w:rPr>
              <w:t>in each arm)</w:t>
            </w:r>
          </w:p>
        </w:tc>
      </w:tr>
      <w:tr w:rsidR="00F164F4" w:rsidRPr="001310AD" w14:paraId="742EF7BF"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186D4A4" w14:textId="77777777" w:rsidR="00F164F4" w:rsidRPr="001310AD" w:rsidRDefault="00F164F4" w:rsidP="00977DCE">
            <w:pPr>
              <w:pStyle w:val="Tabletext"/>
            </w:pPr>
            <w:r w:rsidRPr="001310AD">
              <w:t>Base case</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C9865CD" w14:textId="7B41CE74" w:rsidR="00F164F4" w:rsidRPr="001310AD" w:rsidRDefault="00F164F4" w:rsidP="00977DCE">
            <w:pPr>
              <w:pStyle w:val="Tabletext"/>
            </w:pPr>
            <w:r w:rsidRPr="001310AD">
              <w:t>-$</w:t>
            </w:r>
            <w:r w:rsidR="000A3A2D">
              <w:rPr>
                <w:color w:val="000000"/>
                <w:spacing w:val="54"/>
                <w:shd w:val="solid" w:color="000000" w:fill="000000"/>
                <w:fitText w:val="336" w:id="-628465916"/>
                <w14:textFill>
                  <w14:solidFill>
                    <w14:srgbClr w14:val="000000">
                      <w14:alpha w14:val="100000"/>
                    </w14:srgbClr>
                  </w14:solidFill>
                </w14:textFill>
              </w:rPr>
              <w:t>|||</w:t>
            </w:r>
            <w:r w:rsidR="000A3A2D">
              <w:rPr>
                <w:color w:val="000000"/>
                <w:spacing w:val="2"/>
                <w:shd w:val="solid" w:color="000000" w:fill="000000"/>
                <w:fitText w:val="336" w:id="-628465916"/>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D865B97" w14:textId="77777777" w:rsidR="00F164F4" w:rsidRPr="001310AD" w:rsidRDefault="00F164F4" w:rsidP="00977DCE">
            <w:pPr>
              <w:pStyle w:val="Tabletext"/>
            </w:pPr>
            <w:r w:rsidRPr="001310AD">
              <w:t>140</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6747BE9" w14:textId="3A023190" w:rsidR="00F164F4" w:rsidRPr="001310AD" w:rsidRDefault="00F164F4" w:rsidP="00977DCE">
            <w:pPr>
              <w:pStyle w:val="Tabletext"/>
            </w:pPr>
            <w:r w:rsidRPr="001310AD">
              <w:t xml:space="preserve">Dominant </w:t>
            </w:r>
          </w:p>
        </w:tc>
      </w:tr>
      <w:tr w:rsidR="00F164F4" w:rsidRPr="001310AD" w14:paraId="4BA34284"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8E356C4" w14:textId="77777777" w:rsidR="00F164F4" w:rsidRPr="001310AD" w:rsidRDefault="00F164F4" w:rsidP="00977DCE">
            <w:pPr>
              <w:pStyle w:val="Tabletext"/>
            </w:pPr>
            <w:r w:rsidRPr="001310AD">
              <w:t>Discount rate: 3.5% (base case: 5%)</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4848B1F" w14:textId="51338B6F" w:rsidR="00F164F4" w:rsidRPr="001310AD" w:rsidRDefault="00F164F4" w:rsidP="00977DCE">
            <w:pPr>
              <w:pStyle w:val="Tabletext"/>
            </w:pPr>
            <w:r w:rsidRPr="001310AD">
              <w:t>-$</w:t>
            </w:r>
            <w:r w:rsidR="000A3A2D">
              <w:rPr>
                <w:color w:val="000000"/>
                <w:spacing w:val="54"/>
                <w:shd w:val="solid" w:color="000000" w:fill="000000"/>
                <w:fitText w:val="336" w:id="-628465915"/>
                <w14:textFill>
                  <w14:solidFill>
                    <w14:srgbClr w14:val="000000">
                      <w14:alpha w14:val="100000"/>
                    </w14:srgbClr>
                  </w14:solidFill>
                </w14:textFill>
              </w:rPr>
              <w:t>|||</w:t>
            </w:r>
            <w:r w:rsidR="000A3A2D">
              <w:rPr>
                <w:color w:val="000000"/>
                <w:spacing w:val="2"/>
                <w:shd w:val="solid" w:color="000000" w:fill="000000"/>
                <w:fitText w:val="336" w:id="-628465915"/>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BDA1001" w14:textId="77777777" w:rsidR="00F164F4" w:rsidRPr="001310AD" w:rsidRDefault="00F164F4" w:rsidP="00977DCE">
            <w:pPr>
              <w:pStyle w:val="Tabletext"/>
            </w:pPr>
            <w:r w:rsidRPr="001310AD">
              <w:t xml:space="preserve">148 </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7A4FE35" w14:textId="77777777" w:rsidR="00F164F4" w:rsidRPr="001310AD" w:rsidRDefault="00F164F4" w:rsidP="00977DCE">
            <w:pPr>
              <w:pStyle w:val="Tabletext"/>
            </w:pPr>
            <w:r w:rsidRPr="001310AD">
              <w:t>Dominant</w:t>
            </w:r>
          </w:p>
        </w:tc>
      </w:tr>
      <w:tr w:rsidR="00F164F4" w:rsidRPr="001310AD" w14:paraId="7BF1FDDA"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13B92E0" w14:textId="77777777" w:rsidR="00F164F4" w:rsidRPr="001310AD" w:rsidRDefault="00F164F4" w:rsidP="00977DCE">
            <w:pPr>
              <w:pStyle w:val="Tabletext"/>
            </w:pPr>
            <w:r w:rsidRPr="001310AD">
              <w:t>Discount rate: 0% (base case: 5%)</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57E7BCE" w14:textId="12C5EC53" w:rsidR="00F164F4" w:rsidRPr="001310AD" w:rsidRDefault="00F164F4" w:rsidP="00977DCE">
            <w:pPr>
              <w:pStyle w:val="Tabletext"/>
            </w:pPr>
            <w:r w:rsidRPr="001310AD">
              <w:t>-$</w:t>
            </w:r>
            <w:r w:rsidR="000A3A2D">
              <w:rPr>
                <w:color w:val="000000"/>
                <w:spacing w:val="54"/>
                <w:shd w:val="solid" w:color="000000" w:fill="000000"/>
                <w:fitText w:val="336" w:id="-628465914"/>
                <w14:textFill>
                  <w14:solidFill>
                    <w14:srgbClr w14:val="000000">
                      <w14:alpha w14:val="100000"/>
                    </w14:srgbClr>
                  </w14:solidFill>
                </w14:textFill>
              </w:rPr>
              <w:t>|||</w:t>
            </w:r>
            <w:r w:rsidR="000A3A2D">
              <w:rPr>
                <w:color w:val="000000"/>
                <w:spacing w:val="2"/>
                <w:shd w:val="solid" w:color="000000" w:fill="000000"/>
                <w:fitText w:val="336" w:id="-628465914"/>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0608546" w14:textId="77777777" w:rsidR="00F164F4" w:rsidRPr="001310AD" w:rsidRDefault="00F164F4" w:rsidP="00977DCE">
            <w:pPr>
              <w:pStyle w:val="Tabletext"/>
            </w:pPr>
            <w:r w:rsidRPr="001310AD">
              <w:t xml:space="preserve">171 </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1E59695" w14:textId="77777777" w:rsidR="00F164F4" w:rsidRPr="001310AD" w:rsidRDefault="00F164F4" w:rsidP="00977DCE">
            <w:pPr>
              <w:pStyle w:val="Tabletext"/>
            </w:pPr>
            <w:r w:rsidRPr="001310AD">
              <w:t>Dominant</w:t>
            </w:r>
          </w:p>
        </w:tc>
      </w:tr>
      <w:tr w:rsidR="00FF5C62" w:rsidRPr="001310AD" w14:paraId="1D207ABF" w14:textId="77777777" w:rsidTr="00525ABE">
        <w:trPr>
          <w:cantSplit/>
          <w:trHeight w:val="20"/>
        </w:trPr>
        <w:tc>
          <w:tcPr>
            <w:tcW w:w="9007"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tcPr>
          <w:p w14:paraId="205376BD" w14:textId="7737E92D" w:rsidR="00FF5C62" w:rsidRPr="001310AD" w:rsidRDefault="00FF5C62" w:rsidP="00977DCE">
            <w:pPr>
              <w:pStyle w:val="Tabletext"/>
            </w:pPr>
            <w:r w:rsidRPr="001310AD">
              <w:t>VE and waning (base case: 3-year logarithmic model + 2-year linear waning, convergence to 0% at year 5)</w:t>
            </w:r>
          </w:p>
        </w:tc>
      </w:tr>
      <w:tr w:rsidR="00F164F4" w:rsidRPr="001310AD" w14:paraId="352EB592"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7FC95B9" w14:textId="32D51B30" w:rsidR="00F164F4" w:rsidRPr="001310AD" w:rsidRDefault="00F164F4" w:rsidP="00977DCE">
            <w:pPr>
              <w:pStyle w:val="Tabletext"/>
            </w:pPr>
            <w:r w:rsidRPr="001310AD">
              <w:t>3-year logarithmic model</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50089BB2" w14:textId="7813D030" w:rsidR="00F164F4" w:rsidRPr="001310AD" w:rsidRDefault="00F164F4" w:rsidP="00977DCE">
            <w:pPr>
              <w:pStyle w:val="Tabletext"/>
            </w:pPr>
            <w:r w:rsidRPr="001310AD">
              <w:t>$</w:t>
            </w:r>
            <w:r w:rsidR="000A3A2D">
              <w:rPr>
                <w:color w:val="000000"/>
                <w:spacing w:val="50"/>
                <w:shd w:val="solid" w:color="000000" w:fill="000000"/>
                <w:fitText w:val="324" w:id="-628465913"/>
                <w14:textFill>
                  <w14:solidFill>
                    <w14:srgbClr w14:val="000000">
                      <w14:alpha w14:val="100000"/>
                    </w14:srgbClr>
                  </w14:solidFill>
                </w14:textFill>
              </w:rPr>
              <w:t>|||</w:t>
            </w:r>
            <w:r w:rsidR="000A3A2D">
              <w:rPr>
                <w:color w:val="000000"/>
                <w:spacing w:val="2"/>
                <w:shd w:val="solid" w:color="000000" w:fill="000000"/>
                <w:fitText w:val="324" w:id="-628465913"/>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7549CC0F" w14:textId="4E6AE5A7" w:rsidR="00F164F4" w:rsidRPr="001310AD" w:rsidRDefault="00F164F4" w:rsidP="00977DCE">
            <w:pPr>
              <w:pStyle w:val="Tabletext"/>
            </w:pPr>
            <w:r w:rsidRPr="001310AD">
              <w:t xml:space="preserve">123 </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2B2657D5" w14:textId="65D1647C" w:rsidR="00F164F4" w:rsidRPr="00F52DED" w:rsidRDefault="00F164F4" w:rsidP="00977DCE">
            <w:pPr>
              <w:pStyle w:val="Tabletext"/>
              <w:rPr>
                <w:vertAlign w:val="superscript"/>
              </w:rPr>
            </w:pPr>
            <w:r w:rsidRPr="001310AD">
              <w:t>$</w:t>
            </w:r>
            <w:r w:rsidR="000A3A2D">
              <w:rPr>
                <w:color w:val="000000"/>
                <w:spacing w:val="50"/>
                <w:shd w:val="solid" w:color="000000" w:fill="000000"/>
                <w:fitText w:val="324" w:id="-628465912"/>
                <w14:textFill>
                  <w14:solidFill>
                    <w14:srgbClr w14:val="000000">
                      <w14:alpha w14:val="100000"/>
                    </w14:srgbClr>
                  </w14:solidFill>
                </w14:textFill>
              </w:rPr>
              <w:t>|||</w:t>
            </w:r>
            <w:r w:rsidR="000A3A2D">
              <w:rPr>
                <w:color w:val="000000"/>
                <w:spacing w:val="2"/>
                <w:shd w:val="solid" w:color="000000" w:fill="000000"/>
                <w:fitText w:val="324" w:id="-628465912"/>
                <w14:textFill>
                  <w14:solidFill>
                    <w14:srgbClr w14:val="000000">
                      <w14:alpha w14:val="100000"/>
                    </w14:srgbClr>
                  </w14:solidFill>
                </w14:textFill>
              </w:rPr>
              <w:t>|</w:t>
            </w:r>
            <w:r w:rsidR="00F52DED">
              <w:rPr>
                <w:vertAlign w:val="superscript"/>
              </w:rPr>
              <w:t>2</w:t>
            </w:r>
          </w:p>
        </w:tc>
      </w:tr>
      <w:tr w:rsidR="00F164F4" w:rsidRPr="001310AD" w14:paraId="28726F6D"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C2BBAF7" w14:textId="2F7C7DCD" w:rsidR="00F164F4" w:rsidRPr="001310AD" w:rsidRDefault="00F164F4" w:rsidP="00977DCE">
            <w:pPr>
              <w:pStyle w:val="Tabletext"/>
            </w:pPr>
            <w:r w:rsidRPr="001310AD">
              <w:t>3-year logarithmic model + 1-year linear wanning (VE to 0% at year 4)</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4B062AF" w14:textId="50AE7A02" w:rsidR="00F164F4" w:rsidRPr="001310AD" w:rsidRDefault="00F164F4" w:rsidP="00977DCE">
            <w:pPr>
              <w:pStyle w:val="Tabletext"/>
            </w:pPr>
            <w:r w:rsidRPr="001310AD">
              <w:t>$</w:t>
            </w:r>
            <w:r w:rsidR="000A3A2D">
              <w:rPr>
                <w:color w:val="000000"/>
                <w:spacing w:val="50"/>
                <w:shd w:val="solid" w:color="000000" w:fill="000000"/>
                <w:fitText w:val="324" w:id="-628465911"/>
                <w14:textFill>
                  <w14:solidFill>
                    <w14:srgbClr w14:val="000000">
                      <w14:alpha w14:val="100000"/>
                    </w14:srgbClr>
                  </w14:solidFill>
                </w14:textFill>
              </w:rPr>
              <w:t>|||</w:t>
            </w:r>
            <w:r w:rsidR="000A3A2D">
              <w:rPr>
                <w:color w:val="000000"/>
                <w:spacing w:val="2"/>
                <w:shd w:val="solid" w:color="000000" w:fill="000000"/>
                <w:fitText w:val="324" w:id="-628465911"/>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DC69BF5" w14:textId="77777777" w:rsidR="00F164F4" w:rsidRPr="001310AD" w:rsidRDefault="00F164F4" w:rsidP="00977DCE">
            <w:pPr>
              <w:pStyle w:val="Tabletext"/>
            </w:pPr>
            <w:r w:rsidRPr="001310AD">
              <w:t xml:space="preserve">132 </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759CB51" w14:textId="402C1ADE" w:rsidR="00F164F4" w:rsidRPr="00572C00" w:rsidRDefault="00F164F4" w:rsidP="00977DCE">
            <w:pPr>
              <w:pStyle w:val="Tabletext"/>
              <w:rPr>
                <w:vertAlign w:val="superscript"/>
              </w:rPr>
            </w:pPr>
            <w:r w:rsidRPr="001310AD">
              <w:t>$</w:t>
            </w:r>
            <w:r w:rsidR="000A3A2D">
              <w:rPr>
                <w:color w:val="000000"/>
                <w:spacing w:val="50"/>
                <w:shd w:val="solid" w:color="000000" w:fill="000000"/>
                <w:fitText w:val="324" w:id="-628465910"/>
                <w14:textFill>
                  <w14:solidFill>
                    <w14:srgbClr w14:val="000000">
                      <w14:alpha w14:val="100000"/>
                    </w14:srgbClr>
                  </w14:solidFill>
                </w14:textFill>
              </w:rPr>
              <w:t>|||</w:t>
            </w:r>
            <w:r w:rsidR="000A3A2D">
              <w:rPr>
                <w:color w:val="000000"/>
                <w:spacing w:val="2"/>
                <w:shd w:val="solid" w:color="000000" w:fill="000000"/>
                <w:fitText w:val="324" w:id="-628465910"/>
                <w14:textFill>
                  <w14:solidFill>
                    <w14:srgbClr w14:val="000000">
                      <w14:alpha w14:val="100000"/>
                    </w14:srgbClr>
                  </w14:solidFill>
                </w14:textFill>
              </w:rPr>
              <w:t>|</w:t>
            </w:r>
            <w:r w:rsidR="00572C00">
              <w:rPr>
                <w:vertAlign w:val="superscript"/>
              </w:rPr>
              <w:t>6</w:t>
            </w:r>
          </w:p>
        </w:tc>
      </w:tr>
      <w:tr w:rsidR="00F164F4" w:rsidRPr="001310AD" w14:paraId="4BF336EA"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F6B2EB9" w14:textId="3C4A6763" w:rsidR="00F164F4" w:rsidRPr="001310AD" w:rsidRDefault="00F164F4" w:rsidP="00977DCE">
            <w:pPr>
              <w:pStyle w:val="Tabletext"/>
            </w:pPr>
            <w:r w:rsidRPr="001310AD">
              <w:t>RSV-associated hospitalisation costs (PSCR: $15,525 to $16,693)</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5DEC423A" w14:textId="77777777" w:rsidR="00F164F4" w:rsidRPr="001310AD" w:rsidRDefault="00F164F4" w:rsidP="00977DCE">
            <w:pPr>
              <w:pStyle w:val="Tabletext"/>
            </w:pPr>
          </w:p>
        </w:tc>
        <w:tc>
          <w:tcPr>
            <w:tcW w:w="709" w:type="dxa"/>
            <w:tcBorders>
              <w:top w:val="nil"/>
              <w:left w:val="nil"/>
              <w:bottom w:val="single" w:sz="8" w:space="0" w:color="auto"/>
              <w:right w:val="single" w:sz="8" w:space="0" w:color="auto"/>
            </w:tcBorders>
            <w:tcMar>
              <w:top w:w="0" w:type="dxa"/>
              <w:left w:w="28" w:type="dxa"/>
              <w:bottom w:w="0" w:type="dxa"/>
              <w:right w:w="28" w:type="dxa"/>
            </w:tcMar>
            <w:vAlign w:val="center"/>
          </w:tcPr>
          <w:p w14:paraId="4BB58ECD" w14:textId="77777777" w:rsidR="00F164F4" w:rsidRPr="001310AD" w:rsidRDefault="00F164F4" w:rsidP="00977DCE">
            <w:pPr>
              <w:pStyle w:val="Tabletext"/>
            </w:pPr>
          </w:p>
        </w:tc>
        <w:tc>
          <w:tcPr>
            <w:tcW w:w="795" w:type="dxa"/>
            <w:tcBorders>
              <w:top w:val="nil"/>
              <w:left w:val="nil"/>
              <w:bottom w:val="single" w:sz="8" w:space="0" w:color="auto"/>
              <w:right w:val="single" w:sz="8" w:space="0" w:color="auto"/>
            </w:tcBorders>
            <w:tcMar>
              <w:top w:w="0" w:type="dxa"/>
              <w:left w:w="28" w:type="dxa"/>
              <w:bottom w:w="0" w:type="dxa"/>
              <w:right w:w="28" w:type="dxa"/>
            </w:tcMar>
            <w:vAlign w:val="center"/>
          </w:tcPr>
          <w:p w14:paraId="0F341F40" w14:textId="77777777" w:rsidR="00F164F4" w:rsidRPr="001310AD" w:rsidRDefault="00F164F4" w:rsidP="00977DCE">
            <w:pPr>
              <w:pStyle w:val="Tabletext"/>
            </w:pPr>
          </w:p>
        </w:tc>
      </w:tr>
      <w:tr w:rsidR="00F164F4" w:rsidRPr="001310AD" w14:paraId="4431E9E3"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D5F2204" w14:textId="26245E7E" w:rsidR="00F164F4" w:rsidRPr="001310AD" w:rsidRDefault="00F164F4" w:rsidP="00977DCE">
            <w:pPr>
              <w:pStyle w:val="Tabletext"/>
            </w:pPr>
            <w:r w:rsidRPr="001310AD">
              <w:t>Hospitalisation costs per RSVPreF November 2024 submission ($8,542)</w:t>
            </w:r>
          </w:p>
        </w:tc>
        <w:tc>
          <w:tcPr>
            <w:tcW w:w="1134" w:type="dxa"/>
            <w:tcBorders>
              <w:top w:val="nil"/>
              <w:left w:val="nil"/>
              <w:bottom w:val="single" w:sz="8" w:space="0" w:color="auto"/>
              <w:right w:val="single" w:sz="8" w:space="0" w:color="auto"/>
            </w:tcBorders>
            <w:tcMar>
              <w:top w:w="0" w:type="dxa"/>
              <w:left w:w="28" w:type="dxa"/>
              <w:bottom w:w="0" w:type="dxa"/>
              <w:right w:w="28" w:type="dxa"/>
            </w:tcMar>
            <w:hideMark/>
          </w:tcPr>
          <w:p w14:paraId="75A8F6E0" w14:textId="54553893" w:rsidR="00F164F4" w:rsidRPr="001310AD" w:rsidRDefault="00F164F4" w:rsidP="00977DCE">
            <w:pPr>
              <w:pStyle w:val="Tabletext"/>
            </w:pPr>
            <w:r w:rsidRPr="001310AD">
              <w:t>$</w:t>
            </w:r>
            <w:r w:rsidR="000A3A2D">
              <w:rPr>
                <w:color w:val="000000"/>
                <w:spacing w:val="50"/>
                <w:shd w:val="solid" w:color="000000" w:fill="000000"/>
                <w:fitText w:val="324" w:id="-628465909"/>
                <w14:textFill>
                  <w14:solidFill>
                    <w14:srgbClr w14:val="000000">
                      <w14:alpha w14:val="100000"/>
                    </w14:srgbClr>
                  </w14:solidFill>
                </w14:textFill>
              </w:rPr>
              <w:t>|||</w:t>
            </w:r>
            <w:r w:rsidR="000A3A2D">
              <w:rPr>
                <w:color w:val="000000"/>
                <w:spacing w:val="2"/>
                <w:shd w:val="solid" w:color="000000" w:fill="000000"/>
                <w:fitText w:val="324" w:id="-628465909"/>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14:paraId="6E13E04A" w14:textId="77777777" w:rsidR="00F164F4" w:rsidRPr="001310AD" w:rsidRDefault="00F164F4" w:rsidP="00977DCE">
            <w:pPr>
              <w:pStyle w:val="Tabletext"/>
            </w:pPr>
            <w:r w:rsidRPr="001310AD">
              <w:t>140</w:t>
            </w:r>
          </w:p>
        </w:tc>
        <w:tc>
          <w:tcPr>
            <w:tcW w:w="795" w:type="dxa"/>
            <w:tcBorders>
              <w:top w:val="nil"/>
              <w:left w:val="nil"/>
              <w:bottom w:val="single" w:sz="8" w:space="0" w:color="auto"/>
              <w:right w:val="single" w:sz="8" w:space="0" w:color="auto"/>
            </w:tcBorders>
            <w:tcMar>
              <w:top w:w="0" w:type="dxa"/>
              <w:left w:w="28" w:type="dxa"/>
              <w:bottom w:w="0" w:type="dxa"/>
              <w:right w:w="28" w:type="dxa"/>
            </w:tcMar>
            <w:hideMark/>
          </w:tcPr>
          <w:p w14:paraId="0B906CE6" w14:textId="083E4BF9" w:rsidR="00F164F4" w:rsidRPr="0084273D" w:rsidRDefault="00F164F4" w:rsidP="00977DCE">
            <w:pPr>
              <w:pStyle w:val="Tabletext"/>
              <w:rPr>
                <w:vertAlign w:val="superscript"/>
              </w:rPr>
            </w:pPr>
            <w:r w:rsidRPr="001310AD">
              <w:t>$</w:t>
            </w:r>
            <w:r w:rsidR="000A3A2D">
              <w:rPr>
                <w:color w:val="000000"/>
                <w:spacing w:val="50"/>
                <w:shd w:val="solid" w:color="000000" w:fill="000000"/>
                <w:fitText w:val="324" w:id="-628465908"/>
                <w14:textFill>
                  <w14:solidFill>
                    <w14:srgbClr w14:val="000000">
                      <w14:alpha w14:val="100000"/>
                    </w14:srgbClr>
                  </w14:solidFill>
                </w14:textFill>
              </w:rPr>
              <w:t>|||</w:t>
            </w:r>
            <w:r w:rsidR="000A3A2D">
              <w:rPr>
                <w:color w:val="000000"/>
                <w:spacing w:val="2"/>
                <w:shd w:val="solid" w:color="000000" w:fill="000000"/>
                <w:fitText w:val="324" w:id="-628465908"/>
                <w14:textFill>
                  <w14:solidFill>
                    <w14:srgbClr w14:val="000000">
                      <w14:alpha w14:val="100000"/>
                    </w14:srgbClr>
                  </w14:solidFill>
                </w14:textFill>
              </w:rPr>
              <w:t>|</w:t>
            </w:r>
            <w:r w:rsidR="0084273D">
              <w:rPr>
                <w:vertAlign w:val="superscript"/>
              </w:rPr>
              <w:t>4</w:t>
            </w:r>
          </w:p>
        </w:tc>
      </w:tr>
      <w:tr w:rsidR="00FF5C62" w:rsidRPr="001310AD" w14:paraId="403ADF44" w14:textId="77777777" w:rsidTr="00576A8C">
        <w:trPr>
          <w:cantSplit/>
          <w:trHeight w:val="20"/>
        </w:trPr>
        <w:tc>
          <w:tcPr>
            <w:tcW w:w="9007"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tcPr>
          <w:p w14:paraId="7E41B8C7" w14:textId="210CB821" w:rsidR="00FF5C62" w:rsidRPr="001310AD" w:rsidRDefault="00FF5C62" w:rsidP="00977DCE">
            <w:pPr>
              <w:pStyle w:val="Tabletext"/>
            </w:pPr>
            <w:r w:rsidRPr="001310AD">
              <w:t>RSV-associated hospitalisation rates (base case in PSCR: 665 per 100,000 person-years)</w:t>
            </w:r>
          </w:p>
        </w:tc>
      </w:tr>
      <w:tr w:rsidR="00F164F4" w:rsidRPr="001310AD" w14:paraId="69D8F264"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0CFA877" w14:textId="77777777" w:rsidR="00F164F4" w:rsidRPr="001310AD" w:rsidRDefault="00F164F4" w:rsidP="00977DCE">
            <w:pPr>
              <w:pStyle w:val="Tabletext"/>
            </w:pPr>
            <w:r w:rsidRPr="001310AD">
              <w:t>576 per 100,000 person-years</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797EB74B" w14:textId="1F218DEB" w:rsidR="00F164F4" w:rsidRPr="001310AD" w:rsidRDefault="00F164F4" w:rsidP="00977DCE">
            <w:pPr>
              <w:pStyle w:val="Tabletext"/>
            </w:pPr>
            <w:r w:rsidRPr="001310AD">
              <w:t>$</w:t>
            </w:r>
            <w:r w:rsidR="000A3A2D">
              <w:rPr>
                <w:color w:val="000000"/>
                <w:spacing w:val="50"/>
                <w:shd w:val="solid" w:color="000000" w:fill="000000"/>
                <w:fitText w:val="324" w:id="-628465907"/>
                <w14:textFill>
                  <w14:solidFill>
                    <w14:srgbClr w14:val="000000">
                      <w14:alpha w14:val="100000"/>
                    </w14:srgbClr>
                  </w14:solidFill>
                </w14:textFill>
              </w:rPr>
              <w:t>|||</w:t>
            </w:r>
            <w:r w:rsidR="000A3A2D">
              <w:rPr>
                <w:color w:val="000000"/>
                <w:spacing w:val="2"/>
                <w:shd w:val="solid" w:color="000000" w:fill="000000"/>
                <w:fitText w:val="324" w:id="-628465907"/>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0D4A9ED4" w14:textId="77777777" w:rsidR="00F164F4" w:rsidRPr="001310AD" w:rsidRDefault="00F164F4" w:rsidP="00977DCE">
            <w:pPr>
              <w:pStyle w:val="Tabletext"/>
            </w:pPr>
            <w:r w:rsidRPr="001310AD">
              <w:t>129</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02BBD1C2" w14:textId="52DC546A" w:rsidR="00F164F4" w:rsidRPr="00F52DED" w:rsidRDefault="00F164F4" w:rsidP="00977DCE">
            <w:pPr>
              <w:pStyle w:val="Tabletext"/>
              <w:rPr>
                <w:vertAlign w:val="superscript"/>
              </w:rPr>
            </w:pPr>
            <w:r w:rsidRPr="001310AD">
              <w:t>$</w:t>
            </w:r>
            <w:r w:rsidR="000A3A2D">
              <w:rPr>
                <w:color w:val="000000"/>
                <w:spacing w:val="50"/>
                <w:shd w:val="solid" w:color="000000" w:fill="000000"/>
                <w:fitText w:val="324" w:id="-628465906"/>
                <w14:textFill>
                  <w14:solidFill>
                    <w14:srgbClr w14:val="000000">
                      <w14:alpha w14:val="100000"/>
                    </w14:srgbClr>
                  </w14:solidFill>
                </w14:textFill>
              </w:rPr>
              <w:t>|||</w:t>
            </w:r>
            <w:r w:rsidR="000A3A2D">
              <w:rPr>
                <w:color w:val="000000"/>
                <w:spacing w:val="2"/>
                <w:shd w:val="solid" w:color="000000" w:fill="000000"/>
                <w:fitText w:val="324" w:id="-628465906"/>
                <w14:textFill>
                  <w14:solidFill>
                    <w14:srgbClr w14:val="000000">
                      <w14:alpha w14:val="100000"/>
                    </w14:srgbClr>
                  </w14:solidFill>
                </w14:textFill>
              </w:rPr>
              <w:t>|</w:t>
            </w:r>
            <w:r w:rsidR="00F52DED">
              <w:rPr>
                <w:vertAlign w:val="superscript"/>
              </w:rPr>
              <w:t>2</w:t>
            </w:r>
          </w:p>
        </w:tc>
      </w:tr>
      <w:tr w:rsidR="00F164F4" w:rsidRPr="001310AD" w14:paraId="769C385A"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D2E3E6F" w14:textId="118F02B0" w:rsidR="00F164F4" w:rsidRPr="001310AD" w:rsidRDefault="00F164F4" w:rsidP="00977DCE">
            <w:pPr>
              <w:pStyle w:val="Tabletext"/>
            </w:pPr>
            <w:r w:rsidRPr="001310AD">
              <w:t>RSV-hospital case fatality rate (base case:</w:t>
            </w:r>
            <w:r w:rsidR="00C36F89" w:rsidRPr="001310AD">
              <w:t xml:space="preserve"> </w:t>
            </w:r>
            <w:r w:rsidRPr="001310AD">
              <w:t>2.57% for 60-64 YOA increasing to 4.55% for 80+ YOA)</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bottom"/>
          </w:tcPr>
          <w:p w14:paraId="021DFE7F" w14:textId="77777777" w:rsidR="00F164F4" w:rsidRPr="001310AD" w:rsidRDefault="00F164F4" w:rsidP="00977DCE">
            <w:pPr>
              <w:pStyle w:val="Tabletext"/>
            </w:pPr>
          </w:p>
        </w:tc>
        <w:tc>
          <w:tcPr>
            <w:tcW w:w="709" w:type="dxa"/>
            <w:tcBorders>
              <w:top w:val="nil"/>
              <w:left w:val="nil"/>
              <w:bottom w:val="single" w:sz="8" w:space="0" w:color="auto"/>
              <w:right w:val="single" w:sz="8" w:space="0" w:color="auto"/>
            </w:tcBorders>
            <w:tcMar>
              <w:top w:w="0" w:type="dxa"/>
              <w:left w:w="28" w:type="dxa"/>
              <w:bottom w:w="0" w:type="dxa"/>
              <w:right w:w="28" w:type="dxa"/>
            </w:tcMar>
            <w:vAlign w:val="bottom"/>
          </w:tcPr>
          <w:p w14:paraId="53B8FD44" w14:textId="77777777" w:rsidR="00F164F4" w:rsidRPr="001310AD" w:rsidRDefault="00F164F4" w:rsidP="00977DCE">
            <w:pPr>
              <w:pStyle w:val="Tabletext"/>
            </w:pPr>
          </w:p>
        </w:tc>
        <w:tc>
          <w:tcPr>
            <w:tcW w:w="795" w:type="dxa"/>
            <w:tcBorders>
              <w:top w:val="nil"/>
              <w:left w:val="nil"/>
              <w:bottom w:val="single" w:sz="8" w:space="0" w:color="auto"/>
              <w:right w:val="single" w:sz="8" w:space="0" w:color="auto"/>
            </w:tcBorders>
            <w:tcMar>
              <w:top w:w="0" w:type="dxa"/>
              <w:left w:w="28" w:type="dxa"/>
              <w:bottom w:w="0" w:type="dxa"/>
              <w:right w:w="28" w:type="dxa"/>
            </w:tcMar>
            <w:vAlign w:val="bottom"/>
          </w:tcPr>
          <w:p w14:paraId="7AD8FD35" w14:textId="77777777" w:rsidR="00F164F4" w:rsidRPr="001310AD" w:rsidRDefault="00F164F4" w:rsidP="00977DCE">
            <w:pPr>
              <w:pStyle w:val="Tabletext"/>
            </w:pPr>
          </w:p>
        </w:tc>
      </w:tr>
      <w:tr w:rsidR="00F164F4" w:rsidRPr="001310AD" w14:paraId="7F07423B"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EDA05FE" w14:textId="77777777" w:rsidR="00F164F4" w:rsidRPr="001310AD" w:rsidRDefault="00F164F4" w:rsidP="00977DCE">
            <w:pPr>
              <w:pStyle w:val="Tabletext"/>
            </w:pPr>
            <w:r w:rsidRPr="001310AD">
              <w:t xml:space="preserve">ATAGI’s advised upper bound for a sensitivity analysis (8.00%) </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4D24B69E" w14:textId="2721B8AD" w:rsidR="00F164F4" w:rsidRPr="001310AD" w:rsidRDefault="00F164F4" w:rsidP="00977DCE">
            <w:pPr>
              <w:pStyle w:val="Tabletext"/>
            </w:pPr>
            <w:r w:rsidRPr="001310AD">
              <w:t>-$</w:t>
            </w:r>
            <w:r w:rsidR="000A3A2D">
              <w:rPr>
                <w:color w:val="000000"/>
                <w:spacing w:val="54"/>
                <w:shd w:val="solid" w:color="000000" w:fill="000000"/>
                <w:fitText w:val="336" w:id="-628465905"/>
                <w14:textFill>
                  <w14:solidFill>
                    <w14:srgbClr w14:val="000000">
                      <w14:alpha w14:val="100000"/>
                    </w14:srgbClr>
                  </w14:solidFill>
                </w14:textFill>
              </w:rPr>
              <w:t>|||</w:t>
            </w:r>
            <w:r w:rsidR="000A3A2D">
              <w:rPr>
                <w:color w:val="000000"/>
                <w:spacing w:val="2"/>
                <w:shd w:val="solid" w:color="000000" w:fill="000000"/>
                <w:fitText w:val="336" w:id="-628465905"/>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147EA0F8" w14:textId="77777777" w:rsidR="00F164F4" w:rsidRPr="001310AD" w:rsidRDefault="00F164F4" w:rsidP="00977DCE">
            <w:pPr>
              <w:pStyle w:val="Tabletext"/>
            </w:pPr>
            <w:r w:rsidRPr="001310AD">
              <w:t>284</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58F20E34" w14:textId="77777777" w:rsidR="00F164F4" w:rsidRPr="001310AD" w:rsidRDefault="00F164F4" w:rsidP="00977DCE">
            <w:pPr>
              <w:pStyle w:val="Tabletext"/>
            </w:pPr>
            <w:r w:rsidRPr="001310AD">
              <w:t>Dominant</w:t>
            </w:r>
          </w:p>
        </w:tc>
      </w:tr>
      <w:tr w:rsidR="00F164F4" w:rsidRPr="001310AD" w14:paraId="0FC1631B"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484CC77" w14:textId="77777777" w:rsidR="00F164F4" w:rsidRPr="001310AD" w:rsidRDefault="00F164F4" w:rsidP="00977DCE">
            <w:pPr>
              <w:pStyle w:val="Tabletext"/>
            </w:pPr>
            <w:r w:rsidRPr="001310AD">
              <w:t xml:space="preserve">ATAGI’s advised 4.22% of ≥ 75 YOA applied to Aboriginal and Torres Strait Islander people 60-74 YOA population </w:t>
            </w:r>
          </w:p>
        </w:tc>
        <w:tc>
          <w:tcPr>
            <w:tcW w:w="1134" w:type="dxa"/>
            <w:tcBorders>
              <w:top w:val="nil"/>
              <w:left w:val="nil"/>
              <w:bottom w:val="single" w:sz="8" w:space="0" w:color="auto"/>
              <w:right w:val="single" w:sz="8" w:space="0" w:color="auto"/>
            </w:tcBorders>
            <w:tcMar>
              <w:top w:w="0" w:type="dxa"/>
              <w:left w:w="28" w:type="dxa"/>
              <w:bottom w:w="0" w:type="dxa"/>
              <w:right w:w="28" w:type="dxa"/>
            </w:tcMar>
            <w:hideMark/>
          </w:tcPr>
          <w:p w14:paraId="05A4D4F7" w14:textId="3C2C3621" w:rsidR="00F164F4" w:rsidRPr="001310AD" w:rsidRDefault="00F164F4" w:rsidP="00977DCE">
            <w:pPr>
              <w:pStyle w:val="Tabletext"/>
            </w:pPr>
            <w:r w:rsidRPr="001310AD">
              <w:t>-$</w:t>
            </w:r>
            <w:r w:rsidR="000A3A2D">
              <w:rPr>
                <w:color w:val="000000"/>
                <w:spacing w:val="54"/>
                <w:shd w:val="solid" w:color="000000" w:fill="000000"/>
                <w:fitText w:val="336" w:id="-628465904"/>
                <w14:textFill>
                  <w14:solidFill>
                    <w14:srgbClr w14:val="000000">
                      <w14:alpha w14:val="100000"/>
                    </w14:srgbClr>
                  </w14:solidFill>
                </w14:textFill>
              </w:rPr>
              <w:t>|||</w:t>
            </w:r>
            <w:r w:rsidR="000A3A2D">
              <w:rPr>
                <w:color w:val="000000"/>
                <w:spacing w:val="2"/>
                <w:shd w:val="solid" w:color="000000" w:fill="000000"/>
                <w:fitText w:val="336" w:id="-628465904"/>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14:paraId="1F8AB224" w14:textId="77777777" w:rsidR="00F164F4" w:rsidRPr="001310AD" w:rsidRDefault="00F164F4" w:rsidP="00977DCE">
            <w:pPr>
              <w:pStyle w:val="Tabletext"/>
            </w:pPr>
            <w:r w:rsidRPr="001310AD">
              <w:t>177</w:t>
            </w:r>
          </w:p>
        </w:tc>
        <w:tc>
          <w:tcPr>
            <w:tcW w:w="795" w:type="dxa"/>
            <w:tcBorders>
              <w:top w:val="nil"/>
              <w:left w:val="nil"/>
              <w:bottom w:val="single" w:sz="8" w:space="0" w:color="auto"/>
              <w:right w:val="single" w:sz="8" w:space="0" w:color="auto"/>
            </w:tcBorders>
            <w:tcMar>
              <w:top w:w="0" w:type="dxa"/>
              <w:left w:w="28" w:type="dxa"/>
              <w:bottom w:w="0" w:type="dxa"/>
              <w:right w:w="28" w:type="dxa"/>
            </w:tcMar>
            <w:hideMark/>
          </w:tcPr>
          <w:p w14:paraId="26E0E193" w14:textId="77777777" w:rsidR="00F164F4" w:rsidRPr="001310AD" w:rsidRDefault="00F164F4" w:rsidP="00977DCE">
            <w:pPr>
              <w:pStyle w:val="Tabletext"/>
            </w:pPr>
            <w:r w:rsidRPr="001310AD">
              <w:t>Dominant</w:t>
            </w:r>
          </w:p>
        </w:tc>
      </w:tr>
      <w:tr w:rsidR="00FF5C62" w:rsidRPr="001310AD" w14:paraId="546E980B" w14:textId="77777777" w:rsidTr="002511BE">
        <w:trPr>
          <w:cantSplit/>
          <w:trHeight w:val="20"/>
        </w:trPr>
        <w:tc>
          <w:tcPr>
            <w:tcW w:w="9007" w:type="dxa"/>
            <w:gridSpan w:val="4"/>
            <w:tcBorders>
              <w:top w:val="nil"/>
              <w:left w:val="single" w:sz="8" w:space="0" w:color="auto"/>
              <w:bottom w:val="single" w:sz="8" w:space="0" w:color="auto"/>
              <w:right w:val="single" w:sz="8" w:space="0" w:color="auto"/>
            </w:tcBorders>
            <w:tcMar>
              <w:top w:w="0" w:type="dxa"/>
              <w:left w:w="28" w:type="dxa"/>
              <w:bottom w:w="0" w:type="dxa"/>
              <w:right w:w="28" w:type="dxa"/>
            </w:tcMar>
          </w:tcPr>
          <w:p w14:paraId="733153E7" w14:textId="28B13984" w:rsidR="00FF5C62" w:rsidRPr="001310AD" w:rsidRDefault="00FF5C62" w:rsidP="00977DCE">
            <w:pPr>
              <w:pStyle w:val="Tabletext"/>
            </w:pPr>
            <w:r w:rsidRPr="001310AD">
              <w:t>Background mortality (base case: Aboriginal and Torres Strait Islander people specific mortalities)</w:t>
            </w:r>
          </w:p>
        </w:tc>
      </w:tr>
      <w:tr w:rsidR="00F164F4" w:rsidRPr="001310AD" w14:paraId="12D9D1A0"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A348DBB" w14:textId="77777777" w:rsidR="00F164F4" w:rsidRPr="001310AD" w:rsidRDefault="00F164F4" w:rsidP="00977DCE">
            <w:pPr>
              <w:pStyle w:val="Tabletext"/>
            </w:pPr>
            <w:r w:rsidRPr="001310AD">
              <w:t>Assumed general population equivalence</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5D2E280E" w14:textId="69608DA5" w:rsidR="00F164F4" w:rsidRPr="001310AD" w:rsidRDefault="00F164F4" w:rsidP="00977DCE">
            <w:pPr>
              <w:pStyle w:val="Tabletext"/>
            </w:pPr>
            <w:r w:rsidRPr="001310AD">
              <w:t>-$</w:t>
            </w:r>
            <w:r w:rsidR="000A3A2D">
              <w:rPr>
                <w:color w:val="000000"/>
                <w:spacing w:val="54"/>
                <w:shd w:val="solid" w:color="000000" w:fill="000000"/>
                <w:fitText w:val="336" w:id="-628465920"/>
                <w14:textFill>
                  <w14:solidFill>
                    <w14:srgbClr w14:val="000000">
                      <w14:alpha w14:val="100000"/>
                    </w14:srgbClr>
                  </w14:solidFill>
                </w14:textFill>
              </w:rPr>
              <w:t>|||</w:t>
            </w:r>
            <w:r w:rsidR="000A3A2D">
              <w:rPr>
                <w:color w:val="000000"/>
                <w:spacing w:val="2"/>
                <w:shd w:val="solid" w:color="000000" w:fill="000000"/>
                <w:fitText w:val="336" w:id="-628465920"/>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4EC39B38" w14:textId="77777777" w:rsidR="00F164F4" w:rsidRPr="001310AD" w:rsidRDefault="00F164F4" w:rsidP="00977DCE">
            <w:pPr>
              <w:pStyle w:val="Tabletext"/>
            </w:pPr>
            <w:r w:rsidRPr="001310AD">
              <w:t>299</w:t>
            </w:r>
          </w:p>
        </w:tc>
        <w:tc>
          <w:tcPr>
            <w:tcW w:w="795" w:type="dxa"/>
            <w:tcBorders>
              <w:top w:val="nil"/>
              <w:left w:val="nil"/>
              <w:bottom w:val="single" w:sz="8" w:space="0" w:color="auto"/>
              <w:right w:val="single" w:sz="8" w:space="0" w:color="auto"/>
            </w:tcBorders>
            <w:tcMar>
              <w:top w:w="0" w:type="dxa"/>
              <w:left w:w="28" w:type="dxa"/>
              <w:bottom w:w="0" w:type="dxa"/>
              <w:right w:w="28" w:type="dxa"/>
            </w:tcMar>
            <w:vAlign w:val="bottom"/>
            <w:hideMark/>
          </w:tcPr>
          <w:p w14:paraId="41269008" w14:textId="77777777" w:rsidR="00F164F4" w:rsidRPr="001310AD" w:rsidRDefault="00F164F4" w:rsidP="00977DCE">
            <w:pPr>
              <w:pStyle w:val="Tabletext"/>
            </w:pPr>
            <w:r w:rsidRPr="001310AD">
              <w:t>Dominant</w:t>
            </w:r>
          </w:p>
        </w:tc>
      </w:tr>
      <w:tr w:rsidR="00F164F4" w:rsidRPr="001310AD" w14:paraId="0937001A"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94B9D4C" w14:textId="77777777" w:rsidR="00F164F4" w:rsidRPr="001310AD" w:rsidRDefault="00F164F4" w:rsidP="00977DCE">
            <w:pPr>
              <w:pStyle w:val="Tabletext"/>
            </w:pPr>
            <w:r w:rsidRPr="001310AD">
              <w:t>Multivariate</w:t>
            </w:r>
          </w:p>
        </w:tc>
        <w:tc>
          <w:tcPr>
            <w:tcW w:w="1134" w:type="dxa"/>
            <w:tcBorders>
              <w:top w:val="nil"/>
              <w:left w:val="nil"/>
              <w:bottom w:val="single" w:sz="8" w:space="0" w:color="auto"/>
              <w:right w:val="single" w:sz="8" w:space="0" w:color="auto"/>
            </w:tcBorders>
            <w:tcMar>
              <w:top w:w="0" w:type="dxa"/>
              <w:left w:w="28" w:type="dxa"/>
              <w:bottom w:w="0" w:type="dxa"/>
              <w:right w:w="28" w:type="dxa"/>
            </w:tcMar>
          </w:tcPr>
          <w:p w14:paraId="74DE52F5" w14:textId="77777777" w:rsidR="00F164F4" w:rsidRPr="001310AD" w:rsidRDefault="00F164F4" w:rsidP="00977DCE">
            <w:pPr>
              <w:pStyle w:val="Tabletext"/>
            </w:pPr>
          </w:p>
        </w:tc>
        <w:tc>
          <w:tcPr>
            <w:tcW w:w="709" w:type="dxa"/>
            <w:tcBorders>
              <w:top w:val="nil"/>
              <w:left w:val="nil"/>
              <w:bottom w:val="single" w:sz="8" w:space="0" w:color="auto"/>
              <w:right w:val="single" w:sz="8" w:space="0" w:color="auto"/>
            </w:tcBorders>
            <w:tcMar>
              <w:top w:w="0" w:type="dxa"/>
              <w:left w:w="28" w:type="dxa"/>
              <w:bottom w:w="0" w:type="dxa"/>
              <w:right w:w="28" w:type="dxa"/>
            </w:tcMar>
          </w:tcPr>
          <w:p w14:paraId="102185DB" w14:textId="77777777" w:rsidR="00F164F4" w:rsidRPr="001310AD" w:rsidRDefault="00F164F4" w:rsidP="00977DCE">
            <w:pPr>
              <w:pStyle w:val="Tabletext"/>
            </w:pPr>
          </w:p>
        </w:tc>
        <w:tc>
          <w:tcPr>
            <w:tcW w:w="795" w:type="dxa"/>
            <w:tcBorders>
              <w:top w:val="nil"/>
              <w:left w:val="nil"/>
              <w:bottom w:val="single" w:sz="8" w:space="0" w:color="auto"/>
              <w:right w:val="single" w:sz="8" w:space="0" w:color="auto"/>
            </w:tcBorders>
            <w:tcMar>
              <w:top w:w="0" w:type="dxa"/>
              <w:left w:w="28" w:type="dxa"/>
              <w:bottom w:w="0" w:type="dxa"/>
              <w:right w:w="28" w:type="dxa"/>
            </w:tcMar>
          </w:tcPr>
          <w:p w14:paraId="7118D7FB" w14:textId="77777777" w:rsidR="00F164F4" w:rsidRPr="001310AD" w:rsidRDefault="00F164F4" w:rsidP="00977DCE">
            <w:pPr>
              <w:pStyle w:val="Tabletext"/>
            </w:pPr>
          </w:p>
        </w:tc>
      </w:tr>
      <w:tr w:rsidR="00F164F4" w:rsidRPr="001310AD" w14:paraId="7CD42EB2"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1E0B970D" w14:textId="226FDB56" w:rsidR="00F164F4" w:rsidRPr="001310AD" w:rsidRDefault="00F164F4" w:rsidP="00977DCE">
            <w:pPr>
              <w:pStyle w:val="Tabletext"/>
            </w:pPr>
            <w:r w:rsidRPr="001310AD">
              <w:t xml:space="preserve">VE 5 years, with parameters for RSVPreF November 2024 submission (hospitalisation rate of 576 per 100,000 person-years, 4.22% RSV-hospital case fatality rate, $8,542 hospitalisation costs) </w:t>
            </w:r>
            <w:r w:rsidR="00C36F89" w:rsidRPr="001310AD">
              <w:rPr>
                <w:vertAlign w:val="superscript"/>
              </w:rPr>
              <w:t>d</w:t>
            </w:r>
          </w:p>
        </w:tc>
        <w:tc>
          <w:tcPr>
            <w:tcW w:w="1134" w:type="dxa"/>
            <w:tcBorders>
              <w:top w:val="nil"/>
              <w:left w:val="nil"/>
              <w:bottom w:val="single" w:sz="8" w:space="0" w:color="auto"/>
              <w:right w:val="single" w:sz="8" w:space="0" w:color="auto"/>
            </w:tcBorders>
            <w:tcMar>
              <w:top w:w="0" w:type="dxa"/>
              <w:left w:w="28" w:type="dxa"/>
              <w:bottom w:w="0" w:type="dxa"/>
              <w:right w:w="28" w:type="dxa"/>
            </w:tcMar>
            <w:hideMark/>
          </w:tcPr>
          <w:p w14:paraId="3DAE8AA4" w14:textId="1DC45D5F" w:rsidR="00F164F4" w:rsidRPr="001310AD" w:rsidRDefault="00F164F4" w:rsidP="00977DCE">
            <w:pPr>
              <w:pStyle w:val="Tabletext"/>
            </w:pPr>
            <w:r w:rsidRPr="001310AD">
              <w:t>$</w:t>
            </w:r>
            <w:r w:rsidR="000A3A2D">
              <w:rPr>
                <w:color w:val="000000"/>
                <w:spacing w:val="50"/>
                <w:shd w:val="solid" w:color="000000" w:fill="000000"/>
                <w:fitText w:val="324" w:id="-628465919"/>
                <w14:textFill>
                  <w14:solidFill>
                    <w14:srgbClr w14:val="000000">
                      <w14:alpha w14:val="100000"/>
                    </w14:srgbClr>
                  </w14:solidFill>
                </w14:textFill>
              </w:rPr>
              <w:t>|||</w:t>
            </w:r>
            <w:r w:rsidR="000A3A2D">
              <w:rPr>
                <w:color w:val="000000"/>
                <w:spacing w:val="2"/>
                <w:shd w:val="solid" w:color="000000" w:fill="000000"/>
                <w:fitText w:val="324" w:id="-628465919"/>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14:paraId="6C0982E7" w14:textId="77777777" w:rsidR="00F164F4" w:rsidRPr="001310AD" w:rsidRDefault="00F164F4" w:rsidP="00977DCE">
            <w:pPr>
              <w:pStyle w:val="Tabletext"/>
            </w:pPr>
            <w:r w:rsidRPr="001310AD">
              <w:t>161</w:t>
            </w:r>
          </w:p>
        </w:tc>
        <w:tc>
          <w:tcPr>
            <w:tcW w:w="795" w:type="dxa"/>
            <w:tcBorders>
              <w:top w:val="nil"/>
              <w:left w:val="nil"/>
              <w:bottom w:val="single" w:sz="8" w:space="0" w:color="auto"/>
              <w:right w:val="single" w:sz="8" w:space="0" w:color="auto"/>
            </w:tcBorders>
            <w:tcMar>
              <w:top w:w="0" w:type="dxa"/>
              <w:left w:w="28" w:type="dxa"/>
              <w:bottom w:w="0" w:type="dxa"/>
              <w:right w:w="28" w:type="dxa"/>
            </w:tcMar>
            <w:hideMark/>
          </w:tcPr>
          <w:p w14:paraId="43EFC324" w14:textId="4DE84296" w:rsidR="00F164F4" w:rsidRPr="0084273D" w:rsidRDefault="00F164F4" w:rsidP="00977DCE">
            <w:pPr>
              <w:pStyle w:val="Tabletext"/>
              <w:rPr>
                <w:vertAlign w:val="superscript"/>
              </w:rPr>
            </w:pPr>
            <w:r w:rsidRPr="001310AD">
              <w:t>$</w:t>
            </w:r>
            <w:r w:rsidR="000A3A2D">
              <w:rPr>
                <w:color w:val="000000"/>
                <w:spacing w:val="50"/>
                <w:shd w:val="solid" w:color="000000" w:fill="000000"/>
                <w:fitText w:val="324" w:id="-628465918"/>
                <w14:textFill>
                  <w14:solidFill>
                    <w14:srgbClr w14:val="000000">
                      <w14:alpha w14:val="100000"/>
                    </w14:srgbClr>
                  </w14:solidFill>
                </w14:textFill>
              </w:rPr>
              <w:t>|||</w:t>
            </w:r>
            <w:r w:rsidR="000A3A2D">
              <w:rPr>
                <w:color w:val="000000"/>
                <w:spacing w:val="2"/>
                <w:shd w:val="solid" w:color="000000" w:fill="000000"/>
                <w:fitText w:val="324" w:id="-628465918"/>
                <w14:textFill>
                  <w14:solidFill>
                    <w14:srgbClr w14:val="000000">
                      <w14:alpha w14:val="100000"/>
                    </w14:srgbClr>
                  </w14:solidFill>
                </w14:textFill>
              </w:rPr>
              <w:t>|</w:t>
            </w:r>
            <w:r w:rsidR="00612F69">
              <w:rPr>
                <w:vertAlign w:val="superscript"/>
              </w:rPr>
              <w:t>5</w:t>
            </w:r>
          </w:p>
        </w:tc>
      </w:tr>
      <w:tr w:rsidR="00F164F4" w:rsidRPr="001310AD" w14:paraId="78E50D95"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3D9D26F" w14:textId="0C04CCEA" w:rsidR="00F164F4" w:rsidRPr="001310AD" w:rsidRDefault="00F164F4" w:rsidP="00977DCE">
            <w:pPr>
              <w:pStyle w:val="Tabletext"/>
            </w:pPr>
            <w:r w:rsidRPr="001310AD">
              <w:t>VE 3 years (logarithmic), with parameters for RSVPreF November 2024 submission (hospitalisation rate of 576 per 100,000 person-years, 4.22% RSV-related death probability, $8,542 hospitalisation costs)</w:t>
            </w:r>
            <w:r w:rsidR="00C36F89" w:rsidRPr="001310AD">
              <w:rPr>
                <w:vertAlign w:val="superscript"/>
              </w:rPr>
              <w:t xml:space="preserve"> d</w:t>
            </w:r>
          </w:p>
        </w:tc>
        <w:tc>
          <w:tcPr>
            <w:tcW w:w="1134" w:type="dxa"/>
            <w:tcBorders>
              <w:top w:val="nil"/>
              <w:left w:val="nil"/>
              <w:bottom w:val="single" w:sz="8" w:space="0" w:color="auto"/>
              <w:right w:val="single" w:sz="8" w:space="0" w:color="auto"/>
            </w:tcBorders>
            <w:tcMar>
              <w:top w:w="0" w:type="dxa"/>
              <w:left w:w="28" w:type="dxa"/>
              <w:bottom w:w="0" w:type="dxa"/>
              <w:right w:w="28" w:type="dxa"/>
            </w:tcMar>
          </w:tcPr>
          <w:p w14:paraId="166AC9EA" w14:textId="7113E5B2" w:rsidR="00F164F4" w:rsidRPr="001310AD" w:rsidRDefault="00F164F4" w:rsidP="00977DCE">
            <w:pPr>
              <w:pStyle w:val="Tabletext"/>
            </w:pPr>
            <w:r w:rsidRPr="001310AD">
              <w:t>$</w:t>
            </w:r>
            <w:r w:rsidR="000A3A2D">
              <w:rPr>
                <w:color w:val="000000"/>
                <w:spacing w:val="50"/>
                <w:shd w:val="solid" w:color="000000" w:fill="000000"/>
                <w:fitText w:val="324" w:id="-628465917"/>
                <w14:textFill>
                  <w14:solidFill>
                    <w14:srgbClr w14:val="000000">
                      <w14:alpha w14:val="100000"/>
                    </w14:srgbClr>
                  </w14:solidFill>
                </w14:textFill>
              </w:rPr>
              <w:t>|||</w:t>
            </w:r>
            <w:r w:rsidR="000A3A2D">
              <w:rPr>
                <w:color w:val="000000"/>
                <w:spacing w:val="2"/>
                <w:shd w:val="solid" w:color="000000" w:fill="000000"/>
                <w:fitText w:val="324" w:id="-628465917"/>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tcPr>
          <w:p w14:paraId="19D0C477" w14:textId="0EE21A67" w:rsidR="00F164F4" w:rsidRPr="001310AD" w:rsidRDefault="00F164F4" w:rsidP="00977DCE">
            <w:pPr>
              <w:pStyle w:val="Tabletext"/>
            </w:pPr>
            <w:r w:rsidRPr="001310AD">
              <w:t>141</w:t>
            </w:r>
          </w:p>
        </w:tc>
        <w:tc>
          <w:tcPr>
            <w:tcW w:w="795" w:type="dxa"/>
            <w:tcBorders>
              <w:top w:val="nil"/>
              <w:left w:val="nil"/>
              <w:bottom w:val="single" w:sz="8" w:space="0" w:color="auto"/>
              <w:right w:val="single" w:sz="8" w:space="0" w:color="auto"/>
            </w:tcBorders>
            <w:tcMar>
              <w:top w:w="0" w:type="dxa"/>
              <w:left w:w="28" w:type="dxa"/>
              <w:bottom w:w="0" w:type="dxa"/>
              <w:right w:w="28" w:type="dxa"/>
            </w:tcMar>
          </w:tcPr>
          <w:p w14:paraId="790DD461" w14:textId="7E96FC00" w:rsidR="00F164F4" w:rsidRPr="00612F69" w:rsidRDefault="00F164F4" w:rsidP="00977DCE">
            <w:pPr>
              <w:pStyle w:val="Tabletext"/>
            </w:pPr>
            <w:r w:rsidRPr="001310AD">
              <w:t>$</w:t>
            </w:r>
            <w:r w:rsidR="000A3A2D">
              <w:rPr>
                <w:color w:val="000000"/>
                <w:spacing w:val="50"/>
                <w:shd w:val="solid" w:color="000000" w:fill="000000"/>
                <w:fitText w:val="324" w:id="-628465916"/>
                <w14:textFill>
                  <w14:solidFill>
                    <w14:srgbClr w14:val="000000">
                      <w14:alpha w14:val="100000"/>
                    </w14:srgbClr>
                  </w14:solidFill>
                </w14:textFill>
              </w:rPr>
              <w:t>|||</w:t>
            </w:r>
            <w:r w:rsidR="000A3A2D">
              <w:rPr>
                <w:color w:val="000000"/>
                <w:spacing w:val="2"/>
                <w:shd w:val="solid" w:color="000000" w:fill="000000"/>
                <w:fitText w:val="324" w:id="-628465916"/>
                <w14:textFill>
                  <w14:solidFill>
                    <w14:srgbClr w14:val="000000">
                      <w14:alpha w14:val="100000"/>
                    </w14:srgbClr>
                  </w14:solidFill>
                </w14:textFill>
              </w:rPr>
              <w:t>|</w:t>
            </w:r>
            <w:r w:rsidR="00612F69" w:rsidRPr="00612F69">
              <w:rPr>
                <w:vertAlign w:val="superscript"/>
              </w:rPr>
              <w:t>6</w:t>
            </w:r>
          </w:p>
        </w:tc>
      </w:tr>
      <w:tr w:rsidR="00F164F4" w:rsidRPr="001310AD" w14:paraId="391E9EC6" w14:textId="77777777" w:rsidTr="00F164F4">
        <w:trPr>
          <w:cantSplit/>
          <w:trHeight w:val="20"/>
        </w:trPr>
        <w:tc>
          <w:tcPr>
            <w:tcW w:w="6369"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5D8F9F7" w14:textId="19D1CB0B" w:rsidR="00F164F4" w:rsidRPr="001310AD" w:rsidRDefault="00F164F4" w:rsidP="00977DCE">
            <w:pPr>
              <w:pStyle w:val="Tabletext"/>
            </w:pPr>
            <w:r w:rsidRPr="001310AD">
              <w:lastRenderedPageBreak/>
              <w:t>VE 4 years (3-year logarithmic model VE + 1-year linear wanning, convergence to 0% at year 4), with parameters for RSVPreF November 2024 submission (hospitalisation rate of 576 per 100,000 person-years, 4.22% RSV-related death probability, $8,542 hospitalisation costs)</w:t>
            </w:r>
            <w:r w:rsidR="00C36F89" w:rsidRPr="001310AD">
              <w:rPr>
                <w:vertAlign w:val="superscript"/>
              </w:rPr>
              <w:t xml:space="preserve"> d</w:t>
            </w:r>
          </w:p>
        </w:tc>
        <w:tc>
          <w:tcPr>
            <w:tcW w:w="1134" w:type="dxa"/>
            <w:tcBorders>
              <w:top w:val="nil"/>
              <w:left w:val="nil"/>
              <w:bottom w:val="single" w:sz="8" w:space="0" w:color="auto"/>
              <w:right w:val="single" w:sz="8" w:space="0" w:color="auto"/>
            </w:tcBorders>
            <w:tcMar>
              <w:top w:w="0" w:type="dxa"/>
              <w:left w:w="28" w:type="dxa"/>
              <w:bottom w:w="0" w:type="dxa"/>
              <w:right w:w="28" w:type="dxa"/>
            </w:tcMar>
            <w:hideMark/>
          </w:tcPr>
          <w:p w14:paraId="7FFA5736" w14:textId="61CCDA18" w:rsidR="00F164F4" w:rsidRPr="001310AD" w:rsidRDefault="00F164F4" w:rsidP="00977DCE">
            <w:pPr>
              <w:pStyle w:val="Tabletext"/>
            </w:pPr>
            <w:r w:rsidRPr="001310AD">
              <w:t>$</w:t>
            </w:r>
            <w:r w:rsidR="000A3A2D">
              <w:rPr>
                <w:color w:val="000000"/>
                <w:spacing w:val="50"/>
                <w:shd w:val="solid" w:color="000000" w:fill="000000"/>
                <w:fitText w:val="324" w:id="-628465915"/>
                <w14:textFill>
                  <w14:solidFill>
                    <w14:srgbClr w14:val="000000">
                      <w14:alpha w14:val="100000"/>
                    </w14:srgbClr>
                  </w14:solidFill>
                </w14:textFill>
              </w:rPr>
              <w:t>|||</w:t>
            </w:r>
            <w:r w:rsidR="000A3A2D">
              <w:rPr>
                <w:color w:val="000000"/>
                <w:spacing w:val="2"/>
                <w:shd w:val="solid" w:color="000000" w:fill="000000"/>
                <w:fitText w:val="324" w:id="-628465915"/>
                <w14:textFill>
                  <w14:solidFill>
                    <w14:srgbClr w14:val="000000">
                      <w14:alpha w14:val="100000"/>
                    </w14:srgbClr>
                  </w14:solidFill>
                </w14:textFill>
              </w:rPr>
              <w:t>|</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14:paraId="41F0B4B1" w14:textId="77777777" w:rsidR="00F164F4" w:rsidRPr="001310AD" w:rsidRDefault="00F164F4" w:rsidP="00977DCE">
            <w:pPr>
              <w:pStyle w:val="Tabletext"/>
            </w:pPr>
            <w:r w:rsidRPr="001310AD">
              <w:t>151</w:t>
            </w:r>
          </w:p>
        </w:tc>
        <w:tc>
          <w:tcPr>
            <w:tcW w:w="795" w:type="dxa"/>
            <w:tcBorders>
              <w:top w:val="nil"/>
              <w:left w:val="nil"/>
              <w:bottom w:val="single" w:sz="8" w:space="0" w:color="auto"/>
              <w:right w:val="single" w:sz="8" w:space="0" w:color="auto"/>
            </w:tcBorders>
            <w:tcMar>
              <w:top w:w="0" w:type="dxa"/>
              <w:left w:w="28" w:type="dxa"/>
              <w:bottom w:w="0" w:type="dxa"/>
              <w:right w:w="28" w:type="dxa"/>
            </w:tcMar>
            <w:hideMark/>
          </w:tcPr>
          <w:p w14:paraId="4A50D0BA" w14:textId="43E0B953" w:rsidR="00F164F4" w:rsidRPr="00805A63" w:rsidRDefault="00F164F4" w:rsidP="00977DCE">
            <w:pPr>
              <w:pStyle w:val="Tabletext"/>
              <w:rPr>
                <w:vertAlign w:val="superscript"/>
              </w:rPr>
            </w:pPr>
            <w:r w:rsidRPr="001310AD">
              <w:t>$</w:t>
            </w:r>
            <w:r w:rsidR="000A3A2D">
              <w:rPr>
                <w:color w:val="000000"/>
                <w:spacing w:val="50"/>
                <w:shd w:val="solid" w:color="000000" w:fill="000000"/>
                <w:fitText w:val="324" w:id="-628465914"/>
                <w14:textFill>
                  <w14:solidFill>
                    <w14:srgbClr w14:val="000000">
                      <w14:alpha w14:val="100000"/>
                    </w14:srgbClr>
                  </w14:solidFill>
                </w14:textFill>
              </w:rPr>
              <w:t>|||</w:t>
            </w:r>
            <w:r w:rsidR="000A3A2D">
              <w:rPr>
                <w:color w:val="000000"/>
                <w:spacing w:val="2"/>
                <w:shd w:val="solid" w:color="000000" w:fill="000000"/>
                <w:fitText w:val="324" w:id="-628465914"/>
                <w14:textFill>
                  <w14:solidFill>
                    <w14:srgbClr w14:val="000000">
                      <w14:alpha w14:val="100000"/>
                    </w14:srgbClr>
                  </w14:solidFill>
                </w14:textFill>
              </w:rPr>
              <w:t>|</w:t>
            </w:r>
            <w:r w:rsidR="00612F69" w:rsidRPr="00612F69">
              <w:rPr>
                <w:vertAlign w:val="superscript"/>
              </w:rPr>
              <w:t>6</w:t>
            </w:r>
          </w:p>
        </w:tc>
      </w:tr>
    </w:tbl>
    <w:p w14:paraId="66BDD25E" w14:textId="77777777" w:rsidR="00495042" w:rsidRPr="001310AD" w:rsidRDefault="00495042" w:rsidP="00495042">
      <w:pPr>
        <w:pStyle w:val="TableNotes"/>
        <w:spacing w:after="0"/>
        <w:rPr>
          <w:szCs w:val="16"/>
          <w14:ligatures w14:val="standardContextual"/>
        </w:rPr>
      </w:pPr>
      <w:r w:rsidRPr="001310AD">
        <w:t xml:space="preserve">Source: </w:t>
      </w:r>
      <w:r w:rsidRPr="001310AD">
        <w:rPr>
          <w:szCs w:val="16"/>
        </w:rPr>
        <w:t xml:space="preserve">Conducted during the evaluation using the economic models presented in the PSCR. </w:t>
      </w:r>
    </w:p>
    <w:p w14:paraId="1B3C4215" w14:textId="3EBCC65E" w:rsidR="00495042" w:rsidRPr="001310AD" w:rsidRDefault="00495042" w:rsidP="00495042">
      <w:pPr>
        <w:pStyle w:val="FooterTableFigure"/>
        <w:rPr>
          <w:rFonts w:eastAsia="Calibri"/>
          <w:szCs w:val="20"/>
        </w:rPr>
      </w:pPr>
      <w:r w:rsidRPr="001310AD">
        <w:rPr>
          <w:rFonts w:eastAsia="Calibri"/>
          <w:szCs w:val="20"/>
        </w:rPr>
        <w:t xml:space="preserve">AIHW = Australian Institute of Health and Welfare; ATAGI = Australian Technical Advisory Group on Immunisation; ESC = Economic Sub-Committee; ICER = incremental cost-effectiveness ratio; Inc = incremental; LRTD = lower respiratory tract disease; NHMD = National Hospital Morbidity Database; </w:t>
      </w:r>
      <w:r w:rsidR="009F317E" w:rsidRPr="001310AD">
        <w:rPr>
          <w:rFonts w:eastAsia="Calibri"/>
          <w:szCs w:val="20"/>
        </w:rPr>
        <w:t xml:space="preserve">N/R = not reported; </w:t>
      </w:r>
      <w:r w:rsidRPr="001310AD">
        <w:rPr>
          <w:rFonts w:eastAsia="Calibri"/>
          <w:szCs w:val="20"/>
        </w:rPr>
        <w:t>PBAC = Pharmaceutical Benefits Advisory Committee; PSCR = Pre-sub-committee response; PSD = public summary document; QALYs = quality-adjusted life years; RSV = respiratory syncytial virus; VE = vaccine efficacy; YOA = years of age.</w:t>
      </w:r>
    </w:p>
    <w:p w14:paraId="168A8051" w14:textId="77777777" w:rsidR="00E360CF" w:rsidRPr="001310AD" w:rsidRDefault="00E360CF">
      <w:pPr>
        <w:pStyle w:val="FooterTableFigure"/>
        <w:numPr>
          <w:ilvl w:val="0"/>
          <w:numId w:val="18"/>
        </w:numPr>
        <w:rPr>
          <w:rFonts w:eastAsia="Calibri"/>
          <w:szCs w:val="20"/>
        </w:rPr>
      </w:pPr>
      <w:r w:rsidRPr="001310AD">
        <w:rPr>
          <w:rFonts w:eastAsia="Calibri"/>
        </w:rPr>
        <w:t>Hospital costs ($9,900) derived from NHCDC 2021/22 dataset, updated inflation to March 2025 Australian dollars using the current health subgroup CPI. Average cost weight for AR-DRG items E62 A/B, NHCDC 2021/22 ($8,480) inflated to March 2025.</w:t>
      </w:r>
    </w:p>
    <w:p w14:paraId="743F0D4A" w14:textId="00F7F361" w:rsidR="00464BA7" w:rsidRPr="001310AD" w:rsidRDefault="00E360CF">
      <w:pPr>
        <w:pStyle w:val="FooterTableFigure"/>
        <w:numPr>
          <w:ilvl w:val="0"/>
          <w:numId w:val="18"/>
        </w:numPr>
        <w:rPr>
          <w:rFonts w:eastAsia="Calibri"/>
        </w:rPr>
      </w:pPr>
      <w:r w:rsidRPr="001310AD">
        <w:rPr>
          <w:rFonts w:eastAsia="Calibri"/>
          <w:szCs w:val="20"/>
        </w:rPr>
        <w:t xml:space="preserve">ED costs ($,1457) derived from </w:t>
      </w:r>
      <w:r w:rsidRPr="001310AD">
        <w:rPr>
          <w:rFonts w:eastAsia="Calibri"/>
        </w:rPr>
        <w:t>NHCDC 2021/22 dataset, updated inflation to March 2025 Australian dollars using the current health subgroup CPI. Average cost weight for AECC items E0450 A/B/C, (NHCDC) 2021/22 ($1,248) inflated to March 2025.</w:t>
      </w:r>
    </w:p>
    <w:p w14:paraId="2FFF9211" w14:textId="77777777" w:rsidR="00C36F89" w:rsidRPr="001310AD" w:rsidRDefault="00E360CF">
      <w:pPr>
        <w:pStyle w:val="FooterTableFigure"/>
        <w:numPr>
          <w:ilvl w:val="0"/>
          <w:numId w:val="18"/>
        </w:numPr>
        <w:spacing w:after="0"/>
        <w:ind w:left="357" w:hanging="357"/>
        <w:rPr>
          <w:rFonts w:eastAsia="Calibri"/>
        </w:rPr>
      </w:pPr>
      <w:r w:rsidRPr="001310AD">
        <w:rPr>
          <w:rFonts w:cs="Times New Roman"/>
        </w:rPr>
        <w:t>Hospitalisation rate reduced to 384 consistent with previous PBAC advice.</w:t>
      </w:r>
    </w:p>
    <w:p w14:paraId="77DD2904" w14:textId="77777777" w:rsidR="00A55447" w:rsidRPr="00A55447" w:rsidRDefault="00495042">
      <w:pPr>
        <w:pStyle w:val="FooterTableFigure"/>
        <w:numPr>
          <w:ilvl w:val="0"/>
          <w:numId w:val="18"/>
        </w:numPr>
        <w:spacing w:after="0"/>
        <w:ind w:left="357" w:hanging="357"/>
        <w:rPr>
          <w:rFonts w:eastAsia="Calibri"/>
        </w:rPr>
      </w:pPr>
      <w:r w:rsidRPr="001310AD">
        <w:rPr>
          <w:rFonts w:eastAsia="Calibri"/>
          <w:szCs w:val="20"/>
        </w:rPr>
        <w:t>Table 11, paragraph 6.60 and 6.71, RSVPreF PSD, November 2024.</w:t>
      </w:r>
    </w:p>
    <w:p w14:paraId="53367702" w14:textId="3E71A793" w:rsidR="00A55447" w:rsidRPr="00A55447" w:rsidRDefault="00A55447" w:rsidP="00A55447">
      <w:pPr>
        <w:rPr>
          <w:rFonts w:ascii="Arial Narrow" w:hAnsi="Arial Narrow"/>
          <w:i/>
          <w:sz w:val="18"/>
          <w:szCs w:val="18"/>
        </w:rPr>
      </w:pPr>
      <w:r w:rsidRPr="00A55447">
        <w:rPr>
          <w:rFonts w:ascii="Arial Narrow" w:hAnsi="Arial Narrow"/>
          <w:i/>
          <w:sz w:val="18"/>
          <w:szCs w:val="18"/>
        </w:rPr>
        <w:t xml:space="preserve">The redacted values correspond to the following ranges: </w:t>
      </w:r>
    </w:p>
    <w:p w14:paraId="6B8061DD" w14:textId="1ED0C387" w:rsidR="00A55447" w:rsidRPr="00A55447" w:rsidRDefault="00A55447" w:rsidP="00A55447">
      <w:pPr>
        <w:jc w:val="left"/>
        <w:rPr>
          <w:rFonts w:ascii="Arial Narrow" w:hAnsi="Arial Narrow"/>
          <w:i/>
          <w:sz w:val="18"/>
          <w:szCs w:val="18"/>
        </w:rPr>
      </w:pPr>
      <w:r w:rsidRPr="00A55447">
        <w:rPr>
          <w:rFonts w:ascii="Arial Narrow" w:hAnsi="Arial Narrow"/>
          <w:i/>
          <w:sz w:val="18"/>
          <w:szCs w:val="18"/>
          <w:vertAlign w:val="superscript"/>
        </w:rPr>
        <w:t>1</w:t>
      </w:r>
      <w:r w:rsidRPr="00A55447">
        <w:rPr>
          <w:rFonts w:ascii="Arial Narrow" w:hAnsi="Arial Narrow"/>
          <w:i/>
          <w:sz w:val="18"/>
          <w:szCs w:val="18"/>
        </w:rPr>
        <w:t xml:space="preserve"> </w:t>
      </w:r>
      <w:r w:rsidR="0066052E" w:rsidRPr="0066052E">
        <w:rPr>
          <w:rFonts w:ascii="Arial Narrow" w:hAnsi="Arial Narrow"/>
          <w:i/>
          <w:sz w:val="18"/>
          <w:szCs w:val="18"/>
        </w:rPr>
        <w:t>2,000,000 to &lt; 3,000,000</w:t>
      </w:r>
    </w:p>
    <w:p w14:paraId="3F875DEF" w14:textId="77777777" w:rsidR="0066052E" w:rsidRPr="00A55447" w:rsidRDefault="00A55447" w:rsidP="0066052E">
      <w:pPr>
        <w:jc w:val="left"/>
        <w:rPr>
          <w:rFonts w:ascii="Arial Narrow" w:hAnsi="Arial Narrow"/>
          <w:i/>
          <w:sz w:val="18"/>
          <w:szCs w:val="18"/>
        </w:rPr>
      </w:pPr>
      <w:r w:rsidRPr="00A55447">
        <w:rPr>
          <w:rFonts w:ascii="Arial Narrow" w:hAnsi="Arial Narrow"/>
          <w:i/>
          <w:sz w:val="18"/>
          <w:szCs w:val="18"/>
          <w:vertAlign w:val="superscript"/>
        </w:rPr>
        <w:t>2</w:t>
      </w:r>
      <w:r w:rsidRPr="00A55447">
        <w:rPr>
          <w:rFonts w:ascii="Arial Narrow" w:hAnsi="Arial Narrow"/>
          <w:i/>
          <w:sz w:val="18"/>
          <w:szCs w:val="18"/>
        </w:rPr>
        <w:t xml:space="preserve"> </w:t>
      </w:r>
      <w:r w:rsidR="0066052E" w:rsidRPr="00F52DED">
        <w:rPr>
          <w:rFonts w:ascii="Arial Narrow" w:hAnsi="Arial Narrow"/>
          <w:i/>
          <w:sz w:val="18"/>
          <w:szCs w:val="18"/>
        </w:rPr>
        <w:t>$5,000 to &lt; $15,000</w:t>
      </w:r>
    </w:p>
    <w:p w14:paraId="3668AB26" w14:textId="63C208E3" w:rsidR="0066052E" w:rsidRPr="00A55447" w:rsidRDefault="0066052E" w:rsidP="0066052E">
      <w:pPr>
        <w:jc w:val="left"/>
        <w:rPr>
          <w:rFonts w:ascii="Arial Narrow" w:hAnsi="Arial Narrow"/>
          <w:i/>
          <w:sz w:val="18"/>
          <w:szCs w:val="18"/>
        </w:rPr>
      </w:pPr>
      <w:r w:rsidRPr="00A55447">
        <w:rPr>
          <w:rFonts w:ascii="Arial Narrow" w:hAnsi="Arial Narrow"/>
          <w:i/>
          <w:sz w:val="18"/>
          <w:szCs w:val="18"/>
          <w:vertAlign w:val="superscript"/>
        </w:rPr>
        <w:t>3</w:t>
      </w:r>
      <w:r w:rsidRPr="00574AE4">
        <w:rPr>
          <w:rFonts w:ascii="Arial Narrow" w:hAnsi="Arial Narrow"/>
          <w:i/>
          <w:sz w:val="18"/>
          <w:szCs w:val="18"/>
        </w:rPr>
        <w:t>$15,000 to &lt; $25,000</w:t>
      </w:r>
    </w:p>
    <w:p w14:paraId="5EF1DC6F" w14:textId="64480BC2" w:rsidR="00A55447" w:rsidRPr="00A55447" w:rsidRDefault="0066052E" w:rsidP="00A55447">
      <w:pPr>
        <w:jc w:val="left"/>
        <w:rPr>
          <w:rFonts w:ascii="Arial Narrow" w:hAnsi="Arial Narrow"/>
          <w:i/>
          <w:sz w:val="18"/>
          <w:szCs w:val="18"/>
        </w:rPr>
      </w:pPr>
      <w:r w:rsidRPr="00A55447">
        <w:rPr>
          <w:rFonts w:ascii="Arial Narrow" w:hAnsi="Arial Narrow"/>
          <w:i/>
          <w:sz w:val="18"/>
          <w:szCs w:val="18"/>
          <w:vertAlign w:val="superscript"/>
        </w:rPr>
        <w:t>4</w:t>
      </w:r>
      <w:r>
        <w:rPr>
          <w:rFonts w:ascii="Arial Narrow" w:hAnsi="Arial Narrow"/>
          <w:i/>
          <w:sz w:val="18"/>
          <w:szCs w:val="18"/>
          <w:vertAlign w:val="superscript"/>
        </w:rPr>
        <w:t xml:space="preserve"> </w:t>
      </w:r>
      <w:r w:rsidR="00B33364" w:rsidRPr="00B33364">
        <w:rPr>
          <w:rFonts w:ascii="Arial Narrow" w:hAnsi="Arial Narrow"/>
          <w:i/>
          <w:sz w:val="18"/>
          <w:szCs w:val="18"/>
        </w:rPr>
        <w:t>$25,000 to &lt; $35,000</w:t>
      </w:r>
    </w:p>
    <w:p w14:paraId="749C7059" w14:textId="491962C0" w:rsidR="00A55447" w:rsidRPr="00A55447" w:rsidRDefault="0066052E" w:rsidP="00A55447">
      <w:pPr>
        <w:jc w:val="left"/>
        <w:rPr>
          <w:rFonts w:ascii="Arial Narrow" w:hAnsi="Arial Narrow"/>
          <w:i/>
          <w:sz w:val="18"/>
          <w:szCs w:val="18"/>
        </w:rPr>
      </w:pPr>
      <w:r w:rsidRPr="00A55447">
        <w:rPr>
          <w:rFonts w:ascii="Arial Narrow" w:hAnsi="Arial Narrow"/>
          <w:i/>
          <w:sz w:val="18"/>
          <w:szCs w:val="18"/>
          <w:vertAlign w:val="superscript"/>
        </w:rPr>
        <w:t>5</w:t>
      </w:r>
      <w:r>
        <w:rPr>
          <w:rFonts w:ascii="Arial Narrow" w:hAnsi="Arial Narrow"/>
          <w:i/>
          <w:sz w:val="18"/>
          <w:szCs w:val="18"/>
          <w:vertAlign w:val="superscript"/>
        </w:rPr>
        <w:t xml:space="preserve"> </w:t>
      </w:r>
      <w:r w:rsidR="0084273D" w:rsidRPr="0084273D">
        <w:rPr>
          <w:rFonts w:ascii="Arial Narrow" w:hAnsi="Arial Narrow"/>
          <w:i/>
          <w:sz w:val="18"/>
          <w:szCs w:val="18"/>
        </w:rPr>
        <w:t>$35,000 to &lt; $45,000</w:t>
      </w:r>
      <w:r>
        <w:rPr>
          <w:rFonts w:ascii="Arial Narrow" w:hAnsi="Arial Narrow"/>
          <w:i/>
          <w:sz w:val="18"/>
          <w:szCs w:val="18"/>
          <w:vertAlign w:val="superscript"/>
        </w:rPr>
        <w:t>6</w:t>
      </w:r>
      <w:r w:rsidR="00805A63" w:rsidRPr="00805A63">
        <w:rPr>
          <w:rFonts w:ascii="Arial Narrow" w:hAnsi="Arial Narrow"/>
          <w:i/>
          <w:sz w:val="18"/>
          <w:szCs w:val="18"/>
        </w:rPr>
        <w:t>$45,000 to &lt; $55,000</w:t>
      </w:r>
      <w:r>
        <w:rPr>
          <w:rFonts w:ascii="Arial Narrow" w:hAnsi="Arial Narrow"/>
          <w:i/>
          <w:sz w:val="18"/>
          <w:szCs w:val="18"/>
          <w:vertAlign w:val="superscript"/>
        </w:rPr>
        <w:t>7</w:t>
      </w:r>
      <w:r w:rsidR="00A55447" w:rsidRPr="00A55447">
        <w:rPr>
          <w:rFonts w:ascii="Arial Narrow" w:hAnsi="Arial Narrow"/>
          <w:i/>
          <w:sz w:val="18"/>
          <w:szCs w:val="18"/>
        </w:rPr>
        <w:t xml:space="preserve"> </w:t>
      </w:r>
      <w:r w:rsidR="00572C00" w:rsidRPr="00572C00">
        <w:rPr>
          <w:rFonts w:ascii="Arial Narrow" w:hAnsi="Arial Narrow"/>
          <w:i/>
          <w:sz w:val="18"/>
          <w:szCs w:val="18"/>
        </w:rPr>
        <w:t>$0 to &lt; $5,000</w:t>
      </w:r>
    </w:p>
    <w:p w14:paraId="696589B5" w14:textId="34B9DE04" w:rsidR="00495042" w:rsidRPr="00612F69" w:rsidRDefault="00612F69" w:rsidP="00A55447">
      <w:pPr>
        <w:pStyle w:val="FooterTableFigure"/>
        <w:rPr>
          <w:rFonts w:eastAsia="Calibri"/>
          <w:i/>
          <w:iCs/>
        </w:rPr>
      </w:pPr>
      <w:r w:rsidRPr="00612F69">
        <w:rPr>
          <w:rFonts w:eastAsia="Calibri"/>
          <w:i/>
          <w:iCs/>
          <w:vertAlign w:val="superscript"/>
        </w:rPr>
        <w:t>8</w:t>
      </w:r>
      <w:r>
        <w:rPr>
          <w:rFonts w:eastAsia="Calibri"/>
          <w:i/>
          <w:iCs/>
        </w:rPr>
        <w:t xml:space="preserve"> 70,000 to &lt; 80,000</w:t>
      </w:r>
    </w:p>
    <w:p w14:paraId="12662487" w14:textId="0AFDF756" w:rsidR="00DF49B3" w:rsidRPr="001310AD" w:rsidRDefault="00FB0E8B" w:rsidP="00B954B2">
      <w:pPr>
        <w:pStyle w:val="3-BodyText"/>
      </w:pPr>
      <w:bookmarkStart w:id="86" w:name="_Ref200978280"/>
      <w:bookmarkEnd w:id="85"/>
      <w:r w:rsidRPr="001310AD">
        <w:t xml:space="preserve">Using the </w:t>
      </w:r>
      <w:r w:rsidR="0017397D" w:rsidRPr="001310AD">
        <w:t>PSCR’s</w:t>
      </w:r>
      <w:r w:rsidRPr="001310AD">
        <w:t xml:space="preserve"> base case</w:t>
      </w:r>
      <w:r w:rsidR="00F850D6" w:rsidRPr="001310AD">
        <w:t xml:space="preserve"> </w:t>
      </w:r>
      <w:r w:rsidRPr="001310AD">
        <w:t>and a</w:t>
      </w:r>
      <w:r w:rsidR="004C2B04" w:rsidRPr="001310AD">
        <w:t>pplying</w:t>
      </w:r>
      <w:r w:rsidR="00F850D6" w:rsidRPr="001310AD">
        <w:t xml:space="preserve"> some key</w:t>
      </w:r>
      <w:r w:rsidR="004C2B04" w:rsidRPr="001310AD">
        <w:t xml:space="preserve"> </w:t>
      </w:r>
      <w:r w:rsidR="00F850D6" w:rsidRPr="001310AD">
        <w:t>input</w:t>
      </w:r>
      <w:r w:rsidR="00F04DAA" w:rsidRPr="001310AD">
        <w:t xml:space="preserve">s </w:t>
      </w:r>
      <w:r w:rsidR="004C2B04" w:rsidRPr="001310AD">
        <w:t xml:space="preserve">consistent </w:t>
      </w:r>
      <w:r w:rsidR="00F04DAA" w:rsidRPr="001310AD">
        <w:t xml:space="preserve">with those </w:t>
      </w:r>
      <w:r w:rsidR="00361F3D" w:rsidRPr="001310AD">
        <w:t>recommended</w:t>
      </w:r>
      <w:r w:rsidR="00C45335" w:rsidRPr="001310AD">
        <w:t xml:space="preserve"> </w:t>
      </w:r>
      <w:r w:rsidR="006C6AD6" w:rsidRPr="001310AD">
        <w:t xml:space="preserve">by the PBAC in </w:t>
      </w:r>
      <w:r w:rsidR="00D72BCE" w:rsidRPr="001310AD">
        <w:t xml:space="preserve">November 2024 </w:t>
      </w:r>
      <w:r w:rsidR="006C6AD6" w:rsidRPr="001310AD">
        <w:t xml:space="preserve">in its consideration of </w:t>
      </w:r>
      <w:r w:rsidR="00C45335" w:rsidRPr="001310AD">
        <w:t xml:space="preserve">RSVPreF </w:t>
      </w:r>
      <w:r w:rsidR="006C6AD6" w:rsidRPr="001310AD">
        <w:t xml:space="preserve">for the </w:t>
      </w:r>
      <w:r w:rsidR="006C6AD6" w:rsidRPr="001310AD">
        <w:rPr>
          <w:rFonts w:cstheme="minorHAnsi"/>
        </w:rPr>
        <w:t>≥</w:t>
      </w:r>
      <w:r w:rsidR="006C6AD6" w:rsidRPr="001310AD">
        <w:t xml:space="preserve">75 YOA population </w:t>
      </w:r>
      <w:r w:rsidR="001835AD" w:rsidRPr="001310AD">
        <w:t>(</w:t>
      </w:r>
      <w:r w:rsidR="004F5D2F" w:rsidRPr="001310AD">
        <w:t xml:space="preserve">hospitalisation </w:t>
      </w:r>
      <w:r w:rsidR="005330F2" w:rsidRPr="001310AD">
        <w:t xml:space="preserve">rate </w:t>
      </w:r>
      <w:r w:rsidR="004F5D2F" w:rsidRPr="001310AD">
        <w:t>of 384 per 100,000 person-years</w:t>
      </w:r>
      <w:r w:rsidR="0017397D" w:rsidRPr="001310AD">
        <w:t xml:space="preserve"> and</w:t>
      </w:r>
      <w:r w:rsidR="004F5D2F" w:rsidRPr="001310AD">
        <w:t xml:space="preserve"> $8,542 hospitalisation costs</w:t>
      </w:r>
      <w:r w:rsidR="004D6ABE" w:rsidRPr="001310AD">
        <w:t>; Table 11, paragraph 6.60 and 6.71, RSVPreF PSD, November 2024</w:t>
      </w:r>
      <w:r w:rsidR="001835AD" w:rsidRPr="001310AD">
        <w:t>)</w:t>
      </w:r>
      <w:r w:rsidR="004F5D2F" w:rsidRPr="001310AD">
        <w:t xml:space="preserve"> </w:t>
      </w:r>
      <w:r w:rsidR="00D72BCE" w:rsidRPr="001310AD">
        <w:t xml:space="preserve">increased the ICER to </w:t>
      </w:r>
      <w:r w:rsidR="00B80366" w:rsidRPr="00B80366">
        <w:t>$35,000 to &lt; $45,000</w:t>
      </w:r>
      <w:r w:rsidR="00D72BCE" w:rsidRPr="001310AD">
        <w:t xml:space="preserve"> per QALY</w:t>
      </w:r>
      <w:r w:rsidR="00BA7F7A" w:rsidRPr="001310AD">
        <w:t xml:space="preserve"> gained</w:t>
      </w:r>
      <w:r w:rsidR="00217685" w:rsidRPr="001310AD">
        <w:t>.</w:t>
      </w:r>
      <w:r w:rsidR="00DF49B3" w:rsidRPr="001310AD">
        <w:t xml:space="preserve"> </w:t>
      </w:r>
      <w:r w:rsidR="00E83DA7" w:rsidRPr="001310AD">
        <w:t>Similarly, a</w:t>
      </w:r>
      <w:r w:rsidR="00DF49B3" w:rsidRPr="001310AD">
        <w:t xml:space="preserve">pplying </w:t>
      </w:r>
      <w:r w:rsidR="00314E79" w:rsidRPr="001310AD">
        <w:t xml:space="preserve">parameters </w:t>
      </w:r>
      <w:r w:rsidR="00DF49B3" w:rsidRPr="001310AD">
        <w:t xml:space="preserve">consistent </w:t>
      </w:r>
      <w:r w:rsidR="00314E79" w:rsidRPr="001310AD">
        <w:t xml:space="preserve">with those recommended by the PBAC in </w:t>
      </w:r>
      <w:r w:rsidR="00DF49B3" w:rsidRPr="001310AD">
        <w:t xml:space="preserve">November 2024 </w:t>
      </w:r>
      <w:r w:rsidR="00314E79" w:rsidRPr="001310AD">
        <w:t xml:space="preserve">in its consideration of </w:t>
      </w:r>
      <w:r w:rsidR="00DF49B3" w:rsidRPr="001310AD">
        <w:t xml:space="preserve">RSVPreF </w:t>
      </w:r>
      <w:r w:rsidR="00850DDB" w:rsidRPr="001310AD">
        <w:t xml:space="preserve">for </w:t>
      </w:r>
      <w:r w:rsidR="00850DDB" w:rsidRPr="001310AD">
        <w:rPr>
          <w:rFonts w:cstheme="minorHAnsi"/>
        </w:rPr>
        <w:t xml:space="preserve">Aboriginal and Torres Strait Islander people 60-74 YOA </w:t>
      </w:r>
      <w:r w:rsidR="00DF49B3" w:rsidRPr="001310AD">
        <w:t xml:space="preserve">(hospitalisation </w:t>
      </w:r>
      <w:r w:rsidR="005330F2" w:rsidRPr="001310AD">
        <w:t xml:space="preserve">rate </w:t>
      </w:r>
      <w:r w:rsidR="00DF49B3" w:rsidRPr="001310AD">
        <w:t xml:space="preserve">of 576 per 100,000 person-years, </w:t>
      </w:r>
      <w:r w:rsidR="00F850D6" w:rsidRPr="001310AD">
        <w:t xml:space="preserve">4.22% RSV hospital fatality rate, and </w:t>
      </w:r>
      <w:r w:rsidR="00DF49B3" w:rsidRPr="001310AD">
        <w:t>$8,542 hospitalisation costs</w:t>
      </w:r>
      <w:r w:rsidR="004D6ABE" w:rsidRPr="001310AD">
        <w:t>; Table 11, paragraph 6.60 and 6.71, RSVPreF PSD, November 2024</w:t>
      </w:r>
      <w:r w:rsidR="00DF49B3" w:rsidRPr="001310AD">
        <w:t xml:space="preserve">) increased the ICER to </w:t>
      </w:r>
      <w:r w:rsidR="00B80366" w:rsidRPr="00B80366">
        <w:t>$35,000 to &lt; $45,000</w:t>
      </w:r>
      <w:r w:rsidR="00DF49B3" w:rsidRPr="001310AD">
        <w:t xml:space="preserve"> per QALY.</w:t>
      </w:r>
      <w:r w:rsidR="0017397D" w:rsidRPr="001310AD">
        <w:t xml:space="preserve"> </w:t>
      </w:r>
      <w:bookmarkEnd w:id="86"/>
    </w:p>
    <w:p w14:paraId="51F83F8D" w14:textId="3ADB53DF" w:rsidR="004E5979" w:rsidRPr="001310AD" w:rsidRDefault="00F850D6" w:rsidP="0021425D">
      <w:pPr>
        <w:pStyle w:val="3-BodyText"/>
      </w:pPr>
      <w:bookmarkStart w:id="87" w:name="_Ref200613928"/>
      <w:r w:rsidRPr="001310AD">
        <w:t>The submission did not present a</w:t>
      </w:r>
      <w:r w:rsidR="004E5979" w:rsidRPr="001310AD">
        <w:t xml:space="preserve"> cost-minimisation analysis comparing RSVPreF3 OA with RSVPreF. However, the resubmission presumed that cost</w:t>
      </w:r>
      <w:r w:rsidR="001008EF" w:rsidRPr="001310AD">
        <w:noBreakHyphen/>
      </w:r>
      <w:r w:rsidR="004E5979" w:rsidRPr="001310AD">
        <w:t xml:space="preserve">minimisation for the proposed vaccine, relative to RSVPreF (recommended by PBAC in November 2024), would be </w:t>
      </w:r>
      <w:r w:rsidR="00B52F7D" w:rsidRPr="001310AD">
        <w:t>recommended by t</w:t>
      </w:r>
      <w:r w:rsidR="00E93F6A" w:rsidRPr="001310AD">
        <w:t>h</w:t>
      </w:r>
      <w:r w:rsidR="00B52F7D" w:rsidRPr="001310AD">
        <w:t>e</w:t>
      </w:r>
      <w:r w:rsidR="00E93F6A" w:rsidRPr="001310AD">
        <w:t xml:space="preserve"> PBAC</w:t>
      </w:r>
      <w:r w:rsidR="00B52F7D" w:rsidRPr="001310AD">
        <w:t xml:space="preserve"> if it</w:t>
      </w:r>
      <w:r w:rsidR="004E5979" w:rsidRPr="001310AD">
        <w:t xml:space="preserve"> deems RSVPreF3</w:t>
      </w:r>
      <w:r w:rsidR="00FD1ABC" w:rsidRPr="001310AD">
        <w:t xml:space="preserve"> OA</w:t>
      </w:r>
      <w:r w:rsidR="004E5979" w:rsidRPr="001310AD">
        <w:t xml:space="preserve"> to be non-inferior to RSVPreF. In such a case, the resubmission proposed that the equi-effective dose would be 1 </w:t>
      </w:r>
      <w:r w:rsidR="0011035F" w:rsidRPr="001310AD">
        <w:t>dose</w:t>
      </w:r>
      <w:r w:rsidR="004E5979" w:rsidRPr="001310AD">
        <w:t xml:space="preserve"> of RSVPreF3 OA is equivalent to 1 </w:t>
      </w:r>
      <w:r w:rsidR="0011035F" w:rsidRPr="001310AD">
        <w:t>dose</w:t>
      </w:r>
      <w:r w:rsidR="004E5979" w:rsidRPr="001310AD">
        <w:t xml:space="preserve"> of RSVPreF.</w:t>
      </w:r>
      <w:r w:rsidR="008C4D98" w:rsidRPr="001310AD">
        <w:t xml:space="preserve"> </w:t>
      </w:r>
      <w:r w:rsidR="001421C7" w:rsidRPr="001310AD">
        <w:t>However, t</w:t>
      </w:r>
      <w:r w:rsidR="006829E2" w:rsidRPr="001310AD">
        <w:t>he PSCR stated that the PBAC recommended price for RSVpreF informed by the end of Season 2 analysis (November 2024 PBAC recommendation) should not extend to RSVPreF3 OA (end of Season 3 analysis - March 2025 re-submission) using a cost minimisation framework because it is inconsistent with the available clinical evidence</w:t>
      </w:r>
      <w:r w:rsidR="00B87AC1" w:rsidRPr="001310AD">
        <w:t xml:space="preserve"> (paragra</w:t>
      </w:r>
      <w:r w:rsidR="00CD2DF4" w:rsidRPr="001310AD">
        <w:t>p</w:t>
      </w:r>
      <w:r w:rsidR="00B87AC1" w:rsidRPr="001310AD">
        <w:t xml:space="preserve">h </w:t>
      </w:r>
      <w:r w:rsidR="00F07643" w:rsidRPr="001310AD">
        <w:fldChar w:fldCharType="begin"/>
      </w:r>
      <w:r w:rsidR="00F07643" w:rsidRPr="001310AD">
        <w:instrText xml:space="preserve"> REF _Ref202901728 \r \h </w:instrText>
      </w:r>
      <w:r w:rsidR="00F07643" w:rsidRPr="001310AD">
        <w:fldChar w:fldCharType="separate"/>
      </w:r>
      <w:r w:rsidR="001F75E0" w:rsidRPr="001310AD">
        <w:t>6.45</w:t>
      </w:r>
      <w:r w:rsidR="00F07643" w:rsidRPr="001310AD">
        <w:fldChar w:fldCharType="end"/>
      </w:r>
      <w:r w:rsidR="00B87AC1" w:rsidRPr="001310AD">
        <w:t>)</w:t>
      </w:r>
      <w:r w:rsidR="006829E2" w:rsidRPr="001310AD">
        <w:t>. The PSCR stated that the cost effectiveness of RSVPreF3 OA and RSVPreF should be informed by cost utility analyses based on the respective evidence base</w:t>
      </w:r>
      <w:r w:rsidR="0011035F" w:rsidRPr="001310AD">
        <w:t xml:space="preserve"> for each vaccine</w:t>
      </w:r>
      <w:r w:rsidR="006829E2" w:rsidRPr="001310AD">
        <w:t>.</w:t>
      </w:r>
      <w:bookmarkEnd w:id="87"/>
      <w:r w:rsidR="00AC5ECB" w:rsidRPr="001310AD">
        <w:t xml:space="preserve"> </w:t>
      </w:r>
      <w:r w:rsidR="00C53FFF" w:rsidRPr="001310AD">
        <w:t xml:space="preserve">However, the ESC considered that, if separate cost-utility analyses were to be </w:t>
      </w:r>
      <w:r w:rsidR="00C53FFF" w:rsidRPr="001310AD">
        <w:lastRenderedPageBreak/>
        <w:t>used, then key assumptions such as baseline risk and hospitalisation rates and costs</w:t>
      </w:r>
      <w:r w:rsidR="001F2982" w:rsidRPr="001310AD">
        <w:t xml:space="preserve"> should align</w:t>
      </w:r>
      <w:r w:rsidR="00C53FFF" w:rsidRPr="001310AD">
        <w:t>.</w:t>
      </w:r>
    </w:p>
    <w:p w14:paraId="08016C47" w14:textId="0090822F" w:rsidR="004B0F55" w:rsidRPr="001310AD" w:rsidRDefault="004B0F55" w:rsidP="007B3A98">
      <w:pPr>
        <w:pStyle w:val="3-BodyText"/>
      </w:pPr>
      <w:bookmarkStart w:id="88" w:name="_Ref204243067"/>
      <w:r w:rsidRPr="001310AD">
        <w:t>The pre-PBAC response provided a new model which extrapolated VE using a logarithmic function to 4 years, rather than 3 years as applied in the resubmission and PSCR.</w:t>
      </w:r>
      <w:r w:rsidR="00044091">
        <w:t xml:space="preserve"> </w:t>
      </w:r>
      <w:r w:rsidRPr="001310AD">
        <w:t xml:space="preserve">The pre-PBAC response claimed that it was reasonable to extend the linear logarithmic extrapolation of VE to 4 years with linear convergence to 0% at 5 years,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00044091" w:rsidRPr="00044091">
        <w:t xml:space="preserve"> </w:t>
      </w:r>
      <w:r w:rsidR="00044091" w:rsidRPr="00044091">
        <w:rPr>
          <w:sz w:val="2"/>
          <w:highlight w:val="black"/>
        </w:rPr>
        <w:t>redacted content</w:t>
      </w:r>
      <w:r w:rsidRPr="001310AD">
        <w:t xml:space="preserve"> (paragraph </w:t>
      </w:r>
      <w:r w:rsidRPr="001310AD">
        <w:fldChar w:fldCharType="begin"/>
      </w:r>
      <w:r w:rsidRPr="001310AD">
        <w:instrText xml:space="preserve"> REF _Ref202900007 \r \h  \* MERGEFORMAT </w:instrText>
      </w:r>
      <w:r w:rsidRPr="001310AD">
        <w:fldChar w:fldCharType="separate"/>
      </w:r>
      <w:r w:rsidR="00A763D9">
        <w:t>6.41</w:t>
      </w:r>
      <w:r w:rsidRPr="001310AD">
        <w:fldChar w:fldCharType="end"/>
      </w:r>
      <w:r w:rsidRPr="001310AD">
        <w:t>).</w:t>
      </w:r>
      <w:r w:rsidR="00044091">
        <w:t xml:space="preserve"> </w:t>
      </w:r>
      <w:r w:rsidRPr="001310AD">
        <w:t>The PBAC considered this was not appropriate, instead advising that VE should be limited to 3 years</w:t>
      </w:r>
      <w:r w:rsidR="00A6106B" w:rsidRPr="001310AD">
        <w:t xml:space="preserve"> in the model, c</w:t>
      </w:r>
      <w:r w:rsidR="00A6106B" w:rsidRPr="001310AD">
        <w:rPr>
          <w:rFonts w:ascii="Calibri" w:hAnsi="Calibri" w:cs="Calibri"/>
        </w:rPr>
        <w:t>onsistent with available clinical data for</w:t>
      </w:r>
      <w:r w:rsidR="00A6106B" w:rsidRPr="001310AD">
        <w:t xml:space="preserve"> RSVPreF3 OA (</w:t>
      </w:r>
      <w:r w:rsidRPr="001310AD">
        <w:t xml:space="preserve">based on </w:t>
      </w:r>
      <w:r w:rsidR="007D4DB7" w:rsidRPr="001310AD">
        <w:t>AReSVi-006 results for 3 seasons</w:t>
      </w:r>
      <w:r w:rsidR="00A6106B" w:rsidRPr="001310AD">
        <w:t>)</w:t>
      </w:r>
      <w:r w:rsidRPr="001310AD">
        <w:t>.</w:t>
      </w:r>
      <w:r w:rsidR="00044091">
        <w:t xml:space="preserve"> </w:t>
      </w:r>
      <w:r w:rsidRPr="001310AD">
        <w:t>Other amendments proposed in the pre-PBAC response were considered by the PBAC but not accepted because the PBAC considered that, key inputs should align with the accepted parameters for RSVpreF, such as baseline risk and hospitalisation rates and costs</w:t>
      </w:r>
      <w:r w:rsidR="00A6106B" w:rsidRPr="001310AD">
        <w:t xml:space="preserve"> (refer PBAC Scenario in </w:t>
      </w:r>
      <w:r w:rsidR="00A6106B" w:rsidRPr="001310AD">
        <w:fldChar w:fldCharType="begin"/>
      </w:r>
      <w:r w:rsidR="00A6106B" w:rsidRPr="001310AD">
        <w:instrText xml:space="preserve"> REF _Ref201305158 \h </w:instrText>
      </w:r>
      <w:r w:rsidR="00A6106B" w:rsidRPr="001310AD">
        <w:fldChar w:fldCharType="separate"/>
      </w:r>
      <w:r w:rsidR="001F75E0" w:rsidRPr="001310AD">
        <w:t>Table 20</w:t>
      </w:r>
      <w:r w:rsidR="00A6106B" w:rsidRPr="001310AD">
        <w:fldChar w:fldCharType="end"/>
      </w:r>
      <w:r w:rsidR="00A6106B" w:rsidRPr="001310AD">
        <w:t>)</w:t>
      </w:r>
      <w:r w:rsidRPr="001310AD">
        <w:t>.</w:t>
      </w:r>
      <w:bookmarkEnd w:id="88"/>
    </w:p>
    <w:p w14:paraId="21460332" w14:textId="3B20B139" w:rsidR="001D6466" w:rsidRPr="001310AD" w:rsidRDefault="003A7758" w:rsidP="001F0E15">
      <w:pPr>
        <w:pStyle w:val="3-BodyText"/>
      </w:pPr>
      <w:bookmarkStart w:id="89" w:name="_Ref204239701"/>
      <w:r w:rsidRPr="001310AD">
        <w:t xml:space="preserve">The pre-PBAC response referred to additional advice provided by the ATAGI RSV/respiratory working groups for the purposes of developing a model </w:t>
      </w:r>
      <w:r w:rsidR="00B351A0" w:rsidRPr="001310AD">
        <w:t xml:space="preserve">to inform </w:t>
      </w:r>
      <w:r w:rsidRPr="001310AD">
        <w:t>program advice for the use of RSV vaccines in older adults</w:t>
      </w:r>
      <w:r w:rsidR="00B351A0" w:rsidRPr="001310AD">
        <w:t xml:space="preserve"> (dated 19 December 2024)</w:t>
      </w:r>
      <w:r w:rsidRPr="001310AD">
        <w:t xml:space="preserve">, however this advice </w:t>
      </w:r>
      <w:r w:rsidR="00B351A0" w:rsidRPr="001310AD">
        <w:t xml:space="preserve">does not </w:t>
      </w:r>
      <w:r w:rsidR="00FD4BD0" w:rsidRPr="001310AD">
        <w:t>supersede</w:t>
      </w:r>
      <w:r w:rsidRPr="001310AD">
        <w:t xml:space="preserve"> the specific </w:t>
      </w:r>
      <w:proofErr w:type="spellStart"/>
      <w:r w:rsidRPr="001310AD">
        <w:t>pre-submission</w:t>
      </w:r>
      <w:proofErr w:type="spellEnd"/>
      <w:r w:rsidRPr="001310AD">
        <w:t xml:space="preserve"> advice </w:t>
      </w:r>
      <w:r w:rsidR="00B351A0" w:rsidRPr="001310AD">
        <w:t>dated 7 </w:t>
      </w:r>
      <w:r w:rsidRPr="001310AD">
        <w:t xml:space="preserve">March 2025 </w:t>
      </w:r>
      <w:r w:rsidR="00B351A0" w:rsidRPr="001310AD">
        <w:t>provided to</w:t>
      </w:r>
      <w:r w:rsidRPr="001310AD">
        <w:t xml:space="preserve"> support the current PBAC consideration</w:t>
      </w:r>
      <w:r w:rsidR="00B351A0" w:rsidRPr="001310AD">
        <w:t xml:space="preserve"> of RSVPreF3 OA (paragraph </w:t>
      </w:r>
      <w:r w:rsidR="00B351A0" w:rsidRPr="001310AD">
        <w:fldChar w:fldCharType="begin"/>
      </w:r>
      <w:r w:rsidR="00B351A0" w:rsidRPr="001310AD">
        <w:instrText xml:space="preserve"> REF _Ref204205841 \r \h </w:instrText>
      </w:r>
      <w:r w:rsidR="00B351A0" w:rsidRPr="001310AD">
        <w:fldChar w:fldCharType="separate"/>
      </w:r>
      <w:r w:rsidR="001F75E0" w:rsidRPr="001310AD">
        <w:t>2.6</w:t>
      </w:r>
      <w:r w:rsidR="00B351A0" w:rsidRPr="001310AD">
        <w:fldChar w:fldCharType="end"/>
      </w:r>
      <w:r w:rsidR="00B351A0" w:rsidRPr="001310AD">
        <w:t>)</w:t>
      </w:r>
      <w:r w:rsidRPr="001310AD">
        <w:t>.</w:t>
      </w:r>
      <w:bookmarkEnd w:id="89"/>
      <w:r w:rsidR="001D6466" w:rsidRPr="001310AD">
        <w:t xml:space="preserve"> The PBAC noted that </w:t>
      </w:r>
      <w:r w:rsidR="001D6466" w:rsidRPr="001310AD">
        <w:rPr>
          <w:szCs w:val="24"/>
        </w:rPr>
        <w:t xml:space="preserve">exclusion of 2016-17 data from the estimates was not consistent with the ATAGI </w:t>
      </w:r>
      <w:proofErr w:type="spellStart"/>
      <w:r w:rsidR="001D6466" w:rsidRPr="001310AD">
        <w:rPr>
          <w:szCs w:val="24"/>
        </w:rPr>
        <w:t>pre-submission</w:t>
      </w:r>
      <w:proofErr w:type="spellEnd"/>
      <w:r w:rsidR="001D6466" w:rsidRPr="001310AD">
        <w:rPr>
          <w:szCs w:val="24"/>
        </w:rPr>
        <w:t xml:space="preserve"> advice </w:t>
      </w:r>
      <w:r w:rsidR="001D6466" w:rsidRPr="001310AD">
        <w:t xml:space="preserve">dated 7 March 2025 (see paragraph </w:t>
      </w:r>
      <w:r w:rsidR="001D6466" w:rsidRPr="001310AD">
        <w:fldChar w:fldCharType="begin"/>
      </w:r>
      <w:r w:rsidR="001D6466" w:rsidRPr="001310AD">
        <w:instrText xml:space="preserve"> REF _Ref204240121 \r \h </w:instrText>
      </w:r>
      <w:r w:rsidR="001D6466" w:rsidRPr="001310AD">
        <w:fldChar w:fldCharType="separate"/>
      </w:r>
      <w:r w:rsidR="00A763D9">
        <w:t>6.63</w:t>
      </w:r>
      <w:r w:rsidR="001D6466" w:rsidRPr="001310AD">
        <w:fldChar w:fldCharType="end"/>
      </w:r>
      <w:r w:rsidR="001D6466" w:rsidRPr="001310AD">
        <w:t>)</w:t>
      </w:r>
      <w:r w:rsidR="001D6466" w:rsidRPr="001310AD">
        <w:rPr>
          <w:szCs w:val="24"/>
        </w:rPr>
        <w:t xml:space="preserve">. </w:t>
      </w:r>
    </w:p>
    <w:p w14:paraId="3BAAD4C5" w14:textId="2BDFD109" w:rsidR="004E5979" w:rsidRPr="001310AD" w:rsidRDefault="004E5979" w:rsidP="004E5979">
      <w:pPr>
        <w:pStyle w:val="4-SubsectionHeading"/>
      </w:pPr>
      <w:bookmarkStart w:id="90" w:name="_Toc22897646"/>
      <w:bookmarkStart w:id="91" w:name="_Toc198731711"/>
      <w:r w:rsidRPr="001310AD">
        <w:t>RSVPreF3 OA cost per person</w:t>
      </w:r>
      <w:bookmarkEnd w:id="90"/>
      <w:bookmarkEnd w:id="91"/>
    </w:p>
    <w:p w14:paraId="23B16D86" w14:textId="18D443C7" w:rsidR="004E5979" w:rsidRPr="001310AD" w:rsidRDefault="004E5979" w:rsidP="004E5979">
      <w:pPr>
        <w:pStyle w:val="3-BodyText"/>
      </w:pPr>
      <w:bookmarkStart w:id="92" w:name="_Ref104805102"/>
      <w:r w:rsidRPr="001310AD">
        <w:t xml:space="preserve">The intervention costs per patient are presented in </w:t>
      </w:r>
      <w:r w:rsidRPr="001310AD">
        <w:fldChar w:fldCharType="begin"/>
      </w:r>
      <w:r w:rsidRPr="001310AD">
        <w:instrText xml:space="preserve"> REF _Ref196921084 \h </w:instrText>
      </w:r>
      <w:r w:rsidRPr="001310AD">
        <w:fldChar w:fldCharType="separate"/>
      </w:r>
      <w:r w:rsidR="001F75E0" w:rsidRPr="001310AD">
        <w:t>Table 21</w:t>
      </w:r>
      <w:r w:rsidRPr="001310AD">
        <w:fldChar w:fldCharType="end"/>
      </w:r>
      <w:r w:rsidR="00295642" w:rsidRPr="001310AD">
        <w:t xml:space="preserve"> using the price</w:t>
      </w:r>
      <w:r w:rsidR="009363C8" w:rsidRPr="001310AD">
        <w:t xml:space="preserve"> </w:t>
      </w:r>
      <w:r w:rsidR="001F0D45" w:rsidRPr="001310AD">
        <w:t xml:space="preserve">proposed </w:t>
      </w:r>
      <w:r w:rsidR="009363C8" w:rsidRPr="001310AD">
        <w:t xml:space="preserve">in the </w:t>
      </w:r>
      <w:r w:rsidR="001F0D45" w:rsidRPr="001310AD">
        <w:t>pre-PBAC response</w:t>
      </w:r>
      <w:r w:rsidRPr="001310AD">
        <w:t xml:space="preserve">. </w:t>
      </w:r>
    </w:p>
    <w:p w14:paraId="68C36CFE" w14:textId="1B4852B1" w:rsidR="004E5979" w:rsidRPr="001310AD" w:rsidRDefault="004E5979" w:rsidP="004E5979">
      <w:pPr>
        <w:pStyle w:val="Caption"/>
        <w:rPr>
          <w:rStyle w:val="CommentReference"/>
          <w:b/>
          <w:szCs w:val="24"/>
        </w:rPr>
      </w:pPr>
      <w:bookmarkStart w:id="93" w:name="_Ref196921084"/>
      <w:bookmarkEnd w:id="92"/>
      <w:r w:rsidRPr="001310AD">
        <w:t xml:space="preserve">Table </w:t>
      </w:r>
      <w:fldSimple w:instr=" SEQ Table \* ARABIC ">
        <w:r w:rsidR="001F75E0" w:rsidRPr="001310AD">
          <w:t>21</w:t>
        </w:r>
      </w:fldSimple>
      <w:bookmarkEnd w:id="93"/>
      <w:r w:rsidRPr="001310AD">
        <w:t>:</w:t>
      </w:r>
      <w:r w:rsidRPr="001310AD">
        <w:rPr>
          <w:rStyle w:val="CommentReference"/>
          <w:b/>
          <w:szCs w:val="24"/>
        </w:rPr>
        <w:t xml:space="preserve"> Vaccine cost per patient </w:t>
      </w:r>
      <w:r w:rsidR="001421C7" w:rsidRPr="001310AD">
        <w:rPr>
          <w:rStyle w:val="CommentReference"/>
          <w:b/>
          <w:szCs w:val="24"/>
        </w:rPr>
        <w:t>(PSCR)</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Vaccine cost per patient (PSCR)"/>
      </w:tblPr>
      <w:tblGrid>
        <w:gridCol w:w="3431"/>
        <w:gridCol w:w="1713"/>
        <w:gridCol w:w="1709"/>
        <w:gridCol w:w="2077"/>
      </w:tblGrid>
      <w:tr w:rsidR="004E5979" w:rsidRPr="001310AD" w14:paraId="11936F26" w14:textId="77777777">
        <w:trPr>
          <w:cantSplit/>
          <w:trHeight w:val="737"/>
          <w:tblHeader/>
          <w:jc w:val="center"/>
        </w:trPr>
        <w:tc>
          <w:tcPr>
            <w:tcW w:w="1921" w:type="pct"/>
            <w:vAlign w:val="center"/>
          </w:tcPr>
          <w:p w14:paraId="2C3938C5" w14:textId="77777777" w:rsidR="004E5979" w:rsidRPr="001310AD" w:rsidRDefault="004E5979">
            <w:pPr>
              <w:pStyle w:val="In-tableHeading"/>
            </w:pPr>
          </w:p>
        </w:tc>
        <w:tc>
          <w:tcPr>
            <w:tcW w:w="959" w:type="pct"/>
            <w:vAlign w:val="center"/>
          </w:tcPr>
          <w:p w14:paraId="02F6E16C" w14:textId="77777777" w:rsidR="004E5979" w:rsidRPr="001310AD" w:rsidRDefault="004E5979">
            <w:pPr>
              <w:pStyle w:val="In-tableHeading"/>
            </w:pPr>
            <w:r w:rsidRPr="001310AD">
              <w:t>Trial dose and duration</w:t>
            </w:r>
          </w:p>
        </w:tc>
        <w:tc>
          <w:tcPr>
            <w:tcW w:w="957" w:type="pct"/>
            <w:vAlign w:val="center"/>
          </w:tcPr>
          <w:p w14:paraId="5432A4A8" w14:textId="49E43A86" w:rsidR="004E5979" w:rsidRPr="001310AD" w:rsidRDefault="004E5979">
            <w:pPr>
              <w:pStyle w:val="In-tableHeading"/>
            </w:pPr>
            <w:r w:rsidRPr="001310AD">
              <w:t>Economic</w:t>
            </w:r>
          </w:p>
          <w:p w14:paraId="35E39242" w14:textId="77777777" w:rsidR="004E5979" w:rsidRPr="001310AD" w:rsidRDefault="004E5979">
            <w:pPr>
              <w:pStyle w:val="In-tableHeading"/>
            </w:pPr>
            <w:r w:rsidRPr="001310AD">
              <w:t>Model</w:t>
            </w:r>
          </w:p>
        </w:tc>
        <w:tc>
          <w:tcPr>
            <w:tcW w:w="1163" w:type="pct"/>
            <w:vAlign w:val="center"/>
          </w:tcPr>
          <w:p w14:paraId="1011AFD6" w14:textId="77777777" w:rsidR="004E5979" w:rsidRPr="001310AD" w:rsidRDefault="004E5979">
            <w:pPr>
              <w:pStyle w:val="In-tableHeading"/>
            </w:pPr>
            <w:r w:rsidRPr="001310AD">
              <w:t>Financial estimates</w:t>
            </w:r>
          </w:p>
        </w:tc>
      </w:tr>
      <w:tr w:rsidR="004E5979" w:rsidRPr="001310AD" w14:paraId="0FD9BA39" w14:textId="77777777">
        <w:trPr>
          <w:cantSplit/>
          <w:trHeight w:val="245"/>
          <w:jc w:val="center"/>
        </w:trPr>
        <w:tc>
          <w:tcPr>
            <w:tcW w:w="1921" w:type="pct"/>
            <w:vAlign w:val="center"/>
          </w:tcPr>
          <w:p w14:paraId="601BC671" w14:textId="77777777" w:rsidR="004E5979" w:rsidRPr="001310AD" w:rsidRDefault="004E5979">
            <w:pPr>
              <w:pStyle w:val="TableText0"/>
            </w:pPr>
            <w:r w:rsidRPr="001310AD">
              <w:t>Mean dose</w:t>
            </w:r>
          </w:p>
        </w:tc>
        <w:tc>
          <w:tcPr>
            <w:tcW w:w="959" w:type="pct"/>
            <w:vAlign w:val="center"/>
          </w:tcPr>
          <w:p w14:paraId="2498BB63" w14:textId="77777777" w:rsidR="004E5979" w:rsidRPr="001310AD" w:rsidRDefault="004E5979">
            <w:pPr>
              <w:pStyle w:val="TableText0"/>
              <w:jc w:val="center"/>
            </w:pPr>
            <w:r w:rsidRPr="001310AD">
              <w:t>1 dose</w:t>
            </w:r>
          </w:p>
        </w:tc>
        <w:tc>
          <w:tcPr>
            <w:tcW w:w="957" w:type="pct"/>
            <w:vAlign w:val="center"/>
          </w:tcPr>
          <w:p w14:paraId="125992BE" w14:textId="77777777" w:rsidR="004E5979" w:rsidRPr="001310AD" w:rsidRDefault="004E5979">
            <w:pPr>
              <w:pStyle w:val="TableText0"/>
              <w:jc w:val="center"/>
            </w:pPr>
            <w:r w:rsidRPr="001310AD">
              <w:t>1 dose</w:t>
            </w:r>
          </w:p>
        </w:tc>
        <w:tc>
          <w:tcPr>
            <w:tcW w:w="1163" w:type="pct"/>
            <w:vAlign w:val="center"/>
          </w:tcPr>
          <w:p w14:paraId="115F4B55" w14:textId="77777777" w:rsidR="004E5979" w:rsidRPr="001310AD" w:rsidRDefault="004E5979">
            <w:pPr>
              <w:pStyle w:val="TableText0"/>
              <w:jc w:val="center"/>
            </w:pPr>
            <w:r w:rsidRPr="001310AD">
              <w:t>1 dose</w:t>
            </w:r>
          </w:p>
        </w:tc>
      </w:tr>
      <w:tr w:rsidR="004E5979" w:rsidRPr="001310AD" w14:paraId="5A27FD6A" w14:textId="77777777">
        <w:trPr>
          <w:cantSplit/>
          <w:trHeight w:val="245"/>
          <w:jc w:val="center"/>
        </w:trPr>
        <w:tc>
          <w:tcPr>
            <w:tcW w:w="1921" w:type="pct"/>
            <w:vAlign w:val="center"/>
          </w:tcPr>
          <w:p w14:paraId="08941180" w14:textId="77777777" w:rsidR="004E5979" w:rsidRPr="001310AD" w:rsidRDefault="004E5979">
            <w:pPr>
              <w:pStyle w:val="TableText0"/>
            </w:pPr>
            <w:r w:rsidRPr="001310AD">
              <w:t>Mean duration</w:t>
            </w:r>
          </w:p>
        </w:tc>
        <w:tc>
          <w:tcPr>
            <w:tcW w:w="959" w:type="pct"/>
            <w:vAlign w:val="center"/>
          </w:tcPr>
          <w:p w14:paraId="337005B0" w14:textId="77777777" w:rsidR="004E5979" w:rsidRPr="001310AD" w:rsidRDefault="004E5979">
            <w:pPr>
              <w:pStyle w:val="TableText0"/>
              <w:jc w:val="center"/>
              <w:rPr>
                <w:vertAlign w:val="superscript"/>
              </w:rPr>
            </w:pPr>
            <w:r w:rsidRPr="001310AD">
              <w:t>One-</w:t>
            </w:r>
            <w:proofErr w:type="spellStart"/>
            <w:r w:rsidRPr="001310AD">
              <w:t>off</w:t>
            </w:r>
            <w:r w:rsidRPr="001310AD">
              <w:rPr>
                <w:vertAlign w:val="superscript"/>
              </w:rPr>
              <w:t>a</w:t>
            </w:r>
            <w:proofErr w:type="spellEnd"/>
          </w:p>
        </w:tc>
        <w:tc>
          <w:tcPr>
            <w:tcW w:w="957" w:type="pct"/>
            <w:vAlign w:val="center"/>
          </w:tcPr>
          <w:p w14:paraId="6B96EE87" w14:textId="77777777" w:rsidR="004E5979" w:rsidRPr="001310AD" w:rsidRDefault="004E5979">
            <w:pPr>
              <w:pStyle w:val="TableText0"/>
              <w:jc w:val="center"/>
            </w:pPr>
            <w:r w:rsidRPr="001310AD">
              <w:t>One-off</w:t>
            </w:r>
          </w:p>
        </w:tc>
        <w:tc>
          <w:tcPr>
            <w:tcW w:w="1163" w:type="pct"/>
            <w:vAlign w:val="center"/>
          </w:tcPr>
          <w:p w14:paraId="184996B9" w14:textId="77777777" w:rsidR="004E5979" w:rsidRPr="001310AD" w:rsidRDefault="004E5979">
            <w:pPr>
              <w:pStyle w:val="TableText0"/>
              <w:jc w:val="center"/>
            </w:pPr>
            <w:r w:rsidRPr="001310AD">
              <w:t>One-off</w:t>
            </w:r>
          </w:p>
        </w:tc>
      </w:tr>
      <w:tr w:rsidR="00FB0E8B" w:rsidRPr="001310AD" w14:paraId="4A7813A0" w14:textId="77777777">
        <w:trPr>
          <w:cantSplit/>
          <w:trHeight w:val="245"/>
          <w:jc w:val="center"/>
        </w:trPr>
        <w:tc>
          <w:tcPr>
            <w:tcW w:w="1921" w:type="pct"/>
            <w:vAlign w:val="center"/>
          </w:tcPr>
          <w:p w14:paraId="4B31ACEA" w14:textId="77777777" w:rsidR="00FB0E8B" w:rsidRPr="001310AD" w:rsidRDefault="00FB0E8B" w:rsidP="00FB0E8B">
            <w:pPr>
              <w:pStyle w:val="TableText0"/>
            </w:pPr>
            <w:r w:rsidRPr="001310AD">
              <w:t>Vaccine acquisition</w:t>
            </w:r>
          </w:p>
        </w:tc>
        <w:tc>
          <w:tcPr>
            <w:tcW w:w="959" w:type="pct"/>
            <w:vAlign w:val="center"/>
          </w:tcPr>
          <w:p w14:paraId="4BC36BF1" w14:textId="3EEDFE17" w:rsidR="00FB0E8B" w:rsidRPr="001310AD" w:rsidRDefault="00FB0E8B" w:rsidP="00FB0E8B">
            <w:pPr>
              <w:pStyle w:val="TableText0"/>
              <w:jc w:val="center"/>
            </w:pPr>
            <w:r w:rsidRPr="001310AD">
              <w:t>$</w:t>
            </w:r>
            <w:r w:rsidR="000A3A2D" w:rsidRPr="000A3A2D">
              <w:rPr>
                <w:color w:val="000000"/>
                <w:spacing w:val="51"/>
                <w:shd w:val="solid" w:color="000000" w:fill="000000"/>
                <w:fitText w:val="324" w:id="-628465913"/>
                <w14:textFill>
                  <w14:solidFill>
                    <w14:srgbClr w14:val="000000">
                      <w14:alpha w14:val="100000"/>
                    </w14:srgbClr>
                  </w14:solidFill>
                </w14:textFill>
              </w:rPr>
              <w:t>|||</w:t>
            </w:r>
            <w:r w:rsidR="000A3A2D" w:rsidRPr="000A3A2D">
              <w:rPr>
                <w:color w:val="000000"/>
                <w:spacing w:val="1"/>
                <w:shd w:val="solid" w:color="000000" w:fill="000000"/>
                <w:fitText w:val="324" w:id="-628465913"/>
                <w14:textFill>
                  <w14:solidFill>
                    <w14:srgbClr w14:val="000000">
                      <w14:alpha w14:val="100000"/>
                    </w14:srgbClr>
                  </w14:solidFill>
                </w14:textFill>
              </w:rPr>
              <w:t>|</w:t>
            </w:r>
          </w:p>
        </w:tc>
        <w:tc>
          <w:tcPr>
            <w:tcW w:w="957" w:type="pct"/>
            <w:vAlign w:val="center"/>
          </w:tcPr>
          <w:p w14:paraId="2310DBB6" w14:textId="5C5B105B" w:rsidR="00FB0E8B" w:rsidRPr="001310AD" w:rsidRDefault="00FB0E8B" w:rsidP="00FB0E8B">
            <w:pPr>
              <w:pStyle w:val="TableText0"/>
              <w:jc w:val="center"/>
            </w:pPr>
            <w:r w:rsidRPr="001310AD">
              <w:t>$</w:t>
            </w:r>
            <w:r w:rsidR="000A3A2D" w:rsidRPr="000A3A2D">
              <w:rPr>
                <w:color w:val="000000"/>
                <w:spacing w:val="51"/>
                <w:shd w:val="solid" w:color="000000" w:fill="000000"/>
                <w:fitText w:val="324" w:id="-628465912"/>
                <w14:textFill>
                  <w14:solidFill>
                    <w14:srgbClr w14:val="000000">
                      <w14:alpha w14:val="100000"/>
                    </w14:srgbClr>
                  </w14:solidFill>
                </w14:textFill>
              </w:rPr>
              <w:t>|||</w:t>
            </w:r>
            <w:r w:rsidR="000A3A2D" w:rsidRPr="000A3A2D">
              <w:rPr>
                <w:color w:val="000000"/>
                <w:spacing w:val="1"/>
                <w:shd w:val="solid" w:color="000000" w:fill="000000"/>
                <w:fitText w:val="324" w:id="-628465912"/>
                <w14:textFill>
                  <w14:solidFill>
                    <w14:srgbClr w14:val="000000">
                      <w14:alpha w14:val="100000"/>
                    </w14:srgbClr>
                  </w14:solidFill>
                </w14:textFill>
              </w:rPr>
              <w:t>|</w:t>
            </w:r>
          </w:p>
        </w:tc>
        <w:tc>
          <w:tcPr>
            <w:tcW w:w="1163" w:type="pct"/>
            <w:vAlign w:val="center"/>
          </w:tcPr>
          <w:p w14:paraId="58C9A2D1" w14:textId="386B8218" w:rsidR="00FB0E8B" w:rsidRPr="001310AD" w:rsidRDefault="00FB0E8B" w:rsidP="00FB0E8B">
            <w:pPr>
              <w:pStyle w:val="TableText0"/>
              <w:jc w:val="center"/>
            </w:pPr>
            <w:r w:rsidRPr="001310AD">
              <w:t>$</w:t>
            </w:r>
            <w:r w:rsidR="000A3A2D" w:rsidRPr="000A3A2D">
              <w:rPr>
                <w:color w:val="000000"/>
                <w:spacing w:val="51"/>
                <w:shd w:val="solid" w:color="000000" w:fill="000000"/>
                <w:fitText w:val="324" w:id="-628465911"/>
                <w14:textFill>
                  <w14:solidFill>
                    <w14:srgbClr w14:val="000000">
                      <w14:alpha w14:val="100000"/>
                    </w14:srgbClr>
                  </w14:solidFill>
                </w14:textFill>
              </w:rPr>
              <w:t>|||</w:t>
            </w:r>
            <w:r w:rsidR="000A3A2D" w:rsidRPr="000A3A2D">
              <w:rPr>
                <w:color w:val="000000"/>
                <w:spacing w:val="1"/>
                <w:shd w:val="solid" w:color="000000" w:fill="000000"/>
                <w:fitText w:val="324" w:id="-628465911"/>
                <w14:textFill>
                  <w14:solidFill>
                    <w14:srgbClr w14:val="000000">
                      <w14:alpha w14:val="100000"/>
                    </w14:srgbClr>
                  </w14:solidFill>
                </w14:textFill>
              </w:rPr>
              <w:t>|</w:t>
            </w:r>
          </w:p>
        </w:tc>
      </w:tr>
      <w:tr w:rsidR="00FB0E8B" w:rsidRPr="001310AD" w14:paraId="506068EE" w14:textId="77777777">
        <w:trPr>
          <w:cantSplit/>
          <w:trHeight w:val="245"/>
          <w:jc w:val="center"/>
        </w:trPr>
        <w:tc>
          <w:tcPr>
            <w:tcW w:w="1921" w:type="pct"/>
            <w:vAlign w:val="center"/>
          </w:tcPr>
          <w:p w14:paraId="7B95C9F2" w14:textId="77777777" w:rsidR="00FB0E8B" w:rsidRPr="001310AD" w:rsidRDefault="00FB0E8B" w:rsidP="00FB0E8B">
            <w:pPr>
              <w:pStyle w:val="TableText0"/>
            </w:pPr>
            <w:r w:rsidRPr="001310AD">
              <w:t>Administration fee</w:t>
            </w:r>
          </w:p>
        </w:tc>
        <w:tc>
          <w:tcPr>
            <w:tcW w:w="959" w:type="pct"/>
            <w:vAlign w:val="center"/>
          </w:tcPr>
          <w:p w14:paraId="3C714D8A" w14:textId="5F379B43" w:rsidR="00FB0E8B" w:rsidRPr="001310AD" w:rsidRDefault="00FB0E8B" w:rsidP="00FB0E8B">
            <w:pPr>
              <w:pStyle w:val="TableText0"/>
              <w:jc w:val="center"/>
            </w:pPr>
            <w:r w:rsidRPr="001310AD">
              <w:t>$7</w:t>
            </w:r>
          </w:p>
        </w:tc>
        <w:tc>
          <w:tcPr>
            <w:tcW w:w="957" w:type="pct"/>
            <w:vAlign w:val="center"/>
          </w:tcPr>
          <w:p w14:paraId="61B86E17" w14:textId="734C5498" w:rsidR="00FB0E8B" w:rsidRPr="001310AD" w:rsidRDefault="00FB0E8B" w:rsidP="00FB0E8B">
            <w:pPr>
              <w:pStyle w:val="TableText0"/>
              <w:jc w:val="center"/>
            </w:pPr>
            <w:r w:rsidRPr="001310AD">
              <w:t>$7</w:t>
            </w:r>
          </w:p>
        </w:tc>
        <w:tc>
          <w:tcPr>
            <w:tcW w:w="1163" w:type="pct"/>
            <w:vAlign w:val="center"/>
          </w:tcPr>
          <w:p w14:paraId="7B6442B7" w14:textId="525643B4" w:rsidR="00FB0E8B" w:rsidRPr="001310AD" w:rsidRDefault="00FB0E8B" w:rsidP="00FB0E8B">
            <w:pPr>
              <w:pStyle w:val="TableText0"/>
              <w:jc w:val="center"/>
            </w:pPr>
            <w:r w:rsidRPr="001310AD">
              <w:t>$7</w:t>
            </w:r>
          </w:p>
        </w:tc>
      </w:tr>
      <w:tr w:rsidR="001F0D45" w:rsidRPr="001310AD" w14:paraId="4E923794" w14:textId="77777777" w:rsidTr="00332859">
        <w:trPr>
          <w:cantSplit/>
          <w:trHeight w:val="245"/>
          <w:jc w:val="center"/>
        </w:trPr>
        <w:tc>
          <w:tcPr>
            <w:tcW w:w="1921" w:type="pct"/>
            <w:vAlign w:val="center"/>
          </w:tcPr>
          <w:p w14:paraId="1DA65572" w14:textId="77777777" w:rsidR="001F0D45" w:rsidRPr="001310AD" w:rsidRDefault="001F0D45" w:rsidP="001F0D45">
            <w:pPr>
              <w:pStyle w:val="TableText0"/>
            </w:pPr>
            <w:r w:rsidRPr="001310AD">
              <w:t>Cost/person/course</w:t>
            </w:r>
          </w:p>
        </w:tc>
        <w:tc>
          <w:tcPr>
            <w:tcW w:w="959" w:type="pct"/>
            <w:vAlign w:val="center"/>
          </w:tcPr>
          <w:p w14:paraId="1128A7DF" w14:textId="0A2CC5B8" w:rsidR="001F0D45" w:rsidRPr="001310AD" w:rsidRDefault="001F0D45" w:rsidP="001F0D45">
            <w:pPr>
              <w:pStyle w:val="TableText0"/>
              <w:jc w:val="center"/>
            </w:pPr>
            <w:r w:rsidRPr="001310AD">
              <w:t>$</w:t>
            </w:r>
            <w:r w:rsidR="000A3A2D" w:rsidRPr="000A3A2D">
              <w:rPr>
                <w:color w:val="000000"/>
                <w:spacing w:val="51"/>
                <w:shd w:val="solid" w:color="000000" w:fill="000000"/>
                <w:fitText w:val="324" w:id="-628465910"/>
                <w14:textFill>
                  <w14:solidFill>
                    <w14:srgbClr w14:val="000000">
                      <w14:alpha w14:val="100000"/>
                    </w14:srgbClr>
                  </w14:solidFill>
                </w14:textFill>
              </w:rPr>
              <w:t>|||</w:t>
            </w:r>
            <w:r w:rsidR="000A3A2D" w:rsidRPr="000A3A2D">
              <w:rPr>
                <w:color w:val="000000"/>
                <w:spacing w:val="1"/>
                <w:shd w:val="solid" w:color="000000" w:fill="000000"/>
                <w:fitText w:val="324" w:id="-628465910"/>
                <w14:textFill>
                  <w14:solidFill>
                    <w14:srgbClr w14:val="000000">
                      <w14:alpha w14:val="100000"/>
                    </w14:srgbClr>
                  </w14:solidFill>
                </w14:textFill>
              </w:rPr>
              <w:t>|</w:t>
            </w:r>
          </w:p>
        </w:tc>
        <w:tc>
          <w:tcPr>
            <w:tcW w:w="957" w:type="pct"/>
          </w:tcPr>
          <w:p w14:paraId="5FBCC4FD" w14:textId="0C98446C" w:rsidR="001F0D45" w:rsidRPr="001310AD" w:rsidRDefault="001F0D45" w:rsidP="001F0D45">
            <w:pPr>
              <w:pStyle w:val="TableText0"/>
              <w:jc w:val="center"/>
            </w:pPr>
            <w:r w:rsidRPr="001310AD">
              <w:t>$</w:t>
            </w:r>
            <w:r w:rsidR="000A3A2D" w:rsidRPr="000A3A2D">
              <w:rPr>
                <w:color w:val="000000"/>
                <w:spacing w:val="51"/>
                <w:shd w:val="solid" w:color="000000" w:fill="000000"/>
                <w:fitText w:val="324" w:id="-628465909"/>
                <w14:textFill>
                  <w14:solidFill>
                    <w14:srgbClr w14:val="000000">
                      <w14:alpha w14:val="100000"/>
                    </w14:srgbClr>
                  </w14:solidFill>
                </w14:textFill>
              </w:rPr>
              <w:t>|||</w:t>
            </w:r>
            <w:r w:rsidR="000A3A2D" w:rsidRPr="000A3A2D">
              <w:rPr>
                <w:color w:val="000000"/>
                <w:spacing w:val="1"/>
                <w:shd w:val="solid" w:color="000000" w:fill="000000"/>
                <w:fitText w:val="324" w:id="-628465909"/>
                <w14:textFill>
                  <w14:solidFill>
                    <w14:srgbClr w14:val="000000">
                      <w14:alpha w14:val="100000"/>
                    </w14:srgbClr>
                  </w14:solidFill>
                </w14:textFill>
              </w:rPr>
              <w:t>|</w:t>
            </w:r>
          </w:p>
        </w:tc>
        <w:tc>
          <w:tcPr>
            <w:tcW w:w="1163" w:type="pct"/>
          </w:tcPr>
          <w:p w14:paraId="67DE19D7" w14:textId="3B4DB752" w:rsidR="001F0D45" w:rsidRPr="001310AD" w:rsidRDefault="001F0D45" w:rsidP="001F0D45">
            <w:pPr>
              <w:pStyle w:val="TableText0"/>
              <w:jc w:val="center"/>
            </w:pPr>
            <w:r w:rsidRPr="001310AD">
              <w:t>$</w:t>
            </w:r>
            <w:r w:rsidR="000A3A2D">
              <w:rPr>
                <w:color w:val="000000"/>
                <w:spacing w:val="50"/>
                <w:shd w:val="solid" w:color="000000" w:fill="000000"/>
                <w:fitText w:val="324" w:id="-628465908"/>
                <w14:textFill>
                  <w14:solidFill>
                    <w14:srgbClr w14:val="000000">
                      <w14:alpha w14:val="100000"/>
                    </w14:srgbClr>
                  </w14:solidFill>
                </w14:textFill>
              </w:rPr>
              <w:t>|||</w:t>
            </w:r>
            <w:r w:rsidR="000A3A2D">
              <w:rPr>
                <w:color w:val="000000"/>
                <w:spacing w:val="2"/>
                <w:shd w:val="solid" w:color="000000" w:fill="000000"/>
                <w:fitText w:val="324" w:id="-628465908"/>
                <w14:textFill>
                  <w14:solidFill>
                    <w14:srgbClr w14:val="000000">
                      <w14:alpha w14:val="100000"/>
                    </w14:srgbClr>
                  </w14:solidFill>
                </w14:textFill>
              </w:rPr>
              <w:t>|</w:t>
            </w:r>
          </w:p>
        </w:tc>
      </w:tr>
    </w:tbl>
    <w:p w14:paraId="5A6B06E0" w14:textId="52BF6602" w:rsidR="004E5979" w:rsidRPr="001310AD" w:rsidRDefault="004E5979" w:rsidP="004E5979">
      <w:pPr>
        <w:pStyle w:val="FooterTableFigure"/>
      </w:pPr>
      <w:r w:rsidRPr="001310AD">
        <w:t>Source: p26 and 268 of the resubmission and Table 3-39, p225 of the resubmission</w:t>
      </w:r>
      <w:r w:rsidR="00FB0E8B" w:rsidRPr="001310AD">
        <w:t>; Tables 4 and 5 of the PSCR</w:t>
      </w:r>
      <w:r w:rsidR="001F0D45" w:rsidRPr="001310AD">
        <w:t>, and pre-PBAC response</w:t>
      </w:r>
      <w:r w:rsidRPr="001310AD">
        <w:t>.</w:t>
      </w:r>
      <w:r w:rsidR="00044091">
        <w:t xml:space="preserve"> </w:t>
      </w:r>
    </w:p>
    <w:p w14:paraId="56F39E9C" w14:textId="77777777" w:rsidR="004E5979" w:rsidRPr="001310AD" w:rsidRDefault="004E5979" w:rsidP="004E5979">
      <w:pPr>
        <w:pStyle w:val="FooterTableFigure"/>
        <w:keepNext/>
      </w:pPr>
      <w:r w:rsidRPr="001310AD">
        <w:t xml:space="preserve">RSVPreF3 OA= RSV Pre-fusion protein 3 older adult. </w:t>
      </w:r>
    </w:p>
    <w:p w14:paraId="5B189B57" w14:textId="77777777" w:rsidR="004E5979" w:rsidRPr="001310AD" w:rsidRDefault="004E5979" w:rsidP="004E5979">
      <w:pPr>
        <w:pStyle w:val="FooterTableFigure"/>
      </w:pPr>
      <w:r w:rsidRPr="001310AD">
        <w:rPr>
          <w:vertAlign w:val="superscript"/>
        </w:rPr>
        <w:t>a</w:t>
      </w:r>
      <w:r w:rsidRPr="001310AD">
        <w:t xml:space="preserve"> AReSVI-006 randomised participants at Year 2 to receive a Dose 2 and Dose 3 at 12 and 24 months, respectively, following the initial vaccination. As no significant differences were observed between the initial dose and Doses 2 and 3, a protocol amendment was implemented to discontinue Dose 3. </w:t>
      </w:r>
    </w:p>
    <w:p w14:paraId="268768EF" w14:textId="76346578" w:rsidR="00B60939" w:rsidRPr="001310AD" w:rsidRDefault="00B60939" w:rsidP="002B05A1">
      <w:pPr>
        <w:pStyle w:val="4-SubsectionHeading"/>
      </w:pPr>
      <w:bookmarkStart w:id="94" w:name="_Toc198731712"/>
      <w:r w:rsidRPr="001310AD">
        <w:t xml:space="preserve">Estimated </w:t>
      </w:r>
      <w:r w:rsidR="00E46416" w:rsidRPr="001310AD">
        <w:t xml:space="preserve">NIP </w:t>
      </w:r>
      <w:r w:rsidRPr="001310AD">
        <w:t>usage &amp; financial implications</w:t>
      </w:r>
      <w:bookmarkEnd w:id="63"/>
      <w:bookmarkEnd w:id="94"/>
    </w:p>
    <w:p w14:paraId="1A47F9F5" w14:textId="6C17F8FF" w:rsidR="00530AE7" w:rsidRPr="001310AD" w:rsidRDefault="00C25D9C" w:rsidP="00530AE7">
      <w:pPr>
        <w:pStyle w:val="3-BodyText"/>
      </w:pPr>
      <w:r w:rsidRPr="001310AD">
        <w:t xml:space="preserve">This </w:t>
      </w:r>
      <w:r w:rsidR="009C7AC7" w:rsidRPr="001310AD">
        <w:t>re</w:t>
      </w:r>
      <w:r w:rsidRPr="001310AD">
        <w:t xml:space="preserve">submission </w:t>
      </w:r>
      <w:r w:rsidR="008D1F42" w:rsidRPr="001310AD">
        <w:t>was</w:t>
      </w:r>
      <w:r w:rsidRPr="001310AD">
        <w:t xml:space="preserve"> not</w:t>
      </w:r>
      <w:r w:rsidR="00D23D11" w:rsidRPr="001310AD">
        <w:t xml:space="preserve"> </w:t>
      </w:r>
      <w:r w:rsidRPr="001310AD">
        <w:t>considered by DUSC</w:t>
      </w:r>
      <w:r w:rsidR="003A2F73" w:rsidRPr="001310AD">
        <w:t>.</w:t>
      </w:r>
      <w:r w:rsidR="00BC591F" w:rsidRPr="001310AD">
        <w:rPr>
          <w:color w:val="0070C0"/>
        </w:rPr>
        <w:t xml:space="preserve"> </w:t>
      </w:r>
    </w:p>
    <w:p w14:paraId="78988367" w14:textId="2B37DC56" w:rsidR="008B05E5" w:rsidRPr="001310AD" w:rsidRDefault="00F61C51" w:rsidP="006D7C6B">
      <w:pPr>
        <w:pStyle w:val="3-BodyText"/>
        <w:rPr>
          <w:color w:val="0066FF"/>
        </w:rPr>
      </w:pPr>
      <w:r w:rsidRPr="001310AD">
        <w:t>The resubmission presented the financial impact of introducing</w:t>
      </w:r>
      <w:r w:rsidR="007B2916" w:rsidRPr="001310AD">
        <w:t xml:space="preserve"> a single dose of</w:t>
      </w:r>
      <w:r w:rsidRPr="001310AD">
        <w:t xml:space="preserve"> RSVPreF3 OA </w:t>
      </w:r>
      <w:r w:rsidR="0096603E" w:rsidRPr="001310AD">
        <w:t>on</w:t>
      </w:r>
      <w:r w:rsidRPr="001310AD">
        <w:t xml:space="preserve">to the NIP for adults: </w:t>
      </w:r>
      <w:r w:rsidRPr="001310AD">
        <w:rPr>
          <w:rFonts w:cs="Calibri"/>
        </w:rPr>
        <w:t>≥75</w:t>
      </w:r>
      <w:r w:rsidRPr="001310AD">
        <w:t xml:space="preserve"> YOA; and Aboriginal and Torres Strait </w:t>
      </w:r>
      <w:r w:rsidRPr="001310AD">
        <w:lastRenderedPageBreak/>
        <w:t>Islander people 60-74</w:t>
      </w:r>
      <w:r w:rsidR="00F40A45" w:rsidRPr="001310AD">
        <w:t xml:space="preserve"> YOA</w:t>
      </w:r>
      <w:r w:rsidR="008B05E5" w:rsidRPr="001310AD">
        <w:rPr>
          <w:color w:val="000000" w:themeColor="text1"/>
        </w:rPr>
        <w:t xml:space="preserve">. </w:t>
      </w:r>
      <w:r w:rsidRPr="001310AD">
        <w:t xml:space="preserve">This was consistent with the economic model and </w:t>
      </w:r>
      <w:r w:rsidR="0096603E" w:rsidRPr="001310AD">
        <w:t xml:space="preserve">the </w:t>
      </w:r>
      <w:r w:rsidRPr="001310AD">
        <w:t>requested NIP listing</w:t>
      </w:r>
      <w:r w:rsidR="008B05E5" w:rsidRPr="001310AD">
        <w:rPr>
          <w:color w:val="000000" w:themeColor="text1"/>
        </w:rPr>
        <w:t>.</w:t>
      </w:r>
      <w:r w:rsidR="009119E0" w:rsidRPr="001310AD">
        <w:rPr>
          <w:color w:val="000000" w:themeColor="text1"/>
        </w:rPr>
        <w:t xml:space="preserve"> </w:t>
      </w:r>
    </w:p>
    <w:p w14:paraId="6CB7DF35" w14:textId="77777777" w:rsidR="001F0D45" w:rsidRPr="001310AD" w:rsidRDefault="00C22959" w:rsidP="00716ACF">
      <w:pPr>
        <w:pStyle w:val="3-BodyText"/>
        <w:rPr>
          <w:color w:val="0066FF"/>
        </w:rPr>
      </w:pPr>
      <w:r w:rsidRPr="001310AD">
        <w:t xml:space="preserve">The resubmission used an epidemiological approach to estimate the eligible population. </w:t>
      </w:r>
    </w:p>
    <w:p w14:paraId="03380EF0" w14:textId="1F5DCE16" w:rsidR="00F773E1" w:rsidRPr="001310AD" w:rsidRDefault="00F773E1" w:rsidP="00716ACF">
      <w:pPr>
        <w:pStyle w:val="3-BodyText"/>
        <w:rPr>
          <w:color w:val="0066FF"/>
        </w:rPr>
      </w:pPr>
      <w:r w:rsidRPr="001310AD">
        <w:t xml:space="preserve">The </w:t>
      </w:r>
      <w:r w:rsidR="00F0314D" w:rsidRPr="001310AD">
        <w:t>re</w:t>
      </w:r>
      <w:r w:rsidRPr="001310AD">
        <w:t xml:space="preserve">submission </w:t>
      </w:r>
      <w:r w:rsidR="00F0314D" w:rsidRPr="001310AD">
        <w:t xml:space="preserve">relied on the results of the economic model to account for the </w:t>
      </w:r>
      <w:r w:rsidR="000455F9" w:rsidRPr="001310AD">
        <w:t xml:space="preserve">impact of RSVPreF3 OA </w:t>
      </w:r>
      <w:r w:rsidR="00F0314D" w:rsidRPr="001310AD">
        <w:t>VE</w:t>
      </w:r>
      <w:r w:rsidR="000455F9" w:rsidRPr="001310AD">
        <w:t xml:space="preserve"> </w:t>
      </w:r>
      <w:r w:rsidR="00AD44CB" w:rsidRPr="001310AD">
        <w:t>including</w:t>
      </w:r>
      <w:r w:rsidR="00AC03B6" w:rsidRPr="001310AD">
        <w:t xml:space="preserve"> avoided cases of </w:t>
      </w:r>
      <w:r w:rsidRPr="001310AD">
        <w:t>RSV-ARI, RSV-LRTD, RSV-URTD, vaccine-related AEs</w:t>
      </w:r>
      <w:r w:rsidR="000455F9" w:rsidRPr="001310AD">
        <w:t xml:space="preserve"> and</w:t>
      </w:r>
      <w:r w:rsidRPr="001310AD">
        <w:t xml:space="preserve"> resource utilisation. </w:t>
      </w:r>
      <w:bookmarkStart w:id="95" w:name="_Hlk166748216"/>
      <w:r w:rsidR="00D721B8" w:rsidRPr="001310AD">
        <w:t>However,</w:t>
      </w:r>
      <w:r w:rsidR="00223F70" w:rsidRPr="001310AD">
        <w:t xml:space="preserve"> some discrepancies were identified</w:t>
      </w:r>
      <w:r w:rsidR="0096603E" w:rsidRPr="001310AD">
        <w:t xml:space="preserve"> between the approaches taken in </w:t>
      </w:r>
      <w:r w:rsidR="00E435FA" w:rsidRPr="001310AD">
        <w:t>the economic</w:t>
      </w:r>
      <w:r w:rsidR="0096603E" w:rsidRPr="001310AD">
        <w:t xml:space="preserve"> and </w:t>
      </w:r>
      <w:r w:rsidR="00485B12" w:rsidRPr="001310AD">
        <w:t>financial</w:t>
      </w:r>
      <w:r w:rsidR="00EE0CC8" w:rsidRPr="001310AD">
        <w:t xml:space="preserve"> analyses</w:t>
      </w:r>
      <w:r w:rsidR="00AD44CB" w:rsidRPr="001310AD">
        <w:t xml:space="preserve">, such as </w:t>
      </w:r>
      <w:r w:rsidR="0096603E" w:rsidRPr="001310AD">
        <w:t xml:space="preserve">in </w:t>
      </w:r>
      <w:r w:rsidR="00AD44CB" w:rsidRPr="001310AD">
        <w:t xml:space="preserve">the incidence of RSV and hospitalisation rates. </w:t>
      </w:r>
      <w:bookmarkEnd w:id="95"/>
    </w:p>
    <w:p w14:paraId="125BD39A" w14:textId="60E5FA5C" w:rsidR="00AE2B6C" w:rsidRPr="001310AD" w:rsidRDefault="00AE2B6C" w:rsidP="006D7C6B">
      <w:pPr>
        <w:pStyle w:val="3-BodyText"/>
        <w:rPr>
          <w:color w:val="0066FF"/>
        </w:rPr>
      </w:pPr>
      <w:r w:rsidRPr="001310AD">
        <w:t>Key inputs used by the submission are presented in</w:t>
      </w:r>
      <w:r w:rsidR="006D7C6B" w:rsidRPr="001310AD">
        <w:t xml:space="preserve"> </w:t>
      </w:r>
      <w:r w:rsidR="006D7C6B" w:rsidRPr="001310AD">
        <w:fldChar w:fldCharType="begin"/>
      </w:r>
      <w:r w:rsidR="006D7C6B" w:rsidRPr="001310AD">
        <w:instrText xml:space="preserve"> REF _Ref196921355 \h </w:instrText>
      </w:r>
      <w:r w:rsidR="006D7C6B" w:rsidRPr="001310AD">
        <w:fldChar w:fldCharType="separate"/>
      </w:r>
      <w:r w:rsidR="001F75E0" w:rsidRPr="001310AD">
        <w:t>Table 22</w:t>
      </w:r>
      <w:r w:rsidR="006D7C6B" w:rsidRPr="001310AD">
        <w:fldChar w:fldCharType="end"/>
      </w:r>
      <w:r w:rsidRPr="001310AD">
        <w:t>.</w:t>
      </w:r>
    </w:p>
    <w:p w14:paraId="3393BCE7" w14:textId="0FA4E270" w:rsidR="00E42F73" w:rsidRPr="001310AD" w:rsidRDefault="006D7C6B" w:rsidP="006D7C6B">
      <w:pPr>
        <w:pStyle w:val="Caption"/>
        <w:rPr>
          <w:rStyle w:val="CommentReference"/>
          <w:b/>
          <w:szCs w:val="24"/>
        </w:rPr>
      </w:pPr>
      <w:bookmarkStart w:id="96" w:name="_Ref196921355"/>
      <w:r w:rsidRPr="001310AD">
        <w:lastRenderedPageBreak/>
        <w:t xml:space="preserve">Table </w:t>
      </w:r>
      <w:fldSimple w:instr=" SEQ Table \* ARABIC ">
        <w:r w:rsidR="001F75E0" w:rsidRPr="001310AD">
          <w:t>22</w:t>
        </w:r>
      </w:fldSimple>
      <w:bookmarkEnd w:id="96"/>
      <w:r w:rsidR="00E16AD8" w:rsidRPr="001310AD">
        <w:t>:</w:t>
      </w:r>
      <w:r w:rsidR="00E42F73" w:rsidRPr="001310AD">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2: Key inputs for financial estimates"/>
      </w:tblPr>
      <w:tblGrid>
        <w:gridCol w:w="1555"/>
        <w:gridCol w:w="4252"/>
        <w:gridCol w:w="3210"/>
      </w:tblGrid>
      <w:tr w:rsidR="003B220E" w:rsidRPr="001310AD" w14:paraId="35F4186F" w14:textId="77777777" w:rsidTr="000B15C2">
        <w:trPr>
          <w:tblHeader/>
        </w:trPr>
        <w:tc>
          <w:tcPr>
            <w:tcW w:w="862" w:type="pct"/>
            <w:vAlign w:val="center"/>
          </w:tcPr>
          <w:p w14:paraId="5DA820AC" w14:textId="77777777" w:rsidR="003B220E" w:rsidRPr="001310AD" w:rsidRDefault="003B220E" w:rsidP="00F13684">
            <w:pPr>
              <w:pStyle w:val="In-tableHeading"/>
            </w:pPr>
            <w:r w:rsidRPr="001310AD">
              <w:t>Parameter</w:t>
            </w:r>
          </w:p>
        </w:tc>
        <w:tc>
          <w:tcPr>
            <w:tcW w:w="2358" w:type="pct"/>
            <w:vAlign w:val="center"/>
          </w:tcPr>
          <w:p w14:paraId="15FA5EE6" w14:textId="77777777" w:rsidR="003B220E" w:rsidRPr="001310AD" w:rsidRDefault="003B220E" w:rsidP="00F13684">
            <w:pPr>
              <w:pStyle w:val="In-tableHeading"/>
            </w:pPr>
            <w:r w:rsidRPr="001310AD">
              <w:t>Value applied and source</w:t>
            </w:r>
          </w:p>
        </w:tc>
        <w:tc>
          <w:tcPr>
            <w:tcW w:w="1780" w:type="pct"/>
            <w:vAlign w:val="center"/>
          </w:tcPr>
          <w:p w14:paraId="41174D0F" w14:textId="47FA3F46" w:rsidR="003B220E" w:rsidRPr="001310AD" w:rsidRDefault="003B220E" w:rsidP="00F13684">
            <w:pPr>
              <w:pStyle w:val="In-tableHeading"/>
            </w:pPr>
            <w:r w:rsidRPr="001310AD">
              <w:t>Comment</w:t>
            </w:r>
          </w:p>
        </w:tc>
      </w:tr>
      <w:tr w:rsidR="005A1550" w:rsidRPr="001310AD" w14:paraId="0ED496F2" w14:textId="77777777" w:rsidTr="00A5548C">
        <w:trPr>
          <w:tblHeader/>
        </w:trPr>
        <w:tc>
          <w:tcPr>
            <w:tcW w:w="862" w:type="pct"/>
            <w:vAlign w:val="center"/>
          </w:tcPr>
          <w:p w14:paraId="0B0FF8F3" w14:textId="083269DA" w:rsidR="005A1550" w:rsidRPr="001310AD" w:rsidRDefault="005A1550" w:rsidP="00F13684">
            <w:pPr>
              <w:pStyle w:val="In-tableHeading"/>
              <w:rPr>
                <w:b w:val="0"/>
              </w:rPr>
            </w:pPr>
            <w:r w:rsidRPr="001310AD">
              <w:rPr>
                <w:b w:val="0"/>
              </w:rPr>
              <w:t>Uptake rate</w:t>
            </w:r>
            <w:r w:rsidR="006F4F26" w:rsidRPr="001310AD">
              <w:rPr>
                <w:b w:val="0"/>
              </w:rPr>
              <w:t xml:space="preserve"> </w:t>
            </w:r>
            <w:r w:rsidR="006F4F26" w:rsidRPr="001310AD">
              <w:rPr>
                <w:b w:val="0"/>
                <w:i/>
                <w:iCs/>
              </w:rPr>
              <w:t>or ‘coverage’</w:t>
            </w:r>
          </w:p>
        </w:tc>
        <w:tc>
          <w:tcPr>
            <w:tcW w:w="2358" w:type="pct"/>
            <w:vAlign w:val="center"/>
          </w:tcPr>
          <w:p w14:paraId="37EFEB06" w14:textId="634E30AC" w:rsidR="00F13684" w:rsidRPr="001310AD" w:rsidRDefault="00F13684" w:rsidP="00F13684">
            <w:pPr>
              <w:pStyle w:val="Tabletext"/>
              <w:rPr>
                <w:u w:val="single"/>
              </w:rPr>
            </w:pPr>
            <w:r w:rsidRPr="001310AD">
              <w:rPr>
                <w:u w:val="single"/>
              </w:rPr>
              <w:t>Adults ≥75 YOA</w:t>
            </w:r>
          </w:p>
          <w:p w14:paraId="0A18082B" w14:textId="6CE79431" w:rsidR="00F13684" w:rsidRPr="001310AD" w:rsidRDefault="00F13684" w:rsidP="00F13684">
            <w:pPr>
              <w:pStyle w:val="Tabletext"/>
            </w:pPr>
            <w:r w:rsidRPr="001310AD">
              <w:t xml:space="preserve">Yr 1: </w:t>
            </w:r>
            <w:r w:rsidR="000A3A2D" w:rsidRPr="000A3A2D">
              <w:rPr>
                <w:color w:val="000000"/>
                <w:spacing w:val="51"/>
                <w:shd w:val="solid" w:color="000000" w:fill="000000"/>
                <w:fitText w:val="324" w:id="-628465907"/>
                <w14:textFill>
                  <w14:solidFill>
                    <w14:srgbClr w14:val="000000">
                      <w14:alpha w14:val="100000"/>
                    </w14:srgbClr>
                  </w14:solidFill>
                </w14:textFill>
              </w:rPr>
              <w:t>|||</w:t>
            </w:r>
            <w:r w:rsidR="000A3A2D" w:rsidRPr="000A3A2D">
              <w:rPr>
                <w:color w:val="000000"/>
                <w:spacing w:val="1"/>
                <w:shd w:val="solid" w:color="000000" w:fill="000000"/>
                <w:fitText w:val="324" w:id="-628465907"/>
                <w14:textFill>
                  <w14:solidFill>
                    <w14:srgbClr w14:val="000000">
                      <w14:alpha w14:val="100000"/>
                    </w14:srgbClr>
                  </w14:solidFill>
                </w14:textFill>
              </w:rPr>
              <w:t>|</w:t>
            </w:r>
            <w:r w:rsidRPr="001310AD">
              <w:t>%</w:t>
            </w:r>
          </w:p>
          <w:p w14:paraId="56FE1BEE" w14:textId="1F59F906" w:rsidR="00F13684" w:rsidRPr="001310AD" w:rsidRDefault="00F13684" w:rsidP="00F13684">
            <w:pPr>
              <w:pStyle w:val="Tabletext"/>
            </w:pPr>
            <w:r w:rsidRPr="001310AD">
              <w:t xml:space="preserve">Yr 2-5: increases by </w:t>
            </w:r>
            <w:r w:rsidR="000A3A2D" w:rsidRPr="000A3A2D">
              <w:rPr>
                <w:color w:val="000000"/>
                <w:spacing w:val="55"/>
                <w:shd w:val="solid" w:color="000000" w:fill="000000"/>
                <w:fitText w:val="336" w:id="-628465906"/>
                <w14:textFill>
                  <w14:solidFill>
                    <w14:srgbClr w14:val="000000">
                      <w14:alpha w14:val="100000"/>
                    </w14:srgbClr>
                  </w14:solidFill>
                </w14:textFill>
              </w:rPr>
              <w:t>|||</w:t>
            </w:r>
            <w:r w:rsidR="000A3A2D" w:rsidRPr="000A3A2D">
              <w:rPr>
                <w:color w:val="000000"/>
                <w:spacing w:val="1"/>
                <w:shd w:val="solid" w:color="000000" w:fill="000000"/>
                <w:fitText w:val="336" w:id="-628465906"/>
                <w14:textFill>
                  <w14:solidFill>
                    <w14:srgbClr w14:val="000000">
                      <w14:alpha w14:val="100000"/>
                    </w14:srgbClr>
                  </w14:solidFill>
                </w14:textFill>
              </w:rPr>
              <w:t>|</w:t>
            </w:r>
            <w:r w:rsidRPr="001310AD">
              <w:t>% per year</w:t>
            </w:r>
          </w:p>
          <w:p w14:paraId="6D827025" w14:textId="411F74EA" w:rsidR="00F13684" w:rsidRPr="001310AD" w:rsidRDefault="00F13684" w:rsidP="00F13684">
            <w:pPr>
              <w:pStyle w:val="Tabletext"/>
            </w:pPr>
            <w:r w:rsidRPr="001310AD">
              <w:t xml:space="preserve">Yr 6: </w:t>
            </w:r>
            <w:r w:rsidR="000A3A2D" w:rsidRPr="000A3A2D">
              <w:rPr>
                <w:color w:val="000000"/>
                <w:spacing w:val="51"/>
                <w:shd w:val="solid" w:color="000000" w:fill="000000"/>
                <w:fitText w:val="324" w:id="-628465905"/>
                <w14:textFill>
                  <w14:solidFill>
                    <w14:srgbClr w14:val="000000">
                      <w14:alpha w14:val="100000"/>
                    </w14:srgbClr>
                  </w14:solidFill>
                </w14:textFill>
              </w:rPr>
              <w:t>|||</w:t>
            </w:r>
            <w:r w:rsidR="000A3A2D" w:rsidRPr="000A3A2D">
              <w:rPr>
                <w:color w:val="000000"/>
                <w:spacing w:val="1"/>
                <w:shd w:val="solid" w:color="000000" w:fill="000000"/>
                <w:fitText w:val="324" w:id="-628465905"/>
                <w14:textFill>
                  <w14:solidFill>
                    <w14:srgbClr w14:val="000000">
                      <w14:alpha w14:val="100000"/>
                    </w14:srgbClr>
                  </w14:solidFill>
                </w14:textFill>
              </w:rPr>
              <w:t>|</w:t>
            </w:r>
            <w:r w:rsidRPr="001310AD">
              <w:t>%</w:t>
            </w:r>
          </w:p>
          <w:p w14:paraId="401530DB" w14:textId="77777777" w:rsidR="00F13684" w:rsidRPr="001310AD" w:rsidRDefault="00F13684" w:rsidP="00F13684">
            <w:pPr>
              <w:pStyle w:val="Tabletext"/>
            </w:pPr>
          </w:p>
          <w:p w14:paraId="08000D51" w14:textId="2A3B133B" w:rsidR="00F13684" w:rsidRPr="001310AD" w:rsidRDefault="00F13684" w:rsidP="00A5548C">
            <w:pPr>
              <w:pStyle w:val="Tabletext"/>
              <w:shd w:val="clear" w:color="auto" w:fill="B8CCE4" w:themeFill="accent1" w:themeFillTint="66"/>
              <w:rPr>
                <w:u w:val="single"/>
              </w:rPr>
            </w:pPr>
            <w:r w:rsidRPr="001310AD">
              <w:rPr>
                <w:u w:val="single"/>
              </w:rPr>
              <w:t>Aboriginal and Torres Strait Islander people</w:t>
            </w:r>
          </w:p>
          <w:p w14:paraId="050B820B" w14:textId="77777777" w:rsidR="00F13684" w:rsidRPr="001310AD" w:rsidRDefault="00F13684" w:rsidP="00A5548C">
            <w:pPr>
              <w:pStyle w:val="Tabletext"/>
              <w:shd w:val="clear" w:color="auto" w:fill="B8CCE4" w:themeFill="accent1" w:themeFillTint="66"/>
              <w:rPr>
                <w:u w:val="single"/>
              </w:rPr>
            </w:pPr>
            <w:r w:rsidRPr="001310AD">
              <w:rPr>
                <w:u w:val="single"/>
              </w:rPr>
              <w:t>60-64 YOA</w:t>
            </w:r>
          </w:p>
          <w:p w14:paraId="25889A84" w14:textId="47B7A1C9" w:rsidR="00F13684" w:rsidRPr="001310AD" w:rsidRDefault="00F13684" w:rsidP="00A5548C">
            <w:pPr>
              <w:pStyle w:val="Tabletext"/>
              <w:shd w:val="clear" w:color="auto" w:fill="B8CCE4" w:themeFill="accent1" w:themeFillTint="66"/>
            </w:pPr>
            <w:r w:rsidRPr="001310AD">
              <w:t xml:space="preserve">Yr 1: </w:t>
            </w:r>
            <w:r w:rsidR="000A3A2D" w:rsidRPr="000A3A2D">
              <w:rPr>
                <w:color w:val="000000"/>
                <w:spacing w:val="51"/>
                <w:shd w:val="solid" w:color="000000" w:fill="000000"/>
                <w:fitText w:val="324" w:id="-628465904"/>
                <w14:textFill>
                  <w14:solidFill>
                    <w14:srgbClr w14:val="000000">
                      <w14:alpha w14:val="100000"/>
                    </w14:srgbClr>
                  </w14:solidFill>
                </w14:textFill>
              </w:rPr>
              <w:t>|||</w:t>
            </w:r>
            <w:r w:rsidR="000A3A2D" w:rsidRPr="000A3A2D">
              <w:rPr>
                <w:color w:val="000000"/>
                <w:spacing w:val="1"/>
                <w:shd w:val="solid" w:color="000000" w:fill="000000"/>
                <w:fitText w:val="324" w:id="-628465904"/>
                <w14:textFill>
                  <w14:solidFill>
                    <w14:srgbClr w14:val="000000">
                      <w14:alpha w14:val="100000"/>
                    </w14:srgbClr>
                  </w14:solidFill>
                </w14:textFill>
              </w:rPr>
              <w:t>|</w:t>
            </w:r>
            <w:r w:rsidRPr="001310AD">
              <w:t>%</w:t>
            </w:r>
          </w:p>
          <w:p w14:paraId="049C8E7A" w14:textId="7A297095" w:rsidR="00F13684" w:rsidRPr="001310AD" w:rsidRDefault="00F13684" w:rsidP="00A5548C">
            <w:pPr>
              <w:pStyle w:val="Tabletext"/>
              <w:shd w:val="clear" w:color="auto" w:fill="B8CCE4" w:themeFill="accent1" w:themeFillTint="66"/>
            </w:pPr>
            <w:r w:rsidRPr="001310AD">
              <w:t xml:space="preserve">Yr 2-5: increases by </w:t>
            </w:r>
            <w:r w:rsidR="000A3A2D" w:rsidRPr="000A3A2D">
              <w:rPr>
                <w:color w:val="000000"/>
                <w:spacing w:val="55"/>
                <w:shd w:val="solid" w:color="000000" w:fill="000000"/>
                <w:fitText w:val="336" w:id="-628465920"/>
                <w14:textFill>
                  <w14:solidFill>
                    <w14:srgbClr w14:val="000000">
                      <w14:alpha w14:val="100000"/>
                    </w14:srgbClr>
                  </w14:solidFill>
                </w14:textFill>
              </w:rPr>
              <w:t>|||</w:t>
            </w:r>
            <w:r w:rsidR="000A3A2D" w:rsidRPr="000A3A2D">
              <w:rPr>
                <w:color w:val="000000"/>
                <w:spacing w:val="1"/>
                <w:shd w:val="solid" w:color="000000" w:fill="000000"/>
                <w:fitText w:val="336" w:id="-628465920"/>
                <w14:textFill>
                  <w14:solidFill>
                    <w14:srgbClr w14:val="000000">
                      <w14:alpha w14:val="100000"/>
                    </w14:srgbClr>
                  </w14:solidFill>
                </w14:textFill>
              </w:rPr>
              <w:t>|</w:t>
            </w:r>
            <w:r w:rsidRPr="001310AD">
              <w:t>% per year</w:t>
            </w:r>
          </w:p>
          <w:p w14:paraId="05128D9B" w14:textId="78B4F58A" w:rsidR="00F13684" w:rsidRPr="001310AD" w:rsidRDefault="00F13684" w:rsidP="00A5548C">
            <w:pPr>
              <w:pStyle w:val="Tabletext"/>
              <w:shd w:val="clear" w:color="auto" w:fill="B8CCE4" w:themeFill="accent1" w:themeFillTint="66"/>
            </w:pPr>
            <w:r w:rsidRPr="001310AD">
              <w:t xml:space="preserve">Yr 6: </w:t>
            </w:r>
            <w:r w:rsidR="000A3A2D" w:rsidRPr="000A3A2D">
              <w:rPr>
                <w:color w:val="000000"/>
                <w:spacing w:val="51"/>
                <w:shd w:val="solid" w:color="000000" w:fill="000000"/>
                <w:fitText w:val="324" w:id="-628465919"/>
                <w14:textFill>
                  <w14:solidFill>
                    <w14:srgbClr w14:val="000000">
                      <w14:alpha w14:val="100000"/>
                    </w14:srgbClr>
                  </w14:solidFill>
                </w14:textFill>
              </w:rPr>
              <w:t>|||</w:t>
            </w:r>
            <w:r w:rsidR="000A3A2D" w:rsidRPr="000A3A2D">
              <w:rPr>
                <w:color w:val="000000"/>
                <w:spacing w:val="1"/>
                <w:shd w:val="solid" w:color="000000" w:fill="000000"/>
                <w:fitText w:val="324" w:id="-628465919"/>
                <w14:textFill>
                  <w14:solidFill>
                    <w14:srgbClr w14:val="000000">
                      <w14:alpha w14:val="100000"/>
                    </w14:srgbClr>
                  </w14:solidFill>
                </w14:textFill>
              </w:rPr>
              <w:t>|</w:t>
            </w:r>
            <w:r w:rsidRPr="001310AD">
              <w:t>%</w:t>
            </w:r>
          </w:p>
          <w:p w14:paraId="33CF1806" w14:textId="77777777" w:rsidR="00F13684" w:rsidRPr="001310AD" w:rsidRDefault="00F13684" w:rsidP="00A5548C">
            <w:pPr>
              <w:pStyle w:val="Tabletext"/>
              <w:shd w:val="clear" w:color="auto" w:fill="B8CCE4" w:themeFill="accent1" w:themeFillTint="66"/>
            </w:pPr>
          </w:p>
          <w:p w14:paraId="2AD9782C" w14:textId="77777777" w:rsidR="00F13684" w:rsidRPr="001310AD" w:rsidRDefault="00F13684" w:rsidP="00A5548C">
            <w:pPr>
              <w:pStyle w:val="Tabletext"/>
              <w:shd w:val="clear" w:color="auto" w:fill="B8CCE4" w:themeFill="accent1" w:themeFillTint="66"/>
              <w:rPr>
                <w:u w:val="single"/>
              </w:rPr>
            </w:pPr>
            <w:r w:rsidRPr="001310AD">
              <w:rPr>
                <w:u w:val="single"/>
              </w:rPr>
              <w:t>65-74 YOA</w:t>
            </w:r>
          </w:p>
          <w:p w14:paraId="73E3E93A" w14:textId="31225262" w:rsidR="00F13684" w:rsidRPr="001310AD" w:rsidRDefault="00F13684" w:rsidP="00A5548C">
            <w:pPr>
              <w:pStyle w:val="Tabletext"/>
              <w:shd w:val="clear" w:color="auto" w:fill="B8CCE4" w:themeFill="accent1" w:themeFillTint="66"/>
            </w:pPr>
            <w:r w:rsidRPr="001310AD">
              <w:t xml:space="preserve">Yr 1: </w:t>
            </w:r>
            <w:r w:rsidR="000A3A2D" w:rsidRPr="000A3A2D">
              <w:rPr>
                <w:color w:val="000000"/>
                <w:spacing w:val="51"/>
                <w:shd w:val="solid" w:color="000000" w:fill="000000"/>
                <w:fitText w:val="324" w:id="-628465918"/>
                <w14:textFill>
                  <w14:solidFill>
                    <w14:srgbClr w14:val="000000">
                      <w14:alpha w14:val="100000"/>
                    </w14:srgbClr>
                  </w14:solidFill>
                </w14:textFill>
              </w:rPr>
              <w:t>|||</w:t>
            </w:r>
            <w:r w:rsidR="000A3A2D" w:rsidRPr="000A3A2D">
              <w:rPr>
                <w:color w:val="000000"/>
                <w:spacing w:val="1"/>
                <w:shd w:val="solid" w:color="000000" w:fill="000000"/>
                <w:fitText w:val="324" w:id="-628465918"/>
                <w14:textFill>
                  <w14:solidFill>
                    <w14:srgbClr w14:val="000000">
                      <w14:alpha w14:val="100000"/>
                    </w14:srgbClr>
                  </w14:solidFill>
                </w14:textFill>
              </w:rPr>
              <w:t>|</w:t>
            </w:r>
            <w:r w:rsidRPr="001310AD">
              <w:t>%</w:t>
            </w:r>
          </w:p>
          <w:p w14:paraId="09774D96" w14:textId="27EDBEFA" w:rsidR="00F13684" w:rsidRPr="001310AD" w:rsidRDefault="00F13684" w:rsidP="00A5548C">
            <w:pPr>
              <w:pStyle w:val="Tabletext"/>
              <w:shd w:val="clear" w:color="auto" w:fill="B8CCE4" w:themeFill="accent1" w:themeFillTint="66"/>
            </w:pPr>
            <w:r w:rsidRPr="001310AD">
              <w:t xml:space="preserve">Yr 2-5: increases by </w:t>
            </w:r>
            <w:r w:rsidR="000A3A2D" w:rsidRPr="000A3A2D">
              <w:rPr>
                <w:color w:val="000000"/>
                <w:spacing w:val="55"/>
                <w:shd w:val="solid" w:color="000000" w:fill="000000"/>
                <w:fitText w:val="336" w:id="-628465917"/>
                <w14:textFill>
                  <w14:solidFill>
                    <w14:srgbClr w14:val="000000">
                      <w14:alpha w14:val="100000"/>
                    </w14:srgbClr>
                  </w14:solidFill>
                </w14:textFill>
              </w:rPr>
              <w:t>|||</w:t>
            </w:r>
            <w:r w:rsidR="000A3A2D" w:rsidRPr="000A3A2D">
              <w:rPr>
                <w:color w:val="000000"/>
                <w:spacing w:val="1"/>
                <w:shd w:val="solid" w:color="000000" w:fill="000000"/>
                <w:fitText w:val="336" w:id="-628465917"/>
                <w14:textFill>
                  <w14:solidFill>
                    <w14:srgbClr w14:val="000000">
                      <w14:alpha w14:val="100000"/>
                    </w14:srgbClr>
                  </w14:solidFill>
                </w14:textFill>
              </w:rPr>
              <w:t>|</w:t>
            </w:r>
            <w:r w:rsidRPr="001310AD">
              <w:t>% per year</w:t>
            </w:r>
          </w:p>
          <w:p w14:paraId="7ECE45EF" w14:textId="47CB3E02" w:rsidR="005A1550" w:rsidRPr="001310AD" w:rsidRDefault="00F13684" w:rsidP="00A5548C">
            <w:pPr>
              <w:pStyle w:val="In-tableHeading"/>
              <w:shd w:val="clear" w:color="auto" w:fill="B8CCE4" w:themeFill="accent1" w:themeFillTint="66"/>
              <w:jc w:val="both"/>
            </w:pPr>
            <w:r w:rsidRPr="001310AD">
              <w:t xml:space="preserve">Yr 6: </w:t>
            </w:r>
            <w:r w:rsidR="000A3A2D" w:rsidRPr="00044091">
              <w:rPr>
                <w:color w:val="000000"/>
                <w:spacing w:val="27"/>
                <w:shd w:val="solid" w:color="000000" w:fill="000000"/>
                <w:fitText w:val="340" w:id="-628465916"/>
                <w14:textFill>
                  <w14:solidFill>
                    <w14:srgbClr w14:val="000000">
                      <w14:alpha w14:val="100000"/>
                    </w14:srgbClr>
                  </w14:solidFill>
                </w14:textFill>
              </w:rPr>
              <w:t>||</w:t>
            </w:r>
            <w:r w:rsidR="00044091" w:rsidRPr="00044091">
              <w:rPr>
                <w:color w:val="000000"/>
                <w:spacing w:val="27"/>
                <w:shd w:val="solid" w:color="000000" w:fill="000000"/>
                <w:fitText w:val="340" w:id="-628465916"/>
                <w14:textFill>
                  <w14:solidFill>
                    <w14:srgbClr w14:val="000000">
                      <w14:alpha w14:val="100000"/>
                    </w14:srgbClr>
                  </w14:solidFill>
                </w14:textFill>
              </w:rPr>
              <w:t xml:space="preserve"> </w:t>
            </w:r>
            <w:r w:rsidR="000A3A2D" w:rsidRPr="00044091">
              <w:rPr>
                <w:color w:val="000000"/>
                <w:spacing w:val="27"/>
                <w:shd w:val="solid" w:color="000000" w:fill="000000"/>
                <w:fitText w:val="340" w:id="-628465916"/>
                <w14:textFill>
                  <w14:solidFill>
                    <w14:srgbClr w14:val="000000">
                      <w14:alpha w14:val="100000"/>
                    </w14:srgbClr>
                  </w14:solidFill>
                </w14:textFill>
              </w:rPr>
              <w:t>|</w:t>
            </w:r>
            <w:r w:rsidR="000A3A2D" w:rsidRPr="00044091">
              <w:rPr>
                <w:color w:val="000000"/>
                <w:spacing w:val="3"/>
                <w:shd w:val="solid" w:color="000000" w:fill="000000"/>
                <w:fitText w:val="340" w:id="-628465916"/>
                <w14:textFill>
                  <w14:solidFill>
                    <w14:srgbClr w14:val="000000">
                      <w14:alpha w14:val="100000"/>
                    </w14:srgbClr>
                  </w14:solidFill>
                </w14:textFill>
              </w:rPr>
              <w:t>|</w:t>
            </w:r>
            <w:r w:rsidRPr="001310AD">
              <w:t>%</w:t>
            </w:r>
          </w:p>
        </w:tc>
        <w:tc>
          <w:tcPr>
            <w:tcW w:w="1780" w:type="pct"/>
            <w:vAlign w:val="center"/>
          </w:tcPr>
          <w:p w14:paraId="55B01D6A" w14:textId="780497FE" w:rsidR="00A5548C" w:rsidRPr="001310AD" w:rsidRDefault="00A5548C" w:rsidP="00A5548C">
            <w:pPr>
              <w:pStyle w:val="Tabletext"/>
            </w:pPr>
            <w:r w:rsidRPr="001310AD">
              <w:t xml:space="preserve">The uptake assumptions </w:t>
            </w:r>
            <w:r w:rsidR="0050752E" w:rsidRPr="001310AD">
              <w:t>we</w:t>
            </w:r>
            <w:r w:rsidRPr="001310AD">
              <w:t xml:space="preserve">re consistent with </w:t>
            </w:r>
            <w:r w:rsidR="00D00E9D" w:rsidRPr="001310AD">
              <w:t xml:space="preserve">those </w:t>
            </w:r>
            <w:r w:rsidRPr="001310AD">
              <w:t xml:space="preserve">recommended in the March 2025 ATAGI advice for adults ≥ 75 YOA: </w:t>
            </w:r>
            <w:r w:rsidR="000A3A2D" w:rsidRPr="000A3A2D">
              <w:rPr>
                <w:color w:val="000000"/>
                <w:spacing w:val="51"/>
                <w:shd w:val="solid" w:color="000000" w:fill="000000"/>
                <w:fitText w:val="324" w:id="-628465915"/>
                <w14:textFill>
                  <w14:solidFill>
                    <w14:srgbClr w14:val="000000">
                      <w14:alpha w14:val="100000"/>
                    </w14:srgbClr>
                  </w14:solidFill>
                </w14:textFill>
              </w:rPr>
              <w:t>|||</w:t>
            </w:r>
            <w:r w:rsidR="000A3A2D" w:rsidRPr="000A3A2D">
              <w:rPr>
                <w:color w:val="000000"/>
                <w:spacing w:val="1"/>
                <w:shd w:val="solid" w:color="000000" w:fill="000000"/>
                <w:fitText w:val="324" w:id="-628465915"/>
                <w14:textFill>
                  <w14:solidFill>
                    <w14:srgbClr w14:val="000000">
                      <w14:alpha w14:val="100000"/>
                    </w14:srgbClr>
                  </w14:solidFill>
                </w14:textFill>
              </w:rPr>
              <w:t>|</w:t>
            </w:r>
            <w:r w:rsidRPr="001310AD">
              <w:t xml:space="preserve">% by Year 6 ( ATAGI advice, March 2025). </w:t>
            </w:r>
            <w:r w:rsidR="00DE2642" w:rsidRPr="001310AD">
              <w:t xml:space="preserve">The July 2024 submission </w:t>
            </w:r>
            <w:r w:rsidR="00980B79" w:rsidRPr="001310AD">
              <w:t xml:space="preserve">based its uptake rates </w:t>
            </w:r>
            <w:r w:rsidR="00184A31" w:rsidRPr="001310AD">
              <w:t>for</w:t>
            </w:r>
            <w:r w:rsidR="00CB1D85" w:rsidRPr="001310AD">
              <w:t xml:space="preserve"> adults</w:t>
            </w:r>
            <w:r w:rsidR="00184A31" w:rsidRPr="001310AD">
              <w:t xml:space="preserve"> ≥ 75 YOA </w:t>
            </w:r>
            <w:r w:rsidR="009A69EE" w:rsidRPr="001310AD">
              <w:t>(</w:t>
            </w:r>
            <w:r w:rsidR="006B267E" w:rsidRPr="001310AD">
              <w:t xml:space="preserve">Y1: </w:t>
            </w:r>
            <w:r w:rsidR="000A3A2D" w:rsidRPr="000A3A2D">
              <w:rPr>
                <w:color w:val="000000"/>
                <w:spacing w:val="51"/>
                <w:shd w:val="solid" w:color="000000" w:fill="000000"/>
                <w:fitText w:val="324" w:id="-628465914"/>
                <w14:textFill>
                  <w14:solidFill>
                    <w14:srgbClr w14:val="000000">
                      <w14:alpha w14:val="100000"/>
                    </w14:srgbClr>
                  </w14:solidFill>
                </w14:textFill>
              </w:rPr>
              <w:t>|||</w:t>
            </w:r>
            <w:r w:rsidR="000A3A2D" w:rsidRPr="000A3A2D">
              <w:rPr>
                <w:color w:val="000000"/>
                <w:spacing w:val="1"/>
                <w:shd w:val="solid" w:color="000000" w:fill="000000"/>
                <w:fitText w:val="324" w:id="-628465914"/>
                <w14:textFill>
                  <w14:solidFill>
                    <w14:srgbClr w14:val="000000">
                      <w14:alpha w14:val="100000"/>
                    </w14:srgbClr>
                  </w14:solidFill>
                </w14:textFill>
              </w:rPr>
              <w:t>|</w:t>
            </w:r>
            <w:r w:rsidR="006B267E" w:rsidRPr="001310AD">
              <w:t xml:space="preserve">% to Y6: </w:t>
            </w:r>
            <w:r w:rsidR="000A3A2D" w:rsidRPr="000A3A2D">
              <w:rPr>
                <w:color w:val="000000"/>
                <w:spacing w:val="51"/>
                <w:shd w:val="solid" w:color="000000" w:fill="000000"/>
                <w:fitText w:val="324" w:id="-628465913"/>
                <w14:textFill>
                  <w14:solidFill>
                    <w14:srgbClr w14:val="000000">
                      <w14:alpha w14:val="100000"/>
                    </w14:srgbClr>
                  </w14:solidFill>
                </w14:textFill>
              </w:rPr>
              <w:t>|||</w:t>
            </w:r>
            <w:r w:rsidR="000A3A2D" w:rsidRPr="000A3A2D">
              <w:rPr>
                <w:color w:val="000000"/>
                <w:spacing w:val="1"/>
                <w:shd w:val="solid" w:color="000000" w:fill="000000"/>
                <w:fitText w:val="324" w:id="-628465913"/>
                <w14:textFill>
                  <w14:solidFill>
                    <w14:srgbClr w14:val="000000">
                      <w14:alpha w14:val="100000"/>
                    </w14:srgbClr>
                  </w14:solidFill>
                </w14:textFill>
              </w:rPr>
              <w:t>|</w:t>
            </w:r>
            <w:r w:rsidR="006B267E" w:rsidRPr="001310AD">
              <w:t xml:space="preserve">%) </w:t>
            </w:r>
            <w:r w:rsidR="00A5735E" w:rsidRPr="001310AD">
              <w:t xml:space="preserve">from the NCIRS </w:t>
            </w:r>
            <w:r w:rsidR="0092597B" w:rsidRPr="001310AD">
              <w:t>Annual Immunisation coverage</w:t>
            </w:r>
            <w:r w:rsidR="004C7AE1" w:rsidRPr="001310AD">
              <w:t xml:space="preserve"> report for influenza (2022). </w:t>
            </w:r>
          </w:p>
          <w:p w14:paraId="6065621E" w14:textId="77777777" w:rsidR="00A5548C" w:rsidRPr="001310AD" w:rsidRDefault="00A5548C" w:rsidP="00A5548C">
            <w:pPr>
              <w:pStyle w:val="Tabletext"/>
            </w:pPr>
          </w:p>
          <w:p w14:paraId="4A5DE2DA" w14:textId="2C720758" w:rsidR="005A1550" w:rsidRPr="001310AD" w:rsidRDefault="00A5548C" w:rsidP="00A5548C">
            <w:pPr>
              <w:pStyle w:val="In-tableHeading"/>
              <w:jc w:val="left"/>
              <w:rPr>
                <w:b w:val="0"/>
              </w:rPr>
            </w:pPr>
            <w:r w:rsidRPr="001310AD">
              <w:rPr>
                <w:b w:val="0"/>
              </w:rPr>
              <w:t>No changes were applied to the vaccine uptake compared to the July 2024 submission in Aboriginal and Torres Strait Islander peoples.</w:t>
            </w:r>
          </w:p>
        </w:tc>
      </w:tr>
      <w:tr w:rsidR="003B220E" w:rsidRPr="001310AD" w14:paraId="40209067" w14:textId="77777777" w:rsidTr="000B15C2">
        <w:tc>
          <w:tcPr>
            <w:tcW w:w="862" w:type="pct"/>
            <w:vAlign w:val="center"/>
          </w:tcPr>
          <w:p w14:paraId="3B869F5F" w14:textId="00176EB1" w:rsidR="003B220E" w:rsidRPr="001310AD" w:rsidRDefault="00C97F26">
            <w:pPr>
              <w:pStyle w:val="TableText0"/>
            </w:pPr>
            <w:r w:rsidRPr="001310AD">
              <w:t xml:space="preserve">Doses of </w:t>
            </w:r>
            <w:r w:rsidR="003B220E" w:rsidRPr="001310AD">
              <w:t>RSVPreF3 OA</w:t>
            </w:r>
          </w:p>
        </w:tc>
        <w:tc>
          <w:tcPr>
            <w:tcW w:w="2358" w:type="pct"/>
            <w:vAlign w:val="center"/>
          </w:tcPr>
          <w:p w14:paraId="278DCAC8" w14:textId="77777777" w:rsidR="0062016D" w:rsidRPr="001310AD" w:rsidRDefault="0062016D" w:rsidP="0062016D">
            <w:pPr>
              <w:pStyle w:val="Tabletext"/>
              <w:rPr>
                <w:u w:val="single"/>
              </w:rPr>
            </w:pPr>
            <w:r w:rsidRPr="001310AD">
              <w:rPr>
                <w:u w:val="single"/>
              </w:rPr>
              <w:t>≥ 75 YOA</w:t>
            </w:r>
          </w:p>
          <w:p w14:paraId="05A91F4B" w14:textId="01725300" w:rsidR="0062016D" w:rsidRPr="001310AD" w:rsidRDefault="0062016D" w:rsidP="0062016D">
            <w:pPr>
              <w:pStyle w:val="Tabletext"/>
            </w:pPr>
            <w:r w:rsidRPr="001310AD">
              <w:t xml:space="preserve">Yr 1: </w:t>
            </w:r>
            <w:r w:rsidR="000A3A2D" w:rsidRPr="000A3A2D">
              <w:rPr>
                <w:color w:val="000000"/>
                <w:spacing w:val="51"/>
                <w:shd w:val="solid" w:color="000000" w:fill="000000"/>
                <w:fitText w:val="324" w:id="-628465912"/>
                <w14:textFill>
                  <w14:solidFill>
                    <w14:srgbClr w14:val="000000">
                      <w14:alpha w14:val="100000"/>
                    </w14:srgbClr>
                  </w14:solidFill>
                </w14:textFill>
              </w:rPr>
              <w:t>|||</w:t>
            </w:r>
            <w:r w:rsidR="000A3A2D" w:rsidRPr="000A3A2D">
              <w:rPr>
                <w:color w:val="000000"/>
                <w:spacing w:val="1"/>
                <w:shd w:val="solid" w:color="000000" w:fill="000000"/>
                <w:fitText w:val="324" w:id="-628465912"/>
                <w14:textFill>
                  <w14:solidFill>
                    <w14:srgbClr w14:val="000000">
                      <w14:alpha w14:val="100000"/>
                    </w14:srgbClr>
                  </w14:solidFill>
                </w14:textFill>
              </w:rPr>
              <w:t>|</w:t>
            </w:r>
            <w:r w:rsidR="00697191">
              <w:rPr>
                <w:vertAlign w:val="superscript"/>
              </w:rPr>
              <w:t>1</w:t>
            </w:r>
            <w:r w:rsidRPr="001310AD">
              <w:t xml:space="preserve"> to </w:t>
            </w:r>
          </w:p>
          <w:p w14:paraId="44224268" w14:textId="452ED01A" w:rsidR="0062016D" w:rsidRPr="00715BD8" w:rsidRDefault="0062016D" w:rsidP="0062016D">
            <w:pPr>
              <w:pStyle w:val="Tabletext"/>
              <w:rPr>
                <w:vertAlign w:val="superscript"/>
              </w:rPr>
            </w:pPr>
            <w:r w:rsidRPr="001310AD">
              <w:t xml:space="preserve">Yr 6: </w:t>
            </w:r>
            <w:r w:rsidR="000A3A2D" w:rsidRPr="000A3A2D">
              <w:rPr>
                <w:color w:val="000000"/>
                <w:spacing w:val="51"/>
                <w:shd w:val="solid" w:color="000000" w:fill="000000"/>
                <w:fitText w:val="324" w:id="-628465911"/>
                <w14:textFill>
                  <w14:solidFill>
                    <w14:srgbClr w14:val="000000">
                      <w14:alpha w14:val="100000"/>
                    </w14:srgbClr>
                  </w14:solidFill>
                </w14:textFill>
              </w:rPr>
              <w:t>|||</w:t>
            </w:r>
            <w:r w:rsidR="000A3A2D" w:rsidRPr="000A3A2D">
              <w:rPr>
                <w:color w:val="000000"/>
                <w:spacing w:val="1"/>
                <w:shd w:val="solid" w:color="000000" w:fill="000000"/>
                <w:fitText w:val="324" w:id="-628465911"/>
                <w14:textFill>
                  <w14:solidFill>
                    <w14:srgbClr w14:val="000000">
                      <w14:alpha w14:val="100000"/>
                    </w14:srgbClr>
                  </w14:solidFill>
                </w14:textFill>
              </w:rPr>
              <w:t>|</w:t>
            </w:r>
            <w:r w:rsidR="00715BD8">
              <w:rPr>
                <w:vertAlign w:val="superscript"/>
              </w:rPr>
              <w:t>2</w:t>
            </w:r>
          </w:p>
          <w:p w14:paraId="715A7887" w14:textId="77777777" w:rsidR="0062016D" w:rsidRPr="001310AD" w:rsidRDefault="0062016D" w:rsidP="0062016D">
            <w:pPr>
              <w:pStyle w:val="Tabletext"/>
            </w:pPr>
          </w:p>
          <w:p w14:paraId="36CED0B3" w14:textId="77777777" w:rsidR="0062016D" w:rsidRPr="001310AD" w:rsidRDefault="0062016D" w:rsidP="0062016D">
            <w:pPr>
              <w:pStyle w:val="Tabletext"/>
              <w:rPr>
                <w:u w:val="single"/>
              </w:rPr>
            </w:pPr>
            <w:r w:rsidRPr="001310AD">
              <w:rPr>
                <w:u w:val="single"/>
              </w:rPr>
              <w:t>Aboriginal and Torres Strait Islander peoples</w:t>
            </w:r>
          </w:p>
          <w:p w14:paraId="37292E08" w14:textId="77777777" w:rsidR="0062016D" w:rsidRPr="001310AD" w:rsidRDefault="0062016D" w:rsidP="0062016D">
            <w:pPr>
              <w:pStyle w:val="Tabletext"/>
              <w:rPr>
                <w:u w:val="single"/>
              </w:rPr>
            </w:pPr>
            <w:r w:rsidRPr="001310AD">
              <w:rPr>
                <w:u w:val="single"/>
              </w:rPr>
              <w:t>60-64 YOA</w:t>
            </w:r>
          </w:p>
          <w:p w14:paraId="41D7BBED" w14:textId="2A55D4C6" w:rsidR="0062016D" w:rsidRPr="001310AD" w:rsidRDefault="0062016D" w:rsidP="0062016D">
            <w:pPr>
              <w:pStyle w:val="Tabletext"/>
            </w:pPr>
            <w:r w:rsidRPr="001310AD">
              <w:t xml:space="preserve">Yr 1: </w:t>
            </w:r>
            <w:r w:rsidR="000A3A2D" w:rsidRPr="000A3A2D">
              <w:rPr>
                <w:color w:val="000000"/>
                <w:spacing w:val="51"/>
                <w:shd w:val="solid" w:color="000000" w:fill="000000"/>
                <w:fitText w:val="324" w:id="-628465910"/>
                <w14:textFill>
                  <w14:solidFill>
                    <w14:srgbClr w14:val="000000">
                      <w14:alpha w14:val="100000"/>
                    </w14:srgbClr>
                  </w14:solidFill>
                </w14:textFill>
              </w:rPr>
              <w:t>|||</w:t>
            </w:r>
            <w:r w:rsidR="000A3A2D" w:rsidRPr="000A3A2D">
              <w:rPr>
                <w:color w:val="000000"/>
                <w:spacing w:val="1"/>
                <w:shd w:val="solid" w:color="000000" w:fill="000000"/>
                <w:fitText w:val="324" w:id="-628465910"/>
                <w14:textFill>
                  <w14:solidFill>
                    <w14:srgbClr w14:val="000000">
                      <w14:alpha w14:val="100000"/>
                    </w14:srgbClr>
                  </w14:solidFill>
                </w14:textFill>
              </w:rPr>
              <w:t>|</w:t>
            </w:r>
            <w:r w:rsidR="00E7708C">
              <w:rPr>
                <w:vertAlign w:val="superscript"/>
              </w:rPr>
              <w:t>3</w:t>
            </w:r>
            <w:r w:rsidRPr="001310AD">
              <w:t xml:space="preserve"> to </w:t>
            </w:r>
          </w:p>
          <w:p w14:paraId="369CE1AB" w14:textId="46EF5934" w:rsidR="003B220E" w:rsidRPr="004378C6" w:rsidRDefault="0062016D" w:rsidP="0062016D">
            <w:pPr>
              <w:pStyle w:val="TableText0"/>
              <w:rPr>
                <w:vertAlign w:val="superscript"/>
              </w:rPr>
            </w:pPr>
            <w:r w:rsidRPr="001310AD">
              <w:t xml:space="preserve">Yr 6: </w:t>
            </w:r>
            <w:r w:rsidR="000A3A2D" w:rsidRPr="000A3A2D">
              <w:rPr>
                <w:color w:val="000000"/>
                <w:spacing w:val="51"/>
                <w:shd w:val="solid" w:color="000000" w:fill="000000"/>
                <w:fitText w:val="324" w:id="-628465909"/>
                <w14:textFill>
                  <w14:solidFill>
                    <w14:srgbClr w14:val="000000">
                      <w14:alpha w14:val="100000"/>
                    </w14:srgbClr>
                  </w14:solidFill>
                </w14:textFill>
              </w:rPr>
              <w:t>|||</w:t>
            </w:r>
            <w:r w:rsidR="000A3A2D" w:rsidRPr="000A3A2D">
              <w:rPr>
                <w:color w:val="000000"/>
                <w:spacing w:val="1"/>
                <w:shd w:val="solid" w:color="000000" w:fill="000000"/>
                <w:fitText w:val="324" w:id="-628465909"/>
                <w14:textFill>
                  <w14:solidFill>
                    <w14:srgbClr w14:val="000000">
                      <w14:alpha w14:val="100000"/>
                    </w14:srgbClr>
                  </w14:solidFill>
                </w14:textFill>
              </w:rPr>
              <w:t>|</w:t>
            </w:r>
            <w:r w:rsidR="004378C6">
              <w:rPr>
                <w:vertAlign w:val="superscript"/>
              </w:rPr>
              <w:t>4</w:t>
            </w:r>
          </w:p>
        </w:tc>
        <w:tc>
          <w:tcPr>
            <w:tcW w:w="1780" w:type="pct"/>
            <w:vAlign w:val="center"/>
          </w:tcPr>
          <w:p w14:paraId="3B8A3503" w14:textId="3BBC0516" w:rsidR="003B220E" w:rsidRPr="001310AD" w:rsidRDefault="00357422">
            <w:pPr>
              <w:pStyle w:val="TableText0"/>
              <w:rPr>
                <w:i/>
                <w:iCs/>
              </w:rPr>
            </w:pPr>
            <w:r w:rsidRPr="001310AD">
              <w:t xml:space="preserve">The </w:t>
            </w:r>
            <w:r w:rsidR="00AF0CF3" w:rsidRPr="001310AD">
              <w:t xml:space="preserve">evaluation considered that the </w:t>
            </w:r>
            <w:r w:rsidRPr="001310AD">
              <w:t>uptake rate was applied to the same static cohort each year, without accounting for individuals who were vaccinated in the previous year. Th</w:t>
            </w:r>
            <w:r w:rsidR="0050752E" w:rsidRPr="001310AD">
              <w:t>e evaluation considered that th</w:t>
            </w:r>
            <w:r w:rsidRPr="001310AD">
              <w:t>is overestimate</w:t>
            </w:r>
            <w:r w:rsidR="00AE3B8B" w:rsidRPr="001310AD">
              <w:t>d</w:t>
            </w:r>
            <w:r w:rsidRPr="001310AD">
              <w:t xml:space="preserve"> the eligible population and therefore the number of doses dispensed.</w:t>
            </w:r>
            <w:r w:rsidR="0050752E" w:rsidRPr="001310AD">
              <w:t xml:space="preserve"> The PSCR</w:t>
            </w:r>
            <w:r w:rsidR="00AF0CF3" w:rsidRPr="001310AD">
              <w:t xml:space="preserve"> argued that the cumulative uptake rates applied relate to vaccination coverage (i.e. % of the eligible pool who have been vaccinated each year).</w:t>
            </w:r>
            <w:r w:rsidR="00AF0CF3" w:rsidRPr="001310AD">
              <w:rPr>
                <w:i/>
                <w:iCs/>
              </w:rPr>
              <w:t xml:space="preserve"> </w:t>
            </w:r>
          </w:p>
        </w:tc>
      </w:tr>
      <w:tr w:rsidR="00AF0CF3" w:rsidRPr="001310AD" w14:paraId="22CAEEE1" w14:textId="77777777" w:rsidTr="00AF0CF3">
        <w:tc>
          <w:tcPr>
            <w:tcW w:w="5000" w:type="pct"/>
            <w:gridSpan w:val="3"/>
            <w:vAlign w:val="center"/>
          </w:tcPr>
          <w:p w14:paraId="1B0ED340" w14:textId="2E72F08C" w:rsidR="00AF0CF3" w:rsidRPr="001310AD" w:rsidRDefault="00AF0CF3">
            <w:pPr>
              <w:pStyle w:val="TableText0"/>
              <w:rPr>
                <w:b/>
                <w:bCs w:val="0"/>
              </w:rPr>
            </w:pPr>
            <w:r w:rsidRPr="001310AD">
              <w:rPr>
                <w:b/>
                <w:bCs w:val="0"/>
              </w:rPr>
              <w:t>Assumptions relating to non-NIP costs</w:t>
            </w:r>
          </w:p>
        </w:tc>
      </w:tr>
      <w:tr w:rsidR="00B509A1" w:rsidRPr="001310AD" w14:paraId="4347BFD1" w14:textId="77777777" w:rsidTr="000B15C2">
        <w:tc>
          <w:tcPr>
            <w:tcW w:w="862" w:type="pct"/>
            <w:vAlign w:val="center"/>
          </w:tcPr>
          <w:p w14:paraId="2097ED89" w14:textId="597739AC" w:rsidR="00B509A1" w:rsidRPr="001310AD" w:rsidRDefault="00B509A1">
            <w:pPr>
              <w:pStyle w:val="TableText0"/>
            </w:pPr>
            <w:r w:rsidRPr="001310AD">
              <w:t>RSV incidence</w:t>
            </w:r>
          </w:p>
        </w:tc>
        <w:tc>
          <w:tcPr>
            <w:tcW w:w="2358" w:type="pct"/>
            <w:vAlign w:val="center"/>
          </w:tcPr>
          <w:p w14:paraId="26271FC9" w14:textId="7CB8D44B" w:rsidR="00B509A1" w:rsidRPr="002E025E" w:rsidRDefault="0078308D" w:rsidP="0062016D">
            <w:pPr>
              <w:pStyle w:val="Tabletext"/>
            </w:pPr>
            <w:r w:rsidRPr="002E025E">
              <w:t xml:space="preserve">Based on an incidence </w:t>
            </w:r>
            <w:r w:rsidR="00C90A5A" w:rsidRPr="002E025E">
              <w:t xml:space="preserve">rate of RSV </w:t>
            </w:r>
            <w:r w:rsidRPr="002E025E">
              <w:t xml:space="preserve">of 5.72% and VE </w:t>
            </w:r>
            <w:r w:rsidR="000B15C2" w:rsidRPr="002E025E">
              <w:t>as per AreSV</w:t>
            </w:r>
            <w:r w:rsidR="00741B55" w:rsidRPr="002E025E">
              <w:t>i</w:t>
            </w:r>
            <w:r w:rsidR="000B15C2" w:rsidRPr="002E025E">
              <w:t>-006 the number of RSV-LRTD cases prevented were:</w:t>
            </w:r>
          </w:p>
          <w:p w14:paraId="7F8069E5" w14:textId="3041388A" w:rsidR="000B15C2" w:rsidRPr="001310AD" w:rsidRDefault="000B15C2">
            <w:pPr>
              <w:pStyle w:val="Tabletext"/>
              <w:numPr>
                <w:ilvl w:val="0"/>
                <w:numId w:val="9"/>
              </w:numPr>
            </w:pPr>
            <w:r w:rsidRPr="002E025E">
              <w:t>Adults</w:t>
            </w:r>
            <w:r w:rsidRPr="001310AD">
              <w:t xml:space="preserve"> ≥75 YOA: </w:t>
            </w:r>
            <w:r w:rsidR="000A3A2D" w:rsidRPr="009226FB">
              <w:rPr>
                <w:color w:val="000000"/>
                <w:spacing w:val="98"/>
                <w:shd w:val="solid" w:color="000000" w:fill="000000"/>
                <w:fitText w:val="324" w:id="-628465908"/>
                <w14:textFill>
                  <w14:solidFill>
                    <w14:srgbClr w14:val="000000">
                      <w14:alpha w14:val="100000"/>
                    </w14:srgbClr>
                  </w14:solidFill>
                </w14:textFill>
              </w:rPr>
              <w:t>||</w:t>
            </w:r>
            <w:r w:rsidR="000A3A2D" w:rsidRPr="009226FB">
              <w:rPr>
                <w:color w:val="000000"/>
                <w:spacing w:val="1"/>
                <w:shd w:val="solid" w:color="000000" w:fill="000000"/>
                <w:fitText w:val="324" w:id="-628465908"/>
                <w14:textFill>
                  <w14:solidFill>
                    <w14:srgbClr w14:val="000000">
                      <w14:alpha w14:val="100000"/>
                    </w14:srgbClr>
                  </w14:solidFill>
                </w14:textFill>
              </w:rPr>
              <w:t>|</w:t>
            </w:r>
            <w:r w:rsidR="009226FB">
              <w:rPr>
                <w:vertAlign w:val="superscript"/>
              </w:rPr>
              <w:t xml:space="preserve">5 </w:t>
            </w:r>
            <w:r w:rsidRPr="009226FB">
              <w:t>Aboriginal</w:t>
            </w:r>
            <w:r w:rsidRPr="001310AD">
              <w:t xml:space="preserve"> and Torres Strait Islander people 60-74 year: </w:t>
            </w:r>
            <w:r w:rsidR="000A3A2D">
              <w:rPr>
                <w:color w:val="000000"/>
                <w:spacing w:val="50"/>
                <w:shd w:val="solid" w:color="000000" w:fill="000000"/>
                <w:fitText w:val="324" w:id="-628465907"/>
                <w14:textFill>
                  <w14:solidFill>
                    <w14:srgbClr w14:val="000000">
                      <w14:alpha w14:val="100000"/>
                    </w14:srgbClr>
                  </w14:solidFill>
                </w14:textFill>
              </w:rPr>
              <w:t>|||</w:t>
            </w:r>
            <w:r w:rsidR="000A3A2D">
              <w:rPr>
                <w:color w:val="000000"/>
                <w:spacing w:val="2"/>
                <w:shd w:val="solid" w:color="000000" w:fill="000000"/>
                <w:fitText w:val="324" w:id="-628465907"/>
                <w14:textFill>
                  <w14:solidFill>
                    <w14:srgbClr w14:val="000000">
                      <w14:alpha w14:val="100000"/>
                    </w14:srgbClr>
                  </w14:solidFill>
                </w14:textFill>
              </w:rPr>
              <w:t>|</w:t>
            </w:r>
            <w:r w:rsidR="00612F69">
              <w:rPr>
                <w:vertAlign w:val="superscript"/>
              </w:rPr>
              <w:t>4</w:t>
            </w:r>
          </w:p>
        </w:tc>
        <w:tc>
          <w:tcPr>
            <w:tcW w:w="1780" w:type="pct"/>
            <w:vAlign w:val="center"/>
          </w:tcPr>
          <w:p w14:paraId="7C6B812E" w14:textId="4E3B8470" w:rsidR="00B509A1" w:rsidRPr="001310AD" w:rsidRDefault="00B509A1">
            <w:pPr>
              <w:pStyle w:val="TableText0"/>
            </w:pPr>
            <w:r w:rsidRPr="001310AD">
              <w:t xml:space="preserve">The </w:t>
            </w:r>
            <w:r w:rsidR="00AF0CF3" w:rsidRPr="001310AD">
              <w:t xml:space="preserve">evaluation considered that the </w:t>
            </w:r>
            <w:r w:rsidRPr="001310AD">
              <w:t xml:space="preserve">baseline incidence of RSV used in the financial model was inappropriate and </w:t>
            </w:r>
            <w:r w:rsidR="00F40DB2" w:rsidRPr="001310AD">
              <w:t>higher than</w:t>
            </w:r>
            <w:r w:rsidRPr="001310AD">
              <w:t xml:space="preserve"> that used in </w:t>
            </w:r>
            <w:r w:rsidR="000D2715" w:rsidRPr="001310AD">
              <w:t>the economic evaluation</w:t>
            </w:r>
            <w:r w:rsidRPr="001310AD">
              <w:t xml:space="preserve"> (3.95%</w:t>
            </w:r>
            <w:r w:rsidR="004B0A17" w:rsidRPr="001310AD">
              <w:t>)</w:t>
            </w:r>
            <w:r w:rsidRPr="001310AD">
              <w:t>.</w:t>
            </w:r>
            <w:r w:rsidR="00F5430D" w:rsidRPr="001310AD">
              <w:t xml:space="preserve"> </w:t>
            </w:r>
            <w:r w:rsidR="00866A84" w:rsidRPr="001310AD">
              <w:t>Furthermore, the evaluation considered that the rate of 3.95% may</w:t>
            </w:r>
            <w:r w:rsidR="00A4760C" w:rsidRPr="001310AD">
              <w:t xml:space="preserve"> itself</w:t>
            </w:r>
            <w:r w:rsidR="00866A84" w:rsidRPr="001310AD">
              <w:t xml:space="preserve"> be overestimated (paragraph </w:t>
            </w:r>
            <w:r w:rsidR="00F97509" w:rsidRPr="001310AD">
              <w:fldChar w:fldCharType="begin"/>
            </w:r>
            <w:r w:rsidR="00F97509" w:rsidRPr="001310AD">
              <w:instrText xml:space="preserve"> REF _Ref200466853 \r \h </w:instrText>
            </w:r>
            <w:r w:rsidR="0042685C" w:rsidRPr="001310AD">
              <w:instrText xml:space="preserve"> \* MERGEFORMAT </w:instrText>
            </w:r>
            <w:r w:rsidR="00F97509" w:rsidRPr="001310AD">
              <w:fldChar w:fldCharType="separate"/>
            </w:r>
            <w:r w:rsidR="001F75E0" w:rsidRPr="001310AD">
              <w:t>4.2</w:t>
            </w:r>
            <w:r w:rsidR="00F97509" w:rsidRPr="001310AD">
              <w:fldChar w:fldCharType="end"/>
            </w:r>
            <w:r w:rsidR="00866A84" w:rsidRPr="001310AD">
              <w:t>)</w:t>
            </w:r>
            <w:r w:rsidR="00F86954" w:rsidRPr="001310AD">
              <w:t>.</w:t>
            </w:r>
            <w:r w:rsidR="009F0454" w:rsidRPr="001310AD">
              <w:t xml:space="preserve"> No</w:t>
            </w:r>
            <w:r w:rsidR="00F04EFB" w:rsidRPr="001310AD">
              <w:t xml:space="preserve"> changes were applied to the incidence rate compared to the July 2024 submission</w:t>
            </w:r>
            <w:r w:rsidR="006A793C" w:rsidRPr="001310AD">
              <w:t xml:space="preserve"> (5.72%</w:t>
            </w:r>
            <w:r w:rsidR="00174457" w:rsidRPr="001310AD">
              <w:t>)</w:t>
            </w:r>
            <w:r w:rsidR="0088592E" w:rsidRPr="001310AD">
              <w:t xml:space="preserve">, despite the </w:t>
            </w:r>
            <w:r w:rsidR="00093A7E" w:rsidRPr="001310AD">
              <w:t>evaluation for that submission indicating</w:t>
            </w:r>
            <w:r w:rsidR="00242F05" w:rsidRPr="001310AD">
              <w:t xml:space="preserve"> that this </w:t>
            </w:r>
            <w:r w:rsidR="008022CC" w:rsidRPr="001310AD">
              <w:t>estimate was considered uncertain (</w:t>
            </w:r>
            <w:r w:rsidR="007B3BF0" w:rsidRPr="001310AD">
              <w:t>paragraph</w:t>
            </w:r>
            <w:r w:rsidR="004472E0" w:rsidRPr="001310AD">
              <w:t>s</w:t>
            </w:r>
            <w:r w:rsidR="007B3BF0" w:rsidRPr="001310AD">
              <w:t xml:space="preserve"> </w:t>
            </w:r>
            <w:r w:rsidR="004472E0" w:rsidRPr="001310AD">
              <w:t>4.5 and 6.5</w:t>
            </w:r>
            <w:r w:rsidR="00713861" w:rsidRPr="001310AD">
              <w:t>3</w:t>
            </w:r>
            <w:r w:rsidR="007B3BF0" w:rsidRPr="001310AD">
              <w:t>, RSVPreF3 OA PSD, July 2024</w:t>
            </w:r>
            <w:r w:rsidR="004472E0" w:rsidRPr="001310AD">
              <w:t>)</w:t>
            </w:r>
            <w:r w:rsidR="00F04EFB" w:rsidRPr="001310AD">
              <w:t xml:space="preserve">. </w:t>
            </w:r>
          </w:p>
        </w:tc>
      </w:tr>
      <w:tr w:rsidR="003B220E" w:rsidRPr="001310AD" w14:paraId="737EB340" w14:textId="77777777" w:rsidTr="000B15C2">
        <w:tc>
          <w:tcPr>
            <w:tcW w:w="862" w:type="pct"/>
            <w:vAlign w:val="center"/>
          </w:tcPr>
          <w:p w14:paraId="3C5090DE" w14:textId="3001BA39" w:rsidR="003B220E" w:rsidRPr="001310AD" w:rsidRDefault="009F7F7E">
            <w:pPr>
              <w:pStyle w:val="TableText0"/>
            </w:pPr>
            <w:r w:rsidRPr="001310AD">
              <w:t xml:space="preserve">Cost per case avoided </w:t>
            </w:r>
            <w:r w:rsidR="003B220E" w:rsidRPr="001310AD">
              <w:t xml:space="preserve">RSV-LRTD </w:t>
            </w:r>
          </w:p>
        </w:tc>
        <w:tc>
          <w:tcPr>
            <w:tcW w:w="2358" w:type="pct"/>
            <w:vAlign w:val="center"/>
          </w:tcPr>
          <w:p w14:paraId="79D25921" w14:textId="77777777" w:rsidR="003B220E" w:rsidRPr="001310AD" w:rsidRDefault="003B220E">
            <w:pPr>
              <w:pStyle w:val="TableText0"/>
            </w:pPr>
            <w:r w:rsidRPr="001310AD">
              <w:t>Included GP visits, specialist visits, RSV testing, pathology, x-rays, bronchodilators, ED visits, ambulance, hospitalisations (including ICU and MV), LTCF admissions, post-hospital GP, and antibiotics.</w:t>
            </w:r>
          </w:p>
        </w:tc>
        <w:tc>
          <w:tcPr>
            <w:tcW w:w="1780" w:type="pct"/>
            <w:vAlign w:val="center"/>
          </w:tcPr>
          <w:p w14:paraId="15B247F1" w14:textId="089419DD" w:rsidR="003B220E" w:rsidRPr="001310AD" w:rsidRDefault="003B220E">
            <w:pPr>
              <w:pStyle w:val="TableText0"/>
            </w:pPr>
            <w:r w:rsidRPr="001310AD">
              <w:t>Consistent with economic model</w:t>
            </w:r>
            <w:r w:rsidR="00EB7A2C" w:rsidRPr="001310AD">
              <w:t xml:space="preserve">; however, </w:t>
            </w:r>
            <w:r w:rsidR="008278B8" w:rsidRPr="001310AD">
              <w:t>the</w:t>
            </w:r>
            <w:r w:rsidR="00CE2078" w:rsidRPr="001310AD">
              <w:t xml:space="preserve"> evaluation and the</w:t>
            </w:r>
            <w:r w:rsidR="00CE2078" w:rsidRPr="001310AD">
              <w:rPr>
                <w:i/>
                <w:iCs/>
              </w:rPr>
              <w:t xml:space="preserve"> </w:t>
            </w:r>
            <w:r w:rsidR="00CE2078" w:rsidRPr="001310AD">
              <w:t xml:space="preserve">ESC considered that the </w:t>
            </w:r>
            <w:r w:rsidR="008278B8" w:rsidRPr="001310AD">
              <w:t>hospitalisation cost</w:t>
            </w:r>
            <w:r w:rsidR="00CE2078" w:rsidRPr="001310AD">
              <w:t>s</w:t>
            </w:r>
            <w:r w:rsidR="008278B8" w:rsidRPr="001310AD">
              <w:t xml:space="preserve"> (driver of the </w:t>
            </w:r>
            <w:r w:rsidR="0062016D" w:rsidRPr="001310AD">
              <w:t xml:space="preserve">economic model and </w:t>
            </w:r>
            <w:r w:rsidR="008278B8" w:rsidRPr="001310AD">
              <w:t xml:space="preserve">financial impact) </w:t>
            </w:r>
            <w:r w:rsidR="00CE2078" w:rsidRPr="001310AD">
              <w:t xml:space="preserve">were </w:t>
            </w:r>
            <w:r w:rsidRPr="001310AD">
              <w:t>overestimated</w:t>
            </w:r>
            <w:r w:rsidR="0062016D" w:rsidRPr="001310AD">
              <w:t xml:space="preserve"> by the resubmission</w:t>
            </w:r>
            <w:r w:rsidR="0017795F" w:rsidRPr="001310AD">
              <w:t xml:space="preserve"> (</w:t>
            </w:r>
            <w:r w:rsidR="00D5028B" w:rsidRPr="001310AD">
              <w:t>$20,092)</w:t>
            </w:r>
            <w:r w:rsidR="00CE2078" w:rsidRPr="001310AD">
              <w:t>, noting this</w:t>
            </w:r>
            <w:r w:rsidR="00C417D8" w:rsidRPr="001310AD">
              <w:t xml:space="preserve"> is not a cost to the NIP</w:t>
            </w:r>
            <w:r w:rsidR="008278B8" w:rsidRPr="001310AD">
              <w:t>.</w:t>
            </w:r>
          </w:p>
        </w:tc>
      </w:tr>
    </w:tbl>
    <w:p w14:paraId="32D53933" w14:textId="46D0A423" w:rsidR="00D3624C" w:rsidRPr="001310AD" w:rsidRDefault="00D3624C" w:rsidP="00BF4856">
      <w:pPr>
        <w:pStyle w:val="FooterTableFigure"/>
        <w:rPr>
          <w:rStyle w:val="CommentReference"/>
          <w:b w:val="0"/>
          <w:sz w:val="18"/>
          <w:szCs w:val="22"/>
        </w:rPr>
      </w:pPr>
      <w:r w:rsidRPr="001310AD">
        <w:rPr>
          <w:rStyle w:val="CommentReference"/>
          <w:b w:val="0"/>
          <w:sz w:val="18"/>
          <w:szCs w:val="22"/>
        </w:rPr>
        <w:t>Source: Table 4-</w:t>
      </w:r>
      <w:r w:rsidR="00AE6375" w:rsidRPr="001310AD">
        <w:rPr>
          <w:rStyle w:val="CommentReference"/>
          <w:b w:val="0"/>
          <w:sz w:val="18"/>
          <w:szCs w:val="22"/>
        </w:rPr>
        <w:t>3</w:t>
      </w:r>
      <w:r w:rsidRPr="001310AD">
        <w:rPr>
          <w:rStyle w:val="CommentReference"/>
          <w:b w:val="0"/>
          <w:sz w:val="18"/>
          <w:szCs w:val="22"/>
        </w:rPr>
        <w:t xml:space="preserve"> p2</w:t>
      </w:r>
      <w:r w:rsidR="00D47A33" w:rsidRPr="001310AD">
        <w:rPr>
          <w:rStyle w:val="CommentReference"/>
          <w:b w:val="0"/>
          <w:sz w:val="18"/>
          <w:szCs w:val="22"/>
        </w:rPr>
        <w:t>59-260 of the resubmission</w:t>
      </w:r>
      <w:r w:rsidRPr="001310AD">
        <w:rPr>
          <w:rStyle w:val="CommentReference"/>
          <w:b w:val="0"/>
          <w:sz w:val="18"/>
          <w:szCs w:val="22"/>
        </w:rPr>
        <w:t xml:space="preserve"> </w:t>
      </w:r>
    </w:p>
    <w:p w14:paraId="39002A4D" w14:textId="4C28D52B" w:rsidR="00D3624C" w:rsidRPr="001310AD" w:rsidRDefault="00D3624C" w:rsidP="00BF4856">
      <w:pPr>
        <w:pStyle w:val="FooterTableFigure"/>
      </w:pPr>
      <w:r w:rsidRPr="001310AD">
        <w:t>GP =</w:t>
      </w:r>
      <w:r w:rsidR="00153949" w:rsidRPr="001310AD">
        <w:t xml:space="preserve"> </w:t>
      </w:r>
      <w:r w:rsidRPr="001310AD">
        <w:t>general practitioner, ED= emergency department</w:t>
      </w:r>
      <w:r w:rsidR="00701206" w:rsidRPr="001310AD">
        <w:t>;</w:t>
      </w:r>
      <w:r w:rsidRPr="001310AD">
        <w:t xml:space="preserve"> ICU = intensive care unit</w:t>
      </w:r>
      <w:r w:rsidR="00701206" w:rsidRPr="001310AD">
        <w:t>;</w:t>
      </w:r>
      <w:r w:rsidRPr="001310AD">
        <w:t xml:space="preserve"> LRTD = lower respiratory tract disease</w:t>
      </w:r>
      <w:r w:rsidR="00701206" w:rsidRPr="001310AD">
        <w:t>;</w:t>
      </w:r>
      <w:r w:rsidRPr="001310AD">
        <w:t xml:space="preserve"> LTCF = long-term care facility; MV = mechanical ventilation</w:t>
      </w:r>
      <w:r w:rsidR="00701206" w:rsidRPr="001310AD">
        <w:t>;</w:t>
      </w:r>
      <w:r w:rsidRPr="001310AD">
        <w:t xml:space="preserve"> </w:t>
      </w:r>
      <w:r w:rsidR="00CB1D85" w:rsidRPr="001310AD">
        <w:t xml:space="preserve">NCIRS = National Centre for Immunisation Research and Surveillance; </w:t>
      </w:r>
      <w:r w:rsidR="00C417D8" w:rsidRPr="001310AD">
        <w:t xml:space="preserve">NIP = National </w:t>
      </w:r>
      <w:r w:rsidR="00C417D8" w:rsidRPr="001310AD">
        <w:lastRenderedPageBreak/>
        <w:t xml:space="preserve">Immunisation Program; </w:t>
      </w:r>
      <w:r w:rsidR="00124BD7" w:rsidRPr="001310AD">
        <w:t>PSCR = Pre-Sub-Committee Response</w:t>
      </w:r>
      <w:r w:rsidR="00701206" w:rsidRPr="001310AD">
        <w:t xml:space="preserve">; </w:t>
      </w:r>
      <w:r w:rsidRPr="001310AD">
        <w:t>RSV = respiratory syncytial virus</w:t>
      </w:r>
      <w:r w:rsidR="00701206" w:rsidRPr="001310AD">
        <w:t xml:space="preserve">; </w:t>
      </w:r>
      <w:r w:rsidRPr="001310AD">
        <w:t xml:space="preserve">RSVPreF3 OA = RSV </w:t>
      </w:r>
      <w:r w:rsidR="00036000" w:rsidRPr="001310AD">
        <w:t>p</w:t>
      </w:r>
      <w:r w:rsidRPr="001310AD">
        <w:t xml:space="preserve">re-fusion protein 3 older adult; </w:t>
      </w:r>
      <w:r w:rsidR="006B267E" w:rsidRPr="001310AD">
        <w:t xml:space="preserve">Y = year; </w:t>
      </w:r>
      <w:r w:rsidRPr="001310AD">
        <w:t>YOA = years of age.</w:t>
      </w:r>
    </w:p>
    <w:p w14:paraId="424D18FB" w14:textId="7482EBF4" w:rsidR="00FE575D" w:rsidRDefault="00FE575D" w:rsidP="00BF4856">
      <w:pPr>
        <w:pStyle w:val="FooterTableFigure"/>
      </w:pPr>
      <w:r w:rsidRPr="001310AD">
        <w:t>Blue shading indicates data previously seen by the PBAC.</w:t>
      </w:r>
    </w:p>
    <w:p w14:paraId="47283C52" w14:textId="77777777" w:rsidR="00E01D72" w:rsidRPr="00E01D72" w:rsidRDefault="00E01D72" w:rsidP="00E01D72">
      <w:pPr>
        <w:pStyle w:val="FooterTableFigure"/>
        <w:rPr>
          <w:i/>
        </w:rPr>
      </w:pPr>
      <w:r w:rsidRPr="00E01D72">
        <w:rPr>
          <w:i/>
        </w:rPr>
        <w:t xml:space="preserve">The redacted values correspond to the following ranges: </w:t>
      </w:r>
    </w:p>
    <w:p w14:paraId="6D9EE789" w14:textId="56CCAC3B" w:rsidR="00E01D72" w:rsidRPr="00E01D72" w:rsidRDefault="00E01D72" w:rsidP="00E01D72">
      <w:pPr>
        <w:pStyle w:val="FooterTableFigure"/>
        <w:rPr>
          <w:i/>
        </w:rPr>
      </w:pPr>
      <w:r w:rsidRPr="00E01D72">
        <w:rPr>
          <w:i/>
          <w:vertAlign w:val="superscript"/>
        </w:rPr>
        <w:t>1</w:t>
      </w:r>
      <w:r w:rsidRPr="00E01D72">
        <w:rPr>
          <w:i/>
        </w:rPr>
        <w:t xml:space="preserve"> </w:t>
      </w:r>
      <w:r w:rsidR="00697191" w:rsidRPr="00697191">
        <w:rPr>
          <w:i/>
        </w:rPr>
        <w:t>800,000 to &lt; 900,000</w:t>
      </w:r>
    </w:p>
    <w:p w14:paraId="04255322" w14:textId="5950016A" w:rsidR="00E01D72" w:rsidRPr="00E01D72" w:rsidRDefault="00E01D72" w:rsidP="00E01D72">
      <w:pPr>
        <w:pStyle w:val="FooterTableFigure"/>
        <w:rPr>
          <w:i/>
        </w:rPr>
      </w:pPr>
      <w:r w:rsidRPr="00E01D72">
        <w:rPr>
          <w:i/>
          <w:vertAlign w:val="superscript"/>
        </w:rPr>
        <w:t>2</w:t>
      </w:r>
      <w:r w:rsidRPr="00E01D72">
        <w:rPr>
          <w:i/>
        </w:rPr>
        <w:t xml:space="preserve"> </w:t>
      </w:r>
      <w:r w:rsidR="00715BD8" w:rsidRPr="00715BD8">
        <w:rPr>
          <w:i/>
        </w:rPr>
        <w:t>200,000 to &lt; 300,000</w:t>
      </w:r>
    </w:p>
    <w:p w14:paraId="7080345A" w14:textId="77777777" w:rsidR="00E7708C" w:rsidRPr="00E7708C" w:rsidRDefault="00E01D72" w:rsidP="00E7708C">
      <w:pPr>
        <w:pStyle w:val="FooterTableFigure"/>
        <w:rPr>
          <w:i/>
        </w:rPr>
      </w:pPr>
      <w:r w:rsidRPr="00E01D72">
        <w:rPr>
          <w:i/>
          <w:vertAlign w:val="superscript"/>
        </w:rPr>
        <w:t>3</w:t>
      </w:r>
      <w:r w:rsidRPr="00E01D72">
        <w:rPr>
          <w:i/>
        </w:rPr>
        <w:t xml:space="preserve"> </w:t>
      </w:r>
      <w:r w:rsidR="00E7708C" w:rsidRPr="00E7708C">
        <w:rPr>
          <w:i/>
        </w:rPr>
        <w:t>20,000 to &lt; 30,000</w:t>
      </w:r>
    </w:p>
    <w:p w14:paraId="26F2E33E" w14:textId="10A9C6E8" w:rsidR="00E01D72" w:rsidRDefault="00E7708C" w:rsidP="00E01D72">
      <w:pPr>
        <w:pStyle w:val="FooterTableFigure"/>
        <w:rPr>
          <w:i/>
        </w:rPr>
      </w:pPr>
      <w:r>
        <w:rPr>
          <w:i/>
          <w:vertAlign w:val="superscript"/>
        </w:rPr>
        <w:t>4</w:t>
      </w:r>
      <w:r>
        <w:rPr>
          <w:i/>
        </w:rPr>
        <w:t xml:space="preserve"> </w:t>
      </w:r>
      <w:r w:rsidR="004378C6" w:rsidRPr="004378C6">
        <w:rPr>
          <w:i/>
        </w:rPr>
        <w:t>5,000 to &lt; 10,000</w:t>
      </w:r>
    </w:p>
    <w:p w14:paraId="25D68C69" w14:textId="0AD947DE" w:rsidR="00612F69" w:rsidRDefault="00612F69" w:rsidP="00E01D72">
      <w:pPr>
        <w:pStyle w:val="FooterTableFigure"/>
        <w:rPr>
          <w:i/>
        </w:rPr>
      </w:pPr>
      <w:r w:rsidRPr="00612F69">
        <w:rPr>
          <w:i/>
          <w:vertAlign w:val="superscript"/>
        </w:rPr>
        <w:t>5</w:t>
      </w:r>
      <w:r>
        <w:rPr>
          <w:i/>
        </w:rPr>
        <w:t xml:space="preserve"> 100,000 to &lt; 200,000</w:t>
      </w:r>
    </w:p>
    <w:p w14:paraId="231DECB2" w14:textId="77777777" w:rsidR="00612F69" w:rsidRPr="00E01D72" w:rsidRDefault="00612F69" w:rsidP="00E01D72">
      <w:pPr>
        <w:pStyle w:val="FooterTableFigure"/>
        <w:rPr>
          <w:i/>
        </w:rPr>
      </w:pPr>
    </w:p>
    <w:p w14:paraId="45E6F6EA" w14:textId="77777777" w:rsidR="00E01D72" w:rsidRPr="001310AD" w:rsidRDefault="00E01D72" w:rsidP="00BF4856">
      <w:pPr>
        <w:pStyle w:val="FooterTableFigure"/>
        <w:rPr>
          <w:rStyle w:val="CommentReference"/>
          <w:b w:val="0"/>
          <w:sz w:val="18"/>
          <w:szCs w:val="22"/>
        </w:rPr>
      </w:pPr>
    </w:p>
    <w:p w14:paraId="0B426449" w14:textId="4547DC3C" w:rsidR="00477D11" w:rsidRPr="001310AD" w:rsidRDefault="00477D11" w:rsidP="00B505C8">
      <w:pPr>
        <w:pStyle w:val="3-BodyText"/>
        <w:rPr>
          <w:color w:val="0066FF"/>
        </w:rPr>
      </w:pPr>
      <w:r w:rsidRPr="001310AD">
        <w:t xml:space="preserve">The </w:t>
      </w:r>
      <w:r w:rsidR="0050752E" w:rsidRPr="001310AD">
        <w:t xml:space="preserve">evaluation considered that the </w:t>
      </w:r>
      <w:r w:rsidRPr="001310AD">
        <w:t xml:space="preserve">estimated number of vials </w:t>
      </w:r>
      <w:r w:rsidR="007B5EF8" w:rsidRPr="001310AD">
        <w:t xml:space="preserve">used by </w:t>
      </w:r>
      <w:r w:rsidRPr="001310AD">
        <w:t xml:space="preserve">the eligible population </w:t>
      </w:r>
      <w:r w:rsidR="00542BDC" w:rsidRPr="001310AD">
        <w:t xml:space="preserve">(prevalent population aged </w:t>
      </w:r>
      <w:r w:rsidR="00542BDC" w:rsidRPr="001310AD">
        <w:rPr>
          <w:rFonts w:cstheme="minorHAnsi"/>
        </w:rPr>
        <w:t>≥</w:t>
      </w:r>
      <w:r w:rsidR="005C7D81" w:rsidRPr="001310AD">
        <w:t xml:space="preserve">75 years in 2025 and turning 75 each year as of 2026) </w:t>
      </w:r>
      <w:r w:rsidRPr="001310AD">
        <w:t xml:space="preserve">was </w:t>
      </w:r>
      <w:r w:rsidRPr="001310AD">
        <w:rPr>
          <w:bCs/>
        </w:rPr>
        <w:t xml:space="preserve">overestimated </w:t>
      </w:r>
      <w:r w:rsidRPr="001310AD">
        <w:t xml:space="preserve">because </w:t>
      </w:r>
      <w:r w:rsidRPr="002E025E">
        <w:t xml:space="preserve">vaccinated individuals were not excluded from the eligible population in the subsequent years. This means that the same 'static' population for 2025 (e.g., </w:t>
      </w:r>
      <w:r w:rsidR="00612F69" w:rsidRPr="002E025E">
        <w:t>1,000,000 to &lt; 2,000,000</w:t>
      </w:r>
      <w:r w:rsidR="00BD7C46">
        <w:t xml:space="preserve"> </w:t>
      </w:r>
      <w:r w:rsidRPr="002E025E">
        <w:t>individuals aged 75–79) and the new individuals turning 75 each year were multiplied</w:t>
      </w:r>
      <w:r w:rsidRPr="001310AD">
        <w:t xml:space="preserve"> by the corresponding uptake rate for the following years without adjusting for individuals who had already been vaccinated</w:t>
      </w:r>
      <w:r w:rsidR="00DA7C58" w:rsidRPr="001310AD">
        <w:t>, and would reflect</w:t>
      </w:r>
      <w:r w:rsidR="001745F5" w:rsidRPr="001310AD">
        <w:t xml:space="preserve"> the cost of</w:t>
      </w:r>
      <w:r w:rsidR="00DA7C58" w:rsidRPr="001310AD">
        <w:t xml:space="preserve"> individuals receiving more than one vaccination over the 6-year period, rather than the single dose </w:t>
      </w:r>
      <w:r w:rsidR="0093354B" w:rsidRPr="001310AD">
        <w:t>as requested by the submission</w:t>
      </w:r>
      <w:r w:rsidRPr="001310AD">
        <w:t xml:space="preserve">. </w:t>
      </w:r>
      <w:r w:rsidR="000F0C46" w:rsidRPr="001310AD">
        <w:t>However, t</w:t>
      </w:r>
      <w:r w:rsidR="004E470D" w:rsidRPr="001310AD">
        <w:t>he PSCR stated</w:t>
      </w:r>
      <w:r w:rsidR="008E3EE3" w:rsidRPr="001310AD">
        <w:t xml:space="preserve"> </w:t>
      </w:r>
      <w:r w:rsidR="005224DF" w:rsidRPr="001310AD">
        <w:t xml:space="preserve">that </w:t>
      </w:r>
      <w:r w:rsidR="00BB4C0D" w:rsidRPr="001310AD">
        <w:t xml:space="preserve">the uptake rates applied in the </w:t>
      </w:r>
      <w:r w:rsidR="0050752E" w:rsidRPr="001310AD">
        <w:t>financial estimates</w:t>
      </w:r>
      <w:r w:rsidR="00BB4C0D" w:rsidRPr="001310AD">
        <w:t xml:space="preserve"> </w:t>
      </w:r>
      <w:r w:rsidR="00945173" w:rsidRPr="001310AD">
        <w:t xml:space="preserve">reflect </w:t>
      </w:r>
      <w:r w:rsidR="0050752E" w:rsidRPr="001310AD">
        <w:t>‘</w:t>
      </w:r>
      <w:r w:rsidR="00945173" w:rsidRPr="001310AD">
        <w:t>vaccination coverage</w:t>
      </w:r>
      <w:r w:rsidR="0050752E" w:rsidRPr="001310AD">
        <w:t>’</w:t>
      </w:r>
      <w:r w:rsidR="00823AEC" w:rsidRPr="001310AD">
        <w:t xml:space="preserve"> </w:t>
      </w:r>
      <w:r w:rsidR="00B31F63" w:rsidRPr="001310AD">
        <w:t>i.e.</w:t>
      </w:r>
      <w:r w:rsidR="00823AEC" w:rsidRPr="001310AD">
        <w:t xml:space="preserve"> the percent of the eligible pool who have been vaccinated each year</w:t>
      </w:r>
      <w:r w:rsidR="0050752E" w:rsidRPr="001310AD">
        <w:t xml:space="preserve">. </w:t>
      </w:r>
    </w:p>
    <w:p w14:paraId="300E1166" w14:textId="74D5C508" w:rsidR="00D84AF7" w:rsidRPr="001310AD" w:rsidRDefault="00D47593" w:rsidP="00B505C8">
      <w:pPr>
        <w:pStyle w:val="3-BodyText"/>
        <w:rPr>
          <w:color w:val="0066FF"/>
        </w:rPr>
      </w:pPr>
      <w:r w:rsidRPr="001310AD">
        <w:rPr>
          <w:color w:val="000000" w:themeColor="text1"/>
        </w:rPr>
        <w:t xml:space="preserve">For the </w:t>
      </w:r>
      <w:r w:rsidRPr="001310AD">
        <w:rPr>
          <w:rFonts w:cstheme="minorHAnsi"/>
          <w:color w:val="000000" w:themeColor="text1"/>
        </w:rPr>
        <w:t>≥</w:t>
      </w:r>
      <w:r w:rsidRPr="001310AD">
        <w:rPr>
          <w:color w:val="000000" w:themeColor="text1"/>
        </w:rPr>
        <w:t xml:space="preserve">75 YOA population, </w:t>
      </w:r>
      <w:r w:rsidRPr="001310AD">
        <w:t>t</w:t>
      </w:r>
      <w:r w:rsidR="00D84AF7" w:rsidRPr="001310AD">
        <w:t xml:space="preserve">he resubmission revised the peak uptake in Year 6 from </w:t>
      </w:r>
      <w:r w:rsidR="000A3A2D" w:rsidRPr="00044091">
        <w:rPr>
          <w:color w:val="000000"/>
          <w:spacing w:val="5"/>
          <w:w w:val="61"/>
          <w:shd w:val="solid" w:color="000000" w:fill="000000"/>
          <w:fitText w:val="472" w:id="-628465906"/>
          <w14:textFill>
            <w14:solidFill>
              <w14:srgbClr w14:val="000000">
                <w14:alpha w14:val="100000"/>
              </w14:srgbClr>
            </w14:solidFill>
          </w14:textFill>
        </w:rPr>
        <w:t>|||</w:t>
      </w:r>
      <w:r w:rsidR="00044091" w:rsidRPr="00044091">
        <w:rPr>
          <w:color w:val="000000"/>
          <w:spacing w:val="5"/>
          <w:w w:val="61"/>
          <w:shd w:val="solid" w:color="000000" w:fill="000000"/>
          <w:fitText w:val="472" w:id="-628465906"/>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906"/>
          <w14:textFill>
            <w14:solidFill>
              <w14:srgbClr w14:val="000000">
                <w14:alpha w14:val="100000"/>
              </w14:srgbClr>
            </w14:solidFill>
          </w14:textFill>
        </w:rPr>
        <w:t>|||</w:t>
      </w:r>
      <w:r w:rsidR="00D84AF7" w:rsidRPr="001310AD">
        <w:t>% (in the July 2024 submission)</w:t>
      </w:r>
      <w:r w:rsidR="003904FC" w:rsidRPr="001310AD">
        <w:t xml:space="preserve"> to </w:t>
      </w:r>
      <w:r w:rsidR="000A3A2D" w:rsidRPr="00044091">
        <w:rPr>
          <w:color w:val="000000"/>
          <w:spacing w:val="5"/>
          <w:w w:val="61"/>
          <w:shd w:val="solid" w:color="000000" w:fill="000000"/>
          <w:fitText w:val="472" w:id="-628465905"/>
          <w14:textFill>
            <w14:solidFill>
              <w14:srgbClr w14:val="000000">
                <w14:alpha w14:val="100000"/>
              </w14:srgbClr>
            </w14:solidFill>
          </w14:textFill>
        </w:rPr>
        <w:t>|||</w:t>
      </w:r>
      <w:r w:rsidR="00044091" w:rsidRPr="00044091">
        <w:rPr>
          <w:color w:val="000000"/>
          <w:spacing w:val="5"/>
          <w:w w:val="61"/>
          <w:shd w:val="solid" w:color="000000" w:fill="000000"/>
          <w:fitText w:val="472" w:id="-628465905"/>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905"/>
          <w14:textFill>
            <w14:solidFill>
              <w14:srgbClr w14:val="000000">
                <w14:alpha w14:val="100000"/>
              </w14:srgbClr>
            </w14:solidFill>
          </w14:textFill>
        </w:rPr>
        <w:t>|||</w:t>
      </w:r>
      <w:r w:rsidR="003904FC" w:rsidRPr="001310AD">
        <w:t>%,</w:t>
      </w:r>
      <w:r w:rsidR="00D84AF7" w:rsidRPr="001310AD">
        <w:t xml:space="preserve"> assuming a linear interpolation between Year 1 and Year 6 (linear increase of </w:t>
      </w:r>
      <w:r w:rsidR="000A3A2D" w:rsidRPr="00044091">
        <w:rPr>
          <w:color w:val="000000"/>
          <w:spacing w:val="5"/>
          <w:w w:val="61"/>
          <w:shd w:val="solid" w:color="000000" w:fill="000000"/>
          <w:fitText w:val="472" w:id="-628465904"/>
          <w14:textFill>
            <w14:solidFill>
              <w14:srgbClr w14:val="000000">
                <w14:alpha w14:val="100000"/>
              </w14:srgbClr>
            </w14:solidFill>
          </w14:textFill>
        </w:rPr>
        <w:t>|||</w:t>
      </w:r>
      <w:r w:rsidR="00044091" w:rsidRPr="00044091">
        <w:rPr>
          <w:color w:val="000000"/>
          <w:spacing w:val="5"/>
          <w:w w:val="61"/>
          <w:shd w:val="solid" w:color="000000" w:fill="000000"/>
          <w:fitText w:val="472" w:id="-628465904"/>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904"/>
          <w14:textFill>
            <w14:solidFill>
              <w14:srgbClr w14:val="000000">
                <w14:alpha w14:val="100000"/>
              </w14:srgbClr>
            </w14:solidFill>
          </w14:textFill>
        </w:rPr>
        <w:t>|||</w:t>
      </w:r>
      <w:r w:rsidR="00D84AF7" w:rsidRPr="001310AD">
        <w:t>% per year). This approach was appropriate and consistent with the ATAGI advice ( ATAGI advice March 2025). The uptake rates applied to Aboriginal and Torres Strait Islander people remained unchanged from the July 2024 submission. Th</w:t>
      </w:r>
      <w:r w:rsidR="00C06E1E" w:rsidRPr="001310AD">
        <w:t>e evaluation considered that th</w:t>
      </w:r>
      <w:r w:rsidR="00D84AF7" w:rsidRPr="001310AD">
        <w:t>is was appropriate</w:t>
      </w:r>
      <w:r w:rsidR="00FF2FF0" w:rsidRPr="001310AD">
        <w:t xml:space="preserve">. </w:t>
      </w:r>
    </w:p>
    <w:p w14:paraId="26FB6670" w14:textId="68EAA7E3" w:rsidR="00B505C8" w:rsidRPr="001310AD" w:rsidRDefault="00C71A19" w:rsidP="00B505C8">
      <w:pPr>
        <w:pStyle w:val="3-BodyText"/>
        <w:rPr>
          <w:color w:val="0066FF"/>
        </w:rPr>
      </w:pPr>
      <w:r w:rsidRPr="001310AD">
        <w:rPr>
          <w:color w:val="000000" w:themeColor="text1"/>
        </w:rPr>
        <w:t xml:space="preserve">The estimated use and financial implications to the Federal Government, and the State and Territory Governments, for the </w:t>
      </w:r>
      <w:r w:rsidRPr="001310AD">
        <w:rPr>
          <w:rFonts w:cstheme="minorHAnsi"/>
          <w:color w:val="000000" w:themeColor="text1"/>
        </w:rPr>
        <w:t>≥</w:t>
      </w:r>
      <w:r w:rsidRPr="001310AD">
        <w:rPr>
          <w:color w:val="000000" w:themeColor="text1"/>
        </w:rPr>
        <w:t xml:space="preserve"> 75 YOA population are presented in</w:t>
      </w:r>
      <w:r w:rsidR="00A762E0" w:rsidRPr="001310AD">
        <w:rPr>
          <w:color w:val="000000" w:themeColor="text1"/>
        </w:rPr>
        <w:t xml:space="preserve"> </w:t>
      </w:r>
      <w:r w:rsidR="00A762E0" w:rsidRPr="001310AD">
        <w:rPr>
          <w:color w:val="000000" w:themeColor="text1"/>
        </w:rPr>
        <w:fldChar w:fldCharType="begin"/>
      </w:r>
      <w:r w:rsidR="00A762E0" w:rsidRPr="001310AD">
        <w:rPr>
          <w:color w:val="000000" w:themeColor="text1"/>
        </w:rPr>
        <w:instrText xml:space="preserve"> REF _Ref104805295 \h </w:instrText>
      </w:r>
      <w:r w:rsidR="00A762E0" w:rsidRPr="001310AD">
        <w:rPr>
          <w:color w:val="000000" w:themeColor="text1"/>
        </w:rPr>
      </w:r>
      <w:r w:rsidR="00A762E0" w:rsidRPr="001310AD">
        <w:rPr>
          <w:color w:val="000000" w:themeColor="text1"/>
        </w:rPr>
        <w:fldChar w:fldCharType="separate"/>
      </w:r>
      <w:r w:rsidR="001F75E0" w:rsidRPr="001310AD">
        <w:t>Table 23</w:t>
      </w:r>
      <w:r w:rsidR="00A762E0" w:rsidRPr="001310AD">
        <w:rPr>
          <w:color w:val="000000" w:themeColor="text1"/>
        </w:rPr>
        <w:fldChar w:fldCharType="end"/>
      </w:r>
      <w:r w:rsidRPr="001310AD">
        <w:rPr>
          <w:color w:val="000000" w:themeColor="text1"/>
        </w:rPr>
        <w:t>.</w:t>
      </w:r>
      <w:r w:rsidRPr="001310AD">
        <w:rPr>
          <w:color w:val="0066FF"/>
        </w:rPr>
        <w:t xml:space="preserve"> </w:t>
      </w:r>
      <w:r w:rsidR="002F2CF8" w:rsidRPr="001310AD">
        <w:t>The PSCR included revised estimates based on the revised price for RSVPreF3 OA</w:t>
      </w:r>
      <w:r w:rsidR="00E7590F" w:rsidRPr="001310AD">
        <w:t xml:space="preserve"> and</w:t>
      </w:r>
      <w:r w:rsidR="002F2CF8" w:rsidRPr="001310AD">
        <w:t xml:space="preserve"> revised administration costs (and revised offsets for hospitalisations). </w:t>
      </w:r>
    </w:p>
    <w:p w14:paraId="38EC053C" w14:textId="6EEF6041" w:rsidR="00C25D9C" w:rsidRPr="001310AD" w:rsidRDefault="00A762E0" w:rsidP="00E16AD8">
      <w:pPr>
        <w:pStyle w:val="Caption"/>
      </w:pPr>
      <w:bookmarkStart w:id="97" w:name="_Ref104805295"/>
      <w:r w:rsidRPr="001310AD">
        <w:lastRenderedPageBreak/>
        <w:t xml:space="preserve">Table </w:t>
      </w:r>
      <w:fldSimple w:instr=" SEQ Table \* ARABIC ">
        <w:r w:rsidR="001F75E0" w:rsidRPr="001310AD">
          <w:t>23</w:t>
        </w:r>
      </w:fldSimple>
      <w:bookmarkEnd w:id="97"/>
      <w:r w:rsidR="00E16AD8" w:rsidRPr="001310AD">
        <w:t>:</w:t>
      </w:r>
      <w:r w:rsidR="002A2F50" w:rsidRPr="001310AD">
        <w:rPr>
          <w:rStyle w:val="CommentReference"/>
          <w:b/>
          <w:szCs w:val="24"/>
        </w:rPr>
        <w:t xml:space="preserve"> Estimated use and financial implications</w:t>
      </w:r>
      <w:r w:rsidR="00A81E23" w:rsidRPr="001310AD">
        <w:rPr>
          <w:rStyle w:val="CommentReference"/>
          <w:b/>
          <w:szCs w:val="24"/>
        </w:rPr>
        <w:t xml:space="preserve"> in adults ≥ 75 YOA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3: Estimated use and financial implications in adults ≥ 75 YOA"/>
      </w:tblPr>
      <w:tblGrid>
        <w:gridCol w:w="2405"/>
        <w:gridCol w:w="1102"/>
        <w:gridCol w:w="1102"/>
        <w:gridCol w:w="1102"/>
        <w:gridCol w:w="1102"/>
        <w:gridCol w:w="1102"/>
        <w:gridCol w:w="1102"/>
      </w:tblGrid>
      <w:tr w:rsidR="00385A9D" w:rsidRPr="001310AD" w14:paraId="43A2A3A1" w14:textId="77777777" w:rsidTr="008A3158">
        <w:trPr>
          <w:tblHeader/>
        </w:trPr>
        <w:tc>
          <w:tcPr>
            <w:tcW w:w="1334" w:type="pct"/>
            <w:vAlign w:val="center"/>
          </w:tcPr>
          <w:p w14:paraId="0A4E41E1" w14:textId="77777777" w:rsidR="00385A9D" w:rsidRPr="001310AD" w:rsidRDefault="00385A9D" w:rsidP="00F13684">
            <w:pPr>
              <w:pStyle w:val="In-tableHeading"/>
            </w:pPr>
          </w:p>
        </w:tc>
        <w:tc>
          <w:tcPr>
            <w:tcW w:w="611" w:type="pct"/>
            <w:vAlign w:val="center"/>
          </w:tcPr>
          <w:p w14:paraId="77420B6F" w14:textId="77777777" w:rsidR="00385A9D" w:rsidRPr="001310AD" w:rsidRDefault="00385A9D" w:rsidP="00F13684">
            <w:pPr>
              <w:pStyle w:val="In-tableHeading"/>
            </w:pPr>
            <w:r w:rsidRPr="001310AD">
              <w:t>Year 1</w:t>
            </w:r>
          </w:p>
        </w:tc>
        <w:tc>
          <w:tcPr>
            <w:tcW w:w="611" w:type="pct"/>
            <w:vAlign w:val="center"/>
          </w:tcPr>
          <w:p w14:paraId="3BBD9218" w14:textId="77777777" w:rsidR="00385A9D" w:rsidRPr="001310AD" w:rsidRDefault="00385A9D" w:rsidP="00F13684">
            <w:pPr>
              <w:pStyle w:val="In-tableHeading"/>
            </w:pPr>
            <w:r w:rsidRPr="001310AD">
              <w:t>Year 2</w:t>
            </w:r>
          </w:p>
        </w:tc>
        <w:tc>
          <w:tcPr>
            <w:tcW w:w="611" w:type="pct"/>
            <w:vAlign w:val="center"/>
          </w:tcPr>
          <w:p w14:paraId="729A646E" w14:textId="77777777" w:rsidR="00385A9D" w:rsidRPr="001310AD" w:rsidRDefault="00385A9D" w:rsidP="00F13684">
            <w:pPr>
              <w:pStyle w:val="In-tableHeading"/>
            </w:pPr>
            <w:r w:rsidRPr="001310AD">
              <w:t>Year 3</w:t>
            </w:r>
          </w:p>
        </w:tc>
        <w:tc>
          <w:tcPr>
            <w:tcW w:w="611" w:type="pct"/>
            <w:vAlign w:val="center"/>
          </w:tcPr>
          <w:p w14:paraId="280BB544" w14:textId="77777777" w:rsidR="00385A9D" w:rsidRPr="001310AD" w:rsidRDefault="00385A9D" w:rsidP="00F13684">
            <w:pPr>
              <w:pStyle w:val="In-tableHeading"/>
            </w:pPr>
            <w:r w:rsidRPr="001310AD">
              <w:t>Year 4</w:t>
            </w:r>
          </w:p>
        </w:tc>
        <w:tc>
          <w:tcPr>
            <w:tcW w:w="611" w:type="pct"/>
            <w:vAlign w:val="center"/>
          </w:tcPr>
          <w:p w14:paraId="6435BB5B" w14:textId="77777777" w:rsidR="00385A9D" w:rsidRPr="001310AD" w:rsidRDefault="00385A9D" w:rsidP="00F13684">
            <w:pPr>
              <w:pStyle w:val="In-tableHeading"/>
            </w:pPr>
            <w:r w:rsidRPr="001310AD">
              <w:t>Year 5</w:t>
            </w:r>
          </w:p>
        </w:tc>
        <w:tc>
          <w:tcPr>
            <w:tcW w:w="611" w:type="pct"/>
          </w:tcPr>
          <w:p w14:paraId="7C618119" w14:textId="77777777" w:rsidR="00385A9D" w:rsidRPr="001310AD" w:rsidRDefault="00385A9D" w:rsidP="00F13684">
            <w:pPr>
              <w:pStyle w:val="In-tableHeading"/>
            </w:pPr>
            <w:r w:rsidRPr="001310AD">
              <w:t>Year 6</w:t>
            </w:r>
          </w:p>
        </w:tc>
      </w:tr>
      <w:tr w:rsidR="00385A9D" w:rsidRPr="001310AD" w14:paraId="3C519059" w14:textId="77777777" w:rsidTr="009C3A3A">
        <w:tc>
          <w:tcPr>
            <w:tcW w:w="5000" w:type="pct"/>
            <w:gridSpan w:val="7"/>
            <w:vAlign w:val="center"/>
          </w:tcPr>
          <w:p w14:paraId="516C2197" w14:textId="77777777" w:rsidR="00385A9D" w:rsidRPr="001310AD" w:rsidRDefault="00385A9D" w:rsidP="00F13684">
            <w:pPr>
              <w:pStyle w:val="In-tableHeading"/>
            </w:pPr>
            <w:r w:rsidRPr="001310AD">
              <w:t>Estimated extent of use</w:t>
            </w:r>
          </w:p>
        </w:tc>
      </w:tr>
      <w:tr w:rsidR="00D03410" w:rsidRPr="001310AD" w14:paraId="1CEE4D09" w14:textId="77777777">
        <w:tc>
          <w:tcPr>
            <w:tcW w:w="1334" w:type="pct"/>
            <w:vAlign w:val="center"/>
          </w:tcPr>
          <w:p w14:paraId="229A1EDF" w14:textId="7485DF60" w:rsidR="00D03410" w:rsidRPr="001310AD" w:rsidRDefault="00B359EE" w:rsidP="00D03410">
            <w:pPr>
              <w:pStyle w:val="TableText0"/>
              <w:rPr>
                <w:rFonts w:ascii="Times" w:hAnsi="Times"/>
              </w:rPr>
            </w:pPr>
            <w:r w:rsidRPr="001310AD">
              <w:t>Predicted number of vials</w:t>
            </w:r>
            <w:r w:rsidR="00D03410" w:rsidRPr="001310AD">
              <w:rPr>
                <w:vertAlign w:val="superscript"/>
              </w:rPr>
              <w:t>a</w:t>
            </w:r>
          </w:p>
        </w:tc>
        <w:tc>
          <w:tcPr>
            <w:tcW w:w="611" w:type="pct"/>
            <w:vAlign w:val="center"/>
          </w:tcPr>
          <w:p w14:paraId="0D9F25C2" w14:textId="5AA897D1" w:rsidR="00D03410" w:rsidRPr="0099355A" w:rsidRDefault="000A3A2D" w:rsidP="0043658C">
            <w:pPr>
              <w:pStyle w:val="TableText0"/>
              <w:jc w:val="center"/>
              <w:rPr>
                <w:highlight w:val="darkGray"/>
                <w:vertAlign w:val="superscript"/>
              </w:rPr>
            </w:pPr>
            <w:r w:rsidRPr="000A3A2D">
              <w:rPr>
                <w:rFonts w:cs="Calibri"/>
                <w:b/>
                <w:bCs w:val="0"/>
                <w:color w:val="000000"/>
                <w:spacing w:val="58"/>
                <w:shd w:val="solid" w:color="000000" w:fill="000000"/>
                <w:fitText w:val="360" w:id="-628465920"/>
                <w14:textFill>
                  <w14:solidFill>
                    <w14:srgbClr w14:val="000000">
                      <w14:alpha w14:val="100000"/>
                    </w14:srgbClr>
                  </w14:solidFill>
                </w14:textFill>
              </w:rPr>
              <w:t>|||</w:t>
            </w:r>
            <w:r w:rsidRPr="000A3A2D">
              <w:rPr>
                <w:rFonts w:cs="Calibri"/>
                <w:b/>
                <w:bCs w:val="0"/>
                <w:color w:val="000000"/>
                <w:spacing w:val="3"/>
                <w:shd w:val="solid" w:color="000000" w:fill="000000"/>
                <w:fitText w:val="360" w:id="-628465920"/>
                <w14:textFill>
                  <w14:solidFill>
                    <w14:srgbClr w14:val="000000">
                      <w14:alpha w14:val="100000"/>
                    </w14:srgbClr>
                  </w14:solidFill>
                </w14:textFill>
              </w:rPr>
              <w:t>|</w:t>
            </w:r>
            <w:r w:rsidR="0099355A" w:rsidRPr="0099355A">
              <w:rPr>
                <w:rFonts w:cs="Calibri"/>
                <w:b/>
                <w:bCs w:val="0"/>
                <w:color w:val="000000"/>
                <w:vertAlign w:val="superscript"/>
              </w:rPr>
              <w:t>1</w:t>
            </w:r>
          </w:p>
        </w:tc>
        <w:tc>
          <w:tcPr>
            <w:tcW w:w="611" w:type="pct"/>
            <w:vAlign w:val="center"/>
          </w:tcPr>
          <w:p w14:paraId="2D7847AA" w14:textId="3D7AE23D" w:rsidR="00D03410" w:rsidRPr="000B222B" w:rsidRDefault="000A3A2D" w:rsidP="0043658C">
            <w:pPr>
              <w:pStyle w:val="TableText0"/>
              <w:jc w:val="center"/>
              <w:rPr>
                <w:highlight w:val="darkGray"/>
                <w:vertAlign w:val="superscript"/>
              </w:rPr>
            </w:pPr>
            <w:r w:rsidRPr="000A3A2D">
              <w:rPr>
                <w:rFonts w:cs="Calibri"/>
                <w:b/>
                <w:bCs w:val="0"/>
                <w:color w:val="000000"/>
                <w:spacing w:val="58"/>
                <w:shd w:val="solid" w:color="000000" w:fill="000000"/>
                <w:fitText w:val="360" w:id="-628465919"/>
                <w14:textFill>
                  <w14:solidFill>
                    <w14:srgbClr w14:val="000000">
                      <w14:alpha w14:val="100000"/>
                    </w14:srgbClr>
                  </w14:solidFill>
                </w14:textFill>
              </w:rPr>
              <w:t>|||</w:t>
            </w:r>
            <w:r w:rsidRPr="000A3A2D">
              <w:rPr>
                <w:rFonts w:cs="Calibri"/>
                <w:b/>
                <w:bCs w:val="0"/>
                <w:color w:val="000000"/>
                <w:spacing w:val="3"/>
                <w:shd w:val="solid" w:color="000000" w:fill="000000"/>
                <w:fitText w:val="360" w:id="-628465919"/>
                <w14:textFill>
                  <w14:solidFill>
                    <w14:srgbClr w14:val="000000">
                      <w14:alpha w14:val="100000"/>
                    </w14:srgbClr>
                  </w14:solidFill>
                </w14:textFill>
              </w:rPr>
              <w:t>|</w:t>
            </w:r>
            <w:r w:rsidR="000B222B" w:rsidRPr="000B222B">
              <w:rPr>
                <w:rFonts w:cs="Calibri"/>
                <w:b/>
                <w:bCs w:val="0"/>
                <w:color w:val="000000"/>
                <w:vertAlign w:val="superscript"/>
              </w:rPr>
              <w:t>2</w:t>
            </w:r>
          </w:p>
        </w:tc>
        <w:tc>
          <w:tcPr>
            <w:tcW w:w="611" w:type="pct"/>
            <w:vAlign w:val="center"/>
          </w:tcPr>
          <w:p w14:paraId="7A620378" w14:textId="5D2F61E7" w:rsidR="00D03410" w:rsidRPr="005E0CCF" w:rsidRDefault="000A3A2D" w:rsidP="0043658C">
            <w:pPr>
              <w:pStyle w:val="TableText0"/>
              <w:jc w:val="center"/>
              <w:rPr>
                <w:highlight w:val="darkGray"/>
                <w:vertAlign w:val="superscript"/>
              </w:rPr>
            </w:pPr>
            <w:r w:rsidRPr="000A3A2D">
              <w:rPr>
                <w:rFonts w:cs="Calibri"/>
                <w:b/>
                <w:bCs w:val="0"/>
                <w:color w:val="000000"/>
                <w:spacing w:val="58"/>
                <w:shd w:val="solid" w:color="000000" w:fill="000000"/>
                <w:fitText w:val="360" w:id="-628465918"/>
                <w14:textFill>
                  <w14:solidFill>
                    <w14:srgbClr w14:val="000000">
                      <w14:alpha w14:val="100000"/>
                    </w14:srgbClr>
                  </w14:solidFill>
                </w14:textFill>
              </w:rPr>
              <w:t>|||</w:t>
            </w:r>
            <w:r w:rsidRPr="000A3A2D">
              <w:rPr>
                <w:rFonts w:cs="Calibri"/>
                <w:b/>
                <w:bCs w:val="0"/>
                <w:color w:val="000000"/>
                <w:spacing w:val="3"/>
                <w:shd w:val="solid" w:color="000000" w:fill="000000"/>
                <w:fitText w:val="360" w:id="-628465918"/>
                <w14:textFill>
                  <w14:solidFill>
                    <w14:srgbClr w14:val="000000">
                      <w14:alpha w14:val="100000"/>
                    </w14:srgbClr>
                  </w14:solidFill>
                </w14:textFill>
              </w:rPr>
              <w:t>|</w:t>
            </w:r>
            <w:r w:rsidR="005E0CCF" w:rsidRPr="005E0CCF">
              <w:rPr>
                <w:rFonts w:cs="Calibri"/>
                <w:b/>
                <w:bCs w:val="0"/>
                <w:color w:val="000000"/>
                <w:vertAlign w:val="superscript"/>
              </w:rPr>
              <w:t>3</w:t>
            </w:r>
          </w:p>
        </w:tc>
        <w:tc>
          <w:tcPr>
            <w:tcW w:w="611" w:type="pct"/>
            <w:vAlign w:val="center"/>
          </w:tcPr>
          <w:p w14:paraId="1D2C1413" w14:textId="71A841AA" w:rsidR="00D03410" w:rsidRPr="000A4BAE" w:rsidRDefault="000A3A2D" w:rsidP="0043658C">
            <w:pPr>
              <w:pStyle w:val="TableText0"/>
              <w:jc w:val="center"/>
              <w:rPr>
                <w:highlight w:val="darkGray"/>
              </w:rPr>
            </w:pPr>
            <w:r w:rsidRPr="000A3A2D">
              <w:rPr>
                <w:rFonts w:cs="Calibri"/>
                <w:b/>
                <w:bCs w:val="0"/>
                <w:color w:val="000000"/>
                <w:spacing w:val="58"/>
                <w:shd w:val="solid" w:color="000000" w:fill="000000"/>
                <w:fitText w:val="360" w:id="-628465917"/>
                <w14:textFill>
                  <w14:solidFill>
                    <w14:srgbClr w14:val="000000">
                      <w14:alpha w14:val="100000"/>
                    </w14:srgbClr>
                  </w14:solidFill>
                </w14:textFill>
              </w:rPr>
              <w:t>|||</w:t>
            </w:r>
            <w:r w:rsidRPr="000A3A2D">
              <w:rPr>
                <w:rFonts w:cs="Calibri"/>
                <w:b/>
                <w:bCs w:val="0"/>
                <w:color w:val="000000"/>
                <w:spacing w:val="3"/>
                <w:shd w:val="solid" w:color="000000" w:fill="000000"/>
                <w:fitText w:val="360" w:id="-628465917"/>
                <w14:textFill>
                  <w14:solidFill>
                    <w14:srgbClr w14:val="000000">
                      <w14:alpha w14:val="100000"/>
                    </w14:srgbClr>
                  </w14:solidFill>
                </w14:textFill>
              </w:rPr>
              <w:t>|</w:t>
            </w:r>
            <w:r w:rsidR="005E0CCF" w:rsidRPr="005E0CCF">
              <w:rPr>
                <w:rFonts w:cs="Calibri"/>
                <w:b/>
                <w:bCs w:val="0"/>
                <w:color w:val="000000"/>
                <w:vertAlign w:val="superscript"/>
              </w:rPr>
              <w:t>3</w:t>
            </w:r>
          </w:p>
        </w:tc>
        <w:tc>
          <w:tcPr>
            <w:tcW w:w="611" w:type="pct"/>
            <w:vAlign w:val="center"/>
          </w:tcPr>
          <w:p w14:paraId="3F0ACB95" w14:textId="5837C1BE" w:rsidR="00D03410" w:rsidRPr="000A4BAE" w:rsidRDefault="000A3A2D" w:rsidP="0043658C">
            <w:pPr>
              <w:pStyle w:val="TableText0"/>
              <w:jc w:val="center"/>
              <w:rPr>
                <w:highlight w:val="darkGray"/>
              </w:rPr>
            </w:pPr>
            <w:r w:rsidRPr="000A3A2D">
              <w:rPr>
                <w:rFonts w:cs="Calibri"/>
                <w:b/>
                <w:bCs w:val="0"/>
                <w:color w:val="000000"/>
                <w:spacing w:val="58"/>
                <w:shd w:val="solid" w:color="000000" w:fill="000000"/>
                <w:fitText w:val="360" w:id="-628465916"/>
                <w14:textFill>
                  <w14:solidFill>
                    <w14:srgbClr w14:val="000000">
                      <w14:alpha w14:val="100000"/>
                    </w14:srgbClr>
                  </w14:solidFill>
                </w14:textFill>
              </w:rPr>
              <w:t>|||</w:t>
            </w:r>
            <w:r w:rsidRPr="000A3A2D">
              <w:rPr>
                <w:rFonts w:cs="Calibri"/>
                <w:b/>
                <w:bCs w:val="0"/>
                <w:color w:val="000000"/>
                <w:spacing w:val="3"/>
                <w:shd w:val="solid" w:color="000000" w:fill="000000"/>
                <w:fitText w:val="360" w:id="-628465916"/>
                <w14:textFill>
                  <w14:solidFill>
                    <w14:srgbClr w14:val="000000">
                      <w14:alpha w14:val="100000"/>
                    </w14:srgbClr>
                  </w14:solidFill>
                </w14:textFill>
              </w:rPr>
              <w:t>|</w:t>
            </w:r>
            <w:r w:rsidR="005E0CCF" w:rsidRPr="005E0CCF">
              <w:rPr>
                <w:rFonts w:cs="Calibri"/>
                <w:b/>
                <w:bCs w:val="0"/>
                <w:color w:val="000000"/>
                <w:vertAlign w:val="superscript"/>
              </w:rPr>
              <w:t>3</w:t>
            </w:r>
          </w:p>
        </w:tc>
        <w:tc>
          <w:tcPr>
            <w:tcW w:w="611" w:type="pct"/>
            <w:vAlign w:val="center"/>
          </w:tcPr>
          <w:p w14:paraId="1C30F331" w14:textId="14E0F563" w:rsidR="00D03410" w:rsidRPr="000A4BAE" w:rsidRDefault="000A3A2D" w:rsidP="0043658C">
            <w:pPr>
              <w:pStyle w:val="TableText0"/>
              <w:jc w:val="center"/>
              <w:rPr>
                <w:highlight w:val="darkGray"/>
              </w:rPr>
            </w:pPr>
            <w:r w:rsidRPr="000A3A2D">
              <w:rPr>
                <w:rFonts w:cs="Calibri"/>
                <w:b/>
                <w:bCs w:val="0"/>
                <w:color w:val="000000"/>
                <w:spacing w:val="58"/>
                <w:shd w:val="solid" w:color="000000" w:fill="000000"/>
                <w:fitText w:val="360" w:id="-628465915"/>
                <w14:textFill>
                  <w14:solidFill>
                    <w14:srgbClr w14:val="000000">
                      <w14:alpha w14:val="100000"/>
                    </w14:srgbClr>
                  </w14:solidFill>
                </w14:textFill>
              </w:rPr>
              <w:t>|||</w:t>
            </w:r>
            <w:r w:rsidRPr="000A3A2D">
              <w:rPr>
                <w:rFonts w:cs="Calibri"/>
                <w:b/>
                <w:bCs w:val="0"/>
                <w:color w:val="000000"/>
                <w:spacing w:val="3"/>
                <w:shd w:val="solid" w:color="000000" w:fill="000000"/>
                <w:fitText w:val="360" w:id="-628465915"/>
                <w14:textFill>
                  <w14:solidFill>
                    <w14:srgbClr w14:val="000000">
                      <w14:alpha w14:val="100000"/>
                    </w14:srgbClr>
                  </w14:solidFill>
                </w14:textFill>
              </w:rPr>
              <w:t>|</w:t>
            </w:r>
            <w:r w:rsidR="005E0CCF" w:rsidRPr="005E0CCF">
              <w:rPr>
                <w:rFonts w:cs="Calibri"/>
                <w:b/>
                <w:bCs w:val="0"/>
                <w:color w:val="000000"/>
                <w:vertAlign w:val="superscript"/>
              </w:rPr>
              <w:t>3</w:t>
            </w:r>
          </w:p>
        </w:tc>
      </w:tr>
      <w:tr w:rsidR="00385A9D" w:rsidRPr="001310AD" w14:paraId="1E699D47" w14:textId="77777777" w:rsidTr="009C3A3A">
        <w:tc>
          <w:tcPr>
            <w:tcW w:w="5000" w:type="pct"/>
            <w:gridSpan w:val="7"/>
            <w:vAlign w:val="center"/>
          </w:tcPr>
          <w:p w14:paraId="7D0E0884" w14:textId="3AA58A73" w:rsidR="00385A9D" w:rsidRPr="001310AD" w:rsidRDefault="00385A9D" w:rsidP="00E225E6">
            <w:pPr>
              <w:pStyle w:val="In-tableHeading"/>
              <w:jc w:val="left"/>
            </w:pPr>
            <w:r w:rsidRPr="001310AD">
              <w:t xml:space="preserve">Estimated financial implications of </w:t>
            </w:r>
            <w:r w:rsidR="00EC5668" w:rsidRPr="001310AD">
              <w:t>RSVPreF3 OA</w:t>
            </w:r>
          </w:p>
        </w:tc>
      </w:tr>
      <w:tr w:rsidR="00B37BD2" w:rsidRPr="001310AD" w14:paraId="56A15B27" w14:textId="77777777" w:rsidTr="00D03766">
        <w:tc>
          <w:tcPr>
            <w:tcW w:w="1334" w:type="pct"/>
          </w:tcPr>
          <w:p w14:paraId="296D7B82" w14:textId="3038FF9E" w:rsidR="00B37BD2" w:rsidRPr="001310AD" w:rsidRDefault="00B37BD2" w:rsidP="00B37BD2">
            <w:pPr>
              <w:pStyle w:val="TableText0"/>
            </w:pPr>
            <w:r w:rsidRPr="001310AD">
              <w:rPr>
                <w:rFonts w:eastAsia="MS Gothic"/>
              </w:rPr>
              <w:t xml:space="preserve">  NIP </w:t>
            </w:r>
          </w:p>
        </w:tc>
        <w:tc>
          <w:tcPr>
            <w:tcW w:w="611" w:type="pct"/>
            <w:vAlign w:val="center"/>
          </w:tcPr>
          <w:p w14:paraId="6827F334" w14:textId="309B26D0" w:rsidR="00B37BD2" w:rsidRPr="00E371A6"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4"/>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4"/>
                <w14:textFill>
                  <w14:solidFill>
                    <w14:srgbClr w14:val="000000">
                      <w14:alpha w14:val="100000"/>
                    </w14:srgbClr>
                  </w14:solidFill>
                </w14:textFill>
              </w:rPr>
              <w:t>|</w:t>
            </w:r>
            <w:r w:rsidR="00E371A6">
              <w:rPr>
                <w:rFonts w:eastAsia="MS Gothic"/>
                <w:vertAlign w:val="superscript"/>
              </w:rPr>
              <w:t>4</w:t>
            </w:r>
          </w:p>
        </w:tc>
        <w:tc>
          <w:tcPr>
            <w:tcW w:w="611" w:type="pct"/>
            <w:vAlign w:val="center"/>
          </w:tcPr>
          <w:p w14:paraId="5FAA0EF2" w14:textId="6AB4FE7A" w:rsidR="00B37BD2" w:rsidRPr="00B618BF"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3"/>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3"/>
                <w14:textFill>
                  <w14:solidFill>
                    <w14:srgbClr w14:val="000000">
                      <w14:alpha w14:val="100000"/>
                    </w14:srgbClr>
                  </w14:solidFill>
                </w14:textFill>
              </w:rPr>
              <w:t>|</w:t>
            </w:r>
            <w:r w:rsidR="00B618BF">
              <w:rPr>
                <w:rFonts w:eastAsia="MS Gothic"/>
                <w:vertAlign w:val="superscript"/>
              </w:rPr>
              <w:t>5</w:t>
            </w:r>
          </w:p>
        </w:tc>
        <w:tc>
          <w:tcPr>
            <w:tcW w:w="611" w:type="pct"/>
            <w:vAlign w:val="center"/>
          </w:tcPr>
          <w:p w14:paraId="1A0C39D3" w14:textId="1CDB2AC3" w:rsidR="00B37BD2" w:rsidRPr="009832C1"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2"/>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2"/>
                <w14:textFill>
                  <w14:solidFill>
                    <w14:srgbClr w14:val="000000">
                      <w14:alpha w14:val="100000"/>
                    </w14:srgbClr>
                  </w14:solidFill>
                </w14:textFill>
              </w:rPr>
              <w:t>|</w:t>
            </w:r>
            <w:r w:rsidR="009832C1">
              <w:rPr>
                <w:rFonts w:eastAsia="MS Gothic"/>
                <w:vertAlign w:val="superscript"/>
              </w:rPr>
              <w:t>5</w:t>
            </w:r>
          </w:p>
        </w:tc>
        <w:tc>
          <w:tcPr>
            <w:tcW w:w="611" w:type="pct"/>
            <w:vAlign w:val="center"/>
          </w:tcPr>
          <w:p w14:paraId="62131A4F" w14:textId="0376C941" w:rsidR="00B37BD2" w:rsidRPr="004D1DB1"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1"/>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1"/>
                <w14:textFill>
                  <w14:solidFill>
                    <w14:srgbClr w14:val="000000">
                      <w14:alpha w14:val="100000"/>
                    </w14:srgbClr>
                  </w14:solidFill>
                </w14:textFill>
              </w:rPr>
              <w:t>|</w:t>
            </w:r>
            <w:r w:rsidR="004D1DB1">
              <w:rPr>
                <w:rFonts w:eastAsia="MS Gothic"/>
                <w:vertAlign w:val="superscript"/>
              </w:rPr>
              <w:t>6</w:t>
            </w:r>
          </w:p>
        </w:tc>
        <w:tc>
          <w:tcPr>
            <w:tcW w:w="611" w:type="pct"/>
            <w:vAlign w:val="center"/>
          </w:tcPr>
          <w:p w14:paraId="11E52D8E" w14:textId="55EF0BA2" w:rsidR="00B37BD2" w:rsidRPr="004D1DB1"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0"/>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0"/>
                <w14:textFill>
                  <w14:solidFill>
                    <w14:srgbClr w14:val="000000">
                      <w14:alpha w14:val="100000"/>
                    </w14:srgbClr>
                  </w14:solidFill>
                </w14:textFill>
              </w:rPr>
              <w:t>|</w:t>
            </w:r>
            <w:r w:rsidR="004D1DB1">
              <w:rPr>
                <w:rFonts w:eastAsia="MS Gothic"/>
                <w:vertAlign w:val="superscript"/>
              </w:rPr>
              <w:t>6</w:t>
            </w:r>
          </w:p>
        </w:tc>
        <w:tc>
          <w:tcPr>
            <w:tcW w:w="611" w:type="pct"/>
            <w:vAlign w:val="center"/>
          </w:tcPr>
          <w:p w14:paraId="201166CC" w14:textId="79912812" w:rsidR="00B37BD2" w:rsidRPr="004D1DB1"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09"/>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09"/>
                <w14:textFill>
                  <w14:solidFill>
                    <w14:srgbClr w14:val="000000">
                      <w14:alpha w14:val="100000"/>
                    </w14:srgbClr>
                  </w14:solidFill>
                </w14:textFill>
              </w:rPr>
              <w:t>|</w:t>
            </w:r>
            <w:r w:rsidR="004D1DB1">
              <w:rPr>
                <w:rFonts w:eastAsia="MS Gothic"/>
                <w:vertAlign w:val="superscript"/>
              </w:rPr>
              <w:t>6</w:t>
            </w:r>
          </w:p>
        </w:tc>
      </w:tr>
      <w:tr w:rsidR="0061508F" w:rsidRPr="001310AD" w14:paraId="009867C6" w14:textId="77777777" w:rsidTr="00D03766">
        <w:tc>
          <w:tcPr>
            <w:tcW w:w="1334" w:type="pct"/>
          </w:tcPr>
          <w:p w14:paraId="610E809E" w14:textId="2FDAE61C" w:rsidR="0061508F" w:rsidRPr="001310AD" w:rsidRDefault="0061508F" w:rsidP="0061508F">
            <w:pPr>
              <w:pStyle w:val="TableText0"/>
              <w:ind w:firstLine="112"/>
              <w:rPr>
                <w:rFonts w:eastAsia="MS Gothic"/>
              </w:rPr>
            </w:pPr>
            <w:r w:rsidRPr="001310AD">
              <w:rPr>
                <w:rFonts w:eastAsia="MS Gothic"/>
              </w:rPr>
              <w:t>NIP (PSCR)</w:t>
            </w:r>
            <w:r w:rsidR="009B0636" w:rsidRPr="001310AD">
              <w:rPr>
                <w:rFonts w:eastAsia="MS Gothic"/>
                <w:vertAlign w:val="superscript"/>
              </w:rPr>
              <w:t>b</w:t>
            </w:r>
            <w:r w:rsidR="00612456" w:rsidRPr="001310AD">
              <w:rPr>
                <w:rFonts w:eastAsia="MS Gothic"/>
                <w:vertAlign w:val="superscript"/>
              </w:rPr>
              <w:t>, c</w:t>
            </w:r>
          </w:p>
        </w:tc>
        <w:tc>
          <w:tcPr>
            <w:tcW w:w="611" w:type="pct"/>
            <w:vAlign w:val="center"/>
          </w:tcPr>
          <w:p w14:paraId="04691421" w14:textId="5721C581" w:rsidR="0061508F" w:rsidRPr="008E5CAE" w:rsidRDefault="0061508F" w:rsidP="0061508F">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8"/>
                <w14:textFill>
                  <w14:solidFill>
                    <w14:srgbClr w14:val="000000">
                      <w14:alpha w14:val="100000"/>
                    </w14:srgbClr>
                  </w14:solidFill>
                </w14:textFill>
              </w:rPr>
              <w:t>|||</w:t>
            </w:r>
            <w:r w:rsidR="000A3A2D" w:rsidRPr="000A3A2D">
              <w:rPr>
                <w:color w:val="000000"/>
                <w:spacing w:val="1"/>
                <w:shd w:val="solid" w:color="000000" w:fill="000000"/>
                <w:fitText w:val="324" w:id="-628465908"/>
                <w14:textFill>
                  <w14:solidFill>
                    <w14:srgbClr w14:val="000000">
                      <w14:alpha w14:val="100000"/>
                    </w14:srgbClr>
                  </w14:solidFill>
                </w14:textFill>
              </w:rPr>
              <w:t>|</w:t>
            </w:r>
            <w:r w:rsidR="008E5CAE">
              <w:rPr>
                <w:vertAlign w:val="superscript"/>
              </w:rPr>
              <w:t>4</w:t>
            </w:r>
          </w:p>
        </w:tc>
        <w:tc>
          <w:tcPr>
            <w:tcW w:w="611" w:type="pct"/>
            <w:vAlign w:val="center"/>
          </w:tcPr>
          <w:p w14:paraId="4E35EA96" w14:textId="65041637" w:rsidR="0061508F" w:rsidRPr="001171DE" w:rsidRDefault="0061508F" w:rsidP="0061508F">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7"/>
                <w14:textFill>
                  <w14:solidFill>
                    <w14:srgbClr w14:val="000000">
                      <w14:alpha w14:val="100000"/>
                    </w14:srgbClr>
                  </w14:solidFill>
                </w14:textFill>
              </w:rPr>
              <w:t>|||</w:t>
            </w:r>
            <w:r w:rsidR="000A3A2D" w:rsidRPr="000A3A2D">
              <w:rPr>
                <w:color w:val="000000"/>
                <w:spacing w:val="1"/>
                <w:shd w:val="solid" w:color="000000" w:fill="000000"/>
                <w:fitText w:val="324" w:id="-628465907"/>
                <w14:textFill>
                  <w14:solidFill>
                    <w14:srgbClr w14:val="000000">
                      <w14:alpha w14:val="100000"/>
                    </w14:srgbClr>
                  </w14:solidFill>
                </w14:textFill>
              </w:rPr>
              <w:t>|</w:t>
            </w:r>
            <w:r w:rsidR="001171DE">
              <w:rPr>
                <w:vertAlign w:val="superscript"/>
              </w:rPr>
              <w:t>7</w:t>
            </w:r>
          </w:p>
        </w:tc>
        <w:tc>
          <w:tcPr>
            <w:tcW w:w="611" w:type="pct"/>
            <w:vAlign w:val="center"/>
          </w:tcPr>
          <w:p w14:paraId="057569F7" w14:textId="7D9A7F83" w:rsidR="0061508F" w:rsidRPr="001171DE" w:rsidRDefault="0061508F" w:rsidP="0061508F">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6"/>
                <w14:textFill>
                  <w14:solidFill>
                    <w14:srgbClr w14:val="000000">
                      <w14:alpha w14:val="100000"/>
                    </w14:srgbClr>
                  </w14:solidFill>
                </w14:textFill>
              </w:rPr>
              <w:t>|||</w:t>
            </w:r>
            <w:r w:rsidR="000A3A2D" w:rsidRPr="000A3A2D">
              <w:rPr>
                <w:color w:val="000000"/>
                <w:spacing w:val="1"/>
                <w:shd w:val="solid" w:color="000000" w:fill="000000"/>
                <w:fitText w:val="324" w:id="-628465906"/>
                <w14:textFill>
                  <w14:solidFill>
                    <w14:srgbClr w14:val="000000">
                      <w14:alpha w14:val="100000"/>
                    </w14:srgbClr>
                  </w14:solidFill>
                </w14:textFill>
              </w:rPr>
              <w:t>|</w:t>
            </w:r>
            <w:r w:rsidR="001171DE">
              <w:rPr>
                <w:vertAlign w:val="superscript"/>
              </w:rPr>
              <w:t>7</w:t>
            </w:r>
          </w:p>
        </w:tc>
        <w:tc>
          <w:tcPr>
            <w:tcW w:w="611" w:type="pct"/>
            <w:vAlign w:val="center"/>
          </w:tcPr>
          <w:p w14:paraId="046EEAAC" w14:textId="3DF0B0A1" w:rsidR="0061508F" w:rsidRPr="001171DE" w:rsidRDefault="0061508F" w:rsidP="0061508F">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5"/>
                <w14:textFill>
                  <w14:solidFill>
                    <w14:srgbClr w14:val="000000">
                      <w14:alpha w14:val="100000"/>
                    </w14:srgbClr>
                  </w14:solidFill>
                </w14:textFill>
              </w:rPr>
              <w:t>|||</w:t>
            </w:r>
            <w:r w:rsidR="000A3A2D" w:rsidRPr="000A3A2D">
              <w:rPr>
                <w:color w:val="000000"/>
                <w:spacing w:val="1"/>
                <w:shd w:val="solid" w:color="000000" w:fill="000000"/>
                <w:fitText w:val="324" w:id="-628465905"/>
                <w14:textFill>
                  <w14:solidFill>
                    <w14:srgbClr w14:val="000000">
                      <w14:alpha w14:val="100000"/>
                    </w14:srgbClr>
                  </w14:solidFill>
                </w14:textFill>
              </w:rPr>
              <w:t>|</w:t>
            </w:r>
            <w:r w:rsidR="001171DE">
              <w:rPr>
                <w:vertAlign w:val="superscript"/>
              </w:rPr>
              <w:t>7</w:t>
            </w:r>
          </w:p>
        </w:tc>
        <w:tc>
          <w:tcPr>
            <w:tcW w:w="611" w:type="pct"/>
            <w:vAlign w:val="center"/>
          </w:tcPr>
          <w:p w14:paraId="2E2D75F8" w14:textId="03095AA5" w:rsidR="0061508F" w:rsidRPr="001171DE" w:rsidRDefault="0061508F" w:rsidP="0061508F">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4"/>
                <w14:textFill>
                  <w14:solidFill>
                    <w14:srgbClr w14:val="000000">
                      <w14:alpha w14:val="100000"/>
                    </w14:srgbClr>
                  </w14:solidFill>
                </w14:textFill>
              </w:rPr>
              <w:t>|||</w:t>
            </w:r>
            <w:r w:rsidR="000A3A2D" w:rsidRPr="000A3A2D">
              <w:rPr>
                <w:color w:val="000000"/>
                <w:spacing w:val="1"/>
                <w:shd w:val="solid" w:color="000000" w:fill="000000"/>
                <w:fitText w:val="324" w:id="-628465904"/>
                <w14:textFill>
                  <w14:solidFill>
                    <w14:srgbClr w14:val="000000">
                      <w14:alpha w14:val="100000"/>
                    </w14:srgbClr>
                  </w14:solidFill>
                </w14:textFill>
              </w:rPr>
              <w:t>|</w:t>
            </w:r>
            <w:r w:rsidR="001171DE">
              <w:rPr>
                <w:vertAlign w:val="superscript"/>
              </w:rPr>
              <w:t>7</w:t>
            </w:r>
          </w:p>
        </w:tc>
        <w:tc>
          <w:tcPr>
            <w:tcW w:w="611" w:type="pct"/>
            <w:vAlign w:val="center"/>
          </w:tcPr>
          <w:p w14:paraId="21136863" w14:textId="7789552C" w:rsidR="0061508F" w:rsidRPr="009832C1" w:rsidRDefault="0061508F" w:rsidP="0061508F">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20"/>
                <w14:textFill>
                  <w14:solidFill>
                    <w14:srgbClr w14:val="000000">
                      <w14:alpha w14:val="100000"/>
                    </w14:srgbClr>
                  </w14:solidFill>
                </w14:textFill>
              </w:rPr>
              <w:t>|||</w:t>
            </w:r>
            <w:r w:rsidR="000A3A2D" w:rsidRPr="000A3A2D">
              <w:rPr>
                <w:color w:val="000000"/>
                <w:spacing w:val="1"/>
                <w:shd w:val="solid" w:color="000000" w:fill="000000"/>
                <w:fitText w:val="324" w:id="-628465920"/>
                <w14:textFill>
                  <w14:solidFill>
                    <w14:srgbClr w14:val="000000">
                      <w14:alpha w14:val="100000"/>
                    </w14:srgbClr>
                  </w14:solidFill>
                </w14:textFill>
              </w:rPr>
              <w:t>|</w:t>
            </w:r>
            <w:r w:rsidR="009832C1">
              <w:rPr>
                <w:vertAlign w:val="superscript"/>
              </w:rPr>
              <w:t>5</w:t>
            </w:r>
          </w:p>
        </w:tc>
      </w:tr>
      <w:tr w:rsidR="0077617E" w:rsidRPr="001310AD" w14:paraId="5D3F6DCE" w14:textId="77777777" w:rsidTr="00495042">
        <w:tc>
          <w:tcPr>
            <w:tcW w:w="1334" w:type="pct"/>
          </w:tcPr>
          <w:p w14:paraId="0D89FC01" w14:textId="58F16566" w:rsidR="0077617E" w:rsidRPr="001310AD" w:rsidRDefault="0077617E" w:rsidP="0077617E">
            <w:pPr>
              <w:pStyle w:val="TableText0"/>
              <w:ind w:firstLine="112"/>
              <w:rPr>
                <w:rFonts w:eastAsia="MS Gothic"/>
              </w:rPr>
            </w:pPr>
            <w:r w:rsidRPr="001310AD">
              <w:rPr>
                <w:rFonts w:eastAsia="MS Gothic"/>
              </w:rPr>
              <w:t>Vaccine administration</w:t>
            </w:r>
          </w:p>
        </w:tc>
        <w:tc>
          <w:tcPr>
            <w:tcW w:w="611" w:type="pct"/>
          </w:tcPr>
          <w:p w14:paraId="01956FCF" w14:textId="6DB4CBFD" w:rsidR="0077617E" w:rsidRPr="00CF18AD" w:rsidRDefault="0077617E" w:rsidP="0077617E">
            <w:pPr>
              <w:pStyle w:val="TableText0"/>
              <w:jc w:val="center"/>
              <w:rPr>
                <w:rFonts w:cs="Calibri"/>
                <w:color w:val="000000"/>
                <w:vertAlign w:val="superscript"/>
              </w:rPr>
            </w:pPr>
            <w:r w:rsidRPr="001310AD">
              <w:t>$</w:t>
            </w:r>
            <w:r w:rsidR="000A3A2D" w:rsidRPr="000A3A2D">
              <w:rPr>
                <w:color w:val="000000"/>
                <w:spacing w:val="51"/>
                <w:shd w:val="solid" w:color="000000" w:fill="000000"/>
                <w:fitText w:val="324" w:id="-628465919"/>
                <w14:textFill>
                  <w14:solidFill>
                    <w14:srgbClr w14:val="000000">
                      <w14:alpha w14:val="100000"/>
                    </w14:srgbClr>
                  </w14:solidFill>
                </w14:textFill>
              </w:rPr>
              <w:t>|||</w:t>
            </w:r>
            <w:r w:rsidR="000A3A2D" w:rsidRPr="000A3A2D">
              <w:rPr>
                <w:color w:val="000000"/>
                <w:spacing w:val="1"/>
                <w:shd w:val="solid" w:color="000000" w:fill="000000"/>
                <w:fitText w:val="324" w:id="-628465919"/>
                <w14:textFill>
                  <w14:solidFill>
                    <w14:srgbClr w14:val="000000">
                      <w14:alpha w14:val="100000"/>
                    </w14:srgbClr>
                  </w14:solidFill>
                </w14:textFill>
              </w:rPr>
              <w:t>|</w:t>
            </w:r>
            <w:r w:rsidR="00CF18AD">
              <w:rPr>
                <w:vertAlign w:val="superscript"/>
              </w:rPr>
              <w:t>8</w:t>
            </w:r>
          </w:p>
        </w:tc>
        <w:tc>
          <w:tcPr>
            <w:tcW w:w="611" w:type="pct"/>
          </w:tcPr>
          <w:p w14:paraId="5CEF0993" w14:textId="3B8CEB12" w:rsidR="0077617E" w:rsidRPr="00CF18AD" w:rsidRDefault="0077617E" w:rsidP="0077617E">
            <w:pPr>
              <w:pStyle w:val="TableText0"/>
              <w:jc w:val="center"/>
              <w:rPr>
                <w:rFonts w:cs="Calibri"/>
                <w:color w:val="000000"/>
                <w:vertAlign w:val="superscript"/>
              </w:rPr>
            </w:pPr>
            <w:r w:rsidRPr="001310AD">
              <w:t>$</w:t>
            </w:r>
            <w:r w:rsidR="000A3A2D" w:rsidRPr="000A3A2D">
              <w:rPr>
                <w:color w:val="000000"/>
                <w:spacing w:val="51"/>
                <w:shd w:val="solid" w:color="000000" w:fill="000000"/>
                <w:fitText w:val="324" w:id="-628465918"/>
                <w14:textFill>
                  <w14:solidFill>
                    <w14:srgbClr w14:val="000000">
                      <w14:alpha w14:val="100000"/>
                    </w14:srgbClr>
                  </w14:solidFill>
                </w14:textFill>
              </w:rPr>
              <w:t>|||</w:t>
            </w:r>
            <w:r w:rsidR="000A3A2D" w:rsidRPr="000A3A2D">
              <w:rPr>
                <w:color w:val="000000"/>
                <w:spacing w:val="1"/>
                <w:shd w:val="solid" w:color="000000" w:fill="000000"/>
                <w:fitText w:val="324" w:id="-628465918"/>
                <w14:textFill>
                  <w14:solidFill>
                    <w14:srgbClr w14:val="000000">
                      <w14:alpha w14:val="100000"/>
                    </w14:srgbClr>
                  </w14:solidFill>
                </w14:textFill>
              </w:rPr>
              <w:t>|</w:t>
            </w:r>
            <w:r w:rsidR="00CF18AD">
              <w:rPr>
                <w:vertAlign w:val="superscript"/>
              </w:rPr>
              <w:t>8</w:t>
            </w:r>
          </w:p>
        </w:tc>
        <w:tc>
          <w:tcPr>
            <w:tcW w:w="611" w:type="pct"/>
          </w:tcPr>
          <w:p w14:paraId="594F4124" w14:textId="5D7CAB24" w:rsidR="0077617E" w:rsidRPr="00CF18AD" w:rsidRDefault="0077617E" w:rsidP="0077617E">
            <w:pPr>
              <w:pStyle w:val="TableText0"/>
              <w:jc w:val="center"/>
              <w:rPr>
                <w:rFonts w:cs="Calibri"/>
                <w:color w:val="000000"/>
                <w:vertAlign w:val="superscript"/>
              </w:rPr>
            </w:pPr>
            <w:r w:rsidRPr="001310AD">
              <w:t>$</w:t>
            </w:r>
            <w:r w:rsidR="000A3A2D" w:rsidRPr="000A3A2D">
              <w:rPr>
                <w:color w:val="000000"/>
                <w:spacing w:val="51"/>
                <w:shd w:val="solid" w:color="000000" w:fill="000000"/>
                <w:fitText w:val="324" w:id="-628465917"/>
                <w14:textFill>
                  <w14:solidFill>
                    <w14:srgbClr w14:val="000000">
                      <w14:alpha w14:val="100000"/>
                    </w14:srgbClr>
                  </w14:solidFill>
                </w14:textFill>
              </w:rPr>
              <w:t>|||</w:t>
            </w:r>
            <w:r w:rsidR="000A3A2D" w:rsidRPr="000A3A2D">
              <w:rPr>
                <w:color w:val="000000"/>
                <w:spacing w:val="1"/>
                <w:shd w:val="solid" w:color="000000" w:fill="000000"/>
                <w:fitText w:val="324" w:id="-628465917"/>
                <w14:textFill>
                  <w14:solidFill>
                    <w14:srgbClr w14:val="000000">
                      <w14:alpha w14:val="100000"/>
                    </w14:srgbClr>
                  </w14:solidFill>
                </w14:textFill>
              </w:rPr>
              <w:t>|</w:t>
            </w:r>
            <w:r w:rsidR="00CF18AD">
              <w:rPr>
                <w:vertAlign w:val="superscript"/>
              </w:rPr>
              <w:t>8</w:t>
            </w:r>
          </w:p>
        </w:tc>
        <w:tc>
          <w:tcPr>
            <w:tcW w:w="611" w:type="pct"/>
          </w:tcPr>
          <w:p w14:paraId="5082E73B" w14:textId="7F76D1B4" w:rsidR="0077617E" w:rsidRPr="00CF18AD" w:rsidRDefault="0077617E" w:rsidP="0077617E">
            <w:pPr>
              <w:pStyle w:val="TableText0"/>
              <w:jc w:val="center"/>
              <w:rPr>
                <w:rFonts w:cs="Calibri"/>
                <w:color w:val="000000"/>
                <w:vertAlign w:val="superscript"/>
              </w:rPr>
            </w:pPr>
            <w:r w:rsidRPr="001310AD">
              <w:t>$</w:t>
            </w:r>
            <w:r w:rsidR="000A3A2D" w:rsidRPr="000A3A2D">
              <w:rPr>
                <w:color w:val="000000"/>
                <w:spacing w:val="51"/>
                <w:shd w:val="solid" w:color="000000" w:fill="000000"/>
                <w:fitText w:val="324" w:id="-628465916"/>
                <w14:textFill>
                  <w14:solidFill>
                    <w14:srgbClr w14:val="000000">
                      <w14:alpha w14:val="100000"/>
                    </w14:srgbClr>
                  </w14:solidFill>
                </w14:textFill>
              </w:rPr>
              <w:t>|||</w:t>
            </w:r>
            <w:r w:rsidR="000A3A2D" w:rsidRPr="000A3A2D">
              <w:rPr>
                <w:color w:val="000000"/>
                <w:spacing w:val="1"/>
                <w:shd w:val="solid" w:color="000000" w:fill="000000"/>
                <w:fitText w:val="324" w:id="-628465916"/>
                <w14:textFill>
                  <w14:solidFill>
                    <w14:srgbClr w14:val="000000">
                      <w14:alpha w14:val="100000"/>
                    </w14:srgbClr>
                  </w14:solidFill>
                </w14:textFill>
              </w:rPr>
              <w:t>|</w:t>
            </w:r>
            <w:r w:rsidR="00CF18AD">
              <w:rPr>
                <w:vertAlign w:val="superscript"/>
              </w:rPr>
              <w:t>8</w:t>
            </w:r>
          </w:p>
        </w:tc>
        <w:tc>
          <w:tcPr>
            <w:tcW w:w="611" w:type="pct"/>
          </w:tcPr>
          <w:p w14:paraId="48EDA484" w14:textId="6ED5AFB6" w:rsidR="0077617E" w:rsidRPr="00CF18AD" w:rsidRDefault="0077617E" w:rsidP="0077617E">
            <w:pPr>
              <w:pStyle w:val="TableText0"/>
              <w:jc w:val="center"/>
              <w:rPr>
                <w:rFonts w:cs="Calibri"/>
                <w:color w:val="000000"/>
                <w:vertAlign w:val="superscript"/>
              </w:rPr>
            </w:pPr>
            <w:r w:rsidRPr="001310AD">
              <w:t>$</w:t>
            </w:r>
            <w:r w:rsidR="000A3A2D" w:rsidRPr="000A3A2D">
              <w:rPr>
                <w:color w:val="000000"/>
                <w:spacing w:val="51"/>
                <w:shd w:val="solid" w:color="000000" w:fill="000000"/>
                <w:fitText w:val="324" w:id="-628465915"/>
                <w14:textFill>
                  <w14:solidFill>
                    <w14:srgbClr w14:val="000000">
                      <w14:alpha w14:val="100000"/>
                    </w14:srgbClr>
                  </w14:solidFill>
                </w14:textFill>
              </w:rPr>
              <w:t>|||</w:t>
            </w:r>
            <w:r w:rsidR="000A3A2D" w:rsidRPr="000A3A2D">
              <w:rPr>
                <w:color w:val="000000"/>
                <w:spacing w:val="1"/>
                <w:shd w:val="solid" w:color="000000" w:fill="000000"/>
                <w:fitText w:val="324" w:id="-628465915"/>
                <w14:textFill>
                  <w14:solidFill>
                    <w14:srgbClr w14:val="000000">
                      <w14:alpha w14:val="100000"/>
                    </w14:srgbClr>
                  </w14:solidFill>
                </w14:textFill>
              </w:rPr>
              <w:t>|</w:t>
            </w:r>
            <w:r w:rsidR="00CF18AD">
              <w:rPr>
                <w:vertAlign w:val="superscript"/>
              </w:rPr>
              <w:t>8</w:t>
            </w:r>
          </w:p>
        </w:tc>
        <w:tc>
          <w:tcPr>
            <w:tcW w:w="611" w:type="pct"/>
          </w:tcPr>
          <w:p w14:paraId="5FCD2CE0" w14:textId="478D21F3" w:rsidR="0077617E" w:rsidRPr="00CF18AD" w:rsidRDefault="0077617E" w:rsidP="0077617E">
            <w:pPr>
              <w:pStyle w:val="TableText0"/>
              <w:jc w:val="center"/>
              <w:rPr>
                <w:rFonts w:cs="Calibri"/>
                <w:color w:val="000000"/>
                <w:vertAlign w:val="superscript"/>
              </w:rPr>
            </w:pPr>
            <w:r w:rsidRPr="001310AD">
              <w:t>$</w:t>
            </w:r>
            <w:r w:rsidR="000A3A2D" w:rsidRPr="000A3A2D">
              <w:rPr>
                <w:color w:val="000000"/>
                <w:spacing w:val="51"/>
                <w:shd w:val="solid" w:color="000000" w:fill="000000"/>
                <w:fitText w:val="324" w:id="-628465914"/>
                <w14:textFill>
                  <w14:solidFill>
                    <w14:srgbClr w14:val="000000">
                      <w14:alpha w14:val="100000"/>
                    </w14:srgbClr>
                  </w14:solidFill>
                </w14:textFill>
              </w:rPr>
              <w:t>|||</w:t>
            </w:r>
            <w:r w:rsidR="000A3A2D" w:rsidRPr="000A3A2D">
              <w:rPr>
                <w:color w:val="000000"/>
                <w:spacing w:val="1"/>
                <w:shd w:val="solid" w:color="000000" w:fill="000000"/>
                <w:fitText w:val="324" w:id="-628465914"/>
                <w14:textFill>
                  <w14:solidFill>
                    <w14:srgbClr w14:val="000000">
                      <w14:alpha w14:val="100000"/>
                    </w14:srgbClr>
                  </w14:solidFill>
                </w14:textFill>
              </w:rPr>
              <w:t>|</w:t>
            </w:r>
            <w:r w:rsidR="00CF18AD">
              <w:rPr>
                <w:vertAlign w:val="superscript"/>
              </w:rPr>
              <w:t>8</w:t>
            </w:r>
          </w:p>
        </w:tc>
      </w:tr>
      <w:tr w:rsidR="001B31D1" w:rsidRPr="001310AD" w14:paraId="21C372BA" w14:textId="77777777" w:rsidTr="00993A8C">
        <w:tc>
          <w:tcPr>
            <w:tcW w:w="1334" w:type="pct"/>
          </w:tcPr>
          <w:p w14:paraId="2C167DB1" w14:textId="2C9C22FE" w:rsidR="001B31D1" w:rsidRPr="001310AD" w:rsidRDefault="001B31D1" w:rsidP="001B31D1">
            <w:pPr>
              <w:pStyle w:val="TableText0"/>
              <w:ind w:firstLine="112"/>
              <w:rPr>
                <w:rFonts w:eastAsia="MS Gothic"/>
              </w:rPr>
            </w:pPr>
            <w:r w:rsidRPr="001310AD">
              <w:rPr>
                <w:rFonts w:eastAsia="MS Gothic"/>
              </w:rPr>
              <w:t>Vaccine administration (PSCR, corrected)</w:t>
            </w:r>
          </w:p>
        </w:tc>
        <w:tc>
          <w:tcPr>
            <w:tcW w:w="611" w:type="pct"/>
          </w:tcPr>
          <w:p w14:paraId="75E0B55B" w14:textId="221BB9CE" w:rsidR="001B31D1" w:rsidRPr="00CF18AD" w:rsidRDefault="001B31D1" w:rsidP="001B31D1">
            <w:pPr>
              <w:pStyle w:val="TableText0"/>
              <w:jc w:val="center"/>
              <w:rPr>
                <w:vertAlign w:val="superscript"/>
              </w:rPr>
            </w:pPr>
            <w:r w:rsidRPr="001310AD">
              <w:t>$</w:t>
            </w:r>
            <w:r w:rsidR="000A3A2D" w:rsidRPr="000A3A2D">
              <w:rPr>
                <w:color w:val="000000"/>
                <w:spacing w:val="51"/>
                <w:shd w:val="solid" w:color="000000" w:fill="000000"/>
                <w:fitText w:val="324" w:id="-628465913"/>
                <w14:textFill>
                  <w14:solidFill>
                    <w14:srgbClr w14:val="000000">
                      <w14:alpha w14:val="100000"/>
                    </w14:srgbClr>
                  </w14:solidFill>
                </w14:textFill>
              </w:rPr>
              <w:t>|||</w:t>
            </w:r>
            <w:r w:rsidR="000A3A2D" w:rsidRPr="000A3A2D">
              <w:rPr>
                <w:color w:val="000000"/>
                <w:spacing w:val="1"/>
                <w:shd w:val="solid" w:color="000000" w:fill="000000"/>
                <w:fitText w:val="324" w:id="-628465913"/>
                <w14:textFill>
                  <w14:solidFill>
                    <w14:srgbClr w14:val="000000">
                      <w14:alpha w14:val="100000"/>
                    </w14:srgbClr>
                  </w14:solidFill>
                </w14:textFill>
              </w:rPr>
              <w:t>|</w:t>
            </w:r>
            <w:r w:rsidR="00CF18AD">
              <w:rPr>
                <w:vertAlign w:val="superscript"/>
              </w:rPr>
              <w:t>8</w:t>
            </w:r>
          </w:p>
        </w:tc>
        <w:tc>
          <w:tcPr>
            <w:tcW w:w="611" w:type="pct"/>
          </w:tcPr>
          <w:p w14:paraId="489A5DE4" w14:textId="073DFF0B" w:rsidR="001B31D1" w:rsidRPr="00CF18AD" w:rsidRDefault="001B31D1" w:rsidP="001B31D1">
            <w:pPr>
              <w:pStyle w:val="TableText0"/>
              <w:jc w:val="center"/>
              <w:rPr>
                <w:vertAlign w:val="superscript"/>
              </w:rPr>
            </w:pPr>
            <w:r w:rsidRPr="001310AD">
              <w:t>$</w:t>
            </w:r>
            <w:r w:rsidR="000A3A2D" w:rsidRPr="000A3A2D">
              <w:rPr>
                <w:color w:val="000000"/>
                <w:spacing w:val="51"/>
                <w:shd w:val="solid" w:color="000000" w:fill="000000"/>
                <w:fitText w:val="324" w:id="-628465912"/>
                <w14:textFill>
                  <w14:solidFill>
                    <w14:srgbClr w14:val="000000">
                      <w14:alpha w14:val="100000"/>
                    </w14:srgbClr>
                  </w14:solidFill>
                </w14:textFill>
              </w:rPr>
              <w:t>|||</w:t>
            </w:r>
            <w:r w:rsidR="000A3A2D" w:rsidRPr="000A3A2D">
              <w:rPr>
                <w:color w:val="000000"/>
                <w:spacing w:val="1"/>
                <w:shd w:val="solid" w:color="000000" w:fill="000000"/>
                <w:fitText w:val="324" w:id="-628465912"/>
                <w14:textFill>
                  <w14:solidFill>
                    <w14:srgbClr w14:val="000000">
                      <w14:alpha w14:val="100000"/>
                    </w14:srgbClr>
                  </w14:solidFill>
                </w14:textFill>
              </w:rPr>
              <w:t>|</w:t>
            </w:r>
            <w:r w:rsidR="00CF18AD">
              <w:rPr>
                <w:vertAlign w:val="superscript"/>
              </w:rPr>
              <w:t>8</w:t>
            </w:r>
          </w:p>
        </w:tc>
        <w:tc>
          <w:tcPr>
            <w:tcW w:w="611" w:type="pct"/>
          </w:tcPr>
          <w:p w14:paraId="6510DB27" w14:textId="54AFF044" w:rsidR="001B31D1" w:rsidRPr="00CF18AD" w:rsidRDefault="001B31D1" w:rsidP="001B31D1">
            <w:pPr>
              <w:pStyle w:val="TableText0"/>
              <w:jc w:val="center"/>
              <w:rPr>
                <w:vertAlign w:val="superscript"/>
              </w:rPr>
            </w:pPr>
            <w:r w:rsidRPr="001310AD">
              <w:t>$</w:t>
            </w:r>
            <w:r w:rsidR="000A3A2D" w:rsidRPr="000A3A2D">
              <w:rPr>
                <w:color w:val="000000"/>
                <w:spacing w:val="51"/>
                <w:shd w:val="solid" w:color="000000" w:fill="000000"/>
                <w:fitText w:val="324" w:id="-628465911"/>
                <w14:textFill>
                  <w14:solidFill>
                    <w14:srgbClr w14:val="000000">
                      <w14:alpha w14:val="100000"/>
                    </w14:srgbClr>
                  </w14:solidFill>
                </w14:textFill>
              </w:rPr>
              <w:t>|||</w:t>
            </w:r>
            <w:r w:rsidR="000A3A2D" w:rsidRPr="000A3A2D">
              <w:rPr>
                <w:color w:val="000000"/>
                <w:spacing w:val="1"/>
                <w:shd w:val="solid" w:color="000000" w:fill="000000"/>
                <w:fitText w:val="324" w:id="-628465911"/>
                <w14:textFill>
                  <w14:solidFill>
                    <w14:srgbClr w14:val="000000">
                      <w14:alpha w14:val="100000"/>
                    </w14:srgbClr>
                  </w14:solidFill>
                </w14:textFill>
              </w:rPr>
              <w:t>|</w:t>
            </w:r>
            <w:r w:rsidR="00CF18AD">
              <w:rPr>
                <w:vertAlign w:val="superscript"/>
              </w:rPr>
              <w:t>8</w:t>
            </w:r>
          </w:p>
        </w:tc>
        <w:tc>
          <w:tcPr>
            <w:tcW w:w="611" w:type="pct"/>
          </w:tcPr>
          <w:p w14:paraId="52B45383" w14:textId="3D072B1B" w:rsidR="001B31D1" w:rsidRPr="00CF18AD" w:rsidRDefault="001B31D1" w:rsidP="001B31D1">
            <w:pPr>
              <w:pStyle w:val="TableText0"/>
              <w:jc w:val="center"/>
              <w:rPr>
                <w:vertAlign w:val="superscript"/>
              </w:rPr>
            </w:pPr>
            <w:r w:rsidRPr="001310AD">
              <w:t>$</w:t>
            </w:r>
            <w:r w:rsidR="000A3A2D" w:rsidRPr="000A3A2D">
              <w:rPr>
                <w:color w:val="000000"/>
                <w:spacing w:val="51"/>
                <w:shd w:val="solid" w:color="000000" w:fill="000000"/>
                <w:fitText w:val="324" w:id="-628465910"/>
                <w14:textFill>
                  <w14:solidFill>
                    <w14:srgbClr w14:val="000000">
                      <w14:alpha w14:val="100000"/>
                    </w14:srgbClr>
                  </w14:solidFill>
                </w14:textFill>
              </w:rPr>
              <w:t>|||</w:t>
            </w:r>
            <w:r w:rsidR="000A3A2D" w:rsidRPr="000A3A2D">
              <w:rPr>
                <w:color w:val="000000"/>
                <w:spacing w:val="1"/>
                <w:shd w:val="solid" w:color="000000" w:fill="000000"/>
                <w:fitText w:val="324" w:id="-628465910"/>
                <w14:textFill>
                  <w14:solidFill>
                    <w14:srgbClr w14:val="000000">
                      <w14:alpha w14:val="100000"/>
                    </w14:srgbClr>
                  </w14:solidFill>
                </w14:textFill>
              </w:rPr>
              <w:t>|</w:t>
            </w:r>
            <w:r w:rsidR="00CF18AD">
              <w:rPr>
                <w:vertAlign w:val="superscript"/>
              </w:rPr>
              <w:t>8</w:t>
            </w:r>
          </w:p>
        </w:tc>
        <w:tc>
          <w:tcPr>
            <w:tcW w:w="611" w:type="pct"/>
          </w:tcPr>
          <w:p w14:paraId="6AF4BB74" w14:textId="5E074E25" w:rsidR="001B31D1" w:rsidRPr="00CF18AD" w:rsidRDefault="001B31D1" w:rsidP="001B31D1">
            <w:pPr>
              <w:pStyle w:val="TableText0"/>
              <w:jc w:val="center"/>
              <w:rPr>
                <w:vertAlign w:val="superscript"/>
              </w:rPr>
            </w:pPr>
            <w:r w:rsidRPr="001310AD">
              <w:t>$</w:t>
            </w:r>
            <w:r w:rsidR="000A3A2D" w:rsidRPr="000A3A2D">
              <w:rPr>
                <w:color w:val="000000"/>
                <w:spacing w:val="51"/>
                <w:shd w:val="solid" w:color="000000" w:fill="000000"/>
                <w:fitText w:val="324" w:id="-628465909"/>
                <w14:textFill>
                  <w14:solidFill>
                    <w14:srgbClr w14:val="000000">
                      <w14:alpha w14:val="100000"/>
                    </w14:srgbClr>
                  </w14:solidFill>
                </w14:textFill>
              </w:rPr>
              <w:t>|||</w:t>
            </w:r>
            <w:r w:rsidR="000A3A2D" w:rsidRPr="000A3A2D">
              <w:rPr>
                <w:color w:val="000000"/>
                <w:spacing w:val="1"/>
                <w:shd w:val="solid" w:color="000000" w:fill="000000"/>
                <w:fitText w:val="324" w:id="-628465909"/>
                <w14:textFill>
                  <w14:solidFill>
                    <w14:srgbClr w14:val="000000">
                      <w14:alpha w14:val="100000"/>
                    </w14:srgbClr>
                  </w14:solidFill>
                </w14:textFill>
              </w:rPr>
              <w:t>|</w:t>
            </w:r>
            <w:r w:rsidR="00CF18AD">
              <w:rPr>
                <w:vertAlign w:val="superscript"/>
              </w:rPr>
              <w:t>8</w:t>
            </w:r>
          </w:p>
        </w:tc>
        <w:tc>
          <w:tcPr>
            <w:tcW w:w="611" w:type="pct"/>
          </w:tcPr>
          <w:p w14:paraId="49C83C70" w14:textId="2862F65B" w:rsidR="001B31D1" w:rsidRPr="00CF18AD" w:rsidRDefault="001B31D1" w:rsidP="001B31D1">
            <w:pPr>
              <w:pStyle w:val="TableText0"/>
              <w:jc w:val="center"/>
              <w:rPr>
                <w:vertAlign w:val="superscript"/>
              </w:rPr>
            </w:pPr>
            <w:r w:rsidRPr="001310AD">
              <w:t>$</w:t>
            </w:r>
            <w:r w:rsidR="000A3A2D" w:rsidRPr="000A3A2D">
              <w:rPr>
                <w:color w:val="000000"/>
                <w:spacing w:val="51"/>
                <w:shd w:val="solid" w:color="000000" w:fill="000000"/>
                <w:fitText w:val="324" w:id="-628465908"/>
                <w14:textFill>
                  <w14:solidFill>
                    <w14:srgbClr w14:val="000000">
                      <w14:alpha w14:val="100000"/>
                    </w14:srgbClr>
                  </w14:solidFill>
                </w14:textFill>
              </w:rPr>
              <w:t>|||</w:t>
            </w:r>
            <w:r w:rsidR="000A3A2D" w:rsidRPr="000A3A2D">
              <w:rPr>
                <w:color w:val="000000"/>
                <w:spacing w:val="1"/>
                <w:shd w:val="solid" w:color="000000" w:fill="000000"/>
                <w:fitText w:val="324" w:id="-628465908"/>
                <w14:textFill>
                  <w14:solidFill>
                    <w14:srgbClr w14:val="000000">
                      <w14:alpha w14:val="100000"/>
                    </w14:srgbClr>
                  </w14:solidFill>
                </w14:textFill>
              </w:rPr>
              <w:t>|</w:t>
            </w:r>
            <w:r w:rsidR="00CF18AD">
              <w:rPr>
                <w:vertAlign w:val="superscript"/>
              </w:rPr>
              <w:t>8</w:t>
            </w:r>
          </w:p>
        </w:tc>
      </w:tr>
      <w:tr w:rsidR="00B37BD2" w:rsidRPr="001310AD" w14:paraId="5EBE28CF" w14:textId="77777777" w:rsidTr="00D03766">
        <w:tc>
          <w:tcPr>
            <w:tcW w:w="1334" w:type="pct"/>
          </w:tcPr>
          <w:p w14:paraId="33498763" w14:textId="24D3543F" w:rsidR="00B37BD2" w:rsidRPr="001310AD" w:rsidRDefault="00B37BD2" w:rsidP="00B37BD2">
            <w:pPr>
              <w:pStyle w:val="TableText0"/>
              <w:rPr>
                <w:vertAlign w:val="superscript"/>
              </w:rPr>
            </w:pPr>
            <w:r w:rsidRPr="001310AD">
              <w:rPr>
                <w:rFonts w:eastAsia="MS Gothic"/>
              </w:rPr>
              <w:t xml:space="preserve">  PBS </w:t>
            </w:r>
            <w:r w:rsidR="001B31D1" w:rsidRPr="001310AD">
              <w:rPr>
                <w:rFonts w:eastAsia="MS Gothic"/>
                <w:vertAlign w:val="superscript"/>
              </w:rPr>
              <w:t>d</w:t>
            </w:r>
          </w:p>
        </w:tc>
        <w:tc>
          <w:tcPr>
            <w:tcW w:w="611" w:type="pct"/>
            <w:vAlign w:val="center"/>
          </w:tcPr>
          <w:p w14:paraId="26DB9CE9" w14:textId="35F801EE"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07"/>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07"/>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521F561C" w14:textId="6A0D09E5"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06"/>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06"/>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1737443F" w14:textId="3014D109"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05"/>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05"/>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3E41D0B8" w14:textId="691EEE7A"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04"/>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04"/>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7DF106A5" w14:textId="060A689F"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20"/>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20"/>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2298E60C" w14:textId="54023122"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9"/>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9"/>
                <w14:textFill>
                  <w14:solidFill>
                    <w14:srgbClr w14:val="000000">
                      <w14:alpha w14:val="100000"/>
                    </w14:srgbClr>
                  </w14:solidFill>
                </w14:textFill>
              </w:rPr>
              <w:t>|</w:t>
            </w:r>
            <w:r w:rsidR="00CF18AD">
              <w:rPr>
                <w:rFonts w:eastAsia="MS Gothic"/>
                <w:vertAlign w:val="superscript"/>
              </w:rPr>
              <w:t>8</w:t>
            </w:r>
          </w:p>
        </w:tc>
      </w:tr>
      <w:tr w:rsidR="00B37BD2" w:rsidRPr="001310AD" w14:paraId="72F7603C" w14:textId="77777777" w:rsidTr="00D03766">
        <w:tc>
          <w:tcPr>
            <w:tcW w:w="1334" w:type="pct"/>
          </w:tcPr>
          <w:p w14:paraId="5DD39DBA" w14:textId="63A8B89C" w:rsidR="00B37BD2" w:rsidRPr="001310AD" w:rsidRDefault="00B37BD2" w:rsidP="00B37BD2">
            <w:pPr>
              <w:pStyle w:val="TableText0"/>
            </w:pPr>
            <w:r w:rsidRPr="001310AD">
              <w:rPr>
                <w:rFonts w:eastAsia="MS Gothic"/>
              </w:rPr>
              <w:t xml:space="preserve">  MBS</w:t>
            </w:r>
            <w:r w:rsidR="001B31D1" w:rsidRPr="001310AD">
              <w:rPr>
                <w:rFonts w:eastAsia="MS Gothic"/>
              </w:rPr>
              <w:t xml:space="preserve"> </w:t>
            </w:r>
            <w:r w:rsidR="001B31D1" w:rsidRPr="001310AD">
              <w:rPr>
                <w:rFonts w:eastAsia="MS Gothic"/>
                <w:vertAlign w:val="superscript"/>
              </w:rPr>
              <w:t>e</w:t>
            </w:r>
          </w:p>
        </w:tc>
        <w:tc>
          <w:tcPr>
            <w:tcW w:w="611" w:type="pct"/>
            <w:vAlign w:val="center"/>
          </w:tcPr>
          <w:p w14:paraId="1A56C81B" w14:textId="4AA7A75B"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8"/>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8"/>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0E477DFE" w14:textId="60113608"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7"/>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7"/>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67B92601" w14:textId="147B3B12"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6"/>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6"/>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44F3DF10" w14:textId="2BA7AE3B"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5"/>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5"/>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5AC13576" w14:textId="12592B5D"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4"/>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4"/>
                <w14:textFill>
                  <w14:solidFill>
                    <w14:srgbClr w14:val="000000">
                      <w14:alpha w14:val="100000"/>
                    </w14:srgbClr>
                  </w14:solidFill>
                </w14:textFill>
              </w:rPr>
              <w:t>|</w:t>
            </w:r>
            <w:r w:rsidR="00CF18AD">
              <w:rPr>
                <w:rFonts w:eastAsia="MS Gothic"/>
                <w:vertAlign w:val="superscript"/>
              </w:rPr>
              <w:t>8</w:t>
            </w:r>
          </w:p>
        </w:tc>
        <w:tc>
          <w:tcPr>
            <w:tcW w:w="611" w:type="pct"/>
            <w:vAlign w:val="center"/>
          </w:tcPr>
          <w:p w14:paraId="412CE91A" w14:textId="021BE8F3" w:rsidR="00B37BD2" w:rsidRPr="00CF18AD"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3"/>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3"/>
                <w14:textFill>
                  <w14:solidFill>
                    <w14:srgbClr w14:val="000000">
                      <w14:alpha w14:val="100000"/>
                    </w14:srgbClr>
                  </w14:solidFill>
                </w14:textFill>
              </w:rPr>
              <w:t>|</w:t>
            </w:r>
            <w:r w:rsidR="00CF18AD">
              <w:rPr>
                <w:rFonts w:eastAsia="MS Gothic"/>
                <w:vertAlign w:val="superscript"/>
              </w:rPr>
              <w:t>8</w:t>
            </w:r>
          </w:p>
        </w:tc>
      </w:tr>
      <w:tr w:rsidR="00612456" w:rsidRPr="001310AD" w14:paraId="18DE758C" w14:textId="77777777" w:rsidTr="00495042">
        <w:tc>
          <w:tcPr>
            <w:tcW w:w="1334" w:type="pct"/>
          </w:tcPr>
          <w:p w14:paraId="00B30DF3" w14:textId="4B7319AC" w:rsidR="00612456" w:rsidRPr="001310AD" w:rsidRDefault="00612456" w:rsidP="00612456">
            <w:pPr>
              <w:pStyle w:val="TableText0"/>
              <w:rPr>
                <w:rFonts w:eastAsia="MS Gothic"/>
                <w:b/>
                <w:bCs w:val="0"/>
              </w:rPr>
            </w:pPr>
            <w:r w:rsidRPr="001310AD">
              <w:rPr>
                <w:rFonts w:eastAsia="MS Gothic"/>
                <w:b/>
                <w:bCs w:val="0"/>
              </w:rPr>
              <w:t>Estimated cost to NIP, PBS and MBS – resubmission</w:t>
            </w:r>
          </w:p>
        </w:tc>
        <w:tc>
          <w:tcPr>
            <w:tcW w:w="611" w:type="pct"/>
            <w:vAlign w:val="center"/>
          </w:tcPr>
          <w:p w14:paraId="702AE13E" w14:textId="44D7D4C9" w:rsidR="00612456" w:rsidRPr="009226FB" w:rsidRDefault="00612456" w:rsidP="00612456">
            <w:pPr>
              <w:pStyle w:val="TableText0"/>
              <w:jc w:val="center"/>
              <w:rPr>
                <w:rFonts w:eastAsia="MS Gothic"/>
                <w:vertAlign w:val="superscript"/>
              </w:rPr>
            </w:pPr>
            <w:r w:rsidRPr="001310AD">
              <w:t>$</w:t>
            </w:r>
            <w:r w:rsidR="000A3A2D" w:rsidRPr="009226FB">
              <w:rPr>
                <w:color w:val="000000"/>
                <w:spacing w:val="55"/>
                <w:shd w:val="solid" w:color="000000" w:fill="000000"/>
                <w:fitText w:val="336" w:id="-628465912"/>
                <w14:textFill>
                  <w14:solidFill>
                    <w14:srgbClr w14:val="000000">
                      <w14:alpha w14:val="100000"/>
                    </w14:srgbClr>
                  </w14:solidFill>
                </w14:textFill>
              </w:rPr>
              <w:t>|||</w:t>
            </w:r>
            <w:r w:rsidR="000A3A2D" w:rsidRPr="009226FB">
              <w:rPr>
                <w:color w:val="000000"/>
                <w:spacing w:val="1"/>
                <w:shd w:val="solid" w:color="000000" w:fill="000000"/>
                <w:fitText w:val="336" w:id="-628465912"/>
                <w14:textFill>
                  <w14:solidFill>
                    <w14:srgbClr w14:val="000000">
                      <w14:alpha w14:val="100000"/>
                    </w14:srgbClr>
                  </w14:solidFill>
                </w14:textFill>
              </w:rPr>
              <w:t>|</w:t>
            </w:r>
            <w:r w:rsidR="009226FB" w:rsidRPr="009226FB">
              <w:rPr>
                <w:rFonts w:eastAsia="MS Gothic"/>
                <w:vertAlign w:val="superscript"/>
              </w:rPr>
              <w:t>8</w:t>
            </w:r>
          </w:p>
        </w:tc>
        <w:tc>
          <w:tcPr>
            <w:tcW w:w="611" w:type="pct"/>
            <w:vAlign w:val="center"/>
          </w:tcPr>
          <w:p w14:paraId="380FE9AE" w14:textId="32989254" w:rsidR="00612456" w:rsidRPr="001D6ADC"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11"/>
                <w14:textFill>
                  <w14:solidFill>
                    <w14:srgbClr w14:val="000000">
                      <w14:alpha w14:val="100000"/>
                    </w14:srgbClr>
                  </w14:solidFill>
                </w14:textFill>
              </w:rPr>
              <w:t>|||</w:t>
            </w:r>
            <w:r w:rsidR="000A3A2D" w:rsidRPr="000A3A2D">
              <w:rPr>
                <w:color w:val="000000"/>
                <w:spacing w:val="1"/>
                <w:shd w:val="solid" w:color="000000" w:fill="000000"/>
                <w:fitText w:val="324" w:id="-628465911"/>
                <w14:textFill>
                  <w14:solidFill>
                    <w14:srgbClr w14:val="000000">
                      <w14:alpha w14:val="100000"/>
                    </w14:srgbClr>
                  </w14:solidFill>
                </w14:textFill>
              </w:rPr>
              <w:t>|</w:t>
            </w:r>
            <w:r w:rsidR="001D6ADC">
              <w:rPr>
                <w:vertAlign w:val="superscript"/>
              </w:rPr>
              <w:t>5</w:t>
            </w:r>
          </w:p>
        </w:tc>
        <w:tc>
          <w:tcPr>
            <w:tcW w:w="611" w:type="pct"/>
            <w:vAlign w:val="center"/>
          </w:tcPr>
          <w:p w14:paraId="55849BA4" w14:textId="5667E0BF" w:rsidR="00612456" w:rsidRPr="001D6ADC"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10"/>
                <w14:textFill>
                  <w14:solidFill>
                    <w14:srgbClr w14:val="000000">
                      <w14:alpha w14:val="100000"/>
                    </w14:srgbClr>
                  </w14:solidFill>
                </w14:textFill>
              </w:rPr>
              <w:t>|||</w:t>
            </w:r>
            <w:r w:rsidR="000A3A2D" w:rsidRPr="000A3A2D">
              <w:rPr>
                <w:color w:val="000000"/>
                <w:spacing w:val="1"/>
                <w:shd w:val="solid" w:color="000000" w:fill="000000"/>
                <w:fitText w:val="324" w:id="-628465910"/>
                <w14:textFill>
                  <w14:solidFill>
                    <w14:srgbClr w14:val="000000">
                      <w14:alpha w14:val="100000"/>
                    </w14:srgbClr>
                  </w14:solidFill>
                </w14:textFill>
              </w:rPr>
              <w:t>|</w:t>
            </w:r>
            <w:r w:rsidR="001D6ADC">
              <w:rPr>
                <w:vertAlign w:val="superscript"/>
              </w:rPr>
              <w:t>5</w:t>
            </w:r>
          </w:p>
        </w:tc>
        <w:tc>
          <w:tcPr>
            <w:tcW w:w="611" w:type="pct"/>
            <w:vAlign w:val="center"/>
          </w:tcPr>
          <w:p w14:paraId="5B53BDD7" w14:textId="206F0451" w:rsidR="00612456" w:rsidRPr="004D1DB1"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9"/>
                <w14:textFill>
                  <w14:solidFill>
                    <w14:srgbClr w14:val="000000">
                      <w14:alpha w14:val="100000"/>
                    </w14:srgbClr>
                  </w14:solidFill>
                </w14:textFill>
              </w:rPr>
              <w:t>|||</w:t>
            </w:r>
            <w:r w:rsidR="000A3A2D" w:rsidRPr="000A3A2D">
              <w:rPr>
                <w:color w:val="000000"/>
                <w:spacing w:val="1"/>
                <w:shd w:val="solid" w:color="000000" w:fill="000000"/>
                <w:fitText w:val="324" w:id="-628465909"/>
                <w14:textFill>
                  <w14:solidFill>
                    <w14:srgbClr w14:val="000000">
                      <w14:alpha w14:val="100000"/>
                    </w14:srgbClr>
                  </w14:solidFill>
                </w14:textFill>
              </w:rPr>
              <w:t>|</w:t>
            </w:r>
            <w:r w:rsidR="004D1DB1">
              <w:rPr>
                <w:vertAlign w:val="superscript"/>
              </w:rPr>
              <w:t>6</w:t>
            </w:r>
          </w:p>
        </w:tc>
        <w:tc>
          <w:tcPr>
            <w:tcW w:w="611" w:type="pct"/>
            <w:vAlign w:val="center"/>
          </w:tcPr>
          <w:p w14:paraId="36A6C416" w14:textId="5DF098C0" w:rsidR="00612456" w:rsidRPr="004D1DB1"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8"/>
                <w14:textFill>
                  <w14:solidFill>
                    <w14:srgbClr w14:val="000000">
                      <w14:alpha w14:val="100000"/>
                    </w14:srgbClr>
                  </w14:solidFill>
                </w14:textFill>
              </w:rPr>
              <w:t>|||</w:t>
            </w:r>
            <w:r w:rsidR="000A3A2D" w:rsidRPr="000A3A2D">
              <w:rPr>
                <w:color w:val="000000"/>
                <w:spacing w:val="1"/>
                <w:shd w:val="solid" w:color="000000" w:fill="000000"/>
                <w:fitText w:val="324" w:id="-628465908"/>
                <w14:textFill>
                  <w14:solidFill>
                    <w14:srgbClr w14:val="000000">
                      <w14:alpha w14:val="100000"/>
                    </w14:srgbClr>
                  </w14:solidFill>
                </w14:textFill>
              </w:rPr>
              <w:t>|</w:t>
            </w:r>
            <w:r w:rsidR="004D1DB1">
              <w:rPr>
                <w:vertAlign w:val="superscript"/>
              </w:rPr>
              <w:t>6</w:t>
            </w:r>
          </w:p>
        </w:tc>
        <w:tc>
          <w:tcPr>
            <w:tcW w:w="611" w:type="pct"/>
            <w:vAlign w:val="center"/>
          </w:tcPr>
          <w:p w14:paraId="36BD57CF" w14:textId="592CE222" w:rsidR="00612456" w:rsidRPr="004D1DB1"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7"/>
                <w14:textFill>
                  <w14:solidFill>
                    <w14:srgbClr w14:val="000000">
                      <w14:alpha w14:val="100000"/>
                    </w14:srgbClr>
                  </w14:solidFill>
                </w14:textFill>
              </w:rPr>
              <w:t>|||</w:t>
            </w:r>
            <w:r w:rsidR="000A3A2D" w:rsidRPr="000A3A2D">
              <w:rPr>
                <w:color w:val="000000"/>
                <w:spacing w:val="1"/>
                <w:shd w:val="solid" w:color="000000" w:fill="000000"/>
                <w:fitText w:val="324" w:id="-628465907"/>
                <w14:textFill>
                  <w14:solidFill>
                    <w14:srgbClr w14:val="000000">
                      <w14:alpha w14:val="100000"/>
                    </w14:srgbClr>
                  </w14:solidFill>
                </w14:textFill>
              </w:rPr>
              <w:t>|</w:t>
            </w:r>
            <w:r w:rsidR="004D1DB1">
              <w:rPr>
                <w:vertAlign w:val="superscript"/>
              </w:rPr>
              <w:t>6</w:t>
            </w:r>
          </w:p>
        </w:tc>
      </w:tr>
      <w:tr w:rsidR="00612456" w:rsidRPr="001310AD" w14:paraId="7B6F1269" w14:textId="77777777" w:rsidTr="00495042">
        <w:tc>
          <w:tcPr>
            <w:tcW w:w="1334" w:type="pct"/>
          </w:tcPr>
          <w:p w14:paraId="14BFA1BF" w14:textId="45069EBD" w:rsidR="00612456" w:rsidRPr="001310AD" w:rsidRDefault="00612456" w:rsidP="00612456">
            <w:pPr>
              <w:pStyle w:val="TableText0"/>
              <w:rPr>
                <w:rFonts w:eastAsia="MS Gothic"/>
                <w:b/>
                <w:bCs w:val="0"/>
              </w:rPr>
            </w:pPr>
            <w:r w:rsidRPr="001310AD">
              <w:rPr>
                <w:rFonts w:eastAsia="MS Gothic"/>
                <w:b/>
                <w:bCs w:val="0"/>
              </w:rPr>
              <w:t>Estimated cost to NIP, PBS and MBS - PSCR</w:t>
            </w:r>
          </w:p>
        </w:tc>
        <w:tc>
          <w:tcPr>
            <w:tcW w:w="611" w:type="pct"/>
            <w:vAlign w:val="center"/>
          </w:tcPr>
          <w:p w14:paraId="16ACDBB4" w14:textId="5F64000A" w:rsidR="00612456" w:rsidRPr="00314268"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6"/>
                <w14:textFill>
                  <w14:solidFill>
                    <w14:srgbClr w14:val="000000">
                      <w14:alpha w14:val="100000"/>
                    </w14:srgbClr>
                  </w14:solidFill>
                </w14:textFill>
              </w:rPr>
              <w:t>|||</w:t>
            </w:r>
            <w:r w:rsidR="000A3A2D" w:rsidRPr="000A3A2D">
              <w:rPr>
                <w:color w:val="000000"/>
                <w:spacing w:val="1"/>
                <w:shd w:val="solid" w:color="000000" w:fill="000000"/>
                <w:fitText w:val="324" w:id="-628465906"/>
                <w14:textFill>
                  <w14:solidFill>
                    <w14:srgbClr w14:val="000000">
                      <w14:alpha w14:val="100000"/>
                    </w14:srgbClr>
                  </w14:solidFill>
                </w14:textFill>
              </w:rPr>
              <w:t>|</w:t>
            </w:r>
            <w:r w:rsidR="00314268">
              <w:rPr>
                <w:vertAlign w:val="superscript"/>
              </w:rPr>
              <w:t>4</w:t>
            </w:r>
          </w:p>
        </w:tc>
        <w:tc>
          <w:tcPr>
            <w:tcW w:w="611" w:type="pct"/>
            <w:vAlign w:val="center"/>
          </w:tcPr>
          <w:p w14:paraId="00754E87" w14:textId="3D6131C4" w:rsidR="00612456" w:rsidRPr="00C63105"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5"/>
                <w14:textFill>
                  <w14:solidFill>
                    <w14:srgbClr w14:val="000000">
                      <w14:alpha w14:val="100000"/>
                    </w14:srgbClr>
                  </w14:solidFill>
                </w14:textFill>
              </w:rPr>
              <w:t>|||</w:t>
            </w:r>
            <w:r w:rsidR="000A3A2D" w:rsidRPr="000A3A2D">
              <w:rPr>
                <w:color w:val="000000"/>
                <w:spacing w:val="1"/>
                <w:shd w:val="solid" w:color="000000" w:fill="000000"/>
                <w:fitText w:val="324" w:id="-628465905"/>
                <w14:textFill>
                  <w14:solidFill>
                    <w14:srgbClr w14:val="000000">
                      <w14:alpha w14:val="100000"/>
                    </w14:srgbClr>
                  </w14:solidFill>
                </w14:textFill>
              </w:rPr>
              <w:t>|</w:t>
            </w:r>
            <w:r w:rsidR="00C63105">
              <w:rPr>
                <w:vertAlign w:val="superscript"/>
              </w:rPr>
              <w:t>7</w:t>
            </w:r>
          </w:p>
        </w:tc>
        <w:tc>
          <w:tcPr>
            <w:tcW w:w="611" w:type="pct"/>
            <w:vAlign w:val="center"/>
          </w:tcPr>
          <w:p w14:paraId="2F52451F" w14:textId="710DFDF5" w:rsidR="00612456" w:rsidRPr="00C63105"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4"/>
                <w14:textFill>
                  <w14:solidFill>
                    <w14:srgbClr w14:val="000000">
                      <w14:alpha w14:val="100000"/>
                    </w14:srgbClr>
                  </w14:solidFill>
                </w14:textFill>
              </w:rPr>
              <w:t>|||</w:t>
            </w:r>
            <w:r w:rsidR="000A3A2D" w:rsidRPr="000A3A2D">
              <w:rPr>
                <w:color w:val="000000"/>
                <w:spacing w:val="1"/>
                <w:shd w:val="solid" w:color="000000" w:fill="000000"/>
                <w:fitText w:val="324" w:id="-628465904"/>
                <w14:textFill>
                  <w14:solidFill>
                    <w14:srgbClr w14:val="000000">
                      <w14:alpha w14:val="100000"/>
                    </w14:srgbClr>
                  </w14:solidFill>
                </w14:textFill>
              </w:rPr>
              <w:t>|</w:t>
            </w:r>
            <w:r w:rsidR="00C63105">
              <w:rPr>
                <w:vertAlign w:val="superscript"/>
              </w:rPr>
              <w:t>7</w:t>
            </w:r>
          </w:p>
        </w:tc>
        <w:tc>
          <w:tcPr>
            <w:tcW w:w="611" w:type="pct"/>
            <w:vAlign w:val="center"/>
          </w:tcPr>
          <w:p w14:paraId="023272F5" w14:textId="204BC989" w:rsidR="00612456" w:rsidRPr="00C63105"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20"/>
                <w14:textFill>
                  <w14:solidFill>
                    <w14:srgbClr w14:val="000000">
                      <w14:alpha w14:val="100000"/>
                    </w14:srgbClr>
                  </w14:solidFill>
                </w14:textFill>
              </w:rPr>
              <w:t>|||</w:t>
            </w:r>
            <w:r w:rsidR="000A3A2D" w:rsidRPr="000A3A2D">
              <w:rPr>
                <w:color w:val="000000"/>
                <w:spacing w:val="1"/>
                <w:shd w:val="solid" w:color="000000" w:fill="000000"/>
                <w:fitText w:val="324" w:id="-628465920"/>
                <w14:textFill>
                  <w14:solidFill>
                    <w14:srgbClr w14:val="000000">
                      <w14:alpha w14:val="100000"/>
                    </w14:srgbClr>
                  </w14:solidFill>
                </w14:textFill>
              </w:rPr>
              <w:t>|</w:t>
            </w:r>
            <w:r w:rsidR="00C63105">
              <w:rPr>
                <w:vertAlign w:val="superscript"/>
              </w:rPr>
              <w:t>7</w:t>
            </w:r>
          </w:p>
        </w:tc>
        <w:tc>
          <w:tcPr>
            <w:tcW w:w="611" w:type="pct"/>
            <w:vAlign w:val="center"/>
          </w:tcPr>
          <w:p w14:paraId="6470E4ED" w14:textId="7757F04E" w:rsidR="00612456" w:rsidRPr="00C63105"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19"/>
                <w14:textFill>
                  <w14:solidFill>
                    <w14:srgbClr w14:val="000000">
                      <w14:alpha w14:val="100000"/>
                    </w14:srgbClr>
                  </w14:solidFill>
                </w14:textFill>
              </w:rPr>
              <w:t>|||</w:t>
            </w:r>
            <w:r w:rsidR="000A3A2D" w:rsidRPr="000A3A2D">
              <w:rPr>
                <w:color w:val="000000"/>
                <w:spacing w:val="1"/>
                <w:shd w:val="solid" w:color="000000" w:fill="000000"/>
                <w:fitText w:val="324" w:id="-628465919"/>
                <w14:textFill>
                  <w14:solidFill>
                    <w14:srgbClr w14:val="000000">
                      <w14:alpha w14:val="100000"/>
                    </w14:srgbClr>
                  </w14:solidFill>
                </w14:textFill>
              </w:rPr>
              <w:t>|</w:t>
            </w:r>
            <w:r w:rsidR="00C63105">
              <w:rPr>
                <w:vertAlign w:val="superscript"/>
              </w:rPr>
              <w:t>7</w:t>
            </w:r>
          </w:p>
        </w:tc>
        <w:tc>
          <w:tcPr>
            <w:tcW w:w="611" w:type="pct"/>
            <w:vAlign w:val="center"/>
          </w:tcPr>
          <w:p w14:paraId="5A0B37F8" w14:textId="1CA54D91" w:rsidR="00612456" w:rsidRPr="001D6ADC" w:rsidRDefault="00612456" w:rsidP="00612456">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18"/>
                <w14:textFill>
                  <w14:solidFill>
                    <w14:srgbClr w14:val="000000">
                      <w14:alpha w14:val="100000"/>
                    </w14:srgbClr>
                  </w14:solidFill>
                </w14:textFill>
              </w:rPr>
              <w:t>|||</w:t>
            </w:r>
            <w:r w:rsidR="000A3A2D" w:rsidRPr="000A3A2D">
              <w:rPr>
                <w:color w:val="000000"/>
                <w:spacing w:val="1"/>
                <w:shd w:val="solid" w:color="000000" w:fill="000000"/>
                <w:fitText w:val="324" w:id="-628465918"/>
                <w14:textFill>
                  <w14:solidFill>
                    <w14:srgbClr w14:val="000000">
                      <w14:alpha w14:val="100000"/>
                    </w14:srgbClr>
                  </w14:solidFill>
                </w14:textFill>
              </w:rPr>
              <w:t>|</w:t>
            </w:r>
            <w:r w:rsidR="001D6ADC">
              <w:rPr>
                <w:vertAlign w:val="superscript"/>
              </w:rPr>
              <w:t>5</w:t>
            </w:r>
          </w:p>
        </w:tc>
      </w:tr>
      <w:tr w:rsidR="004862E0" w:rsidRPr="001310AD" w14:paraId="16D3BCD9" w14:textId="77777777" w:rsidTr="00721A83">
        <w:tc>
          <w:tcPr>
            <w:tcW w:w="5000" w:type="pct"/>
            <w:gridSpan w:val="7"/>
            <w:shd w:val="clear" w:color="auto" w:fill="D9D9D9" w:themeFill="background1" w:themeFillShade="D9"/>
          </w:tcPr>
          <w:p w14:paraId="7C8F0C31" w14:textId="6E8AAEEA" w:rsidR="004862E0" w:rsidRPr="001310AD" w:rsidRDefault="004862E0" w:rsidP="004862E0">
            <w:pPr>
              <w:pStyle w:val="TableText0"/>
              <w:rPr>
                <w:rFonts w:eastAsia="MS Gothic"/>
                <w:b/>
                <w:bCs w:val="0"/>
              </w:rPr>
            </w:pPr>
            <w:r w:rsidRPr="001310AD">
              <w:rPr>
                <w:rFonts w:eastAsia="MS Gothic"/>
                <w:b/>
                <w:bCs w:val="0"/>
              </w:rPr>
              <w:t xml:space="preserve">Costs for </w:t>
            </w:r>
            <w:r w:rsidR="00721A83" w:rsidRPr="001310AD">
              <w:rPr>
                <w:rFonts w:eastAsia="MS Gothic"/>
                <w:b/>
                <w:bCs w:val="0"/>
              </w:rPr>
              <w:t>hospitalisations, ambulances, Emergency Department visits</w:t>
            </w:r>
            <w:r w:rsidR="00612456" w:rsidRPr="001310AD">
              <w:rPr>
                <w:rFonts w:eastAsia="MS Gothic"/>
                <w:b/>
                <w:bCs w:val="0"/>
              </w:rPr>
              <w:t xml:space="preserve"> (as estimated in the resubmission)</w:t>
            </w:r>
            <w:r w:rsidR="00721A83" w:rsidRPr="001310AD">
              <w:rPr>
                <w:rFonts w:eastAsia="MS Gothic"/>
                <w:b/>
                <w:bCs w:val="0"/>
              </w:rPr>
              <w:t xml:space="preserve"> </w:t>
            </w:r>
          </w:p>
        </w:tc>
      </w:tr>
      <w:tr w:rsidR="00B37BD2" w:rsidRPr="001310AD" w14:paraId="5FC7AF1F" w14:textId="77777777" w:rsidTr="00721A83">
        <w:tc>
          <w:tcPr>
            <w:tcW w:w="1334" w:type="pct"/>
            <w:shd w:val="clear" w:color="auto" w:fill="D9D9D9" w:themeFill="background1" w:themeFillShade="D9"/>
          </w:tcPr>
          <w:p w14:paraId="37D40303" w14:textId="4840A0EB" w:rsidR="00B37BD2" w:rsidRPr="001310AD" w:rsidRDefault="00B37BD2" w:rsidP="00B37BD2">
            <w:pPr>
              <w:pStyle w:val="TableText0"/>
              <w:rPr>
                <w:vertAlign w:val="superscript"/>
              </w:rPr>
            </w:pPr>
            <w:r w:rsidRPr="001310AD">
              <w:rPr>
                <w:rFonts w:eastAsia="MS Gothic"/>
              </w:rPr>
              <w:t xml:space="preserve">  Other </w:t>
            </w:r>
            <w:r w:rsidR="009E3C84" w:rsidRPr="001310AD">
              <w:rPr>
                <w:rFonts w:eastAsia="MS Gothic"/>
              </w:rPr>
              <w:t>F</w:t>
            </w:r>
            <w:r w:rsidRPr="001310AD">
              <w:rPr>
                <w:rFonts w:eastAsia="MS Gothic"/>
              </w:rPr>
              <w:t>ederal budgets</w:t>
            </w:r>
            <w:r w:rsidR="001B31D1" w:rsidRPr="001310AD">
              <w:rPr>
                <w:rFonts w:eastAsia="MS Gothic"/>
              </w:rPr>
              <w:t xml:space="preserve"> </w:t>
            </w:r>
            <w:r w:rsidR="001B31D1" w:rsidRPr="001310AD">
              <w:rPr>
                <w:rFonts w:eastAsia="MS Gothic"/>
                <w:vertAlign w:val="superscript"/>
              </w:rPr>
              <w:t>f</w:t>
            </w:r>
          </w:p>
        </w:tc>
        <w:tc>
          <w:tcPr>
            <w:tcW w:w="611" w:type="pct"/>
            <w:shd w:val="clear" w:color="auto" w:fill="D9D9D9" w:themeFill="background1" w:themeFillShade="D9"/>
            <w:vAlign w:val="center"/>
          </w:tcPr>
          <w:p w14:paraId="5B8451B8" w14:textId="1186697E" w:rsidR="00B37BD2" w:rsidRPr="001D6ADC"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7"/>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7"/>
                <w14:textFill>
                  <w14:solidFill>
                    <w14:srgbClr w14:val="000000">
                      <w14:alpha w14:val="100000"/>
                    </w14:srgbClr>
                  </w14:solidFill>
                </w14:textFill>
              </w:rPr>
              <w:t>|</w:t>
            </w:r>
            <w:r w:rsidR="001D6ADC">
              <w:rPr>
                <w:rFonts w:eastAsia="MS Gothic"/>
                <w:vertAlign w:val="superscript"/>
              </w:rPr>
              <w:t>5</w:t>
            </w:r>
          </w:p>
        </w:tc>
        <w:tc>
          <w:tcPr>
            <w:tcW w:w="611" w:type="pct"/>
            <w:shd w:val="clear" w:color="auto" w:fill="D9D9D9" w:themeFill="background1" w:themeFillShade="D9"/>
            <w:vAlign w:val="center"/>
          </w:tcPr>
          <w:p w14:paraId="7E3FF28E" w14:textId="04135FA3" w:rsidR="00B37BD2" w:rsidRPr="001D6ADC"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6"/>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6"/>
                <w14:textFill>
                  <w14:solidFill>
                    <w14:srgbClr w14:val="000000">
                      <w14:alpha w14:val="100000"/>
                    </w14:srgbClr>
                  </w14:solidFill>
                </w14:textFill>
              </w:rPr>
              <w:t>|</w:t>
            </w:r>
            <w:r w:rsidR="001D6ADC">
              <w:rPr>
                <w:rFonts w:eastAsia="MS Gothic"/>
                <w:vertAlign w:val="superscript"/>
              </w:rPr>
              <w:t>5</w:t>
            </w:r>
          </w:p>
        </w:tc>
        <w:tc>
          <w:tcPr>
            <w:tcW w:w="611" w:type="pct"/>
            <w:shd w:val="clear" w:color="auto" w:fill="D9D9D9" w:themeFill="background1" w:themeFillShade="D9"/>
            <w:vAlign w:val="center"/>
          </w:tcPr>
          <w:p w14:paraId="7649354F" w14:textId="7C9024CA" w:rsidR="00B37BD2" w:rsidRPr="001D6ADC"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5"/>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5"/>
                <w14:textFill>
                  <w14:solidFill>
                    <w14:srgbClr w14:val="000000">
                      <w14:alpha w14:val="100000"/>
                    </w14:srgbClr>
                  </w14:solidFill>
                </w14:textFill>
              </w:rPr>
              <w:t>|</w:t>
            </w:r>
            <w:r w:rsidR="001D6ADC">
              <w:rPr>
                <w:rFonts w:eastAsia="MS Gothic"/>
                <w:vertAlign w:val="superscript"/>
              </w:rPr>
              <w:t>5</w:t>
            </w:r>
          </w:p>
        </w:tc>
        <w:tc>
          <w:tcPr>
            <w:tcW w:w="611" w:type="pct"/>
            <w:shd w:val="clear" w:color="auto" w:fill="D9D9D9" w:themeFill="background1" w:themeFillShade="D9"/>
            <w:vAlign w:val="center"/>
          </w:tcPr>
          <w:p w14:paraId="718EFE20" w14:textId="5419389B" w:rsidR="00B37BD2" w:rsidRPr="001D6ADC"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4"/>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4"/>
                <w14:textFill>
                  <w14:solidFill>
                    <w14:srgbClr w14:val="000000">
                      <w14:alpha w14:val="100000"/>
                    </w14:srgbClr>
                  </w14:solidFill>
                </w14:textFill>
              </w:rPr>
              <w:t>|</w:t>
            </w:r>
            <w:r w:rsidR="001D6ADC">
              <w:rPr>
                <w:rFonts w:eastAsia="MS Gothic"/>
                <w:vertAlign w:val="superscript"/>
              </w:rPr>
              <w:t>5</w:t>
            </w:r>
          </w:p>
        </w:tc>
        <w:tc>
          <w:tcPr>
            <w:tcW w:w="611" w:type="pct"/>
            <w:shd w:val="clear" w:color="auto" w:fill="D9D9D9" w:themeFill="background1" w:themeFillShade="D9"/>
            <w:vAlign w:val="center"/>
          </w:tcPr>
          <w:p w14:paraId="15B7F728" w14:textId="18C4CAD6" w:rsidR="00B37BD2" w:rsidRPr="00F33B73"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3"/>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3"/>
                <w14:textFill>
                  <w14:solidFill>
                    <w14:srgbClr w14:val="000000">
                      <w14:alpha w14:val="100000"/>
                    </w14:srgbClr>
                  </w14:solidFill>
                </w14:textFill>
              </w:rPr>
              <w:t>|</w:t>
            </w:r>
            <w:r w:rsidR="00112113">
              <w:rPr>
                <w:rFonts w:eastAsia="MS Gothic"/>
                <w:vertAlign w:val="superscript"/>
              </w:rPr>
              <w:t>7</w:t>
            </w:r>
          </w:p>
        </w:tc>
        <w:tc>
          <w:tcPr>
            <w:tcW w:w="611" w:type="pct"/>
            <w:shd w:val="clear" w:color="auto" w:fill="D9D9D9" w:themeFill="background1" w:themeFillShade="D9"/>
            <w:vAlign w:val="center"/>
          </w:tcPr>
          <w:p w14:paraId="4D9171CD" w14:textId="5D2AC378" w:rsidR="00B37BD2" w:rsidRPr="00F33B73"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12"/>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12"/>
                <w14:textFill>
                  <w14:solidFill>
                    <w14:srgbClr w14:val="000000">
                      <w14:alpha w14:val="100000"/>
                    </w14:srgbClr>
                  </w14:solidFill>
                </w14:textFill>
              </w:rPr>
              <w:t>|</w:t>
            </w:r>
            <w:r w:rsidR="00112113">
              <w:rPr>
                <w:rFonts w:eastAsia="MS Gothic"/>
                <w:vertAlign w:val="superscript"/>
              </w:rPr>
              <w:t>7</w:t>
            </w:r>
          </w:p>
        </w:tc>
      </w:tr>
      <w:tr w:rsidR="00D60AB5" w:rsidRPr="001310AD" w14:paraId="705C0E3B" w14:textId="77777777" w:rsidTr="00721A83">
        <w:tc>
          <w:tcPr>
            <w:tcW w:w="1334" w:type="pct"/>
            <w:shd w:val="clear" w:color="auto" w:fill="D9D9D9" w:themeFill="background1" w:themeFillShade="D9"/>
          </w:tcPr>
          <w:p w14:paraId="13909B61" w14:textId="00FFF5CE" w:rsidR="00D60AB5" w:rsidRPr="001310AD" w:rsidRDefault="00D60AB5" w:rsidP="00D60AB5">
            <w:pPr>
              <w:pStyle w:val="TableText0"/>
              <w:rPr>
                <w:rFonts w:eastAsia="MS Gothic"/>
              </w:rPr>
            </w:pPr>
            <w:r w:rsidRPr="001310AD">
              <w:rPr>
                <w:rFonts w:eastAsia="MS Gothic"/>
              </w:rPr>
              <w:t>Total Federal budgets</w:t>
            </w:r>
          </w:p>
        </w:tc>
        <w:tc>
          <w:tcPr>
            <w:tcW w:w="611" w:type="pct"/>
            <w:shd w:val="clear" w:color="auto" w:fill="D9D9D9" w:themeFill="background1" w:themeFillShade="D9"/>
          </w:tcPr>
          <w:p w14:paraId="2DA5A38B" w14:textId="614A8F17" w:rsidR="00D60AB5" w:rsidRPr="001310AD" w:rsidRDefault="00D60AB5" w:rsidP="00D60AB5">
            <w:pPr>
              <w:pStyle w:val="TableText0"/>
              <w:jc w:val="center"/>
              <w:rPr>
                <w:rFonts w:eastAsia="MS Gothic"/>
              </w:rPr>
            </w:pPr>
            <w:r w:rsidRPr="001310AD">
              <w:t>$</w:t>
            </w:r>
            <w:r w:rsidR="000A3A2D" w:rsidRPr="000A3A2D">
              <w:rPr>
                <w:color w:val="000000"/>
                <w:spacing w:val="51"/>
                <w:shd w:val="solid" w:color="000000" w:fill="000000"/>
                <w:fitText w:val="324" w:id="-628465911"/>
                <w14:textFill>
                  <w14:solidFill>
                    <w14:srgbClr w14:val="000000">
                      <w14:alpha w14:val="100000"/>
                    </w14:srgbClr>
                  </w14:solidFill>
                </w14:textFill>
              </w:rPr>
              <w:t>|||</w:t>
            </w:r>
            <w:r w:rsidR="000A3A2D" w:rsidRPr="000A3A2D">
              <w:rPr>
                <w:color w:val="000000"/>
                <w:spacing w:val="1"/>
                <w:shd w:val="solid" w:color="000000" w:fill="000000"/>
                <w:fitText w:val="324" w:id="-628465911"/>
                <w14:textFill>
                  <w14:solidFill>
                    <w14:srgbClr w14:val="000000">
                      <w14:alpha w14:val="100000"/>
                    </w14:srgbClr>
                  </w14:solidFill>
                </w14:textFill>
              </w:rPr>
              <w:t>|</w:t>
            </w:r>
            <w:r w:rsidR="00B618BF">
              <w:rPr>
                <w:vertAlign w:val="superscript"/>
              </w:rPr>
              <w:t>4</w:t>
            </w:r>
            <w:r w:rsidRPr="001310AD">
              <w:t xml:space="preserve"> </w:t>
            </w:r>
          </w:p>
        </w:tc>
        <w:tc>
          <w:tcPr>
            <w:tcW w:w="611" w:type="pct"/>
            <w:shd w:val="clear" w:color="auto" w:fill="D9D9D9" w:themeFill="background1" w:themeFillShade="D9"/>
          </w:tcPr>
          <w:p w14:paraId="467FD407" w14:textId="1F73DA87" w:rsidR="00D60AB5" w:rsidRPr="00AC04A0" w:rsidRDefault="00D60AB5" w:rsidP="00D60AB5">
            <w:pPr>
              <w:pStyle w:val="TableText0"/>
              <w:jc w:val="center"/>
              <w:rPr>
                <w:rFonts w:eastAsia="MS Gothic"/>
                <w:vertAlign w:val="superscript"/>
              </w:rPr>
            </w:pPr>
            <w:r w:rsidRPr="001310AD">
              <w:t xml:space="preserve"> -$</w:t>
            </w:r>
            <w:r w:rsidR="000A3A2D" w:rsidRPr="000A3A2D">
              <w:rPr>
                <w:color w:val="000000"/>
                <w:spacing w:val="51"/>
                <w:shd w:val="solid" w:color="000000" w:fill="000000"/>
                <w:fitText w:val="324" w:id="-628465910"/>
                <w14:textFill>
                  <w14:solidFill>
                    <w14:srgbClr w14:val="000000">
                      <w14:alpha w14:val="100000"/>
                    </w14:srgbClr>
                  </w14:solidFill>
                </w14:textFill>
              </w:rPr>
              <w:t>|||</w:t>
            </w:r>
            <w:r w:rsidR="000A3A2D" w:rsidRPr="000A3A2D">
              <w:rPr>
                <w:color w:val="000000"/>
                <w:spacing w:val="1"/>
                <w:shd w:val="solid" w:color="000000" w:fill="000000"/>
                <w:fitText w:val="324" w:id="-628465910"/>
                <w14:textFill>
                  <w14:solidFill>
                    <w14:srgbClr w14:val="000000">
                      <w14:alpha w14:val="100000"/>
                    </w14:srgbClr>
                  </w14:solidFill>
                </w14:textFill>
              </w:rPr>
              <w:t>|</w:t>
            </w:r>
            <w:r w:rsidR="00AC04A0">
              <w:rPr>
                <w:vertAlign w:val="superscript"/>
              </w:rPr>
              <w:t>8</w:t>
            </w:r>
          </w:p>
        </w:tc>
        <w:tc>
          <w:tcPr>
            <w:tcW w:w="611" w:type="pct"/>
            <w:shd w:val="clear" w:color="auto" w:fill="D9D9D9" w:themeFill="background1" w:themeFillShade="D9"/>
          </w:tcPr>
          <w:p w14:paraId="30F5E3CA" w14:textId="39FE58F7" w:rsidR="00D60AB5" w:rsidRPr="00AC04A0" w:rsidRDefault="00D60AB5" w:rsidP="00D60AB5">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9"/>
                <w14:textFill>
                  <w14:solidFill>
                    <w14:srgbClr w14:val="000000">
                      <w14:alpha w14:val="100000"/>
                    </w14:srgbClr>
                  </w14:solidFill>
                </w14:textFill>
              </w:rPr>
              <w:t>|||</w:t>
            </w:r>
            <w:r w:rsidR="000A3A2D" w:rsidRPr="000A3A2D">
              <w:rPr>
                <w:color w:val="000000"/>
                <w:spacing w:val="1"/>
                <w:shd w:val="solid" w:color="000000" w:fill="000000"/>
                <w:fitText w:val="324" w:id="-628465909"/>
                <w14:textFill>
                  <w14:solidFill>
                    <w14:srgbClr w14:val="000000">
                      <w14:alpha w14:val="100000"/>
                    </w14:srgbClr>
                  </w14:solidFill>
                </w14:textFill>
              </w:rPr>
              <w:t>|</w:t>
            </w:r>
            <w:r w:rsidR="00AC04A0">
              <w:rPr>
                <w:vertAlign w:val="superscript"/>
              </w:rPr>
              <w:t>8</w:t>
            </w:r>
          </w:p>
        </w:tc>
        <w:tc>
          <w:tcPr>
            <w:tcW w:w="611" w:type="pct"/>
            <w:shd w:val="clear" w:color="auto" w:fill="D9D9D9" w:themeFill="background1" w:themeFillShade="D9"/>
          </w:tcPr>
          <w:p w14:paraId="64308EA7" w14:textId="5E045712" w:rsidR="00D60AB5" w:rsidRPr="00AC04A0" w:rsidRDefault="00D60AB5" w:rsidP="00D60AB5">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8"/>
                <w14:textFill>
                  <w14:solidFill>
                    <w14:srgbClr w14:val="000000">
                      <w14:alpha w14:val="100000"/>
                    </w14:srgbClr>
                  </w14:solidFill>
                </w14:textFill>
              </w:rPr>
              <w:t>|||</w:t>
            </w:r>
            <w:r w:rsidR="000A3A2D" w:rsidRPr="000A3A2D">
              <w:rPr>
                <w:color w:val="000000"/>
                <w:spacing w:val="1"/>
                <w:shd w:val="solid" w:color="000000" w:fill="000000"/>
                <w:fitText w:val="324" w:id="-628465908"/>
                <w14:textFill>
                  <w14:solidFill>
                    <w14:srgbClr w14:val="000000">
                      <w14:alpha w14:val="100000"/>
                    </w14:srgbClr>
                  </w14:solidFill>
                </w14:textFill>
              </w:rPr>
              <w:t>|</w:t>
            </w:r>
            <w:r w:rsidR="00AC04A0">
              <w:rPr>
                <w:vertAlign w:val="superscript"/>
              </w:rPr>
              <w:t>8</w:t>
            </w:r>
          </w:p>
        </w:tc>
        <w:tc>
          <w:tcPr>
            <w:tcW w:w="611" w:type="pct"/>
            <w:shd w:val="clear" w:color="auto" w:fill="D9D9D9" w:themeFill="background1" w:themeFillShade="D9"/>
          </w:tcPr>
          <w:p w14:paraId="35DD8771" w14:textId="759FEB53" w:rsidR="00D60AB5" w:rsidRPr="00AC04A0" w:rsidRDefault="00D60AB5" w:rsidP="00D60AB5">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7"/>
                <w14:textFill>
                  <w14:solidFill>
                    <w14:srgbClr w14:val="000000">
                      <w14:alpha w14:val="100000"/>
                    </w14:srgbClr>
                  </w14:solidFill>
                </w14:textFill>
              </w:rPr>
              <w:t>|||</w:t>
            </w:r>
            <w:r w:rsidR="000A3A2D" w:rsidRPr="000A3A2D">
              <w:rPr>
                <w:color w:val="000000"/>
                <w:spacing w:val="1"/>
                <w:shd w:val="solid" w:color="000000" w:fill="000000"/>
                <w:fitText w:val="324" w:id="-628465907"/>
                <w14:textFill>
                  <w14:solidFill>
                    <w14:srgbClr w14:val="000000">
                      <w14:alpha w14:val="100000"/>
                    </w14:srgbClr>
                  </w14:solidFill>
                </w14:textFill>
              </w:rPr>
              <w:t>|</w:t>
            </w:r>
            <w:r w:rsidR="00AC04A0">
              <w:rPr>
                <w:vertAlign w:val="superscript"/>
              </w:rPr>
              <w:t>8</w:t>
            </w:r>
          </w:p>
        </w:tc>
        <w:tc>
          <w:tcPr>
            <w:tcW w:w="611" w:type="pct"/>
            <w:shd w:val="clear" w:color="auto" w:fill="D9D9D9" w:themeFill="background1" w:themeFillShade="D9"/>
          </w:tcPr>
          <w:p w14:paraId="0EA1CDAD" w14:textId="4D5A126C" w:rsidR="00D60AB5" w:rsidRPr="007C5014" w:rsidRDefault="00D60AB5" w:rsidP="00D60AB5">
            <w:pPr>
              <w:pStyle w:val="TableText0"/>
              <w:jc w:val="center"/>
              <w:rPr>
                <w:rFonts w:eastAsia="MS Gothic"/>
                <w:vertAlign w:val="superscript"/>
              </w:rPr>
            </w:pPr>
            <w:r w:rsidRPr="001310AD">
              <w:t>$</w:t>
            </w:r>
            <w:r w:rsidR="000A3A2D" w:rsidRPr="000A3A2D">
              <w:rPr>
                <w:color w:val="000000"/>
                <w:spacing w:val="51"/>
                <w:shd w:val="solid" w:color="000000" w:fill="000000"/>
                <w:fitText w:val="324" w:id="-628465906"/>
                <w14:textFill>
                  <w14:solidFill>
                    <w14:srgbClr w14:val="000000">
                      <w14:alpha w14:val="100000"/>
                    </w14:srgbClr>
                  </w14:solidFill>
                </w14:textFill>
              </w:rPr>
              <w:t>|||</w:t>
            </w:r>
            <w:r w:rsidR="000A3A2D" w:rsidRPr="000A3A2D">
              <w:rPr>
                <w:color w:val="000000"/>
                <w:spacing w:val="1"/>
                <w:shd w:val="solid" w:color="000000" w:fill="000000"/>
                <w:fitText w:val="324" w:id="-628465906"/>
                <w14:textFill>
                  <w14:solidFill>
                    <w14:srgbClr w14:val="000000">
                      <w14:alpha w14:val="100000"/>
                    </w14:srgbClr>
                  </w14:solidFill>
                </w14:textFill>
              </w:rPr>
              <w:t>|</w:t>
            </w:r>
            <w:r w:rsidR="00AF749D">
              <w:rPr>
                <w:vertAlign w:val="superscript"/>
              </w:rPr>
              <w:t>9</w:t>
            </w:r>
          </w:p>
        </w:tc>
      </w:tr>
      <w:tr w:rsidR="00B37BD2" w:rsidRPr="001310AD" w14:paraId="0E2DCAFD" w14:textId="77777777" w:rsidTr="00721A83">
        <w:tc>
          <w:tcPr>
            <w:tcW w:w="1334" w:type="pct"/>
            <w:shd w:val="clear" w:color="auto" w:fill="D9D9D9" w:themeFill="background1" w:themeFillShade="D9"/>
          </w:tcPr>
          <w:p w14:paraId="14239C7A" w14:textId="7DB0CDC2" w:rsidR="00B37BD2" w:rsidRPr="001310AD" w:rsidRDefault="00B37BD2" w:rsidP="00B37BD2">
            <w:pPr>
              <w:pStyle w:val="TableText0"/>
              <w:rPr>
                <w:vertAlign w:val="superscript"/>
              </w:rPr>
            </w:pPr>
            <w:r w:rsidRPr="001310AD">
              <w:rPr>
                <w:rFonts w:eastAsia="MS Gothic"/>
              </w:rPr>
              <w:t xml:space="preserve">  State and Territory Governments</w:t>
            </w:r>
            <w:r w:rsidR="004862E0" w:rsidRPr="001310AD">
              <w:rPr>
                <w:rFonts w:eastAsia="MS Gothic"/>
              </w:rPr>
              <w:t xml:space="preserve"> </w:t>
            </w:r>
            <w:r w:rsidR="004862E0" w:rsidRPr="001310AD">
              <w:rPr>
                <w:rFonts w:eastAsia="MS Gothic"/>
                <w:vertAlign w:val="superscript"/>
              </w:rPr>
              <w:t>g</w:t>
            </w:r>
          </w:p>
        </w:tc>
        <w:tc>
          <w:tcPr>
            <w:tcW w:w="611" w:type="pct"/>
            <w:shd w:val="clear" w:color="auto" w:fill="D9D9D9" w:themeFill="background1" w:themeFillShade="D9"/>
            <w:vAlign w:val="center"/>
          </w:tcPr>
          <w:p w14:paraId="3536B73B" w14:textId="7759AB57" w:rsidR="00B37BD2" w:rsidRPr="00AD6308"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05"/>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05"/>
                <w14:textFill>
                  <w14:solidFill>
                    <w14:srgbClr w14:val="000000">
                      <w14:alpha w14:val="100000"/>
                    </w14:srgbClr>
                  </w14:solidFill>
                </w14:textFill>
              </w:rPr>
              <w:t>|</w:t>
            </w:r>
            <w:r w:rsidR="00AD6308">
              <w:rPr>
                <w:rFonts w:eastAsia="MS Gothic"/>
                <w:vertAlign w:val="superscript"/>
              </w:rPr>
              <w:t>6</w:t>
            </w:r>
          </w:p>
        </w:tc>
        <w:tc>
          <w:tcPr>
            <w:tcW w:w="611" w:type="pct"/>
            <w:shd w:val="clear" w:color="auto" w:fill="D9D9D9" w:themeFill="background1" w:themeFillShade="D9"/>
            <w:vAlign w:val="center"/>
          </w:tcPr>
          <w:p w14:paraId="0F203425" w14:textId="4C3AB4AF" w:rsidR="00B37BD2" w:rsidRPr="00FC6D7E"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04"/>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04"/>
                <w14:textFill>
                  <w14:solidFill>
                    <w14:srgbClr w14:val="000000">
                      <w14:alpha w14:val="100000"/>
                    </w14:srgbClr>
                  </w14:solidFill>
                </w14:textFill>
              </w:rPr>
              <w:t>|</w:t>
            </w:r>
            <w:r w:rsidR="00FC6D7E">
              <w:rPr>
                <w:rFonts w:eastAsia="MS Gothic"/>
                <w:vertAlign w:val="superscript"/>
              </w:rPr>
              <w:t>1</w:t>
            </w:r>
            <w:r w:rsidR="00490E86">
              <w:rPr>
                <w:rFonts w:eastAsia="MS Gothic"/>
                <w:vertAlign w:val="superscript"/>
              </w:rPr>
              <w:t>0</w:t>
            </w:r>
          </w:p>
        </w:tc>
        <w:tc>
          <w:tcPr>
            <w:tcW w:w="611" w:type="pct"/>
            <w:shd w:val="clear" w:color="auto" w:fill="D9D9D9" w:themeFill="background1" w:themeFillShade="D9"/>
            <w:vAlign w:val="center"/>
          </w:tcPr>
          <w:p w14:paraId="617D1D85" w14:textId="2BC356CA" w:rsidR="00B37BD2" w:rsidRPr="00FC6D7E"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920"/>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920"/>
                <w14:textFill>
                  <w14:solidFill>
                    <w14:srgbClr w14:val="000000">
                      <w14:alpha w14:val="100000"/>
                    </w14:srgbClr>
                  </w14:solidFill>
                </w14:textFill>
              </w:rPr>
              <w:t>|</w:t>
            </w:r>
            <w:r w:rsidR="00FC6D7E">
              <w:rPr>
                <w:rFonts w:eastAsia="MS Gothic"/>
                <w:vertAlign w:val="superscript"/>
              </w:rPr>
              <w:t>1</w:t>
            </w:r>
            <w:r w:rsidR="00490E86">
              <w:rPr>
                <w:rFonts w:eastAsia="MS Gothic"/>
                <w:vertAlign w:val="superscript"/>
              </w:rPr>
              <w:t>0</w:t>
            </w:r>
          </w:p>
        </w:tc>
        <w:tc>
          <w:tcPr>
            <w:tcW w:w="611" w:type="pct"/>
            <w:shd w:val="clear" w:color="auto" w:fill="D9D9D9" w:themeFill="background1" w:themeFillShade="D9"/>
            <w:vAlign w:val="center"/>
          </w:tcPr>
          <w:p w14:paraId="17E26C5B" w14:textId="6982850C" w:rsidR="00B37BD2" w:rsidRPr="00AD6308"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64"/>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64"/>
                <w14:textFill>
                  <w14:solidFill>
                    <w14:srgbClr w14:val="000000">
                      <w14:alpha w14:val="100000"/>
                    </w14:srgbClr>
                  </w14:solidFill>
                </w14:textFill>
              </w:rPr>
              <w:t>|</w:t>
            </w:r>
            <w:r w:rsidR="00AD6308">
              <w:rPr>
                <w:rFonts w:eastAsia="MS Gothic"/>
                <w:vertAlign w:val="superscript"/>
              </w:rPr>
              <w:t>6</w:t>
            </w:r>
          </w:p>
        </w:tc>
        <w:tc>
          <w:tcPr>
            <w:tcW w:w="611" w:type="pct"/>
            <w:shd w:val="clear" w:color="auto" w:fill="D9D9D9" w:themeFill="background1" w:themeFillShade="D9"/>
            <w:vAlign w:val="center"/>
          </w:tcPr>
          <w:p w14:paraId="6463AE42" w14:textId="39C33632" w:rsidR="00B37BD2" w:rsidRPr="001D6ADC"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63"/>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63"/>
                <w14:textFill>
                  <w14:solidFill>
                    <w14:srgbClr w14:val="000000">
                      <w14:alpha w14:val="100000"/>
                    </w14:srgbClr>
                  </w14:solidFill>
                </w14:textFill>
              </w:rPr>
              <w:t>|</w:t>
            </w:r>
            <w:r w:rsidR="001D6ADC">
              <w:rPr>
                <w:rFonts w:eastAsia="MS Gothic"/>
                <w:vertAlign w:val="superscript"/>
              </w:rPr>
              <w:t>5</w:t>
            </w:r>
          </w:p>
        </w:tc>
        <w:tc>
          <w:tcPr>
            <w:tcW w:w="611" w:type="pct"/>
            <w:shd w:val="clear" w:color="auto" w:fill="D9D9D9" w:themeFill="background1" w:themeFillShade="D9"/>
            <w:vAlign w:val="center"/>
          </w:tcPr>
          <w:p w14:paraId="5F20F397" w14:textId="604D98F8" w:rsidR="00B37BD2" w:rsidRPr="001D6ADC"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62"/>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62"/>
                <w14:textFill>
                  <w14:solidFill>
                    <w14:srgbClr w14:val="000000">
                      <w14:alpha w14:val="100000"/>
                    </w14:srgbClr>
                  </w14:solidFill>
                </w14:textFill>
              </w:rPr>
              <w:t>|</w:t>
            </w:r>
            <w:r w:rsidR="001D6ADC">
              <w:rPr>
                <w:rFonts w:eastAsia="MS Gothic"/>
                <w:vertAlign w:val="superscript"/>
              </w:rPr>
              <w:t>5</w:t>
            </w:r>
          </w:p>
        </w:tc>
      </w:tr>
      <w:tr w:rsidR="00B37BD2" w:rsidRPr="001310AD" w14:paraId="270B5795" w14:textId="77777777" w:rsidTr="00721A83">
        <w:tc>
          <w:tcPr>
            <w:tcW w:w="1334" w:type="pct"/>
            <w:shd w:val="clear" w:color="auto" w:fill="D9D9D9" w:themeFill="background1" w:themeFillShade="D9"/>
          </w:tcPr>
          <w:p w14:paraId="5BF2733C" w14:textId="1EEE2A57" w:rsidR="00B37BD2" w:rsidRPr="001310AD" w:rsidRDefault="00B37BD2" w:rsidP="00B37BD2">
            <w:pPr>
              <w:pStyle w:val="TableText0"/>
            </w:pPr>
            <w:r w:rsidRPr="001310AD">
              <w:rPr>
                <w:rFonts w:eastAsia="MS Gothic"/>
              </w:rPr>
              <w:t xml:space="preserve">  All budgets combined</w:t>
            </w:r>
          </w:p>
        </w:tc>
        <w:tc>
          <w:tcPr>
            <w:tcW w:w="611" w:type="pct"/>
            <w:shd w:val="clear" w:color="auto" w:fill="D9D9D9" w:themeFill="background1" w:themeFillShade="D9"/>
            <w:vAlign w:val="center"/>
          </w:tcPr>
          <w:p w14:paraId="7F3B9F62" w14:textId="225B6910" w:rsidR="00B37BD2" w:rsidRPr="00B618BF"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61"/>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61"/>
                <w14:textFill>
                  <w14:solidFill>
                    <w14:srgbClr w14:val="000000">
                      <w14:alpha w14:val="100000"/>
                    </w14:srgbClr>
                  </w14:solidFill>
                </w14:textFill>
              </w:rPr>
              <w:t>|</w:t>
            </w:r>
            <w:r w:rsidR="00B618BF">
              <w:rPr>
                <w:rFonts w:eastAsia="MS Gothic"/>
                <w:vertAlign w:val="superscript"/>
              </w:rPr>
              <w:t>4</w:t>
            </w:r>
          </w:p>
        </w:tc>
        <w:tc>
          <w:tcPr>
            <w:tcW w:w="611" w:type="pct"/>
            <w:shd w:val="clear" w:color="auto" w:fill="D9D9D9" w:themeFill="background1" w:themeFillShade="D9"/>
            <w:vAlign w:val="center"/>
          </w:tcPr>
          <w:p w14:paraId="2D5E6398" w14:textId="5083D65A" w:rsidR="00B37BD2" w:rsidRPr="00FC6D7E"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60"/>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60"/>
                <w14:textFill>
                  <w14:solidFill>
                    <w14:srgbClr w14:val="000000">
                      <w14:alpha w14:val="100000"/>
                    </w14:srgbClr>
                  </w14:solidFill>
                </w14:textFill>
              </w:rPr>
              <w:t>|</w:t>
            </w:r>
            <w:r w:rsidR="00FC6D7E">
              <w:rPr>
                <w:rFonts w:eastAsia="MS Gothic"/>
                <w:vertAlign w:val="superscript"/>
              </w:rPr>
              <w:t>1</w:t>
            </w:r>
            <w:r w:rsidR="00490E86">
              <w:rPr>
                <w:rFonts w:eastAsia="MS Gothic"/>
                <w:vertAlign w:val="superscript"/>
              </w:rPr>
              <w:t>0</w:t>
            </w:r>
          </w:p>
        </w:tc>
        <w:tc>
          <w:tcPr>
            <w:tcW w:w="611" w:type="pct"/>
            <w:shd w:val="clear" w:color="auto" w:fill="D9D9D9" w:themeFill="background1" w:themeFillShade="D9"/>
            <w:vAlign w:val="center"/>
          </w:tcPr>
          <w:p w14:paraId="191F94C3" w14:textId="6648D8ED" w:rsidR="00B37BD2" w:rsidRPr="00FC6D7E"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59"/>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59"/>
                <w14:textFill>
                  <w14:solidFill>
                    <w14:srgbClr w14:val="000000">
                      <w14:alpha w14:val="100000"/>
                    </w14:srgbClr>
                  </w14:solidFill>
                </w14:textFill>
              </w:rPr>
              <w:t>|</w:t>
            </w:r>
            <w:r w:rsidR="00FC6D7E">
              <w:rPr>
                <w:rFonts w:eastAsia="MS Gothic"/>
                <w:vertAlign w:val="superscript"/>
              </w:rPr>
              <w:t>1</w:t>
            </w:r>
            <w:r w:rsidR="00490E86">
              <w:rPr>
                <w:rFonts w:eastAsia="MS Gothic"/>
                <w:vertAlign w:val="superscript"/>
              </w:rPr>
              <w:t>0</w:t>
            </w:r>
          </w:p>
        </w:tc>
        <w:tc>
          <w:tcPr>
            <w:tcW w:w="611" w:type="pct"/>
            <w:shd w:val="clear" w:color="auto" w:fill="D9D9D9" w:themeFill="background1" w:themeFillShade="D9"/>
            <w:vAlign w:val="center"/>
          </w:tcPr>
          <w:p w14:paraId="6B9ACECF" w14:textId="58FD06BF" w:rsidR="00B37BD2" w:rsidRPr="00DB7EFC"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58"/>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58"/>
                <w14:textFill>
                  <w14:solidFill>
                    <w14:srgbClr w14:val="000000">
                      <w14:alpha w14:val="100000"/>
                    </w14:srgbClr>
                  </w14:solidFill>
                </w14:textFill>
              </w:rPr>
              <w:t>|</w:t>
            </w:r>
            <w:r w:rsidR="00DB7EFC">
              <w:rPr>
                <w:rFonts w:eastAsia="MS Gothic"/>
                <w:vertAlign w:val="superscript"/>
              </w:rPr>
              <w:t>6</w:t>
            </w:r>
          </w:p>
        </w:tc>
        <w:tc>
          <w:tcPr>
            <w:tcW w:w="611" w:type="pct"/>
            <w:shd w:val="clear" w:color="auto" w:fill="D9D9D9" w:themeFill="background1" w:themeFillShade="D9"/>
            <w:vAlign w:val="center"/>
          </w:tcPr>
          <w:p w14:paraId="2CFCD077" w14:textId="6C64F18B" w:rsidR="00B37BD2" w:rsidRPr="00C63105"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57"/>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57"/>
                <w14:textFill>
                  <w14:solidFill>
                    <w14:srgbClr w14:val="000000">
                      <w14:alpha w14:val="100000"/>
                    </w14:srgbClr>
                  </w14:solidFill>
                </w14:textFill>
              </w:rPr>
              <w:t>|</w:t>
            </w:r>
            <w:r w:rsidR="00C63105">
              <w:rPr>
                <w:rFonts w:eastAsia="MS Gothic"/>
                <w:vertAlign w:val="superscript"/>
              </w:rPr>
              <w:t>7</w:t>
            </w:r>
          </w:p>
        </w:tc>
        <w:tc>
          <w:tcPr>
            <w:tcW w:w="611" w:type="pct"/>
            <w:shd w:val="clear" w:color="auto" w:fill="D9D9D9" w:themeFill="background1" w:themeFillShade="D9"/>
            <w:vAlign w:val="center"/>
          </w:tcPr>
          <w:p w14:paraId="79D6230B" w14:textId="7DD1618D" w:rsidR="00B37BD2" w:rsidRPr="00234D92" w:rsidRDefault="00B37BD2" w:rsidP="00D03766">
            <w:pPr>
              <w:pStyle w:val="TableText0"/>
              <w:jc w:val="center"/>
              <w:rPr>
                <w:vertAlign w:val="superscript"/>
              </w:rPr>
            </w:pPr>
            <w:r w:rsidRPr="001310AD">
              <w:rPr>
                <w:rFonts w:eastAsia="MS Gothic"/>
              </w:rPr>
              <w:t>-$</w:t>
            </w:r>
            <w:r w:rsidR="000A3A2D" w:rsidRPr="000A3A2D">
              <w:rPr>
                <w:rFonts w:eastAsia="MS Gothic"/>
                <w:color w:val="000000"/>
                <w:spacing w:val="51"/>
                <w:shd w:val="solid" w:color="000000" w:fill="000000"/>
                <w:fitText w:val="324" w:id="-628465656"/>
                <w14:textFill>
                  <w14:solidFill>
                    <w14:srgbClr w14:val="000000">
                      <w14:alpha w14:val="100000"/>
                    </w14:srgbClr>
                  </w14:solidFill>
                </w14:textFill>
              </w:rPr>
              <w:t>|||</w:t>
            </w:r>
            <w:r w:rsidR="000A3A2D" w:rsidRPr="000A3A2D">
              <w:rPr>
                <w:rFonts w:eastAsia="MS Gothic"/>
                <w:color w:val="000000"/>
                <w:spacing w:val="1"/>
                <w:shd w:val="solid" w:color="000000" w:fill="000000"/>
                <w:fitText w:val="324" w:id="-628465656"/>
                <w14:textFill>
                  <w14:solidFill>
                    <w14:srgbClr w14:val="000000">
                      <w14:alpha w14:val="100000"/>
                    </w14:srgbClr>
                  </w14:solidFill>
                </w14:textFill>
              </w:rPr>
              <w:t>|</w:t>
            </w:r>
            <w:r w:rsidR="00234D92">
              <w:rPr>
                <w:rFonts w:eastAsia="MS Gothic"/>
                <w:vertAlign w:val="superscript"/>
              </w:rPr>
              <w:t>1</w:t>
            </w:r>
            <w:r w:rsidR="00490E86">
              <w:rPr>
                <w:rFonts w:eastAsia="MS Gothic"/>
                <w:vertAlign w:val="superscript"/>
              </w:rPr>
              <w:t>1</w:t>
            </w:r>
          </w:p>
        </w:tc>
      </w:tr>
      <w:tr w:rsidR="000902D9" w:rsidRPr="001310AD" w14:paraId="6A99A43D" w14:textId="77777777" w:rsidTr="007925DF">
        <w:tc>
          <w:tcPr>
            <w:tcW w:w="5000" w:type="pct"/>
            <w:gridSpan w:val="7"/>
            <w:shd w:val="clear" w:color="auto" w:fill="B8CCE4" w:themeFill="accent1" w:themeFillTint="66"/>
            <w:vAlign w:val="center"/>
          </w:tcPr>
          <w:p w14:paraId="3DC5DC1A" w14:textId="257940DF" w:rsidR="000902D9" w:rsidRPr="001310AD" w:rsidRDefault="000902D9" w:rsidP="00E225E6">
            <w:pPr>
              <w:pStyle w:val="In-tableHeading"/>
              <w:jc w:val="left"/>
              <w:rPr>
                <w:vertAlign w:val="superscript"/>
              </w:rPr>
            </w:pPr>
            <w:r w:rsidRPr="001310AD">
              <w:t xml:space="preserve">Previous submission </w:t>
            </w:r>
            <w:r w:rsidR="00BE465E" w:rsidRPr="001310AD">
              <w:t>July</w:t>
            </w:r>
            <w:r w:rsidRPr="001310AD">
              <w:t xml:space="preserve"> </w:t>
            </w:r>
            <w:r w:rsidR="00BE465E" w:rsidRPr="001310AD">
              <w:t>2024</w:t>
            </w:r>
            <w:r w:rsidR="008B311C" w:rsidRPr="001310AD">
              <w:t xml:space="preserve"> (≥ 75 YOA)</w:t>
            </w:r>
            <w:r w:rsidR="00946A57" w:rsidRPr="001310AD">
              <w:rPr>
                <w:vertAlign w:val="superscript"/>
              </w:rPr>
              <w:t>a</w:t>
            </w:r>
          </w:p>
        </w:tc>
      </w:tr>
      <w:tr w:rsidR="00240639" w:rsidRPr="001310AD" w14:paraId="746CCDBE" w14:textId="77777777" w:rsidTr="009C0EA0">
        <w:tc>
          <w:tcPr>
            <w:tcW w:w="1334" w:type="pct"/>
            <w:shd w:val="clear" w:color="auto" w:fill="B8CCE4" w:themeFill="accent1" w:themeFillTint="66"/>
            <w:vAlign w:val="center"/>
          </w:tcPr>
          <w:p w14:paraId="03B4C2BB" w14:textId="063EE7F2" w:rsidR="00240639" w:rsidRPr="001310AD" w:rsidRDefault="00240639" w:rsidP="009C0EA0">
            <w:pPr>
              <w:pStyle w:val="TableText0"/>
            </w:pPr>
            <w:r w:rsidRPr="001310AD">
              <w:rPr>
                <w:rFonts w:eastAsia="MS Gothic"/>
              </w:rPr>
              <w:t xml:space="preserve">  NIP </w:t>
            </w:r>
          </w:p>
        </w:tc>
        <w:tc>
          <w:tcPr>
            <w:tcW w:w="611" w:type="pct"/>
            <w:shd w:val="clear" w:color="auto" w:fill="B8CCE4" w:themeFill="accent1" w:themeFillTint="66"/>
            <w:vAlign w:val="center"/>
          </w:tcPr>
          <w:p w14:paraId="23900A11" w14:textId="3258D13C" w:rsidR="00240639" w:rsidRPr="002C1B07" w:rsidRDefault="00240639" w:rsidP="00240639">
            <w:pPr>
              <w:pStyle w:val="TableText0"/>
              <w:jc w:val="center"/>
              <w:rPr>
                <w:vertAlign w:val="superscript"/>
              </w:rPr>
            </w:pPr>
            <w:r w:rsidRPr="001310AD">
              <w:t>$</w:t>
            </w:r>
            <w:r w:rsidR="000A3A2D" w:rsidRPr="000A3A2D">
              <w:rPr>
                <w:color w:val="000000"/>
                <w:spacing w:val="55"/>
                <w:shd w:val="solid" w:color="000000" w:fill="000000"/>
                <w:fitText w:val="336" w:id="-628465655"/>
                <w14:textFill>
                  <w14:solidFill>
                    <w14:srgbClr w14:val="000000">
                      <w14:alpha w14:val="100000"/>
                    </w14:srgbClr>
                  </w14:solidFill>
                </w14:textFill>
              </w:rPr>
              <w:t>|||</w:t>
            </w:r>
            <w:r w:rsidR="000A3A2D" w:rsidRPr="000A3A2D">
              <w:rPr>
                <w:color w:val="000000"/>
                <w:spacing w:val="1"/>
                <w:shd w:val="solid" w:color="000000" w:fill="000000"/>
                <w:fitText w:val="336" w:id="-628465655"/>
                <w14:textFill>
                  <w14:solidFill>
                    <w14:srgbClr w14:val="000000">
                      <w14:alpha w14:val="100000"/>
                    </w14:srgbClr>
                  </w14:solidFill>
                </w14:textFill>
              </w:rPr>
              <w:t>|</w:t>
            </w:r>
            <w:r w:rsidR="002C1B07">
              <w:rPr>
                <w:vertAlign w:val="superscript"/>
              </w:rPr>
              <w:t>14</w:t>
            </w:r>
          </w:p>
          <w:p w14:paraId="7094ECE8" w14:textId="77FA0911" w:rsidR="00240639" w:rsidRDefault="00240639" w:rsidP="00240639">
            <w:pPr>
              <w:pStyle w:val="TableText0"/>
              <w:jc w:val="center"/>
            </w:pPr>
            <w:r w:rsidRPr="001310AD">
              <w:t>($</w:t>
            </w:r>
            <w:r w:rsidR="000A3A2D" w:rsidRPr="000A3A2D">
              <w:rPr>
                <w:color w:val="000000"/>
                <w:spacing w:val="55"/>
                <w:shd w:val="solid" w:color="000000" w:fill="000000"/>
                <w:fitText w:val="336" w:id="-628465654"/>
                <w14:textFill>
                  <w14:solidFill>
                    <w14:srgbClr w14:val="000000">
                      <w14:alpha w14:val="100000"/>
                    </w14:srgbClr>
                  </w14:solidFill>
                </w14:textFill>
              </w:rPr>
              <w:t>|||</w:t>
            </w:r>
            <w:r w:rsidR="000A3A2D" w:rsidRPr="000A3A2D">
              <w:rPr>
                <w:color w:val="000000"/>
                <w:spacing w:val="1"/>
                <w:shd w:val="solid" w:color="000000" w:fill="000000"/>
                <w:fitText w:val="336" w:id="-628465654"/>
                <w14:textFill>
                  <w14:solidFill>
                    <w14:srgbClr w14:val="000000">
                      <w14:alpha w14:val="100000"/>
                    </w14:srgbClr>
                  </w14:solidFill>
                </w14:textFill>
              </w:rPr>
              <w:t>|</w:t>
            </w:r>
            <w:r w:rsidRPr="001310AD">
              <w:t>)</w:t>
            </w:r>
          </w:p>
          <w:p w14:paraId="489F2BC4" w14:textId="1660F99B" w:rsidR="002C1B07" w:rsidRPr="002C1B07" w:rsidRDefault="002C1B07" w:rsidP="00240639">
            <w:pPr>
              <w:pStyle w:val="TableText0"/>
              <w:jc w:val="center"/>
              <w:rPr>
                <w:vertAlign w:val="superscript"/>
              </w:rPr>
            </w:pPr>
            <w:r>
              <w:rPr>
                <w:vertAlign w:val="superscript"/>
              </w:rPr>
              <w:t>14</w:t>
            </w:r>
          </w:p>
        </w:tc>
        <w:tc>
          <w:tcPr>
            <w:tcW w:w="611" w:type="pct"/>
            <w:shd w:val="clear" w:color="auto" w:fill="B8CCE4" w:themeFill="accent1" w:themeFillTint="66"/>
            <w:vAlign w:val="center"/>
          </w:tcPr>
          <w:p w14:paraId="6D3A81A0" w14:textId="0B7256EB" w:rsidR="00240639" w:rsidRPr="00AD6308" w:rsidRDefault="00240639" w:rsidP="00240639">
            <w:pPr>
              <w:pStyle w:val="TableText0"/>
              <w:jc w:val="center"/>
              <w:rPr>
                <w:vertAlign w:val="superscript"/>
              </w:rPr>
            </w:pPr>
            <w:r w:rsidRPr="001310AD">
              <w:t>$</w:t>
            </w:r>
            <w:r w:rsidR="000A3A2D" w:rsidRPr="000A3A2D">
              <w:rPr>
                <w:color w:val="000000"/>
                <w:spacing w:val="51"/>
                <w:shd w:val="solid" w:color="000000" w:fill="000000"/>
                <w:fitText w:val="324" w:id="-628465653"/>
                <w14:textFill>
                  <w14:solidFill>
                    <w14:srgbClr w14:val="000000">
                      <w14:alpha w14:val="100000"/>
                    </w14:srgbClr>
                  </w14:solidFill>
                </w14:textFill>
              </w:rPr>
              <w:t>|||</w:t>
            </w:r>
            <w:r w:rsidR="000A3A2D" w:rsidRPr="000A3A2D">
              <w:rPr>
                <w:color w:val="000000"/>
                <w:spacing w:val="1"/>
                <w:shd w:val="solid" w:color="000000" w:fill="000000"/>
                <w:fitText w:val="324" w:id="-628465653"/>
                <w14:textFill>
                  <w14:solidFill>
                    <w14:srgbClr w14:val="000000">
                      <w14:alpha w14:val="100000"/>
                    </w14:srgbClr>
                  </w14:solidFill>
                </w14:textFill>
              </w:rPr>
              <w:t>|</w:t>
            </w:r>
            <w:r w:rsidR="00AD6308">
              <w:rPr>
                <w:vertAlign w:val="superscript"/>
              </w:rPr>
              <w:t>6</w:t>
            </w:r>
          </w:p>
          <w:p w14:paraId="1D5EE203" w14:textId="43654817" w:rsidR="00240639" w:rsidRPr="001310AD" w:rsidRDefault="00240639" w:rsidP="00240639">
            <w:pPr>
              <w:pStyle w:val="TableText0"/>
              <w:jc w:val="center"/>
            </w:pPr>
            <w:r w:rsidRPr="001310AD">
              <w:t>($</w:t>
            </w:r>
            <w:r w:rsidR="000A3A2D" w:rsidRPr="000A3A2D">
              <w:rPr>
                <w:color w:val="000000"/>
                <w:spacing w:val="55"/>
                <w:shd w:val="solid" w:color="000000" w:fill="000000"/>
                <w:fitText w:val="336" w:id="-628465652"/>
                <w14:textFill>
                  <w14:solidFill>
                    <w14:srgbClr w14:val="000000">
                      <w14:alpha w14:val="100000"/>
                    </w14:srgbClr>
                  </w14:solidFill>
                </w14:textFill>
              </w:rPr>
              <w:t>|||</w:t>
            </w:r>
            <w:r w:rsidR="000A3A2D" w:rsidRPr="000A3A2D">
              <w:rPr>
                <w:color w:val="000000"/>
                <w:spacing w:val="1"/>
                <w:shd w:val="solid" w:color="000000" w:fill="000000"/>
                <w:fitText w:val="336" w:id="-628465652"/>
                <w14:textFill>
                  <w14:solidFill>
                    <w14:srgbClr w14:val="000000">
                      <w14:alpha w14:val="100000"/>
                    </w14:srgbClr>
                  </w14:solidFill>
                </w14:textFill>
              </w:rPr>
              <w:t>|</w:t>
            </w:r>
            <w:r w:rsidR="00FC6D7E">
              <w:rPr>
                <w:vertAlign w:val="superscript"/>
              </w:rPr>
              <w:t>1</w:t>
            </w:r>
            <w:r w:rsidR="00490E86">
              <w:rPr>
                <w:vertAlign w:val="superscript"/>
              </w:rPr>
              <w:t>0</w:t>
            </w:r>
            <w:r w:rsidRPr="001310AD">
              <w:t>)</w:t>
            </w:r>
          </w:p>
        </w:tc>
        <w:tc>
          <w:tcPr>
            <w:tcW w:w="611" w:type="pct"/>
            <w:shd w:val="clear" w:color="auto" w:fill="B8CCE4" w:themeFill="accent1" w:themeFillTint="66"/>
            <w:vAlign w:val="center"/>
          </w:tcPr>
          <w:p w14:paraId="6C50B2BA" w14:textId="6BE53BFA" w:rsidR="00240639" w:rsidRPr="00AD6308" w:rsidRDefault="00240639" w:rsidP="00240639">
            <w:pPr>
              <w:pStyle w:val="TableText0"/>
              <w:jc w:val="center"/>
              <w:rPr>
                <w:vertAlign w:val="superscript"/>
              </w:rPr>
            </w:pPr>
            <w:r w:rsidRPr="001310AD">
              <w:t>$</w:t>
            </w:r>
            <w:r w:rsidR="000A3A2D" w:rsidRPr="000A3A2D">
              <w:rPr>
                <w:color w:val="000000"/>
                <w:spacing w:val="51"/>
                <w:shd w:val="solid" w:color="000000" w:fill="000000"/>
                <w:fitText w:val="324" w:id="-628465651"/>
                <w14:textFill>
                  <w14:solidFill>
                    <w14:srgbClr w14:val="000000">
                      <w14:alpha w14:val="100000"/>
                    </w14:srgbClr>
                  </w14:solidFill>
                </w14:textFill>
              </w:rPr>
              <w:t>|||</w:t>
            </w:r>
            <w:r w:rsidR="000A3A2D" w:rsidRPr="000A3A2D">
              <w:rPr>
                <w:color w:val="000000"/>
                <w:spacing w:val="1"/>
                <w:shd w:val="solid" w:color="000000" w:fill="000000"/>
                <w:fitText w:val="324" w:id="-628465651"/>
                <w14:textFill>
                  <w14:solidFill>
                    <w14:srgbClr w14:val="000000">
                      <w14:alpha w14:val="100000"/>
                    </w14:srgbClr>
                  </w14:solidFill>
                </w14:textFill>
              </w:rPr>
              <w:t>|</w:t>
            </w:r>
            <w:r w:rsidR="00AD6308">
              <w:rPr>
                <w:vertAlign w:val="superscript"/>
              </w:rPr>
              <w:t>6</w:t>
            </w:r>
          </w:p>
          <w:p w14:paraId="5C113E77" w14:textId="52007095" w:rsidR="00240639" w:rsidRPr="001310AD" w:rsidRDefault="00240639" w:rsidP="00240639">
            <w:pPr>
              <w:pStyle w:val="TableText0"/>
              <w:jc w:val="center"/>
            </w:pPr>
            <w:r w:rsidRPr="001310AD">
              <w:t>($</w:t>
            </w:r>
            <w:r w:rsidR="000A3A2D" w:rsidRPr="000A3A2D">
              <w:rPr>
                <w:color w:val="000000"/>
                <w:spacing w:val="55"/>
                <w:shd w:val="solid" w:color="000000" w:fill="000000"/>
                <w:fitText w:val="336" w:id="-628465650"/>
                <w14:textFill>
                  <w14:solidFill>
                    <w14:srgbClr w14:val="000000">
                      <w14:alpha w14:val="100000"/>
                    </w14:srgbClr>
                  </w14:solidFill>
                </w14:textFill>
              </w:rPr>
              <w:t>|||</w:t>
            </w:r>
            <w:r w:rsidR="000A3A2D" w:rsidRPr="000A3A2D">
              <w:rPr>
                <w:color w:val="000000"/>
                <w:spacing w:val="1"/>
                <w:shd w:val="solid" w:color="000000" w:fill="000000"/>
                <w:fitText w:val="336" w:id="-628465650"/>
                <w14:textFill>
                  <w14:solidFill>
                    <w14:srgbClr w14:val="000000">
                      <w14:alpha w14:val="100000"/>
                    </w14:srgbClr>
                  </w14:solidFill>
                </w14:textFill>
              </w:rPr>
              <w:t>|</w:t>
            </w:r>
            <w:r w:rsidR="00FC6D7E">
              <w:rPr>
                <w:vertAlign w:val="superscript"/>
              </w:rPr>
              <w:t>1</w:t>
            </w:r>
            <w:r w:rsidR="00490E86">
              <w:rPr>
                <w:vertAlign w:val="superscript"/>
              </w:rPr>
              <w:t>0</w:t>
            </w:r>
            <w:r w:rsidRPr="001310AD">
              <w:t>)</w:t>
            </w:r>
          </w:p>
        </w:tc>
        <w:tc>
          <w:tcPr>
            <w:tcW w:w="611" w:type="pct"/>
            <w:shd w:val="clear" w:color="auto" w:fill="B8CCE4" w:themeFill="accent1" w:themeFillTint="66"/>
            <w:vAlign w:val="center"/>
          </w:tcPr>
          <w:p w14:paraId="4AF4CF0A" w14:textId="32824FD7" w:rsidR="00240639" w:rsidRPr="00FC6D7E" w:rsidRDefault="00240639" w:rsidP="00240639">
            <w:pPr>
              <w:pStyle w:val="TableText0"/>
              <w:jc w:val="center"/>
              <w:rPr>
                <w:vertAlign w:val="superscript"/>
              </w:rPr>
            </w:pPr>
            <w:r w:rsidRPr="001310AD">
              <w:t>$</w:t>
            </w:r>
            <w:r w:rsidR="000A3A2D" w:rsidRPr="000A3A2D">
              <w:rPr>
                <w:color w:val="000000"/>
                <w:spacing w:val="55"/>
                <w:shd w:val="solid" w:color="000000" w:fill="000000"/>
                <w:fitText w:val="336" w:id="-628465649"/>
                <w14:textFill>
                  <w14:solidFill>
                    <w14:srgbClr w14:val="000000">
                      <w14:alpha w14:val="100000"/>
                    </w14:srgbClr>
                  </w14:solidFill>
                </w14:textFill>
              </w:rPr>
              <w:t>|||</w:t>
            </w:r>
            <w:r w:rsidR="000A3A2D" w:rsidRPr="000A3A2D">
              <w:rPr>
                <w:color w:val="000000"/>
                <w:spacing w:val="1"/>
                <w:shd w:val="solid" w:color="000000" w:fill="000000"/>
                <w:fitText w:val="336" w:id="-628465649"/>
                <w14:textFill>
                  <w14:solidFill>
                    <w14:srgbClr w14:val="000000">
                      <w14:alpha w14:val="100000"/>
                    </w14:srgbClr>
                  </w14:solidFill>
                </w14:textFill>
              </w:rPr>
              <w:t>|</w:t>
            </w:r>
            <w:r w:rsidR="00FC6D7E">
              <w:rPr>
                <w:vertAlign w:val="superscript"/>
              </w:rPr>
              <w:t>1</w:t>
            </w:r>
            <w:r w:rsidR="00490E86">
              <w:rPr>
                <w:vertAlign w:val="superscript"/>
              </w:rPr>
              <w:t>0</w:t>
            </w:r>
          </w:p>
          <w:p w14:paraId="1C964FF9" w14:textId="4D3A6C87" w:rsidR="00240639" w:rsidRPr="001310AD" w:rsidRDefault="00240639" w:rsidP="00240639">
            <w:pPr>
              <w:pStyle w:val="TableText0"/>
              <w:jc w:val="center"/>
            </w:pPr>
            <w:r w:rsidRPr="001310AD">
              <w:t>($</w:t>
            </w:r>
            <w:r w:rsidR="000A3A2D" w:rsidRPr="000A3A2D">
              <w:rPr>
                <w:color w:val="000000"/>
                <w:spacing w:val="55"/>
                <w:shd w:val="solid" w:color="000000" w:fill="000000"/>
                <w:fitText w:val="336" w:id="-628465648"/>
                <w14:textFill>
                  <w14:solidFill>
                    <w14:srgbClr w14:val="000000">
                      <w14:alpha w14:val="100000"/>
                    </w14:srgbClr>
                  </w14:solidFill>
                </w14:textFill>
              </w:rPr>
              <w:t>|||</w:t>
            </w:r>
            <w:r w:rsidR="000A3A2D" w:rsidRPr="000A3A2D">
              <w:rPr>
                <w:color w:val="000000"/>
                <w:spacing w:val="1"/>
                <w:shd w:val="solid" w:color="000000" w:fill="000000"/>
                <w:fitText w:val="336" w:id="-628465648"/>
                <w14:textFill>
                  <w14:solidFill>
                    <w14:srgbClr w14:val="000000">
                      <w14:alpha w14:val="100000"/>
                    </w14:srgbClr>
                  </w14:solidFill>
                </w14:textFill>
              </w:rPr>
              <w:t>|</w:t>
            </w:r>
            <w:r w:rsidR="008633FD">
              <w:rPr>
                <w:vertAlign w:val="superscript"/>
              </w:rPr>
              <w:t>12</w:t>
            </w:r>
            <w:r w:rsidRPr="001310AD">
              <w:t>)</w:t>
            </w:r>
          </w:p>
        </w:tc>
        <w:tc>
          <w:tcPr>
            <w:tcW w:w="611" w:type="pct"/>
            <w:shd w:val="clear" w:color="auto" w:fill="B8CCE4" w:themeFill="accent1" w:themeFillTint="66"/>
            <w:vAlign w:val="center"/>
          </w:tcPr>
          <w:p w14:paraId="50EFCFC2" w14:textId="0824C133" w:rsidR="00240639" w:rsidRPr="00FC6D7E" w:rsidRDefault="00240639" w:rsidP="00240639">
            <w:pPr>
              <w:pStyle w:val="TableText0"/>
              <w:jc w:val="center"/>
              <w:rPr>
                <w:vertAlign w:val="superscript"/>
              </w:rPr>
            </w:pPr>
            <w:r w:rsidRPr="001310AD">
              <w:t>$</w:t>
            </w:r>
            <w:r w:rsidR="000A3A2D" w:rsidRPr="000A3A2D">
              <w:rPr>
                <w:color w:val="000000"/>
                <w:spacing w:val="55"/>
                <w:shd w:val="solid" w:color="000000" w:fill="000000"/>
                <w:fitText w:val="336" w:id="-628465664"/>
                <w14:textFill>
                  <w14:solidFill>
                    <w14:srgbClr w14:val="000000">
                      <w14:alpha w14:val="100000"/>
                    </w14:srgbClr>
                  </w14:solidFill>
                </w14:textFill>
              </w:rPr>
              <w:t>|||</w:t>
            </w:r>
            <w:r w:rsidR="000A3A2D" w:rsidRPr="000A3A2D">
              <w:rPr>
                <w:color w:val="000000"/>
                <w:spacing w:val="1"/>
                <w:shd w:val="solid" w:color="000000" w:fill="000000"/>
                <w:fitText w:val="336" w:id="-628465664"/>
                <w14:textFill>
                  <w14:solidFill>
                    <w14:srgbClr w14:val="000000">
                      <w14:alpha w14:val="100000"/>
                    </w14:srgbClr>
                  </w14:solidFill>
                </w14:textFill>
              </w:rPr>
              <w:t>|</w:t>
            </w:r>
            <w:r w:rsidR="00FC6D7E">
              <w:rPr>
                <w:vertAlign w:val="superscript"/>
              </w:rPr>
              <w:t>1</w:t>
            </w:r>
            <w:r w:rsidR="00490E86">
              <w:rPr>
                <w:vertAlign w:val="superscript"/>
              </w:rPr>
              <w:t>0</w:t>
            </w:r>
          </w:p>
          <w:p w14:paraId="4D86B6C8" w14:textId="45E0FDCB" w:rsidR="00240639" w:rsidRPr="001310AD" w:rsidRDefault="00240639" w:rsidP="00240639">
            <w:pPr>
              <w:pStyle w:val="TableText0"/>
              <w:jc w:val="center"/>
            </w:pPr>
            <w:r w:rsidRPr="001310AD">
              <w:t>($</w:t>
            </w:r>
            <w:r w:rsidR="000A3A2D" w:rsidRPr="000A3A2D">
              <w:rPr>
                <w:color w:val="000000"/>
                <w:spacing w:val="55"/>
                <w:shd w:val="solid" w:color="000000" w:fill="000000"/>
                <w:fitText w:val="336" w:id="-628465663"/>
                <w14:textFill>
                  <w14:solidFill>
                    <w14:srgbClr w14:val="000000">
                      <w14:alpha w14:val="100000"/>
                    </w14:srgbClr>
                  </w14:solidFill>
                </w14:textFill>
              </w:rPr>
              <w:t>|||</w:t>
            </w:r>
            <w:r w:rsidR="000A3A2D" w:rsidRPr="000A3A2D">
              <w:rPr>
                <w:color w:val="000000"/>
                <w:spacing w:val="1"/>
                <w:shd w:val="solid" w:color="000000" w:fill="000000"/>
                <w:fitText w:val="336" w:id="-628465663"/>
                <w14:textFill>
                  <w14:solidFill>
                    <w14:srgbClr w14:val="000000">
                      <w14:alpha w14:val="100000"/>
                    </w14:srgbClr>
                  </w14:solidFill>
                </w14:textFill>
              </w:rPr>
              <w:t>|</w:t>
            </w:r>
            <w:r w:rsidR="008633FD">
              <w:rPr>
                <w:vertAlign w:val="superscript"/>
              </w:rPr>
              <w:t>12</w:t>
            </w:r>
            <w:r w:rsidRPr="001310AD">
              <w:t>)</w:t>
            </w:r>
          </w:p>
        </w:tc>
        <w:tc>
          <w:tcPr>
            <w:tcW w:w="611" w:type="pct"/>
            <w:shd w:val="clear" w:color="auto" w:fill="B8CCE4" w:themeFill="accent1" w:themeFillTint="66"/>
            <w:vAlign w:val="center"/>
          </w:tcPr>
          <w:p w14:paraId="319F39CC" w14:textId="1FC937F2" w:rsidR="00240639" w:rsidRPr="00FC6D7E" w:rsidRDefault="00240639" w:rsidP="00240639">
            <w:pPr>
              <w:pStyle w:val="TableText0"/>
              <w:jc w:val="center"/>
              <w:rPr>
                <w:vertAlign w:val="superscript"/>
              </w:rPr>
            </w:pPr>
            <w:r w:rsidRPr="001310AD">
              <w:t>$</w:t>
            </w:r>
            <w:r w:rsidR="000A3A2D" w:rsidRPr="000A3A2D">
              <w:rPr>
                <w:color w:val="000000"/>
                <w:spacing w:val="55"/>
                <w:shd w:val="solid" w:color="000000" w:fill="000000"/>
                <w:fitText w:val="336" w:id="-628465662"/>
                <w14:textFill>
                  <w14:solidFill>
                    <w14:srgbClr w14:val="000000">
                      <w14:alpha w14:val="100000"/>
                    </w14:srgbClr>
                  </w14:solidFill>
                </w14:textFill>
              </w:rPr>
              <w:t>|||</w:t>
            </w:r>
            <w:r w:rsidR="000A3A2D" w:rsidRPr="000A3A2D">
              <w:rPr>
                <w:color w:val="000000"/>
                <w:spacing w:val="1"/>
                <w:shd w:val="solid" w:color="000000" w:fill="000000"/>
                <w:fitText w:val="336" w:id="-628465662"/>
                <w14:textFill>
                  <w14:solidFill>
                    <w14:srgbClr w14:val="000000">
                      <w14:alpha w14:val="100000"/>
                    </w14:srgbClr>
                  </w14:solidFill>
                </w14:textFill>
              </w:rPr>
              <w:t>|</w:t>
            </w:r>
            <w:r w:rsidR="00FC6D7E">
              <w:rPr>
                <w:vertAlign w:val="superscript"/>
              </w:rPr>
              <w:t>1</w:t>
            </w:r>
            <w:r w:rsidR="00490E86">
              <w:rPr>
                <w:vertAlign w:val="superscript"/>
              </w:rPr>
              <w:t>0</w:t>
            </w:r>
          </w:p>
          <w:p w14:paraId="441F00C1" w14:textId="239C285C" w:rsidR="00240639" w:rsidRPr="001310AD" w:rsidRDefault="00240639" w:rsidP="00240639">
            <w:pPr>
              <w:pStyle w:val="TableText0"/>
              <w:jc w:val="center"/>
            </w:pPr>
            <w:r w:rsidRPr="001310AD">
              <w:t>($</w:t>
            </w:r>
            <w:r w:rsidR="000A3A2D" w:rsidRPr="000A3A2D">
              <w:rPr>
                <w:color w:val="000000"/>
                <w:spacing w:val="55"/>
                <w:shd w:val="solid" w:color="000000" w:fill="000000"/>
                <w:fitText w:val="336" w:id="-628465661"/>
                <w14:textFill>
                  <w14:solidFill>
                    <w14:srgbClr w14:val="000000">
                      <w14:alpha w14:val="100000"/>
                    </w14:srgbClr>
                  </w14:solidFill>
                </w14:textFill>
              </w:rPr>
              <w:t>|||</w:t>
            </w:r>
            <w:r w:rsidR="000A3A2D" w:rsidRPr="000A3A2D">
              <w:rPr>
                <w:color w:val="000000"/>
                <w:spacing w:val="1"/>
                <w:shd w:val="solid" w:color="000000" w:fill="000000"/>
                <w:fitText w:val="336" w:id="-628465661"/>
                <w14:textFill>
                  <w14:solidFill>
                    <w14:srgbClr w14:val="000000">
                      <w14:alpha w14:val="100000"/>
                    </w14:srgbClr>
                  </w14:solidFill>
                </w14:textFill>
              </w:rPr>
              <w:t>|</w:t>
            </w:r>
            <w:r w:rsidR="00C54645">
              <w:rPr>
                <w:vertAlign w:val="superscript"/>
              </w:rPr>
              <w:t>13</w:t>
            </w:r>
            <w:r w:rsidRPr="001310AD">
              <w:t>)</w:t>
            </w:r>
          </w:p>
        </w:tc>
      </w:tr>
      <w:tr w:rsidR="00251F0E" w:rsidRPr="001310AD" w14:paraId="40339D5D" w14:textId="77777777" w:rsidTr="009C0EA0">
        <w:tc>
          <w:tcPr>
            <w:tcW w:w="1334" w:type="pct"/>
            <w:shd w:val="clear" w:color="auto" w:fill="B8CCE4" w:themeFill="accent1" w:themeFillTint="66"/>
            <w:vAlign w:val="center"/>
          </w:tcPr>
          <w:p w14:paraId="5C4C19EC" w14:textId="3654E3D0" w:rsidR="00251F0E" w:rsidRPr="001310AD" w:rsidRDefault="00251F0E" w:rsidP="009C0EA0">
            <w:pPr>
              <w:pStyle w:val="TableText0"/>
            </w:pPr>
            <w:r w:rsidRPr="001310AD">
              <w:rPr>
                <w:rFonts w:eastAsia="MS Gothic"/>
              </w:rPr>
              <w:t xml:space="preserve">  PBS </w:t>
            </w:r>
          </w:p>
        </w:tc>
        <w:tc>
          <w:tcPr>
            <w:tcW w:w="611" w:type="pct"/>
            <w:shd w:val="clear" w:color="auto" w:fill="B8CCE4" w:themeFill="accent1" w:themeFillTint="66"/>
            <w:vAlign w:val="center"/>
          </w:tcPr>
          <w:p w14:paraId="7DA8F76E" w14:textId="7CC16FB5" w:rsidR="00251F0E" w:rsidRPr="00CF18AD" w:rsidRDefault="00251F0E" w:rsidP="00251F0E">
            <w:pPr>
              <w:pStyle w:val="TableText0"/>
              <w:jc w:val="center"/>
              <w:rPr>
                <w:vertAlign w:val="superscript"/>
              </w:rPr>
            </w:pPr>
            <w:r w:rsidRPr="001310AD">
              <w:t>-$</w:t>
            </w:r>
            <w:r w:rsidR="000A3A2D" w:rsidRPr="000A3A2D">
              <w:rPr>
                <w:color w:val="000000"/>
                <w:spacing w:val="51"/>
                <w:shd w:val="solid" w:color="000000" w:fill="000000"/>
                <w:fitText w:val="324" w:id="-628465660"/>
                <w14:textFill>
                  <w14:solidFill>
                    <w14:srgbClr w14:val="000000">
                      <w14:alpha w14:val="100000"/>
                    </w14:srgbClr>
                  </w14:solidFill>
                </w14:textFill>
              </w:rPr>
              <w:t>|||</w:t>
            </w:r>
            <w:r w:rsidR="000A3A2D" w:rsidRPr="000A3A2D">
              <w:rPr>
                <w:color w:val="000000"/>
                <w:spacing w:val="1"/>
                <w:shd w:val="solid" w:color="000000" w:fill="000000"/>
                <w:fitText w:val="324" w:id="-628465660"/>
                <w14:textFill>
                  <w14:solidFill>
                    <w14:srgbClr w14:val="000000">
                      <w14:alpha w14:val="100000"/>
                    </w14:srgbClr>
                  </w14:solidFill>
                </w14:textFill>
              </w:rPr>
              <w:t>|</w:t>
            </w:r>
            <w:r w:rsidR="00CF18AD">
              <w:rPr>
                <w:vertAlign w:val="superscript"/>
              </w:rPr>
              <w:t>8</w:t>
            </w:r>
          </w:p>
          <w:p w14:paraId="6E8B6D2A" w14:textId="3AF49D05" w:rsidR="00251F0E" w:rsidRPr="001310AD" w:rsidRDefault="00251F0E" w:rsidP="00251F0E">
            <w:pPr>
              <w:pStyle w:val="TableText0"/>
              <w:jc w:val="center"/>
            </w:pPr>
            <w:r w:rsidRPr="001310AD">
              <w:t>(-$</w:t>
            </w:r>
            <w:r w:rsidR="000A3A2D" w:rsidRPr="000A3A2D">
              <w:rPr>
                <w:color w:val="000000"/>
                <w:spacing w:val="51"/>
                <w:shd w:val="solid" w:color="000000" w:fill="000000"/>
                <w:fitText w:val="324" w:id="-628465659"/>
                <w14:textFill>
                  <w14:solidFill>
                    <w14:srgbClr w14:val="000000">
                      <w14:alpha w14:val="100000"/>
                    </w14:srgbClr>
                  </w14:solidFill>
                </w14:textFill>
              </w:rPr>
              <w:t>|||</w:t>
            </w:r>
            <w:r w:rsidR="000A3A2D" w:rsidRPr="000A3A2D">
              <w:rPr>
                <w:color w:val="000000"/>
                <w:spacing w:val="1"/>
                <w:shd w:val="solid" w:color="000000" w:fill="000000"/>
                <w:fitText w:val="324" w:id="-628465659"/>
                <w14:textFill>
                  <w14:solidFill>
                    <w14:srgbClr w14:val="000000">
                      <w14:alpha w14:val="100000"/>
                    </w14:srgbClr>
                  </w14:solidFill>
                </w14:textFill>
              </w:rPr>
              <w:t>|</w:t>
            </w:r>
            <w:r w:rsidR="00CF18AD">
              <w:rPr>
                <w:vertAlign w:val="superscript"/>
              </w:rPr>
              <w:t>8</w:t>
            </w:r>
            <w:r w:rsidRPr="001310AD">
              <w:t>)</w:t>
            </w:r>
          </w:p>
        </w:tc>
        <w:tc>
          <w:tcPr>
            <w:tcW w:w="611" w:type="pct"/>
            <w:shd w:val="clear" w:color="auto" w:fill="B8CCE4" w:themeFill="accent1" w:themeFillTint="66"/>
            <w:vAlign w:val="center"/>
          </w:tcPr>
          <w:p w14:paraId="21A7A2D7" w14:textId="7507DFB3" w:rsidR="00251F0E" w:rsidRPr="00CF18AD" w:rsidRDefault="00251F0E" w:rsidP="00251F0E">
            <w:pPr>
              <w:pStyle w:val="TableText0"/>
              <w:jc w:val="center"/>
              <w:rPr>
                <w:vertAlign w:val="superscript"/>
              </w:rPr>
            </w:pPr>
            <w:r w:rsidRPr="001310AD">
              <w:t>-$</w:t>
            </w:r>
            <w:r w:rsidR="000A3A2D" w:rsidRPr="000A3A2D">
              <w:rPr>
                <w:color w:val="000000"/>
                <w:spacing w:val="51"/>
                <w:shd w:val="solid" w:color="000000" w:fill="000000"/>
                <w:fitText w:val="324" w:id="-628465658"/>
                <w14:textFill>
                  <w14:solidFill>
                    <w14:srgbClr w14:val="000000">
                      <w14:alpha w14:val="100000"/>
                    </w14:srgbClr>
                  </w14:solidFill>
                </w14:textFill>
              </w:rPr>
              <w:t>|||</w:t>
            </w:r>
            <w:r w:rsidR="000A3A2D" w:rsidRPr="000A3A2D">
              <w:rPr>
                <w:color w:val="000000"/>
                <w:spacing w:val="1"/>
                <w:shd w:val="solid" w:color="000000" w:fill="000000"/>
                <w:fitText w:val="324" w:id="-628465658"/>
                <w14:textFill>
                  <w14:solidFill>
                    <w14:srgbClr w14:val="000000">
                      <w14:alpha w14:val="100000"/>
                    </w14:srgbClr>
                  </w14:solidFill>
                </w14:textFill>
              </w:rPr>
              <w:t>|</w:t>
            </w:r>
            <w:r w:rsidR="00CF18AD">
              <w:rPr>
                <w:vertAlign w:val="superscript"/>
              </w:rPr>
              <w:t>8</w:t>
            </w:r>
          </w:p>
          <w:p w14:paraId="75E7DCD1" w14:textId="1D0854A3" w:rsidR="00251F0E" w:rsidRPr="001310AD" w:rsidRDefault="00251F0E" w:rsidP="00251F0E">
            <w:pPr>
              <w:pStyle w:val="TableText0"/>
              <w:jc w:val="center"/>
            </w:pPr>
            <w:r w:rsidRPr="001310AD">
              <w:t>(-$</w:t>
            </w:r>
            <w:r w:rsidR="000A3A2D" w:rsidRPr="000A3A2D">
              <w:rPr>
                <w:color w:val="000000"/>
                <w:spacing w:val="51"/>
                <w:shd w:val="solid" w:color="000000" w:fill="000000"/>
                <w:fitText w:val="324" w:id="-628465657"/>
                <w14:textFill>
                  <w14:solidFill>
                    <w14:srgbClr w14:val="000000">
                      <w14:alpha w14:val="100000"/>
                    </w14:srgbClr>
                  </w14:solidFill>
                </w14:textFill>
              </w:rPr>
              <w:t>|||</w:t>
            </w:r>
            <w:r w:rsidR="000A3A2D" w:rsidRPr="000A3A2D">
              <w:rPr>
                <w:color w:val="000000"/>
                <w:spacing w:val="1"/>
                <w:shd w:val="solid" w:color="000000" w:fill="000000"/>
                <w:fitText w:val="324" w:id="-628465657"/>
                <w14:textFill>
                  <w14:solidFill>
                    <w14:srgbClr w14:val="000000">
                      <w14:alpha w14:val="100000"/>
                    </w14:srgbClr>
                  </w14:solidFill>
                </w14:textFill>
              </w:rPr>
              <w:t>|</w:t>
            </w:r>
            <w:r w:rsidR="00CF18AD">
              <w:rPr>
                <w:vertAlign w:val="superscript"/>
              </w:rPr>
              <w:t>8</w:t>
            </w:r>
            <w:r w:rsidRPr="001310AD">
              <w:t>)</w:t>
            </w:r>
          </w:p>
        </w:tc>
        <w:tc>
          <w:tcPr>
            <w:tcW w:w="611" w:type="pct"/>
            <w:shd w:val="clear" w:color="auto" w:fill="B8CCE4" w:themeFill="accent1" w:themeFillTint="66"/>
            <w:vAlign w:val="center"/>
          </w:tcPr>
          <w:p w14:paraId="0BB39F7A" w14:textId="658CF0D4" w:rsidR="00251F0E" w:rsidRPr="00CF18AD" w:rsidRDefault="00251F0E" w:rsidP="00251F0E">
            <w:pPr>
              <w:pStyle w:val="TableText0"/>
              <w:jc w:val="center"/>
              <w:rPr>
                <w:vertAlign w:val="superscript"/>
              </w:rPr>
            </w:pPr>
            <w:r w:rsidRPr="001310AD">
              <w:t>-$</w:t>
            </w:r>
            <w:r w:rsidR="000A3A2D" w:rsidRPr="000A3A2D">
              <w:rPr>
                <w:color w:val="000000"/>
                <w:spacing w:val="51"/>
                <w:shd w:val="solid" w:color="000000" w:fill="000000"/>
                <w:fitText w:val="324" w:id="-628465656"/>
                <w14:textFill>
                  <w14:solidFill>
                    <w14:srgbClr w14:val="000000">
                      <w14:alpha w14:val="100000"/>
                    </w14:srgbClr>
                  </w14:solidFill>
                </w14:textFill>
              </w:rPr>
              <w:t>|||</w:t>
            </w:r>
            <w:r w:rsidR="000A3A2D" w:rsidRPr="000A3A2D">
              <w:rPr>
                <w:color w:val="000000"/>
                <w:spacing w:val="1"/>
                <w:shd w:val="solid" w:color="000000" w:fill="000000"/>
                <w:fitText w:val="324" w:id="-628465656"/>
                <w14:textFill>
                  <w14:solidFill>
                    <w14:srgbClr w14:val="000000">
                      <w14:alpha w14:val="100000"/>
                    </w14:srgbClr>
                  </w14:solidFill>
                </w14:textFill>
              </w:rPr>
              <w:t>|</w:t>
            </w:r>
            <w:r w:rsidR="00CF18AD">
              <w:rPr>
                <w:vertAlign w:val="superscript"/>
              </w:rPr>
              <w:t>8</w:t>
            </w:r>
          </w:p>
          <w:p w14:paraId="5B0F21CE" w14:textId="21D57AB8" w:rsidR="00251F0E" w:rsidRPr="001310AD" w:rsidRDefault="00251F0E" w:rsidP="00251F0E">
            <w:pPr>
              <w:pStyle w:val="TableText0"/>
              <w:jc w:val="center"/>
            </w:pPr>
            <w:r w:rsidRPr="001310AD">
              <w:t>(-$</w:t>
            </w:r>
            <w:r w:rsidR="000A3A2D" w:rsidRPr="000A3A2D">
              <w:rPr>
                <w:color w:val="000000"/>
                <w:spacing w:val="51"/>
                <w:shd w:val="solid" w:color="000000" w:fill="000000"/>
                <w:fitText w:val="324" w:id="-628465655"/>
                <w14:textFill>
                  <w14:solidFill>
                    <w14:srgbClr w14:val="000000">
                      <w14:alpha w14:val="100000"/>
                    </w14:srgbClr>
                  </w14:solidFill>
                </w14:textFill>
              </w:rPr>
              <w:t>|||</w:t>
            </w:r>
            <w:r w:rsidR="000A3A2D" w:rsidRPr="000A3A2D">
              <w:rPr>
                <w:color w:val="000000"/>
                <w:spacing w:val="1"/>
                <w:shd w:val="solid" w:color="000000" w:fill="000000"/>
                <w:fitText w:val="324" w:id="-628465655"/>
                <w14:textFill>
                  <w14:solidFill>
                    <w14:srgbClr w14:val="000000">
                      <w14:alpha w14:val="100000"/>
                    </w14:srgbClr>
                  </w14:solidFill>
                </w14:textFill>
              </w:rPr>
              <w:t>|</w:t>
            </w:r>
            <w:r w:rsidR="00CF18AD">
              <w:rPr>
                <w:vertAlign w:val="superscript"/>
              </w:rPr>
              <w:t>8</w:t>
            </w:r>
            <w:r w:rsidRPr="001310AD">
              <w:t>)</w:t>
            </w:r>
          </w:p>
        </w:tc>
        <w:tc>
          <w:tcPr>
            <w:tcW w:w="611" w:type="pct"/>
            <w:shd w:val="clear" w:color="auto" w:fill="B8CCE4" w:themeFill="accent1" w:themeFillTint="66"/>
            <w:vAlign w:val="center"/>
          </w:tcPr>
          <w:p w14:paraId="706667F5" w14:textId="0F0FB330" w:rsidR="00251F0E" w:rsidRPr="00CF18AD" w:rsidRDefault="00251F0E" w:rsidP="00251F0E">
            <w:pPr>
              <w:pStyle w:val="TableText0"/>
              <w:jc w:val="center"/>
              <w:rPr>
                <w:vertAlign w:val="superscript"/>
              </w:rPr>
            </w:pPr>
            <w:r w:rsidRPr="001310AD">
              <w:t>-$</w:t>
            </w:r>
            <w:r w:rsidR="000A3A2D" w:rsidRPr="000A3A2D">
              <w:rPr>
                <w:color w:val="000000"/>
                <w:spacing w:val="51"/>
                <w:shd w:val="solid" w:color="000000" w:fill="000000"/>
                <w:fitText w:val="324" w:id="-628465654"/>
                <w14:textFill>
                  <w14:solidFill>
                    <w14:srgbClr w14:val="000000">
                      <w14:alpha w14:val="100000"/>
                    </w14:srgbClr>
                  </w14:solidFill>
                </w14:textFill>
              </w:rPr>
              <w:t>|||</w:t>
            </w:r>
            <w:r w:rsidR="000A3A2D" w:rsidRPr="000A3A2D">
              <w:rPr>
                <w:color w:val="000000"/>
                <w:spacing w:val="1"/>
                <w:shd w:val="solid" w:color="000000" w:fill="000000"/>
                <w:fitText w:val="324" w:id="-628465654"/>
                <w14:textFill>
                  <w14:solidFill>
                    <w14:srgbClr w14:val="000000">
                      <w14:alpha w14:val="100000"/>
                    </w14:srgbClr>
                  </w14:solidFill>
                </w14:textFill>
              </w:rPr>
              <w:t>|</w:t>
            </w:r>
            <w:r w:rsidR="00CF18AD">
              <w:rPr>
                <w:vertAlign w:val="superscript"/>
              </w:rPr>
              <w:t>8</w:t>
            </w:r>
          </w:p>
          <w:p w14:paraId="6E90BA9E" w14:textId="1F4FBFF3" w:rsidR="00251F0E" w:rsidRPr="001310AD" w:rsidRDefault="00251F0E" w:rsidP="00251F0E">
            <w:pPr>
              <w:pStyle w:val="TableText0"/>
              <w:jc w:val="center"/>
            </w:pPr>
            <w:r w:rsidRPr="001310AD">
              <w:t>(-$</w:t>
            </w:r>
            <w:r w:rsidR="000A3A2D" w:rsidRPr="000A3A2D">
              <w:rPr>
                <w:color w:val="000000"/>
                <w:spacing w:val="51"/>
                <w:shd w:val="solid" w:color="000000" w:fill="000000"/>
                <w:fitText w:val="324" w:id="-628465653"/>
                <w14:textFill>
                  <w14:solidFill>
                    <w14:srgbClr w14:val="000000">
                      <w14:alpha w14:val="100000"/>
                    </w14:srgbClr>
                  </w14:solidFill>
                </w14:textFill>
              </w:rPr>
              <w:t>|||</w:t>
            </w:r>
            <w:r w:rsidR="000A3A2D" w:rsidRPr="000A3A2D">
              <w:rPr>
                <w:color w:val="000000"/>
                <w:spacing w:val="1"/>
                <w:shd w:val="solid" w:color="000000" w:fill="000000"/>
                <w:fitText w:val="324" w:id="-628465653"/>
                <w14:textFill>
                  <w14:solidFill>
                    <w14:srgbClr w14:val="000000">
                      <w14:alpha w14:val="100000"/>
                    </w14:srgbClr>
                  </w14:solidFill>
                </w14:textFill>
              </w:rPr>
              <w:t>|</w:t>
            </w:r>
            <w:r w:rsidR="00CF18AD">
              <w:rPr>
                <w:vertAlign w:val="superscript"/>
              </w:rPr>
              <w:t>8</w:t>
            </w:r>
            <w:r w:rsidRPr="001310AD">
              <w:t>)</w:t>
            </w:r>
          </w:p>
        </w:tc>
        <w:tc>
          <w:tcPr>
            <w:tcW w:w="611" w:type="pct"/>
            <w:shd w:val="clear" w:color="auto" w:fill="B8CCE4" w:themeFill="accent1" w:themeFillTint="66"/>
            <w:vAlign w:val="center"/>
          </w:tcPr>
          <w:p w14:paraId="6E3F10EB" w14:textId="6B91C644" w:rsidR="00251F0E" w:rsidRPr="00CF18AD" w:rsidRDefault="00251F0E" w:rsidP="00251F0E">
            <w:pPr>
              <w:pStyle w:val="TableText0"/>
              <w:jc w:val="center"/>
              <w:rPr>
                <w:vertAlign w:val="superscript"/>
              </w:rPr>
            </w:pPr>
            <w:r w:rsidRPr="001310AD">
              <w:t>-$</w:t>
            </w:r>
            <w:r w:rsidR="000A3A2D" w:rsidRPr="000A3A2D">
              <w:rPr>
                <w:color w:val="000000"/>
                <w:spacing w:val="51"/>
                <w:shd w:val="solid" w:color="000000" w:fill="000000"/>
                <w:fitText w:val="324" w:id="-628465652"/>
                <w14:textFill>
                  <w14:solidFill>
                    <w14:srgbClr w14:val="000000">
                      <w14:alpha w14:val="100000"/>
                    </w14:srgbClr>
                  </w14:solidFill>
                </w14:textFill>
              </w:rPr>
              <w:t>|||</w:t>
            </w:r>
            <w:r w:rsidR="000A3A2D" w:rsidRPr="000A3A2D">
              <w:rPr>
                <w:color w:val="000000"/>
                <w:spacing w:val="1"/>
                <w:shd w:val="solid" w:color="000000" w:fill="000000"/>
                <w:fitText w:val="324" w:id="-628465652"/>
                <w14:textFill>
                  <w14:solidFill>
                    <w14:srgbClr w14:val="000000">
                      <w14:alpha w14:val="100000"/>
                    </w14:srgbClr>
                  </w14:solidFill>
                </w14:textFill>
              </w:rPr>
              <w:t>|</w:t>
            </w:r>
            <w:r w:rsidR="00CF18AD">
              <w:rPr>
                <w:vertAlign w:val="superscript"/>
              </w:rPr>
              <w:t>8</w:t>
            </w:r>
          </w:p>
          <w:p w14:paraId="415436FC" w14:textId="0668CA53" w:rsidR="00251F0E" w:rsidRPr="001310AD" w:rsidRDefault="00251F0E" w:rsidP="00251F0E">
            <w:pPr>
              <w:pStyle w:val="TableText0"/>
              <w:jc w:val="center"/>
            </w:pPr>
            <w:r w:rsidRPr="001310AD">
              <w:t>(-$</w:t>
            </w:r>
            <w:r w:rsidR="000A3A2D" w:rsidRPr="000A3A2D">
              <w:rPr>
                <w:color w:val="000000"/>
                <w:spacing w:val="51"/>
                <w:shd w:val="solid" w:color="000000" w:fill="000000"/>
                <w:fitText w:val="324" w:id="-628465651"/>
                <w14:textFill>
                  <w14:solidFill>
                    <w14:srgbClr w14:val="000000">
                      <w14:alpha w14:val="100000"/>
                    </w14:srgbClr>
                  </w14:solidFill>
                </w14:textFill>
              </w:rPr>
              <w:t>|||</w:t>
            </w:r>
            <w:r w:rsidR="000A3A2D" w:rsidRPr="000A3A2D">
              <w:rPr>
                <w:color w:val="000000"/>
                <w:spacing w:val="1"/>
                <w:shd w:val="solid" w:color="000000" w:fill="000000"/>
                <w:fitText w:val="324" w:id="-628465651"/>
                <w14:textFill>
                  <w14:solidFill>
                    <w14:srgbClr w14:val="000000">
                      <w14:alpha w14:val="100000"/>
                    </w14:srgbClr>
                  </w14:solidFill>
                </w14:textFill>
              </w:rPr>
              <w:t>|</w:t>
            </w:r>
            <w:r w:rsidR="00CF18AD">
              <w:rPr>
                <w:vertAlign w:val="superscript"/>
              </w:rPr>
              <w:t>8</w:t>
            </w:r>
            <w:r w:rsidRPr="001310AD">
              <w:t>)</w:t>
            </w:r>
          </w:p>
        </w:tc>
        <w:tc>
          <w:tcPr>
            <w:tcW w:w="611" w:type="pct"/>
            <w:shd w:val="clear" w:color="auto" w:fill="B8CCE4" w:themeFill="accent1" w:themeFillTint="66"/>
            <w:vAlign w:val="center"/>
          </w:tcPr>
          <w:p w14:paraId="60E04EEF" w14:textId="3509E87E" w:rsidR="00251F0E" w:rsidRPr="00CF18AD" w:rsidRDefault="00251F0E" w:rsidP="00251F0E">
            <w:pPr>
              <w:pStyle w:val="TableText0"/>
              <w:jc w:val="center"/>
              <w:rPr>
                <w:vertAlign w:val="superscript"/>
              </w:rPr>
            </w:pPr>
            <w:r w:rsidRPr="001310AD">
              <w:t>-$</w:t>
            </w:r>
            <w:r w:rsidR="000A3A2D" w:rsidRPr="000A3A2D">
              <w:rPr>
                <w:color w:val="000000"/>
                <w:spacing w:val="51"/>
                <w:shd w:val="solid" w:color="000000" w:fill="000000"/>
                <w:fitText w:val="324" w:id="-628465650"/>
                <w14:textFill>
                  <w14:solidFill>
                    <w14:srgbClr w14:val="000000">
                      <w14:alpha w14:val="100000"/>
                    </w14:srgbClr>
                  </w14:solidFill>
                </w14:textFill>
              </w:rPr>
              <w:t>|||</w:t>
            </w:r>
            <w:r w:rsidR="000A3A2D" w:rsidRPr="000A3A2D">
              <w:rPr>
                <w:color w:val="000000"/>
                <w:spacing w:val="1"/>
                <w:shd w:val="solid" w:color="000000" w:fill="000000"/>
                <w:fitText w:val="324" w:id="-628465650"/>
                <w14:textFill>
                  <w14:solidFill>
                    <w14:srgbClr w14:val="000000">
                      <w14:alpha w14:val="100000"/>
                    </w14:srgbClr>
                  </w14:solidFill>
                </w14:textFill>
              </w:rPr>
              <w:t>|</w:t>
            </w:r>
            <w:r w:rsidR="00CF18AD">
              <w:rPr>
                <w:vertAlign w:val="superscript"/>
              </w:rPr>
              <w:t>8</w:t>
            </w:r>
          </w:p>
          <w:p w14:paraId="56CE377D" w14:textId="6A0D7651" w:rsidR="00251F0E" w:rsidRPr="001310AD" w:rsidRDefault="00251F0E" w:rsidP="00251F0E">
            <w:pPr>
              <w:pStyle w:val="TableText0"/>
              <w:jc w:val="center"/>
            </w:pPr>
            <w:r w:rsidRPr="001310AD">
              <w:t>(-$</w:t>
            </w:r>
            <w:r w:rsidR="000A3A2D" w:rsidRPr="000A3A2D">
              <w:rPr>
                <w:color w:val="000000"/>
                <w:spacing w:val="51"/>
                <w:shd w:val="solid" w:color="000000" w:fill="000000"/>
                <w:fitText w:val="324" w:id="-628465649"/>
                <w14:textFill>
                  <w14:solidFill>
                    <w14:srgbClr w14:val="000000">
                      <w14:alpha w14:val="100000"/>
                    </w14:srgbClr>
                  </w14:solidFill>
                </w14:textFill>
              </w:rPr>
              <w:t>|||</w:t>
            </w:r>
            <w:r w:rsidR="000A3A2D" w:rsidRPr="000A3A2D">
              <w:rPr>
                <w:color w:val="000000"/>
                <w:spacing w:val="1"/>
                <w:shd w:val="solid" w:color="000000" w:fill="000000"/>
                <w:fitText w:val="324" w:id="-628465649"/>
                <w14:textFill>
                  <w14:solidFill>
                    <w14:srgbClr w14:val="000000">
                      <w14:alpha w14:val="100000"/>
                    </w14:srgbClr>
                  </w14:solidFill>
                </w14:textFill>
              </w:rPr>
              <w:t>|</w:t>
            </w:r>
            <w:r w:rsidR="00CF18AD">
              <w:rPr>
                <w:vertAlign w:val="superscript"/>
              </w:rPr>
              <w:t>8</w:t>
            </w:r>
            <w:r w:rsidRPr="001310AD">
              <w:t>)</w:t>
            </w:r>
          </w:p>
        </w:tc>
      </w:tr>
    </w:tbl>
    <w:p w14:paraId="5A37459F" w14:textId="4F46EA18" w:rsidR="0071553E" w:rsidRPr="001310AD" w:rsidRDefault="0071553E" w:rsidP="0071553E">
      <w:pPr>
        <w:pStyle w:val="FooterTableFigure"/>
        <w:rPr>
          <w:b/>
          <w:sz w:val="20"/>
          <w:szCs w:val="16"/>
        </w:rPr>
      </w:pPr>
      <w:r w:rsidRPr="001310AD">
        <w:t>Source:</w:t>
      </w:r>
      <w:r w:rsidR="00BD747F" w:rsidRPr="001310AD">
        <w:t xml:space="preserve"> </w:t>
      </w:r>
      <w:r w:rsidR="00A2434C" w:rsidRPr="001310AD">
        <w:t xml:space="preserve">Table 4-30, p274 of the resubmission and </w:t>
      </w:r>
      <w:r w:rsidR="002F4339" w:rsidRPr="001310AD">
        <w:t xml:space="preserve">Table 31, </w:t>
      </w:r>
      <w:r w:rsidR="00C9758B" w:rsidRPr="001310AD">
        <w:t xml:space="preserve">RSVPreF3 OA </w:t>
      </w:r>
      <w:r w:rsidR="00772E12" w:rsidRPr="001310AD">
        <w:t>PBAC</w:t>
      </w:r>
      <w:r w:rsidR="002F4339" w:rsidRPr="001310AD">
        <w:t xml:space="preserve"> </w:t>
      </w:r>
      <w:r w:rsidR="0095038D" w:rsidRPr="001310AD">
        <w:t>M</w:t>
      </w:r>
      <w:r w:rsidR="002F4339" w:rsidRPr="001310AD">
        <w:t xml:space="preserve">inutes, July 2024 PBAC meeting. </w:t>
      </w:r>
    </w:p>
    <w:p w14:paraId="24D558DD" w14:textId="4973AE54" w:rsidR="007357AD" w:rsidRPr="001310AD" w:rsidRDefault="00062154" w:rsidP="00606FBA">
      <w:pPr>
        <w:pStyle w:val="FooterTableFigure"/>
      </w:pPr>
      <w:r w:rsidRPr="001310AD">
        <w:t>K = thousand; MBS = Medicare Benefit Schedule; NIP = National Immunisation Program; PBS = Pharmaceutical Benefit Scheme.</w:t>
      </w:r>
    </w:p>
    <w:p w14:paraId="2858B415" w14:textId="21C2795B" w:rsidR="00CE5FD1" w:rsidRPr="001310AD" w:rsidRDefault="00CE5FD1" w:rsidP="00606FBA">
      <w:pPr>
        <w:pStyle w:val="FooterTableFigure"/>
      </w:pPr>
      <w:r w:rsidRPr="001310AD">
        <w:t xml:space="preserve">Cells shaded grey indicate those that are based on hospitalisations (and ambulances and Emergency Department visits). These will vary depending on the hospitalisation costs accepted in the economic evaluation. </w:t>
      </w:r>
    </w:p>
    <w:p w14:paraId="60F7DBC3" w14:textId="39DEA741" w:rsidR="0029665B" w:rsidRPr="001310AD" w:rsidRDefault="00946A57" w:rsidP="00606FBA">
      <w:pPr>
        <w:pStyle w:val="FooterTableFigure"/>
        <w:rPr>
          <w:color w:val="000000" w:themeColor="text1"/>
        </w:rPr>
      </w:pPr>
      <w:r w:rsidRPr="001310AD">
        <w:rPr>
          <w:vertAlign w:val="superscript"/>
        </w:rPr>
        <w:t xml:space="preserve">a </w:t>
      </w:r>
      <w:r w:rsidR="0029665B" w:rsidRPr="001310AD">
        <w:t>Corrected</w:t>
      </w:r>
      <w:r w:rsidR="0029665B" w:rsidRPr="001310AD">
        <w:rPr>
          <w:color w:val="000000" w:themeColor="text1"/>
        </w:rPr>
        <w:t xml:space="preserve"> uptake application for the newly eligible cohort (2025-27)</w:t>
      </w:r>
      <w:r w:rsidR="0029665B" w:rsidRPr="001310AD">
        <w:t xml:space="preserve"> in the ≥</w:t>
      </w:r>
      <w:r w:rsidR="00153949" w:rsidRPr="001310AD">
        <w:t xml:space="preserve"> </w:t>
      </w:r>
      <w:r w:rsidR="0029665B" w:rsidRPr="001310AD">
        <w:t>75 YOA population are presented in brackets.</w:t>
      </w:r>
      <w:r w:rsidR="00E572B8" w:rsidRPr="001310AD">
        <w:rPr>
          <w:color w:val="000000" w:themeColor="text1"/>
        </w:rPr>
        <w:t xml:space="preserve"> The July 2024 submission </w:t>
      </w:r>
      <w:r w:rsidR="003964B9" w:rsidRPr="001310AD">
        <w:rPr>
          <w:color w:val="000000" w:themeColor="text1"/>
        </w:rPr>
        <w:t xml:space="preserve">incorrectly applied the uptake rates from the 60-64, 65-69, and 70-74 YOA cohort to the newly eligible patients </w:t>
      </w:r>
      <w:r w:rsidR="000A6AD3" w:rsidRPr="001310AD">
        <w:rPr>
          <w:color w:val="000000" w:themeColor="text1"/>
        </w:rPr>
        <w:t xml:space="preserve">turning 75 years </w:t>
      </w:r>
      <w:r w:rsidR="003964B9" w:rsidRPr="001310AD">
        <w:rPr>
          <w:color w:val="000000" w:themeColor="text1"/>
        </w:rPr>
        <w:t>from 2025, 2026, and 2027, respectively</w:t>
      </w:r>
      <w:r w:rsidR="006D172C" w:rsidRPr="001310AD">
        <w:rPr>
          <w:color w:val="000000" w:themeColor="text1"/>
        </w:rPr>
        <w:t>.</w:t>
      </w:r>
    </w:p>
    <w:p w14:paraId="4921EB21" w14:textId="15226BC4" w:rsidR="009B0636" w:rsidRPr="001310AD" w:rsidRDefault="00051439" w:rsidP="00606FBA">
      <w:pPr>
        <w:pStyle w:val="FooterTableFigure"/>
        <w:rPr>
          <w:color w:val="000000" w:themeColor="text1"/>
        </w:rPr>
      </w:pPr>
      <w:r w:rsidRPr="001310AD">
        <w:rPr>
          <w:color w:val="000000" w:themeColor="text1"/>
          <w:vertAlign w:val="superscript"/>
        </w:rPr>
        <w:t>b</w:t>
      </w:r>
      <w:r w:rsidR="009B0636" w:rsidRPr="001310AD">
        <w:rPr>
          <w:color w:val="000000" w:themeColor="text1"/>
        </w:rPr>
        <w:t xml:space="preserve"> </w:t>
      </w:r>
      <w:r w:rsidRPr="001310AD">
        <w:rPr>
          <w:color w:val="000000" w:themeColor="text1"/>
        </w:rPr>
        <w:t xml:space="preserve">PSCR: </w:t>
      </w:r>
      <w:r w:rsidR="009267DB" w:rsidRPr="001310AD">
        <w:rPr>
          <w:color w:val="000000" w:themeColor="text1"/>
        </w:rPr>
        <w:t>R</w:t>
      </w:r>
      <w:r w:rsidRPr="001310AD">
        <w:rPr>
          <w:color w:val="000000" w:themeColor="text1"/>
        </w:rPr>
        <w:t>evised price ($</w:t>
      </w:r>
      <w:r w:rsidR="000A3A2D" w:rsidRPr="00044091">
        <w:rPr>
          <w:color w:val="000000" w:themeColor="text1"/>
          <w:spacing w:val="81"/>
          <w:shd w:val="solid" w:color="000000" w:fill="000000"/>
          <w:fitText w:val="280" w:id="-628465648"/>
          <w14:textFill>
            <w14:solidFill>
              <w14:schemeClr w14:val="tx1">
                <w14:alpha w14:val="100000"/>
              </w14:schemeClr>
            </w14:solidFill>
          </w14:textFill>
        </w:rPr>
        <w:t>|</w:t>
      </w:r>
      <w:r w:rsidR="00044091" w:rsidRPr="00044091">
        <w:rPr>
          <w:color w:val="000000" w:themeColor="text1"/>
          <w:spacing w:val="81"/>
          <w:shd w:val="solid" w:color="000000" w:fill="000000"/>
          <w:fitText w:val="280" w:id="-628465648"/>
          <w14:textFill>
            <w14:solidFill>
              <w14:schemeClr w14:val="tx1">
                <w14:alpha w14:val="100000"/>
              </w14:schemeClr>
            </w14:solidFill>
          </w14:textFill>
        </w:rPr>
        <w:t xml:space="preserve"> </w:t>
      </w:r>
      <w:r w:rsidR="000A3A2D" w:rsidRPr="00044091">
        <w:rPr>
          <w:color w:val="000000" w:themeColor="text1"/>
          <w:spacing w:val="1"/>
          <w:shd w:val="solid" w:color="000000" w:fill="000000"/>
          <w:fitText w:val="280" w:id="-628465648"/>
          <w14:textFill>
            <w14:solidFill>
              <w14:schemeClr w14:val="tx1">
                <w14:alpha w14:val="100000"/>
              </w14:schemeClr>
            </w14:solidFill>
          </w14:textFill>
        </w:rPr>
        <w:t>|</w:t>
      </w:r>
      <w:r w:rsidRPr="001310AD">
        <w:rPr>
          <w:color w:val="000000" w:themeColor="text1"/>
        </w:rPr>
        <w:t xml:space="preserve"> per vial)</w:t>
      </w:r>
      <w:r w:rsidR="00DF7BED" w:rsidRPr="001310AD">
        <w:rPr>
          <w:color w:val="000000" w:themeColor="text1"/>
        </w:rPr>
        <w:t xml:space="preserve"> </w:t>
      </w:r>
    </w:p>
    <w:p w14:paraId="78743630" w14:textId="51D98328" w:rsidR="00380F00" w:rsidRPr="001310AD" w:rsidRDefault="00380F00" w:rsidP="00606FBA">
      <w:pPr>
        <w:pStyle w:val="FooterTableFigure"/>
        <w:rPr>
          <w:color w:val="000000" w:themeColor="text1"/>
        </w:rPr>
      </w:pPr>
      <w:r w:rsidRPr="001310AD">
        <w:rPr>
          <w:color w:val="000000" w:themeColor="text1"/>
          <w:vertAlign w:val="superscript"/>
        </w:rPr>
        <w:t>c</w:t>
      </w:r>
      <w:r w:rsidRPr="001310AD">
        <w:rPr>
          <w:color w:val="000000" w:themeColor="text1"/>
        </w:rPr>
        <w:t xml:space="preserve"> </w:t>
      </w:r>
      <w:r w:rsidR="00612456" w:rsidRPr="001310AD">
        <w:rPr>
          <w:color w:val="000000" w:themeColor="text1"/>
        </w:rPr>
        <w:t>In the financial estimates worksheet provided with the PSCR, the NIP costs appeared to be incorrect due to hard-coating of values in the ‘4.1.b results’ worksheet Rows 607. NIP costs were corrected to be based on cost per vial multiplied by the predicted number of vaccines.</w:t>
      </w:r>
    </w:p>
    <w:p w14:paraId="396BD7FD" w14:textId="0E35B91E" w:rsidR="001B31D1" w:rsidRPr="001310AD" w:rsidRDefault="001B31D1" w:rsidP="00606FBA">
      <w:pPr>
        <w:pStyle w:val="FooterTableFigure"/>
        <w:rPr>
          <w:color w:val="000000" w:themeColor="text1"/>
        </w:rPr>
      </w:pPr>
      <w:r w:rsidRPr="001310AD">
        <w:rPr>
          <w:color w:val="000000" w:themeColor="text1"/>
          <w:vertAlign w:val="superscript"/>
        </w:rPr>
        <w:t>d</w:t>
      </w:r>
      <w:r w:rsidRPr="001310AD">
        <w:rPr>
          <w:color w:val="000000" w:themeColor="text1"/>
        </w:rPr>
        <w:t xml:space="preserve"> </w:t>
      </w:r>
      <w:r w:rsidR="00721A83" w:rsidRPr="001310AD">
        <w:rPr>
          <w:color w:val="000000" w:themeColor="text1"/>
        </w:rPr>
        <w:t xml:space="preserve">PBS costs = </w:t>
      </w:r>
      <w:r w:rsidRPr="001310AD">
        <w:rPr>
          <w:color w:val="000000" w:themeColor="text1"/>
        </w:rPr>
        <w:t>Offsets for reduced use of antibiotics and bronchodilators</w:t>
      </w:r>
    </w:p>
    <w:p w14:paraId="2499A7A8" w14:textId="68D6AAFA" w:rsidR="00721A83" w:rsidRPr="001310AD" w:rsidRDefault="001B31D1" w:rsidP="00606FBA">
      <w:pPr>
        <w:pStyle w:val="FooterTableFigure"/>
        <w:rPr>
          <w:color w:val="000000" w:themeColor="text1"/>
        </w:rPr>
      </w:pPr>
      <w:r w:rsidRPr="001310AD">
        <w:rPr>
          <w:color w:val="000000" w:themeColor="text1"/>
          <w:vertAlign w:val="superscript"/>
        </w:rPr>
        <w:t>e</w:t>
      </w:r>
      <w:r w:rsidRPr="001310AD">
        <w:rPr>
          <w:color w:val="000000" w:themeColor="text1"/>
        </w:rPr>
        <w:t xml:space="preserve"> </w:t>
      </w:r>
      <w:r w:rsidR="00721A83" w:rsidRPr="001310AD">
        <w:rPr>
          <w:color w:val="000000" w:themeColor="text1"/>
        </w:rPr>
        <w:t>MBS costs = c</w:t>
      </w:r>
      <w:r w:rsidRPr="001310AD">
        <w:rPr>
          <w:color w:val="000000" w:themeColor="text1"/>
        </w:rPr>
        <w:t xml:space="preserve">osts of </w:t>
      </w:r>
      <w:r w:rsidR="00612456" w:rsidRPr="001310AD">
        <w:rPr>
          <w:color w:val="000000" w:themeColor="text1"/>
        </w:rPr>
        <w:t xml:space="preserve">vaccine administration and </w:t>
      </w:r>
      <w:r w:rsidRPr="001310AD">
        <w:rPr>
          <w:color w:val="000000" w:themeColor="text1"/>
        </w:rPr>
        <w:t>vaccine-related AEs; Offsets for reduced GP visits (including post-discharge), specialist visits, RSV testing, pathology and X-rays.</w:t>
      </w:r>
    </w:p>
    <w:p w14:paraId="0876D551" w14:textId="5A7A65A1" w:rsidR="001B31D1" w:rsidRPr="001310AD" w:rsidRDefault="001B31D1" w:rsidP="00606FBA">
      <w:pPr>
        <w:pStyle w:val="FooterTableFigure"/>
        <w:rPr>
          <w:color w:val="000000" w:themeColor="text1"/>
        </w:rPr>
      </w:pPr>
      <w:r w:rsidRPr="001310AD">
        <w:rPr>
          <w:color w:val="000000" w:themeColor="text1"/>
        </w:rPr>
        <w:t xml:space="preserve"> </w:t>
      </w:r>
      <w:r w:rsidRPr="001310AD">
        <w:rPr>
          <w:color w:val="000000" w:themeColor="text1"/>
          <w:vertAlign w:val="superscript"/>
        </w:rPr>
        <w:t>f</w:t>
      </w:r>
      <w:r w:rsidRPr="001310AD">
        <w:rPr>
          <w:color w:val="000000" w:themeColor="text1"/>
        </w:rPr>
        <w:t xml:space="preserve"> Assumed Federal Budge</w:t>
      </w:r>
      <w:r w:rsidR="004862E0" w:rsidRPr="001310AD">
        <w:rPr>
          <w:color w:val="000000" w:themeColor="text1"/>
        </w:rPr>
        <w:t>t</w:t>
      </w:r>
      <w:r w:rsidRPr="001310AD">
        <w:rPr>
          <w:color w:val="000000" w:themeColor="text1"/>
        </w:rPr>
        <w:t xml:space="preserve"> contribution </w:t>
      </w:r>
      <w:r w:rsidR="004862E0" w:rsidRPr="001310AD">
        <w:rPr>
          <w:color w:val="000000" w:themeColor="text1"/>
        </w:rPr>
        <w:t xml:space="preserve">(41%) </w:t>
      </w:r>
      <w:r w:rsidRPr="001310AD">
        <w:rPr>
          <w:color w:val="000000" w:themeColor="text1"/>
        </w:rPr>
        <w:t xml:space="preserve">for </w:t>
      </w:r>
      <w:r w:rsidR="004862E0" w:rsidRPr="001310AD">
        <w:rPr>
          <w:color w:val="000000" w:themeColor="text1"/>
        </w:rPr>
        <w:t>ambulance and long-term care facilities</w:t>
      </w:r>
      <w:r w:rsidRPr="001310AD">
        <w:rPr>
          <w:color w:val="000000" w:themeColor="text1"/>
        </w:rPr>
        <w:t xml:space="preserve"> </w:t>
      </w:r>
    </w:p>
    <w:p w14:paraId="2980A5A9" w14:textId="77777777" w:rsidR="001A48A4" w:rsidRDefault="004862E0" w:rsidP="001A48A4">
      <w:pPr>
        <w:pStyle w:val="FooterTableFigure"/>
        <w:rPr>
          <w:i/>
          <w:szCs w:val="18"/>
        </w:rPr>
      </w:pPr>
      <w:r w:rsidRPr="001310AD">
        <w:rPr>
          <w:color w:val="000000" w:themeColor="text1"/>
          <w:vertAlign w:val="superscript"/>
        </w:rPr>
        <w:t xml:space="preserve">g </w:t>
      </w:r>
      <w:r w:rsidRPr="001310AD">
        <w:rPr>
          <w:color w:val="000000" w:themeColor="text1"/>
        </w:rPr>
        <w:t>Offsets for ED visits and hospitalisations</w:t>
      </w:r>
      <w:r w:rsidR="00721A83" w:rsidRPr="001310AD">
        <w:rPr>
          <w:color w:val="000000" w:themeColor="text1"/>
        </w:rPr>
        <w:t>, assuming 58% of these costs would be funded by States and Territories.</w:t>
      </w:r>
    </w:p>
    <w:p w14:paraId="0DBE7CE8" w14:textId="415308AD" w:rsidR="001A48A4" w:rsidRPr="001A48A4" w:rsidRDefault="001A48A4" w:rsidP="001A48A4">
      <w:pPr>
        <w:pStyle w:val="FooterTableFigure"/>
        <w:rPr>
          <w:i/>
          <w:color w:val="000000" w:themeColor="text1"/>
        </w:rPr>
      </w:pPr>
      <w:r w:rsidRPr="001A48A4">
        <w:rPr>
          <w:i/>
          <w:color w:val="000000" w:themeColor="text1"/>
        </w:rPr>
        <w:t xml:space="preserve">The redacted values correspond to the following ranges: </w:t>
      </w:r>
    </w:p>
    <w:p w14:paraId="5FCA8601" w14:textId="73D605D7" w:rsidR="001A48A4" w:rsidRPr="001A48A4" w:rsidRDefault="001A48A4" w:rsidP="001A48A4">
      <w:pPr>
        <w:pStyle w:val="FooterTableFigure"/>
        <w:rPr>
          <w:i/>
          <w:color w:val="000000" w:themeColor="text1"/>
        </w:rPr>
      </w:pPr>
      <w:r w:rsidRPr="001A48A4">
        <w:rPr>
          <w:i/>
          <w:color w:val="000000" w:themeColor="text1"/>
          <w:vertAlign w:val="superscript"/>
        </w:rPr>
        <w:t>1</w:t>
      </w:r>
      <w:r w:rsidRPr="001A48A4">
        <w:rPr>
          <w:i/>
          <w:color w:val="000000" w:themeColor="text1"/>
        </w:rPr>
        <w:t xml:space="preserve"> </w:t>
      </w:r>
      <w:r w:rsidR="0099355A" w:rsidRPr="0099355A">
        <w:rPr>
          <w:i/>
          <w:color w:val="000000" w:themeColor="text1"/>
        </w:rPr>
        <w:t>800,000 to &lt; 900,000</w:t>
      </w:r>
    </w:p>
    <w:p w14:paraId="7783B744" w14:textId="18863549" w:rsidR="001A48A4" w:rsidRPr="001A48A4" w:rsidRDefault="001A48A4" w:rsidP="001A48A4">
      <w:pPr>
        <w:pStyle w:val="FooterTableFigure"/>
        <w:rPr>
          <w:i/>
          <w:color w:val="000000" w:themeColor="text1"/>
        </w:rPr>
      </w:pPr>
      <w:r w:rsidRPr="001A48A4">
        <w:rPr>
          <w:i/>
          <w:color w:val="000000" w:themeColor="text1"/>
          <w:vertAlign w:val="superscript"/>
        </w:rPr>
        <w:t>2</w:t>
      </w:r>
      <w:r w:rsidRPr="001A48A4">
        <w:rPr>
          <w:i/>
          <w:color w:val="000000" w:themeColor="text1"/>
        </w:rPr>
        <w:t xml:space="preserve"> </w:t>
      </w:r>
      <w:r w:rsidR="000B222B" w:rsidRPr="000B222B">
        <w:rPr>
          <w:i/>
          <w:color w:val="000000" w:themeColor="text1"/>
        </w:rPr>
        <w:t>100,000 to &lt; 200,000</w:t>
      </w:r>
    </w:p>
    <w:p w14:paraId="131AA2EB" w14:textId="2A9219E0" w:rsidR="001A48A4" w:rsidRPr="001A48A4" w:rsidRDefault="001A48A4" w:rsidP="001A48A4">
      <w:pPr>
        <w:pStyle w:val="FooterTableFigure"/>
        <w:rPr>
          <w:i/>
          <w:color w:val="000000" w:themeColor="text1"/>
        </w:rPr>
      </w:pPr>
      <w:r w:rsidRPr="001A48A4">
        <w:rPr>
          <w:i/>
          <w:color w:val="000000" w:themeColor="text1"/>
          <w:vertAlign w:val="superscript"/>
        </w:rPr>
        <w:t>3</w:t>
      </w:r>
      <w:r w:rsidRPr="001A48A4">
        <w:rPr>
          <w:i/>
          <w:color w:val="000000" w:themeColor="text1"/>
        </w:rPr>
        <w:t xml:space="preserve"> </w:t>
      </w:r>
      <w:r w:rsidR="005E0CCF" w:rsidRPr="005E0CCF">
        <w:rPr>
          <w:i/>
          <w:color w:val="000000" w:themeColor="text1"/>
        </w:rPr>
        <w:t>200,000 to &lt; 300,000</w:t>
      </w:r>
    </w:p>
    <w:p w14:paraId="7FE8C48B" w14:textId="38DE3B8E" w:rsidR="001A48A4" w:rsidRPr="001A48A4" w:rsidRDefault="001A48A4" w:rsidP="001A48A4">
      <w:pPr>
        <w:pStyle w:val="FooterTableFigure"/>
        <w:rPr>
          <w:i/>
          <w:color w:val="000000" w:themeColor="text1"/>
        </w:rPr>
      </w:pPr>
      <w:r w:rsidRPr="001A48A4">
        <w:rPr>
          <w:i/>
          <w:color w:val="000000" w:themeColor="text1"/>
          <w:vertAlign w:val="superscript"/>
        </w:rPr>
        <w:t>4</w:t>
      </w:r>
      <w:r w:rsidRPr="001A48A4">
        <w:rPr>
          <w:i/>
          <w:color w:val="000000" w:themeColor="text1"/>
        </w:rPr>
        <w:t xml:space="preserve"> </w:t>
      </w:r>
      <w:r w:rsidR="008E5CAE" w:rsidRPr="008E5CAE">
        <w:rPr>
          <w:i/>
          <w:color w:val="000000" w:themeColor="text1"/>
        </w:rPr>
        <w:t>$100 million to &lt; $200 million</w:t>
      </w:r>
    </w:p>
    <w:p w14:paraId="1FC90B06" w14:textId="00D3BA28" w:rsidR="001A48A4" w:rsidRPr="001A48A4" w:rsidRDefault="001A48A4" w:rsidP="001A48A4">
      <w:pPr>
        <w:pStyle w:val="FooterTableFigure"/>
        <w:rPr>
          <w:i/>
          <w:color w:val="000000" w:themeColor="text1"/>
        </w:rPr>
      </w:pPr>
      <w:r w:rsidRPr="001A48A4">
        <w:rPr>
          <w:i/>
          <w:color w:val="000000" w:themeColor="text1"/>
          <w:vertAlign w:val="superscript"/>
        </w:rPr>
        <w:t>5</w:t>
      </w:r>
      <w:r w:rsidRPr="001A48A4">
        <w:rPr>
          <w:i/>
          <w:color w:val="000000" w:themeColor="text1"/>
        </w:rPr>
        <w:t xml:space="preserve"> </w:t>
      </w:r>
      <w:r w:rsidR="009832C1" w:rsidRPr="009832C1">
        <w:rPr>
          <w:i/>
          <w:color w:val="000000" w:themeColor="text1"/>
        </w:rPr>
        <w:t>$40 million to &lt; $50 million</w:t>
      </w:r>
    </w:p>
    <w:p w14:paraId="7EB8A8D6" w14:textId="4ADDA7BC" w:rsidR="001A48A4" w:rsidRDefault="001A48A4" w:rsidP="00B95745">
      <w:pPr>
        <w:pStyle w:val="FooterTableFigure"/>
        <w:rPr>
          <w:i/>
          <w:color w:val="000000" w:themeColor="text1"/>
        </w:rPr>
      </w:pPr>
      <w:r w:rsidRPr="001A48A4">
        <w:rPr>
          <w:i/>
          <w:color w:val="000000" w:themeColor="text1"/>
          <w:vertAlign w:val="superscript"/>
        </w:rPr>
        <w:t>6</w:t>
      </w:r>
      <w:r w:rsidRPr="001A48A4">
        <w:rPr>
          <w:i/>
          <w:color w:val="000000" w:themeColor="text1"/>
        </w:rPr>
        <w:t xml:space="preserve"> </w:t>
      </w:r>
      <w:r w:rsidR="00B95745" w:rsidRPr="00B95745">
        <w:rPr>
          <w:i/>
          <w:color w:val="000000" w:themeColor="text1"/>
        </w:rPr>
        <w:t>$50 million to &lt; $60 million</w:t>
      </w:r>
    </w:p>
    <w:p w14:paraId="462535C6" w14:textId="6C7BBBE8" w:rsidR="009832C1" w:rsidRDefault="009832C1" w:rsidP="00AD6308">
      <w:pPr>
        <w:pStyle w:val="FooterTableFigure"/>
        <w:spacing w:after="0"/>
        <w:rPr>
          <w:i/>
          <w:color w:val="000000" w:themeColor="text1"/>
          <w:vertAlign w:val="superscript"/>
        </w:rPr>
      </w:pPr>
      <w:r>
        <w:rPr>
          <w:i/>
          <w:color w:val="000000" w:themeColor="text1"/>
          <w:vertAlign w:val="superscript"/>
        </w:rPr>
        <w:t>7</w:t>
      </w:r>
      <w:r w:rsidR="00C664BE">
        <w:rPr>
          <w:i/>
          <w:color w:val="000000" w:themeColor="text1"/>
          <w:vertAlign w:val="superscript"/>
        </w:rPr>
        <w:t xml:space="preserve"> </w:t>
      </w:r>
      <w:r w:rsidR="00C63105" w:rsidRPr="00C63105">
        <w:rPr>
          <w:i/>
          <w:color w:val="000000" w:themeColor="text1"/>
        </w:rPr>
        <w:t>$30 million to &lt; $40 million</w:t>
      </w:r>
    </w:p>
    <w:p w14:paraId="23667E83" w14:textId="4BF308B5" w:rsidR="009832C1" w:rsidRPr="00AC04A0" w:rsidRDefault="009832C1" w:rsidP="00AD6308">
      <w:pPr>
        <w:pStyle w:val="FooterTableFigure"/>
        <w:spacing w:after="0"/>
        <w:rPr>
          <w:i/>
          <w:color w:val="000000" w:themeColor="text1"/>
        </w:rPr>
      </w:pPr>
      <w:r>
        <w:rPr>
          <w:i/>
          <w:color w:val="000000" w:themeColor="text1"/>
          <w:vertAlign w:val="superscript"/>
        </w:rPr>
        <w:t>8</w:t>
      </w:r>
      <w:r w:rsidR="00AC04A0">
        <w:rPr>
          <w:i/>
          <w:color w:val="000000" w:themeColor="text1"/>
          <w:vertAlign w:val="superscript"/>
        </w:rPr>
        <w:t xml:space="preserve"> </w:t>
      </w:r>
      <w:r w:rsidR="00AC04A0" w:rsidRPr="00AC04A0">
        <w:rPr>
          <w:i/>
          <w:color w:val="000000" w:themeColor="text1"/>
        </w:rPr>
        <w:t>$0 to &lt; $10 million</w:t>
      </w:r>
    </w:p>
    <w:p w14:paraId="0B5A506B" w14:textId="1F41FBE2" w:rsidR="00AC04A0" w:rsidRDefault="00AF749D" w:rsidP="00AC04A0">
      <w:pPr>
        <w:pStyle w:val="FooterTableFigure"/>
        <w:spacing w:after="0"/>
        <w:rPr>
          <w:i/>
          <w:color w:val="000000" w:themeColor="text1"/>
        </w:rPr>
      </w:pPr>
      <w:r>
        <w:rPr>
          <w:i/>
          <w:color w:val="000000" w:themeColor="text1"/>
          <w:vertAlign w:val="superscript"/>
        </w:rPr>
        <w:t>9</w:t>
      </w:r>
      <w:r w:rsidR="007C5014">
        <w:rPr>
          <w:i/>
          <w:color w:val="000000" w:themeColor="text1"/>
          <w:vertAlign w:val="superscript"/>
        </w:rPr>
        <w:t xml:space="preserve"> </w:t>
      </w:r>
      <w:r w:rsidR="007C5014" w:rsidRPr="007C5014">
        <w:rPr>
          <w:i/>
          <w:color w:val="000000" w:themeColor="text1"/>
        </w:rPr>
        <w:t>$10 million to &lt; $20 million</w:t>
      </w:r>
    </w:p>
    <w:p w14:paraId="11380A49" w14:textId="1C482195" w:rsidR="007C5014" w:rsidRDefault="007C5014" w:rsidP="00AC04A0">
      <w:pPr>
        <w:pStyle w:val="FooterTableFigure"/>
        <w:spacing w:after="0"/>
        <w:rPr>
          <w:i/>
          <w:color w:val="000000" w:themeColor="text1"/>
        </w:rPr>
      </w:pPr>
      <w:r>
        <w:rPr>
          <w:i/>
          <w:color w:val="000000" w:themeColor="text1"/>
          <w:vertAlign w:val="superscript"/>
        </w:rPr>
        <w:t>1</w:t>
      </w:r>
      <w:r w:rsidR="00490E86">
        <w:rPr>
          <w:i/>
          <w:color w:val="000000" w:themeColor="text1"/>
          <w:vertAlign w:val="superscript"/>
        </w:rPr>
        <w:t>0</w:t>
      </w:r>
      <w:r>
        <w:rPr>
          <w:i/>
          <w:color w:val="000000" w:themeColor="text1"/>
        </w:rPr>
        <w:t xml:space="preserve"> </w:t>
      </w:r>
      <w:r w:rsidR="00DB7EFC" w:rsidRPr="00DB7EFC">
        <w:rPr>
          <w:i/>
          <w:color w:val="000000" w:themeColor="text1"/>
        </w:rPr>
        <w:t>$60 million to &lt; $70 million</w:t>
      </w:r>
    </w:p>
    <w:p w14:paraId="36FC93A6" w14:textId="3BDFEEA4" w:rsidR="00DB7EFC" w:rsidRDefault="00DB7EFC" w:rsidP="00AC04A0">
      <w:pPr>
        <w:pStyle w:val="FooterTableFigure"/>
        <w:spacing w:after="0"/>
        <w:rPr>
          <w:i/>
          <w:color w:val="000000" w:themeColor="text1"/>
        </w:rPr>
      </w:pPr>
      <w:r>
        <w:rPr>
          <w:i/>
          <w:color w:val="000000" w:themeColor="text1"/>
          <w:vertAlign w:val="superscript"/>
        </w:rPr>
        <w:t>1</w:t>
      </w:r>
      <w:r w:rsidR="00490E86">
        <w:rPr>
          <w:i/>
          <w:color w:val="000000" w:themeColor="text1"/>
          <w:vertAlign w:val="superscript"/>
        </w:rPr>
        <w:t>1</w:t>
      </w:r>
      <w:r>
        <w:rPr>
          <w:i/>
          <w:color w:val="000000" w:themeColor="text1"/>
          <w:vertAlign w:val="superscript"/>
        </w:rPr>
        <w:t xml:space="preserve"> </w:t>
      </w:r>
      <w:r w:rsidR="00F2126C" w:rsidRPr="00F2126C">
        <w:rPr>
          <w:i/>
          <w:color w:val="000000" w:themeColor="text1"/>
        </w:rPr>
        <w:t>$20 million to &lt; $30 million</w:t>
      </w:r>
    </w:p>
    <w:p w14:paraId="49BD06EF" w14:textId="79ADA2ED" w:rsidR="00EE24A2" w:rsidRPr="008633FD" w:rsidRDefault="00EE24A2" w:rsidP="008633FD">
      <w:pPr>
        <w:pStyle w:val="FooterTableFigure"/>
        <w:rPr>
          <w:i/>
          <w:color w:val="000000" w:themeColor="text1"/>
        </w:rPr>
      </w:pPr>
      <w:r>
        <w:rPr>
          <w:i/>
          <w:color w:val="000000" w:themeColor="text1"/>
          <w:vertAlign w:val="superscript"/>
        </w:rPr>
        <w:t>12</w:t>
      </w:r>
      <w:r w:rsidR="008633FD">
        <w:rPr>
          <w:i/>
          <w:color w:val="000000" w:themeColor="text1"/>
        </w:rPr>
        <w:t xml:space="preserve"> </w:t>
      </w:r>
      <w:r w:rsidR="008633FD" w:rsidRPr="008633FD">
        <w:rPr>
          <w:i/>
          <w:color w:val="000000" w:themeColor="text1"/>
        </w:rPr>
        <w:t>$70 million to &lt; $80 million</w:t>
      </w:r>
    </w:p>
    <w:p w14:paraId="4DEF8C84" w14:textId="3B4682A4" w:rsidR="00EE24A2" w:rsidRDefault="00EE24A2" w:rsidP="00AC04A0">
      <w:pPr>
        <w:pStyle w:val="FooterTableFigure"/>
        <w:spacing w:after="0"/>
        <w:rPr>
          <w:i/>
          <w:color w:val="000000" w:themeColor="text1"/>
        </w:rPr>
      </w:pPr>
      <w:r>
        <w:rPr>
          <w:i/>
          <w:color w:val="000000" w:themeColor="text1"/>
          <w:vertAlign w:val="superscript"/>
        </w:rPr>
        <w:t>13</w:t>
      </w:r>
      <w:r w:rsidR="00C54645">
        <w:rPr>
          <w:i/>
          <w:color w:val="000000" w:themeColor="text1"/>
          <w:vertAlign w:val="superscript"/>
        </w:rPr>
        <w:t xml:space="preserve"> </w:t>
      </w:r>
      <w:r w:rsidR="00C54645" w:rsidRPr="00C54645">
        <w:rPr>
          <w:i/>
          <w:color w:val="000000" w:themeColor="text1"/>
        </w:rPr>
        <w:t>$80 million to &lt; $90 million</w:t>
      </w:r>
    </w:p>
    <w:p w14:paraId="52474C8B" w14:textId="2519C8CC" w:rsidR="002C1B07" w:rsidRPr="001A48A4" w:rsidRDefault="002C1B07" w:rsidP="00AC04A0">
      <w:pPr>
        <w:pStyle w:val="FooterTableFigure"/>
        <w:spacing w:after="0"/>
        <w:rPr>
          <w:i/>
          <w:color w:val="000000" w:themeColor="text1"/>
        </w:rPr>
      </w:pPr>
      <w:r>
        <w:rPr>
          <w:i/>
          <w:color w:val="000000" w:themeColor="text1"/>
          <w:vertAlign w:val="superscript"/>
        </w:rPr>
        <w:lastRenderedPageBreak/>
        <w:t xml:space="preserve">14 </w:t>
      </w:r>
      <w:r w:rsidR="00803364" w:rsidRPr="00803364">
        <w:rPr>
          <w:i/>
          <w:color w:val="000000" w:themeColor="text1"/>
        </w:rPr>
        <w:t>$200 million to &lt; $300 million</w:t>
      </w:r>
    </w:p>
    <w:p w14:paraId="195D5745" w14:textId="0D321AC6" w:rsidR="004862E0" w:rsidRPr="001310AD" w:rsidRDefault="00721A83" w:rsidP="00606FBA">
      <w:pPr>
        <w:pStyle w:val="FooterTableFigure"/>
        <w:rPr>
          <w:color w:val="000000" w:themeColor="text1"/>
        </w:rPr>
      </w:pPr>
      <w:r w:rsidRPr="001310AD">
        <w:rPr>
          <w:color w:val="000000" w:themeColor="text1"/>
        </w:rPr>
        <w:t xml:space="preserve"> </w:t>
      </w:r>
    </w:p>
    <w:p w14:paraId="75586731" w14:textId="3E2F7B80" w:rsidR="000902D9" w:rsidRPr="001310AD" w:rsidRDefault="000902D9" w:rsidP="00D244B6">
      <w:pPr>
        <w:pStyle w:val="3-BodyText"/>
      </w:pPr>
      <w:r w:rsidRPr="001310AD">
        <w:t xml:space="preserve">The </w:t>
      </w:r>
      <w:r w:rsidR="00AF0CF3" w:rsidRPr="001310AD">
        <w:t xml:space="preserve">submission estimated that the </w:t>
      </w:r>
      <w:r w:rsidRPr="001310AD">
        <w:t xml:space="preserve">total cost to the </w:t>
      </w:r>
      <w:r w:rsidR="009A657E" w:rsidRPr="001310AD">
        <w:t>NIP</w:t>
      </w:r>
      <w:r w:rsidRPr="001310AD">
        <w:t xml:space="preserve"> of listing </w:t>
      </w:r>
      <w:r w:rsidR="009A657E" w:rsidRPr="001310AD">
        <w:t>RSVPreF3</w:t>
      </w:r>
      <w:r w:rsidR="000A6AD3" w:rsidRPr="001310AD">
        <w:t xml:space="preserve"> </w:t>
      </w:r>
      <w:r w:rsidR="009A657E" w:rsidRPr="001310AD">
        <w:t>OA</w:t>
      </w:r>
      <w:r w:rsidRPr="001310AD">
        <w:t xml:space="preserve"> </w:t>
      </w:r>
      <w:r w:rsidR="00FB713E" w:rsidRPr="001310AD">
        <w:t xml:space="preserve">in adults </w:t>
      </w:r>
      <w:r w:rsidR="00FB713E" w:rsidRPr="001310AD">
        <w:rPr>
          <w:rFonts w:cstheme="minorHAnsi"/>
        </w:rPr>
        <w:t>≥</w:t>
      </w:r>
      <w:r w:rsidR="00FB713E" w:rsidRPr="001310AD">
        <w:t xml:space="preserve">75 YOA </w:t>
      </w:r>
      <w:r w:rsidR="00AF0CF3" w:rsidRPr="001310AD">
        <w:t>would</w:t>
      </w:r>
      <w:r w:rsidR="00A05C32" w:rsidRPr="001310AD">
        <w:t xml:space="preserve"> be</w:t>
      </w:r>
      <w:r w:rsidRPr="001310AD">
        <w:t xml:space="preserve"> </w:t>
      </w:r>
      <w:r w:rsidR="00564B1D" w:rsidRPr="00564B1D">
        <w:t>$50 million to &lt; $60 million</w:t>
      </w:r>
      <w:r w:rsidRPr="001310AD">
        <w:t xml:space="preserve"> in Year 6, and a total of </w:t>
      </w:r>
      <w:r w:rsidR="001825AD" w:rsidRPr="001825AD">
        <w:t>$400 million to &lt; $500 million</w:t>
      </w:r>
      <w:r w:rsidRPr="001310AD">
        <w:t xml:space="preserve"> in the first 6 years of listing</w:t>
      </w:r>
      <w:r w:rsidR="000F0C46" w:rsidRPr="001310AD">
        <w:t>.</w:t>
      </w:r>
      <w:r w:rsidR="00026F39" w:rsidRPr="001310AD">
        <w:rPr>
          <w:color w:val="3366FF"/>
        </w:rPr>
        <w:t xml:space="preserve"> </w:t>
      </w:r>
      <w:r w:rsidR="00026F39" w:rsidRPr="001310AD">
        <w:t>The PSCR</w:t>
      </w:r>
      <w:r w:rsidR="003917DF" w:rsidRPr="001310AD">
        <w:t xml:space="preserve"> estimated that</w:t>
      </w:r>
      <w:r w:rsidR="00026F39" w:rsidRPr="001310AD">
        <w:t xml:space="preserve"> the total cost to the NIP in the first 6 years of listing </w:t>
      </w:r>
      <w:r w:rsidR="0013187B" w:rsidRPr="001310AD">
        <w:t>would</w:t>
      </w:r>
      <w:r w:rsidR="00026F39" w:rsidRPr="001310AD">
        <w:t xml:space="preserve"> be </w:t>
      </w:r>
      <w:r w:rsidR="00826997" w:rsidRPr="00826997">
        <w:t>$300 million to &lt; $400 million</w:t>
      </w:r>
      <w:r w:rsidR="000F0C46" w:rsidRPr="001310AD">
        <w:t xml:space="preserve"> for adults </w:t>
      </w:r>
      <w:r w:rsidR="000F0C46" w:rsidRPr="001310AD">
        <w:rPr>
          <w:rFonts w:cstheme="minorHAnsi"/>
        </w:rPr>
        <w:t>≥</w:t>
      </w:r>
      <w:r w:rsidR="000F0C46" w:rsidRPr="001310AD">
        <w:t>75 YOA</w:t>
      </w:r>
      <w:r w:rsidR="007A5629" w:rsidRPr="001310AD">
        <w:t xml:space="preserve">, using the revised price of </w:t>
      </w:r>
      <w:r w:rsidR="0049404C" w:rsidRPr="001310AD">
        <w:t>$</w:t>
      </w:r>
      <w:r w:rsidR="000A3A2D" w:rsidRPr="00044091">
        <w:rPr>
          <w:color w:val="000000"/>
          <w:spacing w:val="5"/>
          <w:w w:val="61"/>
          <w:shd w:val="solid" w:color="000000" w:fill="000000"/>
          <w:fitText w:val="472" w:id="-628465664"/>
          <w14:textFill>
            <w14:solidFill>
              <w14:srgbClr w14:val="000000">
                <w14:alpha w14:val="100000"/>
              </w14:srgbClr>
            </w14:solidFill>
          </w14:textFill>
        </w:rPr>
        <w:t>|||</w:t>
      </w:r>
      <w:r w:rsidR="00044091" w:rsidRPr="00044091">
        <w:rPr>
          <w:color w:val="000000"/>
          <w:spacing w:val="5"/>
          <w:w w:val="61"/>
          <w:shd w:val="solid" w:color="000000" w:fill="000000"/>
          <w:fitText w:val="472" w:id="-628465664"/>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664"/>
          <w14:textFill>
            <w14:solidFill>
              <w14:srgbClr w14:val="000000">
                <w14:alpha w14:val="100000"/>
              </w14:srgbClr>
            </w14:solidFill>
          </w14:textFill>
        </w:rPr>
        <w:t>|||</w:t>
      </w:r>
      <w:r w:rsidR="0049404C" w:rsidRPr="001310AD">
        <w:t xml:space="preserve"> per vial (reduced from </w:t>
      </w:r>
      <w:r w:rsidR="00FE0F37" w:rsidRPr="001310AD">
        <w:t>$</w:t>
      </w:r>
      <w:r w:rsidR="000A3A2D" w:rsidRPr="00044091">
        <w:rPr>
          <w:color w:val="000000"/>
          <w:spacing w:val="5"/>
          <w:w w:val="61"/>
          <w:shd w:val="solid" w:color="000000" w:fill="000000"/>
          <w:fitText w:val="472" w:id="-628465663"/>
          <w14:textFill>
            <w14:solidFill>
              <w14:srgbClr w14:val="000000">
                <w14:alpha w14:val="100000"/>
              </w14:srgbClr>
            </w14:solidFill>
          </w14:textFill>
        </w:rPr>
        <w:t>|||</w:t>
      </w:r>
      <w:r w:rsidR="00044091" w:rsidRPr="00044091">
        <w:rPr>
          <w:color w:val="000000"/>
          <w:spacing w:val="5"/>
          <w:w w:val="61"/>
          <w:shd w:val="solid" w:color="000000" w:fill="000000"/>
          <w:fitText w:val="472" w:id="-628465663"/>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663"/>
          <w14:textFill>
            <w14:solidFill>
              <w14:srgbClr w14:val="000000">
                <w14:alpha w14:val="100000"/>
              </w14:srgbClr>
            </w14:solidFill>
          </w14:textFill>
        </w:rPr>
        <w:t>|||</w:t>
      </w:r>
      <w:r w:rsidR="00FE0F37" w:rsidRPr="001310AD">
        <w:t>)</w:t>
      </w:r>
      <w:r w:rsidR="00026F39" w:rsidRPr="001310AD">
        <w:t>.</w:t>
      </w:r>
    </w:p>
    <w:p w14:paraId="5D6FB830" w14:textId="5E62067F" w:rsidR="00AA406C" w:rsidRPr="001310AD" w:rsidRDefault="00AA406C" w:rsidP="00D244B6">
      <w:pPr>
        <w:pStyle w:val="3-BodyText"/>
      </w:pPr>
      <w:r w:rsidRPr="001310AD">
        <w:t xml:space="preserve">The resubmission estimated that, over the first six years of NIP listing, </w:t>
      </w:r>
      <w:r w:rsidR="00012D0B" w:rsidRPr="00012D0B">
        <w:t>1,000,000 to &lt; 2,000,000</w:t>
      </w:r>
      <w:r w:rsidR="00012D0B">
        <w:t xml:space="preserve"> </w:t>
      </w:r>
      <w:r w:rsidRPr="001310AD">
        <w:t xml:space="preserve">RSV vaccines would be administered to patients aged 75+ years. The </w:t>
      </w:r>
      <w:r w:rsidR="001F0D45" w:rsidRPr="001310AD">
        <w:t>re</w:t>
      </w:r>
      <w:r w:rsidRPr="001310AD">
        <w:t xml:space="preserve">submission estimated, based on ABS </w:t>
      </w:r>
      <w:r w:rsidRPr="002E025E">
        <w:t>data, that there are 2.28 million people in this age group in 202</w:t>
      </w:r>
      <w:r w:rsidR="00EA371A" w:rsidRPr="002E025E">
        <w:t>5</w:t>
      </w:r>
      <w:r w:rsidRPr="002E025E">
        <w:t xml:space="preserve"> </w:t>
      </w:r>
      <w:r w:rsidR="00B31F63" w:rsidRPr="002E025E">
        <w:t>(</w:t>
      </w:r>
      <w:r w:rsidR="00EA371A" w:rsidRPr="002E025E">
        <w:t xml:space="preserve">with a further </w:t>
      </w:r>
      <w:r w:rsidR="00612F69" w:rsidRPr="002E025E">
        <w:t>500,000 to &lt; 600,000</w:t>
      </w:r>
      <w:r w:rsidR="00EA371A" w:rsidRPr="002E025E">
        <w:t xml:space="preserve"> people estimated to </w:t>
      </w:r>
      <w:r w:rsidRPr="002E025E">
        <w:t xml:space="preserve">turn 75 in </w:t>
      </w:r>
      <w:r w:rsidR="009D5430" w:rsidRPr="002E025E">
        <w:t xml:space="preserve">over the first six years </w:t>
      </w:r>
      <w:r w:rsidR="00EA371A" w:rsidRPr="002E025E">
        <w:t xml:space="preserve">of listing, for a total of </w:t>
      </w:r>
      <w:r w:rsidR="00612F69" w:rsidRPr="002E025E">
        <w:t>2,000,000 to 3,000,000</w:t>
      </w:r>
      <w:r w:rsidR="00EA371A" w:rsidRPr="002E025E">
        <w:t>individuals</w:t>
      </w:r>
      <w:r w:rsidR="00B31F63" w:rsidRPr="002E025E">
        <w:t>)</w:t>
      </w:r>
      <w:r w:rsidR="00EA371A" w:rsidRPr="002E025E">
        <w:t xml:space="preserve">. Thus, </w:t>
      </w:r>
      <w:r w:rsidR="00AF0CF3" w:rsidRPr="002E025E">
        <w:t xml:space="preserve">overall, </w:t>
      </w:r>
      <w:r w:rsidR="00EA371A" w:rsidRPr="002E025E">
        <w:t>the submission</w:t>
      </w:r>
      <w:r w:rsidR="00EA371A" w:rsidRPr="001310AD">
        <w:t xml:space="preserve"> estimated that </w:t>
      </w:r>
      <w:r w:rsidR="000A3A2D" w:rsidRPr="00044091">
        <w:rPr>
          <w:color w:val="000000"/>
          <w:spacing w:val="5"/>
          <w:w w:val="61"/>
          <w:shd w:val="solid" w:color="000000" w:fill="000000"/>
          <w:fitText w:val="472" w:id="-628465662"/>
          <w14:textFill>
            <w14:solidFill>
              <w14:srgbClr w14:val="000000">
                <w14:alpha w14:val="100000"/>
              </w14:srgbClr>
            </w14:solidFill>
          </w14:textFill>
        </w:rPr>
        <w:t>|||</w:t>
      </w:r>
      <w:r w:rsidR="00044091" w:rsidRPr="00044091">
        <w:rPr>
          <w:color w:val="000000"/>
          <w:spacing w:val="5"/>
          <w:w w:val="61"/>
          <w:shd w:val="solid" w:color="000000" w:fill="000000"/>
          <w:fitText w:val="472" w:id="-628465662"/>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662"/>
          <w14:textFill>
            <w14:solidFill>
              <w14:srgbClr w14:val="000000">
                <w14:alpha w14:val="100000"/>
              </w14:srgbClr>
            </w14:solidFill>
          </w14:textFill>
        </w:rPr>
        <w:t>|||</w:t>
      </w:r>
      <w:r w:rsidR="00EA371A" w:rsidRPr="001310AD">
        <w:t xml:space="preserve">% of </w:t>
      </w:r>
      <w:r w:rsidR="009D5430" w:rsidRPr="001310AD">
        <w:t>individuals who were aged 75+</w:t>
      </w:r>
      <w:r w:rsidR="00EA371A" w:rsidRPr="001310AD">
        <w:t xml:space="preserve"> </w:t>
      </w:r>
      <w:r w:rsidR="009D5430" w:rsidRPr="001310AD">
        <w:t xml:space="preserve">at any time during the forward estimates </w:t>
      </w:r>
      <w:r w:rsidR="00EA371A" w:rsidRPr="001310AD">
        <w:t xml:space="preserve">would be vaccinated in the first six years of listing. </w:t>
      </w:r>
    </w:p>
    <w:p w14:paraId="18B3429B" w14:textId="39A9F0AA" w:rsidR="005834E6" w:rsidRPr="001310AD" w:rsidRDefault="005834E6" w:rsidP="005834E6">
      <w:pPr>
        <w:pStyle w:val="3-BodyText"/>
        <w:rPr>
          <w:color w:val="0066FF"/>
        </w:rPr>
      </w:pPr>
      <w:r w:rsidRPr="001310AD">
        <w:rPr>
          <w:color w:val="000000" w:themeColor="text1"/>
        </w:rPr>
        <w:t xml:space="preserve">The estimated use and financial implications to the Federal Government, and the State and Territory Governments, for Aboriginal and Torres Strait Islander people aged 60-74 are presented in </w:t>
      </w:r>
      <w:r w:rsidR="00377328" w:rsidRPr="001310AD">
        <w:rPr>
          <w:color w:val="000000" w:themeColor="text1"/>
        </w:rPr>
        <w:fldChar w:fldCharType="begin"/>
      </w:r>
      <w:r w:rsidR="00377328" w:rsidRPr="001310AD">
        <w:rPr>
          <w:color w:val="000000" w:themeColor="text1"/>
        </w:rPr>
        <w:instrText xml:space="preserve"> REF _Ref196992846 \h </w:instrText>
      </w:r>
      <w:r w:rsidR="005319F4" w:rsidRPr="001310AD">
        <w:rPr>
          <w:color w:val="000000" w:themeColor="text1"/>
        </w:rPr>
        <w:instrText xml:space="preserve"> \* MERGEFORMAT </w:instrText>
      </w:r>
      <w:r w:rsidR="00377328" w:rsidRPr="001310AD">
        <w:rPr>
          <w:color w:val="000000" w:themeColor="text1"/>
        </w:rPr>
      </w:r>
      <w:r w:rsidR="00377328" w:rsidRPr="001310AD">
        <w:rPr>
          <w:color w:val="000000" w:themeColor="text1"/>
        </w:rPr>
        <w:fldChar w:fldCharType="separate"/>
      </w:r>
      <w:r w:rsidR="001F75E0" w:rsidRPr="001310AD">
        <w:t>Table 24</w:t>
      </w:r>
      <w:r w:rsidR="00377328" w:rsidRPr="001310AD">
        <w:rPr>
          <w:color w:val="000000" w:themeColor="text1"/>
        </w:rPr>
        <w:fldChar w:fldCharType="end"/>
      </w:r>
      <w:r w:rsidRPr="001310AD">
        <w:rPr>
          <w:color w:val="000000" w:themeColor="text1"/>
        </w:rPr>
        <w:t>.</w:t>
      </w:r>
      <w:r w:rsidRPr="001310AD">
        <w:rPr>
          <w:color w:val="0066FF"/>
        </w:rPr>
        <w:t xml:space="preserve"> </w:t>
      </w:r>
    </w:p>
    <w:p w14:paraId="6E23E8A6" w14:textId="5C4CE184" w:rsidR="00D03766" w:rsidRPr="001310AD" w:rsidRDefault="00A762E0" w:rsidP="00A762E0">
      <w:pPr>
        <w:pStyle w:val="Caption"/>
      </w:pPr>
      <w:bookmarkStart w:id="98" w:name="_Ref196992846"/>
      <w:r w:rsidRPr="001310AD">
        <w:t xml:space="preserve">Table </w:t>
      </w:r>
      <w:fldSimple w:instr=" SEQ Table \* ARABIC ">
        <w:r w:rsidR="001F75E0" w:rsidRPr="001310AD">
          <w:t>24</w:t>
        </w:r>
      </w:fldSimple>
      <w:bookmarkEnd w:id="98"/>
      <w:r w:rsidR="00D03766" w:rsidRPr="001310AD">
        <w:t>:</w:t>
      </w:r>
      <w:r w:rsidR="00D03766" w:rsidRPr="001310AD">
        <w:rPr>
          <w:rStyle w:val="CommentReference"/>
          <w:b/>
          <w:szCs w:val="24"/>
        </w:rPr>
        <w:t xml:space="preserve"> Estimated use and financial implications in Aboriginal and Torres Strait Islander people aged 60-74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D03766" w:rsidRPr="001310AD" w14:paraId="274F2D04" w14:textId="77777777">
        <w:trPr>
          <w:tblHeader/>
        </w:trPr>
        <w:tc>
          <w:tcPr>
            <w:tcW w:w="1334" w:type="pct"/>
            <w:vAlign w:val="center"/>
          </w:tcPr>
          <w:p w14:paraId="72A11240" w14:textId="77777777" w:rsidR="00D03766" w:rsidRPr="001310AD" w:rsidRDefault="00D03766" w:rsidP="00F13684">
            <w:pPr>
              <w:pStyle w:val="In-tableHeading"/>
            </w:pPr>
          </w:p>
        </w:tc>
        <w:tc>
          <w:tcPr>
            <w:tcW w:w="611" w:type="pct"/>
            <w:vAlign w:val="center"/>
          </w:tcPr>
          <w:p w14:paraId="28461B76" w14:textId="77777777" w:rsidR="00D03766" w:rsidRPr="001310AD" w:rsidRDefault="00D03766" w:rsidP="00F13684">
            <w:pPr>
              <w:pStyle w:val="In-tableHeading"/>
            </w:pPr>
            <w:r w:rsidRPr="001310AD">
              <w:t>Year 1</w:t>
            </w:r>
          </w:p>
        </w:tc>
        <w:tc>
          <w:tcPr>
            <w:tcW w:w="611" w:type="pct"/>
            <w:vAlign w:val="center"/>
          </w:tcPr>
          <w:p w14:paraId="24983B3C" w14:textId="77777777" w:rsidR="00D03766" w:rsidRPr="001310AD" w:rsidRDefault="00D03766" w:rsidP="00F13684">
            <w:pPr>
              <w:pStyle w:val="In-tableHeading"/>
            </w:pPr>
            <w:r w:rsidRPr="001310AD">
              <w:t>Year 2</w:t>
            </w:r>
          </w:p>
        </w:tc>
        <w:tc>
          <w:tcPr>
            <w:tcW w:w="611" w:type="pct"/>
            <w:vAlign w:val="center"/>
          </w:tcPr>
          <w:p w14:paraId="7F253D91" w14:textId="77777777" w:rsidR="00D03766" w:rsidRPr="001310AD" w:rsidRDefault="00D03766" w:rsidP="00F13684">
            <w:pPr>
              <w:pStyle w:val="In-tableHeading"/>
            </w:pPr>
            <w:r w:rsidRPr="001310AD">
              <w:t>Year 3</w:t>
            </w:r>
          </w:p>
        </w:tc>
        <w:tc>
          <w:tcPr>
            <w:tcW w:w="611" w:type="pct"/>
            <w:vAlign w:val="center"/>
          </w:tcPr>
          <w:p w14:paraId="52B7DC89" w14:textId="77777777" w:rsidR="00D03766" w:rsidRPr="001310AD" w:rsidRDefault="00D03766" w:rsidP="00F13684">
            <w:pPr>
              <w:pStyle w:val="In-tableHeading"/>
            </w:pPr>
            <w:r w:rsidRPr="001310AD">
              <w:t>Year 4</w:t>
            </w:r>
          </w:p>
        </w:tc>
        <w:tc>
          <w:tcPr>
            <w:tcW w:w="611" w:type="pct"/>
            <w:vAlign w:val="center"/>
          </w:tcPr>
          <w:p w14:paraId="72944D28" w14:textId="77777777" w:rsidR="00D03766" w:rsidRPr="001310AD" w:rsidRDefault="00D03766" w:rsidP="00F13684">
            <w:pPr>
              <w:pStyle w:val="In-tableHeading"/>
            </w:pPr>
            <w:r w:rsidRPr="001310AD">
              <w:t>Year 5</w:t>
            </w:r>
          </w:p>
        </w:tc>
        <w:tc>
          <w:tcPr>
            <w:tcW w:w="611" w:type="pct"/>
          </w:tcPr>
          <w:p w14:paraId="3E60EC1F" w14:textId="77777777" w:rsidR="00D03766" w:rsidRPr="001310AD" w:rsidRDefault="00D03766" w:rsidP="00F13684">
            <w:pPr>
              <w:pStyle w:val="In-tableHeading"/>
            </w:pPr>
            <w:r w:rsidRPr="001310AD">
              <w:t>Year 6</w:t>
            </w:r>
          </w:p>
        </w:tc>
      </w:tr>
      <w:tr w:rsidR="00D03766" w:rsidRPr="001310AD" w14:paraId="505C62D8" w14:textId="77777777">
        <w:tc>
          <w:tcPr>
            <w:tcW w:w="5000" w:type="pct"/>
            <w:gridSpan w:val="7"/>
            <w:vAlign w:val="center"/>
          </w:tcPr>
          <w:p w14:paraId="237EBE6F" w14:textId="77777777" w:rsidR="00D03766" w:rsidRPr="001310AD" w:rsidRDefault="00D03766" w:rsidP="00F13684">
            <w:pPr>
              <w:pStyle w:val="In-tableHeading"/>
            </w:pPr>
            <w:r w:rsidRPr="001310AD">
              <w:t>Estimated extent of use</w:t>
            </w:r>
          </w:p>
        </w:tc>
      </w:tr>
      <w:tr w:rsidR="00D03766" w:rsidRPr="001310AD" w14:paraId="761F8984" w14:textId="77777777">
        <w:tc>
          <w:tcPr>
            <w:tcW w:w="1334" w:type="pct"/>
            <w:vAlign w:val="center"/>
          </w:tcPr>
          <w:p w14:paraId="0348CCFE" w14:textId="77777777" w:rsidR="00D03766" w:rsidRPr="001310AD" w:rsidRDefault="00D03766">
            <w:pPr>
              <w:pStyle w:val="TableText0"/>
              <w:rPr>
                <w:rFonts w:ascii="Times" w:hAnsi="Times"/>
              </w:rPr>
            </w:pPr>
            <w:r w:rsidRPr="001310AD">
              <w:t>Predicted number of vials</w:t>
            </w:r>
            <w:r w:rsidRPr="001310AD">
              <w:rPr>
                <w:vertAlign w:val="superscript"/>
              </w:rPr>
              <w:t>a</w:t>
            </w:r>
          </w:p>
        </w:tc>
        <w:tc>
          <w:tcPr>
            <w:tcW w:w="611" w:type="pct"/>
            <w:vAlign w:val="center"/>
          </w:tcPr>
          <w:p w14:paraId="1AECDB8E" w14:textId="474864D8" w:rsidR="00D03766" w:rsidRPr="001354CC" w:rsidRDefault="000A3A2D" w:rsidP="00F76106">
            <w:pPr>
              <w:pStyle w:val="TableText0"/>
              <w:jc w:val="center"/>
              <w:rPr>
                <w:b/>
                <w:bCs w:val="0"/>
                <w:highlight w:val="darkGray"/>
                <w:vertAlign w:val="superscript"/>
              </w:rPr>
            </w:pPr>
            <w:r w:rsidRPr="000A3A2D">
              <w:rPr>
                <w:b/>
                <w:bCs w:val="0"/>
                <w:color w:val="000000"/>
                <w:spacing w:val="58"/>
                <w:shd w:val="solid" w:color="000000" w:fill="000000"/>
                <w:fitText w:val="360" w:id="-628465661"/>
                <w14:textFill>
                  <w14:solidFill>
                    <w14:srgbClr w14:val="000000">
                      <w14:alpha w14:val="100000"/>
                    </w14:srgbClr>
                  </w14:solidFill>
                </w14:textFill>
              </w:rPr>
              <w:t>|||</w:t>
            </w:r>
            <w:r w:rsidRPr="000A3A2D">
              <w:rPr>
                <w:b/>
                <w:bCs w:val="0"/>
                <w:color w:val="000000"/>
                <w:spacing w:val="3"/>
                <w:shd w:val="solid" w:color="000000" w:fill="000000"/>
                <w:fitText w:val="360" w:id="-628465661"/>
                <w14:textFill>
                  <w14:solidFill>
                    <w14:srgbClr w14:val="000000">
                      <w14:alpha w14:val="100000"/>
                    </w14:srgbClr>
                  </w14:solidFill>
                </w14:textFill>
              </w:rPr>
              <w:t>|</w:t>
            </w:r>
            <w:r w:rsidR="001354CC" w:rsidRPr="001354CC">
              <w:rPr>
                <w:b/>
                <w:bCs w:val="0"/>
                <w:vertAlign w:val="superscript"/>
              </w:rPr>
              <w:t>1</w:t>
            </w:r>
          </w:p>
        </w:tc>
        <w:tc>
          <w:tcPr>
            <w:tcW w:w="611" w:type="pct"/>
            <w:vAlign w:val="center"/>
          </w:tcPr>
          <w:p w14:paraId="0BAFA1AC" w14:textId="71341292" w:rsidR="00D03766" w:rsidRPr="001354CC" w:rsidRDefault="000A3A2D" w:rsidP="00F76106">
            <w:pPr>
              <w:pStyle w:val="TableText0"/>
              <w:jc w:val="center"/>
              <w:rPr>
                <w:b/>
                <w:bCs w:val="0"/>
                <w:highlight w:val="darkGray"/>
                <w:vertAlign w:val="superscript"/>
              </w:rPr>
            </w:pPr>
            <w:r w:rsidRPr="000A3A2D">
              <w:rPr>
                <w:b/>
                <w:bCs w:val="0"/>
                <w:color w:val="000000"/>
                <w:spacing w:val="58"/>
                <w:shd w:val="solid" w:color="000000" w:fill="000000"/>
                <w:fitText w:val="360" w:id="-628465660"/>
                <w14:textFill>
                  <w14:solidFill>
                    <w14:srgbClr w14:val="000000">
                      <w14:alpha w14:val="100000"/>
                    </w14:srgbClr>
                  </w14:solidFill>
                </w14:textFill>
              </w:rPr>
              <w:t>|||</w:t>
            </w:r>
            <w:r w:rsidRPr="000A3A2D">
              <w:rPr>
                <w:b/>
                <w:bCs w:val="0"/>
                <w:color w:val="000000"/>
                <w:spacing w:val="3"/>
                <w:shd w:val="solid" w:color="000000" w:fill="000000"/>
                <w:fitText w:val="360" w:id="-628465660"/>
                <w14:textFill>
                  <w14:solidFill>
                    <w14:srgbClr w14:val="000000">
                      <w14:alpha w14:val="100000"/>
                    </w14:srgbClr>
                  </w14:solidFill>
                </w14:textFill>
              </w:rPr>
              <w:t>|</w:t>
            </w:r>
            <w:r w:rsidR="001354CC" w:rsidRPr="001354CC">
              <w:rPr>
                <w:b/>
                <w:bCs w:val="0"/>
                <w:vertAlign w:val="superscript"/>
              </w:rPr>
              <w:t>2</w:t>
            </w:r>
          </w:p>
        </w:tc>
        <w:tc>
          <w:tcPr>
            <w:tcW w:w="611" w:type="pct"/>
            <w:vAlign w:val="center"/>
          </w:tcPr>
          <w:p w14:paraId="6BD9E7BF" w14:textId="3F492CD5" w:rsidR="00D03766" w:rsidRPr="003A63B9" w:rsidRDefault="000A3A2D" w:rsidP="00F76106">
            <w:pPr>
              <w:pStyle w:val="TableText0"/>
              <w:jc w:val="center"/>
              <w:rPr>
                <w:b/>
                <w:bCs w:val="0"/>
                <w:highlight w:val="darkGray"/>
              </w:rPr>
            </w:pPr>
            <w:r w:rsidRPr="000A3A2D">
              <w:rPr>
                <w:b/>
                <w:bCs w:val="0"/>
                <w:color w:val="000000"/>
                <w:spacing w:val="58"/>
                <w:shd w:val="solid" w:color="000000" w:fill="000000"/>
                <w:fitText w:val="360" w:id="-628465659"/>
                <w14:textFill>
                  <w14:solidFill>
                    <w14:srgbClr w14:val="000000">
                      <w14:alpha w14:val="100000"/>
                    </w14:srgbClr>
                  </w14:solidFill>
                </w14:textFill>
              </w:rPr>
              <w:t>|||</w:t>
            </w:r>
            <w:r w:rsidRPr="000A3A2D">
              <w:rPr>
                <w:b/>
                <w:bCs w:val="0"/>
                <w:color w:val="000000"/>
                <w:spacing w:val="3"/>
                <w:shd w:val="solid" w:color="000000" w:fill="000000"/>
                <w:fitText w:val="360" w:id="-628465659"/>
                <w14:textFill>
                  <w14:solidFill>
                    <w14:srgbClr w14:val="000000">
                      <w14:alpha w14:val="100000"/>
                    </w14:srgbClr>
                  </w14:solidFill>
                </w14:textFill>
              </w:rPr>
              <w:t>|</w:t>
            </w:r>
            <w:r w:rsidR="001354CC" w:rsidRPr="001354CC">
              <w:rPr>
                <w:b/>
                <w:bCs w:val="0"/>
                <w:vertAlign w:val="superscript"/>
              </w:rPr>
              <w:t>2</w:t>
            </w:r>
          </w:p>
        </w:tc>
        <w:tc>
          <w:tcPr>
            <w:tcW w:w="611" w:type="pct"/>
            <w:vAlign w:val="center"/>
          </w:tcPr>
          <w:p w14:paraId="219C874B" w14:textId="7723B8E5" w:rsidR="00D03766" w:rsidRPr="003A63B9" w:rsidRDefault="000A3A2D" w:rsidP="00F76106">
            <w:pPr>
              <w:pStyle w:val="TableText0"/>
              <w:jc w:val="center"/>
              <w:rPr>
                <w:b/>
                <w:bCs w:val="0"/>
                <w:highlight w:val="darkGray"/>
              </w:rPr>
            </w:pPr>
            <w:r w:rsidRPr="000A3A2D">
              <w:rPr>
                <w:b/>
                <w:bCs w:val="0"/>
                <w:color w:val="000000"/>
                <w:spacing w:val="58"/>
                <w:shd w:val="solid" w:color="000000" w:fill="000000"/>
                <w:fitText w:val="360" w:id="-628465658"/>
                <w14:textFill>
                  <w14:solidFill>
                    <w14:srgbClr w14:val="000000">
                      <w14:alpha w14:val="100000"/>
                    </w14:srgbClr>
                  </w14:solidFill>
                </w14:textFill>
              </w:rPr>
              <w:t>|||</w:t>
            </w:r>
            <w:r w:rsidRPr="000A3A2D">
              <w:rPr>
                <w:b/>
                <w:bCs w:val="0"/>
                <w:color w:val="000000"/>
                <w:spacing w:val="3"/>
                <w:shd w:val="solid" w:color="000000" w:fill="000000"/>
                <w:fitText w:val="360" w:id="-628465658"/>
                <w14:textFill>
                  <w14:solidFill>
                    <w14:srgbClr w14:val="000000">
                      <w14:alpha w14:val="100000"/>
                    </w14:srgbClr>
                  </w14:solidFill>
                </w14:textFill>
              </w:rPr>
              <w:t>|</w:t>
            </w:r>
            <w:r w:rsidR="001354CC" w:rsidRPr="001354CC">
              <w:rPr>
                <w:b/>
                <w:bCs w:val="0"/>
                <w:vertAlign w:val="superscript"/>
              </w:rPr>
              <w:t>2</w:t>
            </w:r>
          </w:p>
        </w:tc>
        <w:tc>
          <w:tcPr>
            <w:tcW w:w="611" w:type="pct"/>
            <w:vAlign w:val="center"/>
          </w:tcPr>
          <w:p w14:paraId="0CFF1A4C" w14:textId="0E3C9C7F" w:rsidR="00D03766" w:rsidRPr="003A63B9" w:rsidRDefault="000A3A2D" w:rsidP="00F76106">
            <w:pPr>
              <w:pStyle w:val="TableText0"/>
              <w:jc w:val="center"/>
              <w:rPr>
                <w:b/>
                <w:bCs w:val="0"/>
                <w:highlight w:val="darkGray"/>
              </w:rPr>
            </w:pPr>
            <w:r w:rsidRPr="000A3A2D">
              <w:rPr>
                <w:b/>
                <w:bCs w:val="0"/>
                <w:color w:val="000000"/>
                <w:spacing w:val="58"/>
                <w:shd w:val="solid" w:color="000000" w:fill="000000"/>
                <w:fitText w:val="360" w:id="-628465657"/>
                <w14:textFill>
                  <w14:solidFill>
                    <w14:srgbClr w14:val="000000">
                      <w14:alpha w14:val="100000"/>
                    </w14:srgbClr>
                  </w14:solidFill>
                </w14:textFill>
              </w:rPr>
              <w:t>|||</w:t>
            </w:r>
            <w:r w:rsidRPr="000A3A2D">
              <w:rPr>
                <w:b/>
                <w:bCs w:val="0"/>
                <w:color w:val="000000"/>
                <w:spacing w:val="3"/>
                <w:shd w:val="solid" w:color="000000" w:fill="000000"/>
                <w:fitText w:val="360" w:id="-628465657"/>
                <w14:textFill>
                  <w14:solidFill>
                    <w14:srgbClr w14:val="000000">
                      <w14:alpha w14:val="100000"/>
                    </w14:srgbClr>
                  </w14:solidFill>
                </w14:textFill>
              </w:rPr>
              <w:t>|</w:t>
            </w:r>
            <w:r w:rsidR="001354CC" w:rsidRPr="001354CC">
              <w:rPr>
                <w:b/>
                <w:bCs w:val="0"/>
                <w:vertAlign w:val="superscript"/>
              </w:rPr>
              <w:t>2</w:t>
            </w:r>
          </w:p>
        </w:tc>
        <w:tc>
          <w:tcPr>
            <w:tcW w:w="611" w:type="pct"/>
            <w:vAlign w:val="center"/>
          </w:tcPr>
          <w:p w14:paraId="31A0851D" w14:textId="55F947EB" w:rsidR="00D03766" w:rsidRPr="003A63B9" w:rsidRDefault="000A3A2D" w:rsidP="00F76106">
            <w:pPr>
              <w:pStyle w:val="TableText0"/>
              <w:jc w:val="center"/>
              <w:rPr>
                <w:b/>
                <w:bCs w:val="0"/>
                <w:highlight w:val="darkGray"/>
              </w:rPr>
            </w:pPr>
            <w:r w:rsidRPr="000A3A2D">
              <w:rPr>
                <w:b/>
                <w:bCs w:val="0"/>
                <w:color w:val="000000"/>
                <w:spacing w:val="58"/>
                <w:shd w:val="solid" w:color="000000" w:fill="000000"/>
                <w:fitText w:val="360" w:id="-628465656"/>
                <w14:textFill>
                  <w14:solidFill>
                    <w14:srgbClr w14:val="000000">
                      <w14:alpha w14:val="100000"/>
                    </w14:srgbClr>
                  </w14:solidFill>
                </w14:textFill>
              </w:rPr>
              <w:t>|||</w:t>
            </w:r>
            <w:r w:rsidRPr="000A3A2D">
              <w:rPr>
                <w:b/>
                <w:bCs w:val="0"/>
                <w:color w:val="000000"/>
                <w:spacing w:val="3"/>
                <w:shd w:val="solid" w:color="000000" w:fill="000000"/>
                <w:fitText w:val="360" w:id="-628465656"/>
                <w14:textFill>
                  <w14:solidFill>
                    <w14:srgbClr w14:val="000000">
                      <w14:alpha w14:val="100000"/>
                    </w14:srgbClr>
                  </w14:solidFill>
                </w14:textFill>
              </w:rPr>
              <w:t>|</w:t>
            </w:r>
            <w:r w:rsidR="001354CC" w:rsidRPr="001354CC">
              <w:rPr>
                <w:b/>
                <w:bCs w:val="0"/>
                <w:vertAlign w:val="superscript"/>
              </w:rPr>
              <w:t>2</w:t>
            </w:r>
          </w:p>
        </w:tc>
      </w:tr>
      <w:tr w:rsidR="00D03766" w:rsidRPr="001310AD" w14:paraId="0FBE7E49" w14:textId="77777777">
        <w:tc>
          <w:tcPr>
            <w:tcW w:w="5000" w:type="pct"/>
            <w:gridSpan w:val="7"/>
            <w:vAlign w:val="center"/>
          </w:tcPr>
          <w:p w14:paraId="32EB80F1" w14:textId="77777777" w:rsidR="00D03766" w:rsidRPr="001310AD" w:rsidRDefault="00D03766" w:rsidP="000E213B">
            <w:pPr>
              <w:pStyle w:val="In-tableHeading"/>
              <w:jc w:val="left"/>
            </w:pPr>
            <w:r w:rsidRPr="001310AD">
              <w:t>Estimated financial implications of RSVPreF3 OA</w:t>
            </w:r>
          </w:p>
        </w:tc>
      </w:tr>
      <w:tr w:rsidR="00D03766" w:rsidRPr="001310AD" w14:paraId="1B5B7926" w14:textId="77777777">
        <w:tc>
          <w:tcPr>
            <w:tcW w:w="1334" w:type="pct"/>
          </w:tcPr>
          <w:p w14:paraId="4EE41CA6" w14:textId="77777777" w:rsidR="00D03766" w:rsidRPr="001310AD" w:rsidRDefault="00D03766" w:rsidP="00D03766">
            <w:pPr>
              <w:pStyle w:val="TableText0"/>
            </w:pPr>
            <w:r w:rsidRPr="001310AD">
              <w:rPr>
                <w:rFonts w:eastAsia="MS Gothic"/>
              </w:rPr>
              <w:t xml:space="preserve">  NIP </w:t>
            </w:r>
          </w:p>
        </w:tc>
        <w:tc>
          <w:tcPr>
            <w:tcW w:w="611" w:type="pct"/>
            <w:vAlign w:val="center"/>
          </w:tcPr>
          <w:p w14:paraId="202BDA28" w14:textId="55CD97F2"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5"/>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5"/>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4D5CFFCE" w14:textId="2FDFF04A"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4"/>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4"/>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03CE626C" w14:textId="3DE2A0A2"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3"/>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3"/>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1FA281E2" w14:textId="4C85BE51"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2"/>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2"/>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85D7ADE" w14:textId="6B2AD9A2"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1"/>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1"/>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753F603A" w14:textId="6EF68DAF"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0"/>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0"/>
                <w14:textFill>
                  <w14:solidFill>
                    <w14:srgbClr w14:val="000000">
                      <w14:alpha w14:val="100000"/>
                    </w14:srgbClr>
                  </w14:solidFill>
                </w14:textFill>
              </w:rPr>
              <w:t>|</w:t>
            </w:r>
            <w:r w:rsidR="000A44A9">
              <w:rPr>
                <w:rFonts w:cs="Calibri"/>
                <w:color w:val="000000"/>
                <w:vertAlign w:val="superscript"/>
              </w:rPr>
              <w:t>3</w:t>
            </w:r>
          </w:p>
        </w:tc>
      </w:tr>
      <w:tr w:rsidR="002B4E1C" w:rsidRPr="001310AD" w14:paraId="6DBE2BCF" w14:textId="77777777" w:rsidTr="007938A6">
        <w:tc>
          <w:tcPr>
            <w:tcW w:w="1334" w:type="pct"/>
          </w:tcPr>
          <w:p w14:paraId="1B41CB34" w14:textId="2AF0B1C5" w:rsidR="002B4E1C" w:rsidRPr="001310AD" w:rsidRDefault="002B4E1C" w:rsidP="002B4E1C">
            <w:pPr>
              <w:pStyle w:val="TableText0"/>
              <w:ind w:firstLine="104"/>
              <w:rPr>
                <w:rFonts w:eastAsia="MS Gothic"/>
                <w:i/>
                <w:iCs/>
              </w:rPr>
            </w:pPr>
            <w:r w:rsidRPr="001310AD">
              <w:rPr>
                <w:rFonts w:eastAsia="MS Gothic"/>
                <w:i/>
                <w:iCs/>
              </w:rPr>
              <w:t>NIP (PSCR)</w:t>
            </w:r>
            <w:r w:rsidRPr="001310AD">
              <w:rPr>
                <w:rFonts w:eastAsia="MS Gothic"/>
                <w:i/>
                <w:iCs/>
                <w:vertAlign w:val="superscript"/>
              </w:rPr>
              <w:t>a</w:t>
            </w:r>
          </w:p>
        </w:tc>
        <w:tc>
          <w:tcPr>
            <w:tcW w:w="611" w:type="pct"/>
          </w:tcPr>
          <w:p w14:paraId="461D574B" w14:textId="66E4052F" w:rsidR="002B4E1C" w:rsidRPr="000A44A9" w:rsidRDefault="002B4E1C" w:rsidP="002B4E1C">
            <w:pPr>
              <w:pStyle w:val="TableText0"/>
              <w:jc w:val="center"/>
              <w:rPr>
                <w:rFonts w:cs="Calibri"/>
                <w:i/>
                <w:iCs/>
                <w:color w:val="000000"/>
                <w:vertAlign w:val="superscript"/>
              </w:rPr>
            </w:pPr>
            <w:r w:rsidRPr="001310AD">
              <w:rPr>
                <w:i/>
                <w:iCs/>
              </w:rPr>
              <w:t>$</w:t>
            </w:r>
            <w:r w:rsidR="000A3A2D" w:rsidRPr="000A3A2D">
              <w:rPr>
                <w:i/>
                <w:iCs/>
                <w:color w:val="000000"/>
                <w:spacing w:val="51"/>
                <w:shd w:val="solid" w:color="000000" w:fill="000000"/>
                <w:fitText w:val="324" w:id="-628465649"/>
                <w14:textFill>
                  <w14:solidFill>
                    <w14:srgbClr w14:val="000000">
                      <w14:alpha w14:val="100000"/>
                    </w14:srgbClr>
                  </w14:solidFill>
                </w14:textFill>
              </w:rPr>
              <w:t>|||</w:t>
            </w:r>
            <w:r w:rsidR="000A3A2D" w:rsidRPr="000A3A2D">
              <w:rPr>
                <w:i/>
                <w:iCs/>
                <w:color w:val="000000"/>
                <w:spacing w:val="1"/>
                <w:shd w:val="solid" w:color="000000" w:fill="000000"/>
                <w:fitText w:val="324" w:id="-628465649"/>
                <w14:textFill>
                  <w14:solidFill>
                    <w14:srgbClr w14:val="000000">
                      <w14:alpha w14:val="100000"/>
                    </w14:srgbClr>
                  </w14:solidFill>
                </w14:textFill>
              </w:rPr>
              <w:t>|</w:t>
            </w:r>
            <w:r w:rsidR="000A44A9">
              <w:rPr>
                <w:i/>
                <w:iCs/>
                <w:vertAlign w:val="superscript"/>
              </w:rPr>
              <w:t>3</w:t>
            </w:r>
          </w:p>
        </w:tc>
        <w:tc>
          <w:tcPr>
            <w:tcW w:w="611" w:type="pct"/>
          </w:tcPr>
          <w:p w14:paraId="6EAAA412" w14:textId="48CDB370" w:rsidR="002B4E1C" w:rsidRPr="000A44A9" w:rsidRDefault="002B4E1C" w:rsidP="002B4E1C">
            <w:pPr>
              <w:pStyle w:val="TableText0"/>
              <w:jc w:val="center"/>
              <w:rPr>
                <w:rFonts w:cs="Calibri"/>
                <w:i/>
                <w:iCs/>
                <w:color w:val="000000"/>
                <w:vertAlign w:val="superscript"/>
              </w:rPr>
            </w:pPr>
            <w:r w:rsidRPr="001310AD">
              <w:rPr>
                <w:i/>
                <w:iCs/>
              </w:rPr>
              <w:t>$</w:t>
            </w:r>
            <w:r w:rsidR="000A3A2D" w:rsidRPr="000A3A2D">
              <w:rPr>
                <w:i/>
                <w:iCs/>
                <w:color w:val="000000"/>
                <w:spacing w:val="51"/>
                <w:shd w:val="solid" w:color="000000" w:fill="000000"/>
                <w:fitText w:val="324" w:id="-628465648"/>
                <w14:textFill>
                  <w14:solidFill>
                    <w14:srgbClr w14:val="000000">
                      <w14:alpha w14:val="100000"/>
                    </w14:srgbClr>
                  </w14:solidFill>
                </w14:textFill>
              </w:rPr>
              <w:t>|||</w:t>
            </w:r>
            <w:r w:rsidR="000A3A2D" w:rsidRPr="000A3A2D">
              <w:rPr>
                <w:i/>
                <w:iCs/>
                <w:color w:val="000000"/>
                <w:spacing w:val="1"/>
                <w:shd w:val="solid" w:color="000000" w:fill="000000"/>
                <w:fitText w:val="324" w:id="-628465648"/>
                <w14:textFill>
                  <w14:solidFill>
                    <w14:srgbClr w14:val="000000">
                      <w14:alpha w14:val="100000"/>
                    </w14:srgbClr>
                  </w14:solidFill>
                </w14:textFill>
              </w:rPr>
              <w:t>|</w:t>
            </w:r>
            <w:r w:rsidR="000A44A9">
              <w:rPr>
                <w:i/>
                <w:iCs/>
                <w:vertAlign w:val="superscript"/>
              </w:rPr>
              <w:t>3</w:t>
            </w:r>
          </w:p>
        </w:tc>
        <w:tc>
          <w:tcPr>
            <w:tcW w:w="611" w:type="pct"/>
          </w:tcPr>
          <w:p w14:paraId="23653FDA" w14:textId="75E4BBC0" w:rsidR="002B4E1C" w:rsidRPr="001310AD" w:rsidRDefault="002B4E1C" w:rsidP="002B4E1C">
            <w:pPr>
              <w:pStyle w:val="TableText0"/>
              <w:jc w:val="center"/>
              <w:rPr>
                <w:rFonts w:cs="Calibri"/>
                <w:i/>
                <w:iCs/>
                <w:color w:val="000000"/>
              </w:rPr>
            </w:pPr>
            <w:r w:rsidRPr="001310AD">
              <w:rPr>
                <w:i/>
                <w:iCs/>
              </w:rPr>
              <w:t>$</w:t>
            </w:r>
            <w:r w:rsidR="000A3A2D" w:rsidRPr="000A3A2D">
              <w:rPr>
                <w:i/>
                <w:iCs/>
                <w:color w:val="000000"/>
                <w:spacing w:val="55"/>
                <w:shd w:val="solid" w:color="000000" w:fill="000000"/>
                <w:fitText w:val="336" w:id="-628465664"/>
                <w14:textFill>
                  <w14:solidFill>
                    <w14:srgbClr w14:val="000000">
                      <w14:alpha w14:val="100000"/>
                    </w14:srgbClr>
                  </w14:solidFill>
                </w14:textFill>
              </w:rPr>
              <w:t>|||</w:t>
            </w:r>
            <w:r w:rsidR="000A3A2D" w:rsidRPr="000A3A2D">
              <w:rPr>
                <w:i/>
                <w:iCs/>
                <w:color w:val="000000"/>
                <w:spacing w:val="1"/>
                <w:shd w:val="solid" w:color="000000" w:fill="000000"/>
                <w:fitText w:val="336" w:id="-628465664"/>
                <w14:textFill>
                  <w14:solidFill>
                    <w14:srgbClr w14:val="000000">
                      <w14:alpha w14:val="100000"/>
                    </w14:srgbClr>
                  </w14:solidFill>
                </w14:textFill>
              </w:rPr>
              <w:t>|</w:t>
            </w:r>
          </w:p>
        </w:tc>
        <w:tc>
          <w:tcPr>
            <w:tcW w:w="611" w:type="pct"/>
          </w:tcPr>
          <w:p w14:paraId="7E4F44AA" w14:textId="17C4EE0A" w:rsidR="002B4E1C" w:rsidRPr="000A44A9" w:rsidRDefault="002B4E1C" w:rsidP="002B4E1C">
            <w:pPr>
              <w:pStyle w:val="TableText0"/>
              <w:jc w:val="center"/>
              <w:rPr>
                <w:rFonts w:cs="Calibri"/>
                <w:i/>
                <w:iCs/>
                <w:color w:val="000000"/>
                <w:vertAlign w:val="superscript"/>
              </w:rPr>
            </w:pPr>
            <w:r w:rsidRPr="001310AD">
              <w:rPr>
                <w:i/>
                <w:iCs/>
              </w:rPr>
              <w:t>$</w:t>
            </w:r>
            <w:r w:rsidR="000A3A2D" w:rsidRPr="000A3A2D">
              <w:rPr>
                <w:i/>
                <w:iCs/>
                <w:color w:val="000000"/>
                <w:spacing w:val="51"/>
                <w:shd w:val="solid" w:color="000000" w:fill="000000"/>
                <w:fitText w:val="324" w:id="-628465663"/>
                <w14:textFill>
                  <w14:solidFill>
                    <w14:srgbClr w14:val="000000">
                      <w14:alpha w14:val="100000"/>
                    </w14:srgbClr>
                  </w14:solidFill>
                </w14:textFill>
              </w:rPr>
              <w:t>|||</w:t>
            </w:r>
            <w:r w:rsidR="000A3A2D" w:rsidRPr="000A3A2D">
              <w:rPr>
                <w:i/>
                <w:iCs/>
                <w:color w:val="000000"/>
                <w:spacing w:val="1"/>
                <w:shd w:val="solid" w:color="000000" w:fill="000000"/>
                <w:fitText w:val="324" w:id="-628465663"/>
                <w14:textFill>
                  <w14:solidFill>
                    <w14:srgbClr w14:val="000000">
                      <w14:alpha w14:val="100000"/>
                    </w14:srgbClr>
                  </w14:solidFill>
                </w14:textFill>
              </w:rPr>
              <w:t>|</w:t>
            </w:r>
            <w:r w:rsidR="000A44A9">
              <w:rPr>
                <w:i/>
                <w:iCs/>
                <w:vertAlign w:val="superscript"/>
              </w:rPr>
              <w:t>3</w:t>
            </w:r>
          </w:p>
        </w:tc>
        <w:tc>
          <w:tcPr>
            <w:tcW w:w="611" w:type="pct"/>
          </w:tcPr>
          <w:p w14:paraId="420A2FFC" w14:textId="57CACFAE" w:rsidR="002B4E1C" w:rsidRPr="000A44A9" w:rsidRDefault="002B4E1C" w:rsidP="002B4E1C">
            <w:pPr>
              <w:pStyle w:val="TableText0"/>
              <w:jc w:val="center"/>
              <w:rPr>
                <w:rFonts w:cs="Calibri"/>
                <w:i/>
                <w:iCs/>
                <w:color w:val="000000"/>
                <w:vertAlign w:val="superscript"/>
              </w:rPr>
            </w:pPr>
            <w:r w:rsidRPr="001310AD">
              <w:rPr>
                <w:i/>
                <w:iCs/>
              </w:rPr>
              <w:t>$</w:t>
            </w:r>
            <w:r w:rsidR="000A3A2D" w:rsidRPr="000A3A2D">
              <w:rPr>
                <w:i/>
                <w:iCs/>
                <w:color w:val="000000"/>
                <w:spacing w:val="51"/>
                <w:shd w:val="solid" w:color="000000" w:fill="000000"/>
                <w:fitText w:val="324" w:id="-628465662"/>
                <w14:textFill>
                  <w14:solidFill>
                    <w14:srgbClr w14:val="000000">
                      <w14:alpha w14:val="100000"/>
                    </w14:srgbClr>
                  </w14:solidFill>
                </w14:textFill>
              </w:rPr>
              <w:t>|||</w:t>
            </w:r>
            <w:r w:rsidR="000A3A2D" w:rsidRPr="000A3A2D">
              <w:rPr>
                <w:i/>
                <w:iCs/>
                <w:color w:val="000000"/>
                <w:spacing w:val="1"/>
                <w:shd w:val="solid" w:color="000000" w:fill="000000"/>
                <w:fitText w:val="324" w:id="-628465662"/>
                <w14:textFill>
                  <w14:solidFill>
                    <w14:srgbClr w14:val="000000">
                      <w14:alpha w14:val="100000"/>
                    </w14:srgbClr>
                  </w14:solidFill>
                </w14:textFill>
              </w:rPr>
              <w:t>|</w:t>
            </w:r>
            <w:r w:rsidR="000A44A9">
              <w:rPr>
                <w:i/>
                <w:iCs/>
                <w:vertAlign w:val="superscript"/>
              </w:rPr>
              <w:t>3</w:t>
            </w:r>
          </w:p>
        </w:tc>
        <w:tc>
          <w:tcPr>
            <w:tcW w:w="611" w:type="pct"/>
          </w:tcPr>
          <w:p w14:paraId="1BDFA4B3" w14:textId="003BC3F2" w:rsidR="002B4E1C" w:rsidRPr="000A44A9" w:rsidRDefault="002B4E1C" w:rsidP="002B4E1C">
            <w:pPr>
              <w:pStyle w:val="TableText0"/>
              <w:jc w:val="center"/>
              <w:rPr>
                <w:rFonts w:cs="Calibri"/>
                <w:i/>
                <w:iCs/>
                <w:color w:val="000000"/>
                <w:vertAlign w:val="superscript"/>
              </w:rPr>
            </w:pPr>
            <w:r w:rsidRPr="001310AD">
              <w:rPr>
                <w:i/>
                <w:iCs/>
              </w:rPr>
              <w:t>$</w:t>
            </w:r>
            <w:r w:rsidR="000A3A2D" w:rsidRPr="000A3A2D">
              <w:rPr>
                <w:i/>
                <w:iCs/>
                <w:color w:val="000000"/>
                <w:spacing w:val="51"/>
                <w:shd w:val="solid" w:color="000000" w:fill="000000"/>
                <w:fitText w:val="324" w:id="-628465661"/>
                <w14:textFill>
                  <w14:solidFill>
                    <w14:srgbClr w14:val="000000">
                      <w14:alpha w14:val="100000"/>
                    </w14:srgbClr>
                  </w14:solidFill>
                </w14:textFill>
              </w:rPr>
              <w:t>|||</w:t>
            </w:r>
            <w:r w:rsidR="000A3A2D" w:rsidRPr="000A3A2D">
              <w:rPr>
                <w:i/>
                <w:iCs/>
                <w:color w:val="000000"/>
                <w:spacing w:val="1"/>
                <w:shd w:val="solid" w:color="000000" w:fill="000000"/>
                <w:fitText w:val="324" w:id="-628465661"/>
                <w14:textFill>
                  <w14:solidFill>
                    <w14:srgbClr w14:val="000000">
                      <w14:alpha w14:val="100000"/>
                    </w14:srgbClr>
                  </w14:solidFill>
                </w14:textFill>
              </w:rPr>
              <w:t>|</w:t>
            </w:r>
            <w:r w:rsidR="000A44A9">
              <w:rPr>
                <w:i/>
                <w:iCs/>
                <w:vertAlign w:val="superscript"/>
              </w:rPr>
              <w:t>3</w:t>
            </w:r>
          </w:p>
        </w:tc>
      </w:tr>
      <w:tr w:rsidR="00D03766" w:rsidRPr="001310AD" w14:paraId="0D61AAD8" w14:textId="77777777">
        <w:tc>
          <w:tcPr>
            <w:tcW w:w="1334" w:type="pct"/>
          </w:tcPr>
          <w:p w14:paraId="1F4365D2" w14:textId="77777777" w:rsidR="00D03766" w:rsidRPr="001310AD" w:rsidRDefault="00D03766" w:rsidP="00D03766">
            <w:pPr>
              <w:pStyle w:val="TableText0"/>
            </w:pPr>
            <w:r w:rsidRPr="001310AD">
              <w:rPr>
                <w:rFonts w:eastAsia="MS Gothic"/>
              </w:rPr>
              <w:t xml:space="preserve">  PBS </w:t>
            </w:r>
          </w:p>
        </w:tc>
        <w:tc>
          <w:tcPr>
            <w:tcW w:w="611" w:type="pct"/>
            <w:vAlign w:val="center"/>
          </w:tcPr>
          <w:p w14:paraId="77A5F9E9" w14:textId="1904278D"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60"/>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60"/>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5714A91" w14:textId="6915F90B"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9"/>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9"/>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56467E4E" w14:textId="242D6342"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8"/>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8"/>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69686A2C" w14:textId="3488ABCF"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7"/>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7"/>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65BE1324" w14:textId="3B9824B9"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6"/>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6"/>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47F14144" w14:textId="36D6CB70"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5"/>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5"/>
                <w14:textFill>
                  <w14:solidFill>
                    <w14:srgbClr w14:val="000000">
                      <w14:alpha w14:val="100000"/>
                    </w14:srgbClr>
                  </w14:solidFill>
                </w14:textFill>
              </w:rPr>
              <w:t>|</w:t>
            </w:r>
            <w:r w:rsidR="000A44A9">
              <w:rPr>
                <w:rFonts w:cs="Calibri"/>
                <w:color w:val="000000"/>
                <w:vertAlign w:val="superscript"/>
              </w:rPr>
              <w:t>3</w:t>
            </w:r>
          </w:p>
        </w:tc>
      </w:tr>
      <w:tr w:rsidR="00D03766" w:rsidRPr="001310AD" w14:paraId="4A8343DB" w14:textId="77777777">
        <w:tc>
          <w:tcPr>
            <w:tcW w:w="1334" w:type="pct"/>
          </w:tcPr>
          <w:p w14:paraId="76E3CB79" w14:textId="77777777" w:rsidR="00D03766" w:rsidRPr="001310AD" w:rsidRDefault="00D03766" w:rsidP="00D03766">
            <w:pPr>
              <w:pStyle w:val="TableText0"/>
            </w:pPr>
            <w:r w:rsidRPr="001310AD">
              <w:rPr>
                <w:rFonts w:eastAsia="MS Gothic"/>
              </w:rPr>
              <w:t xml:space="preserve">  MBS</w:t>
            </w:r>
          </w:p>
        </w:tc>
        <w:tc>
          <w:tcPr>
            <w:tcW w:w="611" w:type="pct"/>
            <w:vAlign w:val="center"/>
          </w:tcPr>
          <w:p w14:paraId="1C01EB34" w14:textId="412C407A"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4"/>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4"/>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10A8E251" w14:textId="426EB3C0"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3"/>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3"/>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9FEE849" w14:textId="3F444C76"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2"/>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2"/>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03220E77" w14:textId="5AEE742C"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1"/>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1"/>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4C91ABD1" w14:textId="3443DD2C"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0"/>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0"/>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0B7960CD" w14:textId="3C1E6ADD"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49"/>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49"/>
                <w14:textFill>
                  <w14:solidFill>
                    <w14:srgbClr w14:val="000000">
                      <w14:alpha w14:val="100000"/>
                    </w14:srgbClr>
                  </w14:solidFill>
                </w14:textFill>
              </w:rPr>
              <w:t>|</w:t>
            </w:r>
            <w:r w:rsidR="000A44A9">
              <w:rPr>
                <w:rFonts w:cs="Calibri"/>
                <w:color w:val="000000"/>
                <w:vertAlign w:val="superscript"/>
              </w:rPr>
              <w:t>3</w:t>
            </w:r>
          </w:p>
        </w:tc>
      </w:tr>
      <w:tr w:rsidR="00E7590F" w:rsidRPr="001310AD" w14:paraId="2B6FA28B" w14:textId="77777777" w:rsidTr="00E7590F">
        <w:tc>
          <w:tcPr>
            <w:tcW w:w="5000" w:type="pct"/>
            <w:gridSpan w:val="7"/>
          </w:tcPr>
          <w:p w14:paraId="33AA684A" w14:textId="13128B60" w:rsidR="00E7590F" w:rsidRPr="001310AD" w:rsidRDefault="00E7590F" w:rsidP="00E7590F">
            <w:pPr>
              <w:pStyle w:val="TableText0"/>
              <w:rPr>
                <w:rFonts w:cs="Calibri"/>
                <w:color w:val="000000"/>
              </w:rPr>
            </w:pPr>
            <w:r w:rsidRPr="001310AD">
              <w:rPr>
                <w:rFonts w:eastAsia="MS Gothic"/>
                <w:b/>
                <w:bCs w:val="0"/>
                <w:i/>
                <w:iCs/>
              </w:rPr>
              <w:t xml:space="preserve">Costs for hospitalisations, ambulances, Emergency Department visits (as estimated in the resubmission) </w:t>
            </w:r>
          </w:p>
        </w:tc>
      </w:tr>
      <w:tr w:rsidR="00D03766" w:rsidRPr="001310AD" w14:paraId="2348EE4A" w14:textId="77777777">
        <w:tc>
          <w:tcPr>
            <w:tcW w:w="1334" w:type="pct"/>
          </w:tcPr>
          <w:p w14:paraId="28CF08EB" w14:textId="77777777" w:rsidR="00D03766" w:rsidRPr="001310AD" w:rsidRDefault="00D03766" w:rsidP="00D03766">
            <w:pPr>
              <w:pStyle w:val="TableText0"/>
            </w:pPr>
            <w:r w:rsidRPr="001310AD">
              <w:rPr>
                <w:rFonts w:eastAsia="MS Gothic"/>
              </w:rPr>
              <w:t xml:space="preserve">  Other federal budgets</w:t>
            </w:r>
          </w:p>
        </w:tc>
        <w:tc>
          <w:tcPr>
            <w:tcW w:w="611" w:type="pct"/>
            <w:vAlign w:val="center"/>
          </w:tcPr>
          <w:p w14:paraId="2995E97A" w14:textId="6F68CCC0"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48"/>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48"/>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772AB972" w14:textId="64396B3D"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64"/>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64"/>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D19393C" w14:textId="6A54A7DE"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63"/>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63"/>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0BB57F27" w14:textId="183C24E4"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62"/>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62"/>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4CDBB22A" w14:textId="45206669"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61"/>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61"/>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234EDB89" w14:textId="79A93408"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60"/>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60"/>
                <w14:textFill>
                  <w14:solidFill>
                    <w14:srgbClr w14:val="000000">
                      <w14:alpha w14:val="100000"/>
                    </w14:srgbClr>
                  </w14:solidFill>
                </w14:textFill>
              </w:rPr>
              <w:t>|</w:t>
            </w:r>
            <w:r w:rsidR="000A44A9">
              <w:rPr>
                <w:rFonts w:cs="Calibri"/>
                <w:color w:val="000000"/>
                <w:vertAlign w:val="superscript"/>
              </w:rPr>
              <w:t>3</w:t>
            </w:r>
          </w:p>
        </w:tc>
      </w:tr>
      <w:tr w:rsidR="00D03766" w:rsidRPr="001310AD" w14:paraId="2F332C90" w14:textId="77777777">
        <w:tc>
          <w:tcPr>
            <w:tcW w:w="1334" w:type="pct"/>
          </w:tcPr>
          <w:p w14:paraId="3FEA465A" w14:textId="77777777" w:rsidR="00D03766" w:rsidRPr="001310AD" w:rsidRDefault="00D03766" w:rsidP="00D03766">
            <w:pPr>
              <w:pStyle w:val="TableText0"/>
            </w:pPr>
            <w:r w:rsidRPr="001310AD">
              <w:rPr>
                <w:rFonts w:eastAsia="MS Gothic"/>
              </w:rPr>
              <w:t xml:space="preserve">  State and Territory Governments</w:t>
            </w:r>
          </w:p>
        </w:tc>
        <w:tc>
          <w:tcPr>
            <w:tcW w:w="611" w:type="pct"/>
            <w:vAlign w:val="center"/>
          </w:tcPr>
          <w:p w14:paraId="1999D0C0" w14:textId="5E903267"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9"/>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9"/>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CEA185D" w14:textId="4179DB1E"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8"/>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8"/>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7BB56D9D" w14:textId="53FF9632" w:rsidR="00D03766" w:rsidRPr="000A44A9" w:rsidRDefault="00D03766" w:rsidP="00F76106">
            <w:pPr>
              <w:pStyle w:val="TableText0"/>
              <w:jc w:val="center"/>
              <w:rPr>
                <w:vertAlign w:val="superscript"/>
              </w:rPr>
            </w:pPr>
            <w:r w:rsidRPr="001310AD">
              <w:rPr>
                <w:rFonts w:cs="Calibri"/>
                <w:color w:val="000000"/>
              </w:rPr>
              <w:t>-$</w:t>
            </w:r>
            <w:r w:rsidR="000A3A2D" w:rsidRPr="000A3A2D">
              <w:rPr>
                <w:rFonts w:cs="Calibri"/>
                <w:color w:val="000000"/>
                <w:spacing w:val="51"/>
                <w:shd w:val="solid" w:color="000000" w:fill="000000"/>
                <w:fitText w:val="324" w:id="-628465657"/>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7"/>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7A3B2B53" w14:textId="089038CD"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56"/>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6"/>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4AFA02C4" w14:textId="1CE14000"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55"/>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5"/>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7448FD87" w14:textId="458EBA3B"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54"/>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4"/>
                <w14:textFill>
                  <w14:solidFill>
                    <w14:srgbClr w14:val="000000">
                      <w14:alpha w14:val="100000"/>
                    </w14:srgbClr>
                  </w14:solidFill>
                </w14:textFill>
              </w:rPr>
              <w:t>|</w:t>
            </w:r>
            <w:r w:rsidR="000A44A9">
              <w:rPr>
                <w:rFonts w:cs="Calibri"/>
                <w:color w:val="000000"/>
                <w:vertAlign w:val="superscript"/>
              </w:rPr>
              <w:t>3</w:t>
            </w:r>
          </w:p>
        </w:tc>
      </w:tr>
      <w:tr w:rsidR="00D03766" w:rsidRPr="001310AD" w14:paraId="2517B574" w14:textId="77777777">
        <w:tc>
          <w:tcPr>
            <w:tcW w:w="1334" w:type="pct"/>
          </w:tcPr>
          <w:p w14:paraId="5941685A" w14:textId="77777777" w:rsidR="00D03766" w:rsidRPr="001310AD" w:rsidRDefault="00D03766" w:rsidP="00D03766">
            <w:pPr>
              <w:pStyle w:val="TableText0"/>
            </w:pPr>
            <w:r w:rsidRPr="001310AD">
              <w:rPr>
                <w:rFonts w:eastAsia="MS Gothic"/>
              </w:rPr>
              <w:t xml:space="preserve">  All budgets combined</w:t>
            </w:r>
          </w:p>
        </w:tc>
        <w:tc>
          <w:tcPr>
            <w:tcW w:w="611" w:type="pct"/>
            <w:vAlign w:val="center"/>
          </w:tcPr>
          <w:p w14:paraId="3D4D2EF2" w14:textId="2142C77F"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53"/>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3"/>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550EC31E" w14:textId="1B67C036"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52"/>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2"/>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260417F" w14:textId="20C1E770"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51"/>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1"/>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1BD78AF" w14:textId="1AD753E3"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50"/>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50"/>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4CCB995B" w14:textId="207932C7"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49"/>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49"/>
                <w14:textFill>
                  <w14:solidFill>
                    <w14:srgbClr w14:val="000000">
                      <w14:alpha w14:val="100000"/>
                    </w14:srgbClr>
                  </w14:solidFill>
                </w14:textFill>
              </w:rPr>
              <w:t>|</w:t>
            </w:r>
            <w:r w:rsidR="000A44A9">
              <w:rPr>
                <w:rFonts w:cs="Calibri"/>
                <w:color w:val="000000"/>
                <w:vertAlign w:val="superscript"/>
              </w:rPr>
              <w:t>3</w:t>
            </w:r>
          </w:p>
        </w:tc>
        <w:tc>
          <w:tcPr>
            <w:tcW w:w="611" w:type="pct"/>
            <w:vAlign w:val="center"/>
          </w:tcPr>
          <w:p w14:paraId="39C71259" w14:textId="047DB6F6" w:rsidR="00D03766" w:rsidRPr="001310AD" w:rsidRDefault="00D03766" w:rsidP="00F76106">
            <w:pPr>
              <w:pStyle w:val="TableText0"/>
              <w:jc w:val="center"/>
            </w:pPr>
            <w:r w:rsidRPr="001310AD">
              <w:rPr>
                <w:rFonts w:cs="Calibri"/>
                <w:color w:val="000000"/>
              </w:rPr>
              <w:t>-$</w:t>
            </w:r>
            <w:r w:rsidR="000A3A2D" w:rsidRPr="000A3A2D">
              <w:rPr>
                <w:rFonts w:cs="Calibri"/>
                <w:color w:val="000000"/>
                <w:spacing w:val="51"/>
                <w:shd w:val="solid" w:color="000000" w:fill="000000"/>
                <w:fitText w:val="324" w:id="-628465648"/>
                <w14:textFill>
                  <w14:solidFill>
                    <w14:srgbClr w14:val="000000">
                      <w14:alpha w14:val="100000"/>
                    </w14:srgbClr>
                  </w14:solidFill>
                </w14:textFill>
              </w:rPr>
              <w:t>|||</w:t>
            </w:r>
            <w:r w:rsidR="000A3A2D" w:rsidRPr="000A3A2D">
              <w:rPr>
                <w:rFonts w:cs="Calibri"/>
                <w:color w:val="000000"/>
                <w:spacing w:val="1"/>
                <w:shd w:val="solid" w:color="000000" w:fill="000000"/>
                <w:fitText w:val="324" w:id="-628465648"/>
                <w14:textFill>
                  <w14:solidFill>
                    <w14:srgbClr w14:val="000000">
                      <w14:alpha w14:val="100000"/>
                    </w14:srgbClr>
                  </w14:solidFill>
                </w14:textFill>
              </w:rPr>
              <w:t>|</w:t>
            </w:r>
            <w:r w:rsidR="000A44A9">
              <w:rPr>
                <w:rFonts w:cs="Calibri"/>
                <w:color w:val="000000"/>
                <w:vertAlign w:val="superscript"/>
              </w:rPr>
              <w:t>3</w:t>
            </w:r>
          </w:p>
        </w:tc>
      </w:tr>
      <w:tr w:rsidR="00D03766" w:rsidRPr="001310AD" w14:paraId="19682650" w14:textId="77777777">
        <w:tc>
          <w:tcPr>
            <w:tcW w:w="5000" w:type="pct"/>
            <w:gridSpan w:val="7"/>
            <w:shd w:val="clear" w:color="auto" w:fill="B8CCE4" w:themeFill="accent1" w:themeFillTint="66"/>
            <w:vAlign w:val="center"/>
          </w:tcPr>
          <w:p w14:paraId="1998E3CE" w14:textId="3FC5DA44" w:rsidR="00D03766" w:rsidRPr="001310AD" w:rsidRDefault="00D03766" w:rsidP="000E213B">
            <w:pPr>
              <w:pStyle w:val="In-tableHeading"/>
              <w:jc w:val="left"/>
            </w:pPr>
            <w:r w:rsidRPr="001310AD">
              <w:t>Previous submission July 2024</w:t>
            </w:r>
            <w:r w:rsidR="00D66BC2" w:rsidRPr="001310AD">
              <w:t xml:space="preserve"> (Aboriginal and Torres Strait Islander people aged 60-74 years)</w:t>
            </w:r>
          </w:p>
        </w:tc>
      </w:tr>
      <w:tr w:rsidR="00FC1C4C" w:rsidRPr="001310AD" w14:paraId="7193837E" w14:textId="77777777">
        <w:tc>
          <w:tcPr>
            <w:tcW w:w="1334" w:type="pct"/>
            <w:shd w:val="clear" w:color="auto" w:fill="B8CCE4" w:themeFill="accent1" w:themeFillTint="66"/>
          </w:tcPr>
          <w:p w14:paraId="4B9281AF" w14:textId="77777777" w:rsidR="00FC1C4C" w:rsidRPr="001310AD" w:rsidRDefault="00FC1C4C" w:rsidP="00FC1C4C">
            <w:pPr>
              <w:pStyle w:val="TableText0"/>
            </w:pPr>
            <w:r w:rsidRPr="001310AD">
              <w:rPr>
                <w:rFonts w:eastAsia="MS Gothic"/>
              </w:rPr>
              <w:t xml:space="preserve">  NIP </w:t>
            </w:r>
          </w:p>
        </w:tc>
        <w:tc>
          <w:tcPr>
            <w:tcW w:w="611" w:type="pct"/>
            <w:shd w:val="clear" w:color="auto" w:fill="B8CCE4" w:themeFill="accent1" w:themeFillTint="66"/>
            <w:vAlign w:val="center"/>
          </w:tcPr>
          <w:p w14:paraId="4E86005F" w14:textId="2985EECE"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64"/>
                <w14:textFill>
                  <w14:solidFill>
                    <w14:srgbClr w14:val="000000">
                      <w14:alpha w14:val="100000"/>
                    </w14:srgbClr>
                  </w14:solidFill>
                </w14:textFill>
              </w:rPr>
              <w:t>|||</w:t>
            </w:r>
            <w:r w:rsidR="000A3A2D" w:rsidRPr="000A3A2D">
              <w:rPr>
                <w:color w:val="000000"/>
                <w:spacing w:val="1"/>
                <w:shd w:val="solid" w:color="000000" w:fill="000000"/>
                <w:fitText w:val="324" w:id="-628465664"/>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05C928A3" w14:textId="20C78FD2"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63"/>
                <w14:textFill>
                  <w14:solidFill>
                    <w14:srgbClr w14:val="000000">
                      <w14:alpha w14:val="100000"/>
                    </w14:srgbClr>
                  </w14:solidFill>
                </w14:textFill>
              </w:rPr>
              <w:t>|||</w:t>
            </w:r>
            <w:r w:rsidR="000A3A2D" w:rsidRPr="000A3A2D">
              <w:rPr>
                <w:color w:val="000000"/>
                <w:spacing w:val="1"/>
                <w:shd w:val="solid" w:color="000000" w:fill="000000"/>
                <w:fitText w:val="324" w:id="-628465663"/>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1128ACD1" w14:textId="0C3C6225"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62"/>
                <w14:textFill>
                  <w14:solidFill>
                    <w14:srgbClr w14:val="000000">
                      <w14:alpha w14:val="100000"/>
                    </w14:srgbClr>
                  </w14:solidFill>
                </w14:textFill>
              </w:rPr>
              <w:t>|||</w:t>
            </w:r>
            <w:r w:rsidR="000A3A2D" w:rsidRPr="000A3A2D">
              <w:rPr>
                <w:color w:val="000000"/>
                <w:spacing w:val="1"/>
                <w:shd w:val="solid" w:color="000000" w:fill="000000"/>
                <w:fitText w:val="324" w:id="-628465662"/>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607A78DC" w14:textId="0783375C"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61"/>
                <w14:textFill>
                  <w14:solidFill>
                    <w14:srgbClr w14:val="000000">
                      <w14:alpha w14:val="100000"/>
                    </w14:srgbClr>
                  </w14:solidFill>
                </w14:textFill>
              </w:rPr>
              <w:t>|||</w:t>
            </w:r>
            <w:r w:rsidR="000A3A2D" w:rsidRPr="000A3A2D">
              <w:rPr>
                <w:color w:val="000000"/>
                <w:spacing w:val="1"/>
                <w:shd w:val="solid" w:color="000000" w:fill="000000"/>
                <w:fitText w:val="324" w:id="-628465661"/>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557B6CD5" w14:textId="4A703FF2"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60"/>
                <w14:textFill>
                  <w14:solidFill>
                    <w14:srgbClr w14:val="000000">
                      <w14:alpha w14:val="100000"/>
                    </w14:srgbClr>
                  </w14:solidFill>
                </w14:textFill>
              </w:rPr>
              <w:t>|||</w:t>
            </w:r>
            <w:r w:rsidR="000A3A2D" w:rsidRPr="000A3A2D">
              <w:rPr>
                <w:color w:val="000000"/>
                <w:spacing w:val="1"/>
                <w:shd w:val="solid" w:color="000000" w:fill="000000"/>
                <w:fitText w:val="324" w:id="-628465660"/>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7B0B0A35" w14:textId="003E2F7C"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59"/>
                <w14:textFill>
                  <w14:solidFill>
                    <w14:srgbClr w14:val="000000">
                      <w14:alpha w14:val="100000"/>
                    </w14:srgbClr>
                  </w14:solidFill>
                </w14:textFill>
              </w:rPr>
              <w:t>|||</w:t>
            </w:r>
            <w:r w:rsidR="000A3A2D" w:rsidRPr="000A3A2D">
              <w:rPr>
                <w:color w:val="000000"/>
                <w:spacing w:val="1"/>
                <w:shd w:val="solid" w:color="000000" w:fill="000000"/>
                <w:fitText w:val="324" w:id="-628465659"/>
                <w14:textFill>
                  <w14:solidFill>
                    <w14:srgbClr w14:val="000000">
                      <w14:alpha w14:val="100000"/>
                    </w14:srgbClr>
                  </w14:solidFill>
                </w14:textFill>
              </w:rPr>
              <w:t>|</w:t>
            </w:r>
            <w:r w:rsidR="000A44A9">
              <w:rPr>
                <w:rFonts w:cs="Calibri"/>
                <w:color w:val="000000"/>
                <w:vertAlign w:val="superscript"/>
              </w:rPr>
              <w:t>3</w:t>
            </w:r>
          </w:p>
        </w:tc>
      </w:tr>
      <w:tr w:rsidR="00FC1C4C" w:rsidRPr="001310AD" w14:paraId="0F5F4E52" w14:textId="77777777">
        <w:tc>
          <w:tcPr>
            <w:tcW w:w="1334" w:type="pct"/>
            <w:shd w:val="clear" w:color="auto" w:fill="B8CCE4" w:themeFill="accent1" w:themeFillTint="66"/>
          </w:tcPr>
          <w:p w14:paraId="43287CDF" w14:textId="77777777" w:rsidR="00FC1C4C" w:rsidRPr="001310AD" w:rsidRDefault="00FC1C4C" w:rsidP="00FC1C4C">
            <w:pPr>
              <w:pStyle w:val="TableText0"/>
            </w:pPr>
            <w:r w:rsidRPr="001310AD">
              <w:rPr>
                <w:rFonts w:eastAsia="MS Gothic"/>
              </w:rPr>
              <w:t xml:space="preserve">  PBS </w:t>
            </w:r>
          </w:p>
        </w:tc>
        <w:tc>
          <w:tcPr>
            <w:tcW w:w="611" w:type="pct"/>
            <w:shd w:val="clear" w:color="auto" w:fill="B8CCE4" w:themeFill="accent1" w:themeFillTint="66"/>
            <w:vAlign w:val="center"/>
          </w:tcPr>
          <w:p w14:paraId="034B59D9" w14:textId="541C2794"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58"/>
                <w14:textFill>
                  <w14:solidFill>
                    <w14:srgbClr w14:val="000000">
                      <w14:alpha w14:val="100000"/>
                    </w14:srgbClr>
                  </w14:solidFill>
                </w14:textFill>
              </w:rPr>
              <w:t>|||</w:t>
            </w:r>
            <w:r w:rsidR="000A3A2D" w:rsidRPr="000A3A2D">
              <w:rPr>
                <w:color w:val="000000"/>
                <w:spacing w:val="1"/>
                <w:shd w:val="solid" w:color="000000" w:fill="000000"/>
                <w:fitText w:val="324" w:id="-628465658"/>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7CC27D58" w14:textId="32622489"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57"/>
                <w14:textFill>
                  <w14:solidFill>
                    <w14:srgbClr w14:val="000000">
                      <w14:alpha w14:val="100000"/>
                    </w14:srgbClr>
                  </w14:solidFill>
                </w14:textFill>
              </w:rPr>
              <w:t>|||</w:t>
            </w:r>
            <w:r w:rsidR="000A3A2D" w:rsidRPr="000A3A2D">
              <w:rPr>
                <w:color w:val="000000"/>
                <w:spacing w:val="1"/>
                <w:shd w:val="solid" w:color="000000" w:fill="000000"/>
                <w:fitText w:val="324" w:id="-628465657"/>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4C4F9CEB" w14:textId="154A28F9"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56"/>
                <w14:textFill>
                  <w14:solidFill>
                    <w14:srgbClr w14:val="000000">
                      <w14:alpha w14:val="100000"/>
                    </w14:srgbClr>
                  </w14:solidFill>
                </w14:textFill>
              </w:rPr>
              <w:t>|||</w:t>
            </w:r>
            <w:r w:rsidR="000A3A2D" w:rsidRPr="000A3A2D">
              <w:rPr>
                <w:color w:val="000000"/>
                <w:spacing w:val="1"/>
                <w:shd w:val="solid" w:color="000000" w:fill="000000"/>
                <w:fitText w:val="324" w:id="-628465656"/>
                <w14:textFill>
                  <w14:solidFill>
                    <w14:srgbClr w14:val="000000">
                      <w14:alpha w14:val="100000"/>
                    </w14:srgbClr>
                  </w14:solidFill>
                </w14:textFill>
              </w:rPr>
              <w:t>|</w:t>
            </w:r>
            <w:r w:rsidR="000A44A9">
              <w:rPr>
                <w:rFonts w:cs="Calibri"/>
                <w:color w:val="000000"/>
                <w:vertAlign w:val="superscript"/>
              </w:rPr>
              <w:t>3</w:t>
            </w:r>
          </w:p>
        </w:tc>
        <w:tc>
          <w:tcPr>
            <w:tcW w:w="611" w:type="pct"/>
            <w:shd w:val="clear" w:color="auto" w:fill="B8CCE4" w:themeFill="accent1" w:themeFillTint="66"/>
            <w:vAlign w:val="center"/>
          </w:tcPr>
          <w:p w14:paraId="2543CF32" w14:textId="13EF55B4"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55"/>
                <w14:textFill>
                  <w14:solidFill>
                    <w14:srgbClr w14:val="000000">
                      <w14:alpha w14:val="100000"/>
                    </w14:srgbClr>
                  </w14:solidFill>
                </w14:textFill>
              </w:rPr>
              <w:t>|||</w:t>
            </w:r>
            <w:r w:rsidR="000A3A2D" w:rsidRPr="000A3A2D">
              <w:rPr>
                <w:color w:val="000000"/>
                <w:spacing w:val="1"/>
                <w:shd w:val="solid" w:color="000000" w:fill="000000"/>
                <w:fitText w:val="324" w:id="-628465655"/>
                <w14:textFill>
                  <w14:solidFill>
                    <w14:srgbClr w14:val="000000">
                      <w14:alpha w14:val="100000"/>
                    </w14:srgbClr>
                  </w14:solidFill>
                </w14:textFill>
              </w:rPr>
              <w:t>|</w:t>
            </w:r>
            <w:r w:rsidR="00A342CE">
              <w:rPr>
                <w:rFonts w:cs="Calibri"/>
                <w:color w:val="000000"/>
                <w:vertAlign w:val="superscript"/>
              </w:rPr>
              <w:t>3</w:t>
            </w:r>
          </w:p>
        </w:tc>
        <w:tc>
          <w:tcPr>
            <w:tcW w:w="611" w:type="pct"/>
            <w:shd w:val="clear" w:color="auto" w:fill="B8CCE4" w:themeFill="accent1" w:themeFillTint="66"/>
            <w:vAlign w:val="center"/>
          </w:tcPr>
          <w:p w14:paraId="35707340" w14:textId="07FB8100"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54"/>
                <w14:textFill>
                  <w14:solidFill>
                    <w14:srgbClr w14:val="000000">
                      <w14:alpha w14:val="100000"/>
                    </w14:srgbClr>
                  </w14:solidFill>
                </w14:textFill>
              </w:rPr>
              <w:t>|||</w:t>
            </w:r>
            <w:r w:rsidR="000A3A2D" w:rsidRPr="000A3A2D">
              <w:rPr>
                <w:color w:val="000000"/>
                <w:spacing w:val="1"/>
                <w:shd w:val="solid" w:color="000000" w:fill="000000"/>
                <w:fitText w:val="324" w:id="-628465654"/>
                <w14:textFill>
                  <w14:solidFill>
                    <w14:srgbClr w14:val="000000">
                      <w14:alpha w14:val="100000"/>
                    </w14:srgbClr>
                  </w14:solidFill>
                </w14:textFill>
              </w:rPr>
              <w:t>|</w:t>
            </w:r>
            <w:r w:rsidR="00A342CE">
              <w:rPr>
                <w:rFonts w:cs="Calibri"/>
                <w:color w:val="000000"/>
                <w:vertAlign w:val="superscript"/>
              </w:rPr>
              <w:t>3</w:t>
            </w:r>
          </w:p>
        </w:tc>
        <w:tc>
          <w:tcPr>
            <w:tcW w:w="611" w:type="pct"/>
            <w:shd w:val="clear" w:color="auto" w:fill="B8CCE4" w:themeFill="accent1" w:themeFillTint="66"/>
            <w:vAlign w:val="center"/>
          </w:tcPr>
          <w:p w14:paraId="36024008" w14:textId="6013419F" w:rsidR="00FC1C4C" w:rsidRPr="001310AD" w:rsidRDefault="00FC1C4C" w:rsidP="00F76106">
            <w:pPr>
              <w:pStyle w:val="TableText0"/>
              <w:jc w:val="center"/>
            </w:pPr>
            <w:r w:rsidRPr="001310AD">
              <w:t>-$</w:t>
            </w:r>
            <w:r w:rsidR="000A3A2D" w:rsidRPr="000A3A2D">
              <w:rPr>
                <w:color w:val="000000"/>
                <w:spacing w:val="51"/>
                <w:shd w:val="solid" w:color="000000" w:fill="000000"/>
                <w:fitText w:val="324" w:id="-628465653"/>
                <w14:textFill>
                  <w14:solidFill>
                    <w14:srgbClr w14:val="000000">
                      <w14:alpha w14:val="100000"/>
                    </w14:srgbClr>
                  </w14:solidFill>
                </w14:textFill>
              </w:rPr>
              <w:t>|||</w:t>
            </w:r>
            <w:r w:rsidR="000A3A2D" w:rsidRPr="000A3A2D">
              <w:rPr>
                <w:color w:val="000000"/>
                <w:spacing w:val="1"/>
                <w:shd w:val="solid" w:color="000000" w:fill="000000"/>
                <w:fitText w:val="324" w:id="-628465653"/>
                <w14:textFill>
                  <w14:solidFill>
                    <w14:srgbClr w14:val="000000">
                      <w14:alpha w14:val="100000"/>
                    </w14:srgbClr>
                  </w14:solidFill>
                </w14:textFill>
              </w:rPr>
              <w:t>|</w:t>
            </w:r>
            <w:r w:rsidR="00A342CE">
              <w:rPr>
                <w:rFonts w:cs="Calibri"/>
                <w:color w:val="000000"/>
                <w:vertAlign w:val="superscript"/>
              </w:rPr>
              <w:t>3</w:t>
            </w:r>
          </w:p>
        </w:tc>
      </w:tr>
    </w:tbl>
    <w:p w14:paraId="0F081509" w14:textId="19C709D4" w:rsidR="00880303" w:rsidRPr="001310AD" w:rsidRDefault="00880303" w:rsidP="00880303">
      <w:pPr>
        <w:pStyle w:val="FooterTableFigure"/>
        <w:rPr>
          <w:b/>
          <w:sz w:val="20"/>
          <w:szCs w:val="16"/>
        </w:rPr>
      </w:pPr>
      <w:r w:rsidRPr="001310AD">
        <w:t>Source: Source: Table 2-30, p274 of the resubmission</w:t>
      </w:r>
      <w:r w:rsidR="00172BD4" w:rsidRPr="001310AD">
        <w:t>.</w:t>
      </w:r>
      <w:r w:rsidR="00062154" w:rsidRPr="001310AD">
        <w:t xml:space="preserve"> </w:t>
      </w:r>
      <w:r w:rsidR="00D21A95" w:rsidRPr="001310AD">
        <w:t>Table 3</w:t>
      </w:r>
      <w:r w:rsidR="002F4339" w:rsidRPr="001310AD">
        <w:t>2</w:t>
      </w:r>
      <w:r w:rsidR="00D21A95" w:rsidRPr="001310AD">
        <w:t xml:space="preserve">, RSVPreF3 OA </w:t>
      </w:r>
      <w:r w:rsidR="0095038D" w:rsidRPr="001310AD">
        <w:t>PBAC M</w:t>
      </w:r>
      <w:r w:rsidR="00D21A95" w:rsidRPr="001310AD">
        <w:t xml:space="preserve">inutes, July 2024 PBAC meeting. </w:t>
      </w:r>
    </w:p>
    <w:p w14:paraId="34CF4688" w14:textId="77777777" w:rsidR="00B02F7E" w:rsidRPr="001310AD" w:rsidRDefault="00062154" w:rsidP="00062154">
      <w:pPr>
        <w:pStyle w:val="FooterTableFigure"/>
      </w:pPr>
      <w:r w:rsidRPr="001310AD">
        <w:t>K = thousand; MBS = Medicare Benefit Schedule; NIP = National Immunisation Program; PBS = Pharmaceutical Benefit Scheme</w:t>
      </w:r>
      <w:r w:rsidR="00F76106" w:rsidRPr="001310AD">
        <w:t>.</w:t>
      </w:r>
    </w:p>
    <w:p w14:paraId="0D63E22D" w14:textId="29A5010A" w:rsidR="00E7306E" w:rsidRPr="001310AD" w:rsidRDefault="00B02F7E" w:rsidP="00062154">
      <w:pPr>
        <w:pStyle w:val="FooterTableFigure"/>
        <w:rPr>
          <w:i/>
          <w:iCs/>
          <w:color w:val="000000" w:themeColor="text1"/>
        </w:rPr>
      </w:pPr>
      <w:r w:rsidRPr="001310AD">
        <w:rPr>
          <w:i/>
          <w:iCs/>
          <w:color w:val="000000" w:themeColor="text1"/>
          <w:vertAlign w:val="superscript"/>
        </w:rPr>
        <w:t>a</w:t>
      </w:r>
      <w:r w:rsidRPr="001310AD">
        <w:rPr>
          <w:i/>
          <w:iCs/>
          <w:color w:val="000000" w:themeColor="text1"/>
        </w:rPr>
        <w:t xml:space="preserve"> PSCR: </w:t>
      </w:r>
      <w:r w:rsidR="00864B11" w:rsidRPr="001310AD">
        <w:rPr>
          <w:i/>
          <w:iCs/>
          <w:color w:val="000000" w:themeColor="text1"/>
        </w:rPr>
        <w:t>R</w:t>
      </w:r>
      <w:r w:rsidRPr="001310AD">
        <w:rPr>
          <w:i/>
          <w:iCs/>
          <w:color w:val="000000" w:themeColor="text1"/>
        </w:rPr>
        <w:t>evised price ($</w:t>
      </w:r>
      <w:r w:rsidR="000A3A2D" w:rsidRPr="00044091">
        <w:rPr>
          <w:i/>
          <w:iCs/>
          <w:color w:val="000000" w:themeColor="text1"/>
          <w:spacing w:val="81"/>
          <w:shd w:val="solid" w:color="000000" w:fill="000000"/>
          <w:fitText w:val="280" w:id="-628465652"/>
          <w14:textFill>
            <w14:solidFill>
              <w14:schemeClr w14:val="tx1">
                <w14:alpha w14:val="100000"/>
              </w14:schemeClr>
            </w14:solidFill>
          </w14:textFill>
        </w:rPr>
        <w:t>|</w:t>
      </w:r>
      <w:r w:rsidR="00044091" w:rsidRPr="00044091">
        <w:rPr>
          <w:i/>
          <w:iCs/>
          <w:color w:val="000000" w:themeColor="text1"/>
          <w:spacing w:val="81"/>
          <w:shd w:val="solid" w:color="000000" w:fill="000000"/>
          <w:fitText w:val="280" w:id="-628465652"/>
          <w14:textFill>
            <w14:solidFill>
              <w14:schemeClr w14:val="tx1">
                <w14:alpha w14:val="100000"/>
              </w14:schemeClr>
            </w14:solidFill>
          </w14:textFill>
        </w:rPr>
        <w:t xml:space="preserve"> </w:t>
      </w:r>
      <w:r w:rsidR="000A3A2D" w:rsidRPr="00044091">
        <w:rPr>
          <w:i/>
          <w:iCs/>
          <w:color w:val="000000" w:themeColor="text1"/>
          <w:spacing w:val="1"/>
          <w:shd w:val="solid" w:color="000000" w:fill="000000"/>
          <w:fitText w:val="280" w:id="-628465652"/>
          <w14:textFill>
            <w14:solidFill>
              <w14:schemeClr w14:val="tx1">
                <w14:alpha w14:val="100000"/>
              </w14:schemeClr>
            </w14:solidFill>
          </w14:textFill>
        </w:rPr>
        <w:t>|</w:t>
      </w:r>
      <w:r w:rsidRPr="001310AD">
        <w:rPr>
          <w:i/>
          <w:iCs/>
          <w:color w:val="000000" w:themeColor="text1"/>
        </w:rPr>
        <w:t xml:space="preserve"> per vial</w:t>
      </w:r>
      <w:r w:rsidR="00864B11" w:rsidRPr="001310AD">
        <w:rPr>
          <w:i/>
          <w:iCs/>
          <w:color w:val="000000" w:themeColor="text1"/>
        </w:rPr>
        <w:t>)</w:t>
      </w:r>
    </w:p>
    <w:p w14:paraId="58DC4586" w14:textId="77777777" w:rsidR="008B5F26" w:rsidRPr="008B5F26" w:rsidRDefault="008B5F26" w:rsidP="008B5F26">
      <w:pPr>
        <w:pStyle w:val="FooterTableFigure"/>
        <w:rPr>
          <w:i/>
        </w:rPr>
      </w:pPr>
      <w:r w:rsidRPr="008B5F26">
        <w:rPr>
          <w:i/>
        </w:rPr>
        <w:t xml:space="preserve">The redacted values correspond to the following ranges: </w:t>
      </w:r>
    </w:p>
    <w:p w14:paraId="1563F841" w14:textId="3B0EE022" w:rsidR="008B5F26" w:rsidRPr="008B5F26" w:rsidRDefault="008B5F26" w:rsidP="008B5F26">
      <w:pPr>
        <w:pStyle w:val="FooterTableFigure"/>
        <w:rPr>
          <w:i/>
        </w:rPr>
      </w:pPr>
      <w:r w:rsidRPr="008B5F26">
        <w:rPr>
          <w:i/>
          <w:vertAlign w:val="superscript"/>
        </w:rPr>
        <w:t>1</w:t>
      </w:r>
      <w:r w:rsidRPr="008B5F26">
        <w:rPr>
          <w:i/>
        </w:rPr>
        <w:t xml:space="preserve"> </w:t>
      </w:r>
      <w:r w:rsidR="001354CC" w:rsidRPr="001354CC">
        <w:rPr>
          <w:i/>
        </w:rPr>
        <w:t>20,000 to &lt; 30,000</w:t>
      </w:r>
    </w:p>
    <w:p w14:paraId="37378F89" w14:textId="2F373F6D" w:rsidR="008B5F26" w:rsidRPr="008B5F26" w:rsidRDefault="008B5F26" w:rsidP="008B5F26">
      <w:pPr>
        <w:pStyle w:val="FooterTableFigure"/>
        <w:rPr>
          <w:i/>
        </w:rPr>
      </w:pPr>
      <w:r w:rsidRPr="008B5F26">
        <w:rPr>
          <w:i/>
          <w:vertAlign w:val="superscript"/>
        </w:rPr>
        <w:t>2</w:t>
      </w:r>
      <w:r w:rsidRPr="008B5F26">
        <w:rPr>
          <w:i/>
        </w:rPr>
        <w:t xml:space="preserve"> </w:t>
      </w:r>
      <w:r w:rsidR="00790391" w:rsidRPr="00790391">
        <w:rPr>
          <w:i/>
        </w:rPr>
        <w:t>5,000 to &lt; 10,000</w:t>
      </w:r>
    </w:p>
    <w:p w14:paraId="3D354DF1" w14:textId="6308D2B6" w:rsidR="00E13C72" w:rsidRDefault="008B5F26" w:rsidP="00E13C72">
      <w:pPr>
        <w:pStyle w:val="FooterTableFigure"/>
        <w:rPr>
          <w:i/>
        </w:rPr>
      </w:pPr>
      <w:r w:rsidRPr="008B5F26">
        <w:rPr>
          <w:i/>
          <w:vertAlign w:val="superscript"/>
        </w:rPr>
        <w:t>3</w:t>
      </w:r>
      <w:r w:rsidRPr="008B5F26">
        <w:rPr>
          <w:i/>
        </w:rPr>
        <w:t xml:space="preserve"> </w:t>
      </w:r>
      <w:r w:rsidR="000A44A9" w:rsidRPr="000A44A9">
        <w:rPr>
          <w:i/>
        </w:rPr>
        <w:t>$0 to &lt; $10 million</w:t>
      </w:r>
    </w:p>
    <w:p w14:paraId="41BC038D" w14:textId="77777777" w:rsidR="00A342CE" w:rsidRPr="001310AD" w:rsidRDefault="00A342CE" w:rsidP="00E13C72">
      <w:pPr>
        <w:pStyle w:val="FooterTableFigure"/>
      </w:pPr>
    </w:p>
    <w:p w14:paraId="564C6A57" w14:textId="4B591991" w:rsidR="00D03766" w:rsidRPr="001310AD" w:rsidRDefault="00FB713E" w:rsidP="00D03766">
      <w:pPr>
        <w:pStyle w:val="3-BodyText"/>
        <w:rPr>
          <w:rStyle w:val="CommentReference"/>
          <w:rFonts w:asciiTheme="minorHAnsi" w:hAnsiTheme="minorHAnsi"/>
          <w:b w:val="0"/>
          <w:iCs/>
          <w:sz w:val="24"/>
          <w:szCs w:val="22"/>
        </w:rPr>
      </w:pPr>
      <w:r w:rsidRPr="001310AD">
        <w:t>The total cost to the NIP of listing RSVPreF3</w:t>
      </w:r>
      <w:r w:rsidR="00DB31EA" w:rsidRPr="001310AD">
        <w:t xml:space="preserve"> </w:t>
      </w:r>
      <w:r w:rsidRPr="001310AD">
        <w:t xml:space="preserve">OA </w:t>
      </w:r>
      <w:r w:rsidR="001703AF" w:rsidRPr="001310AD">
        <w:t xml:space="preserve">for Aboriginal and Torres Strait </w:t>
      </w:r>
      <w:r w:rsidR="00F13561" w:rsidRPr="001310AD">
        <w:t>Islander</w:t>
      </w:r>
      <w:r w:rsidR="001703AF" w:rsidRPr="001310AD">
        <w:t xml:space="preserve"> people </w:t>
      </w:r>
      <w:r w:rsidR="00F80876" w:rsidRPr="001310AD">
        <w:t xml:space="preserve">60-74 </w:t>
      </w:r>
      <w:r w:rsidR="00475037" w:rsidRPr="001310AD">
        <w:t xml:space="preserve">YOA </w:t>
      </w:r>
      <w:r w:rsidRPr="001310AD">
        <w:t xml:space="preserve">was estimated to be </w:t>
      </w:r>
      <w:r w:rsidR="00B74A1F" w:rsidRPr="00B74A1F">
        <w:t>$0 to &lt; $10 million</w:t>
      </w:r>
      <w:r w:rsidR="007D4B25">
        <w:t xml:space="preserve"> </w:t>
      </w:r>
      <w:r w:rsidRPr="001310AD">
        <w:t xml:space="preserve">in Year 6, and a total of </w:t>
      </w:r>
      <w:r w:rsidR="0093124F" w:rsidRPr="0093124F">
        <w:t>$10 million to &lt; $20 million</w:t>
      </w:r>
      <w:r w:rsidRPr="001310AD">
        <w:t xml:space="preserve"> in the first 6 years of listing.</w:t>
      </w:r>
      <w:r w:rsidR="00E57255" w:rsidRPr="001310AD">
        <w:t xml:space="preserve"> The PSCR</w:t>
      </w:r>
      <w:r w:rsidR="003917DF" w:rsidRPr="001310AD">
        <w:t xml:space="preserve"> estimated</w:t>
      </w:r>
      <w:r w:rsidR="00DC6350" w:rsidRPr="001310AD">
        <w:t xml:space="preserve"> that</w:t>
      </w:r>
      <w:r w:rsidR="00283F5C" w:rsidRPr="001310AD">
        <w:t xml:space="preserve"> the total cost to the NIP in the first 6 years of listing </w:t>
      </w:r>
      <w:r w:rsidR="003917DF" w:rsidRPr="001310AD">
        <w:t>would</w:t>
      </w:r>
      <w:r w:rsidR="00283F5C" w:rsidRPr="001310AD">
        <w:t xml:space="preserve"> be</w:t>
      </w:r>
      <w:r w:rsidR="007444A6" w:rsidRPr="001310AD">
        <w:t xml:space="preserve"> </w:t>
      </w:r>
      <w:r w:rsidR="0093124F" w:rsidRPr="0093124F">
        <w:t>$10 million to &lt; $20 million</w:t>
      </w:r>
      <w:r w:rsidR="00FE0F37" w:rsidRPr="001310AD">
        <w:t>, using the revised price of $</w:t>
      </w:r>
      <w:r w:rsidR="000A3A2D" w:rsidRPr="00044091">
        <w:rPr>
          <w:color w:val="000000"/>
          <w:spacing w:val="5"/>
          <w:w w:val="61"/>
          <w:shd w:val="solid" w:color="000000" w:fill="000000"/>
          <w:fitText w:val="472" w:id="-628465651"/>
          <w14:textFill>
            <w14:solidFill>
              <w14:srgbClr w14:val="000000">
                <w14:alpha w14:val="100000"/>
              </w14:srgbClr>
            </w14:solidFill>
          </w14:textFill>
        </w:rPr>
        <w:t>|||</w:t>
      </w:r>
      <w:r w:rsidR="00044091" w:rsidRPr="00044091">
        <w:rPr>
          <w:color w:val="000000"/>
          <w:spacing w:val="5"/>
          <w:w w:val="61"/>
          <w:shd w:val="solid" w:color="000000" w:fill="000000"/>
          <w:fitText w:val="472" w:id="-628465651"/>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651"/>
          <w14:textFill>
            <w14:solidFill>
              <w14:srgbClr w14:val="000000">
                <w14:alpha w14:val="100000"/>
              </w14:srgbClr>
            </w14:solidFill>
          </w14:textFill>
        </w:rPr>
        <w:t>|||</w:t>
      </w:r>
      <w:r w:rsidR="00FE0F37" w:rsidRPr="001310AD">
        <w:t xml:space="preserve"> per vial (reduced from $</w:t>
      </w:r>
      <w:r w:rsidR="000A3A2D" w:rsidRPr="00044091">
        <w:rPr>
          <w:color w:val="000000"/>
          <w:spacing w:val="5"/>
          <w:w w:val="61"/>
          <w:shd w:val="solid" w:color="000000" w:fill="000000"/>
          <w:fitText w:val="472" w:id="-628465650"/>
          <w14:textFill>
            <w14:solidFill>
              <w14:srgbClr w14:val="000000">
                <w14:alpha w14:val="100000"/>
              </w14:srgbClr>
            </w14:solidFill>
          </w14:textFill>
        </w:rPr>
        <w:t>|||</w:t>
      </w:r>
      <w:r w:rsidR="00044091" w:rsidRPr="00044091">
        <w:rPr>
          <w:color w:val="000000"/>
          <w:spacing w:val="5"/>
          <w:w w:val="61"/>
          <w:shd w:val="solid" w:color="000000" w:fill="000000"/>
          <w:fitText w:val="472" w:id="-628465650"/>
          <w14:textFill>
            <w14:solidFill>
              <w14:srgbClr w14:val="000000">
                <w14:alpha w14:val="100000"/>
              </w14:srgbClr>
            </w14:solidFill>
          </w14:textFill>
        </w:rPr>
        <w:t xml:space="preserve"> </w:t>
      </w:r>
      <w:r w:rsidR="000A3A2D" w:rsidRPr="00044091">
        <w:rPr>
          <w:color w:val="000000"/>
          <w:spacing w:val="5"/>
          <w:w w:val="61"/>
          <w:shd w:val="solid" w:color="000000" w:fill="000000"/>
          <w:fitText w:val="472" w:id="-628465650"/>
          <w14:textFill>
            <w14:solidFill>
              <w14:srgbClr w14:val="000000">
                <w14:alpha w14:val="100000"/>
              </w14:srgbClr>
            </w14:solidFill>
          </w14:textFill>
        </w:rPr>
        <w:t>|||</w:t>
      </w:r>
      <w:r w:rsidR="00EE5B51" w:rsidRPr="001310AD">
        <w:t>)</w:t>
      </w:r>
      <w:r w:rsidR="007444A6" w:rsidRPr="001310AD">
        <w:t>.</w:t>
      </w:r>
      <w:r w:rsidRPr="001310AD">
        <w:rPr>
          <w:color w:val="3366FF"/>
        </w:rPr>
        <w:t xml:space="preserve"> </w:t>
      </w:r>
    </w:p>
    <w:p w14:paraId="7F34FC96" w14:textId="478A5100" w:rsidR="007B5751" w:rsidRPr="001310AD" w:rsidRDefault="007B5751" w:rsidP="00912893">
      <w:pPr>
        <w:pStyle w:val="3-BodyText"/>
        <w:rPr>
          <w:i/>
          <w:iCs/>
        </w:rPr>
      </w:pPr>
      <w:r w:rsidRPr="001310AD">
        <w:lastRenderedPageBreak/>
        <w:t>The ESC noted the high</w:t>
      </w:r>
      <w:r w:rsidR="001B392F" w:rsidRPr="001310AD">
        <w:t xml:space="preserve"> cost to the NIP</w:t>
      </w:r>
      <w:r w:rsidR="00931B7F" w:rsidRPr="001310AD">
        <w:t xml:space="preserve"> </w:t>
      </w:r>
      <w:r w:rsidR="00CE5FD1" w:rsidRPr="001310AD">
        <w:t>in the first year</w:t>
      </w:r>
      <w:r w:rsidR="00931B7F" w:rsidRPr="001310AD">
        <w:t xml:space="preserve"> of</w:t>
      </w:r>
      <w:r w:rsidR="00DB31EA" w:rsidRPr="001310AD">
        <w:t xml:space="preserve"> RSVPreF3 OA</w:t>
      </w:r>
      <w:r w:rsidR="00931B7F" w:rsidRPr="001310AD">
        <w:t xml:space="preserve"> listing</w:t>
      </w:r>
      <w:r w:rsidR="009D5430" w:rsidRPr="001310AD">
        <w:t xml:space="preserve"> compared with later years</w:t>
      </w:r>
      <w:r w:rsidR="00CE2458" w:rsidRPr="001310AD">
        <w:t>, with m</w:t>
      </w:r>
      <w:r w:rsidR="00CE5FD1" w:rsidRPr="001310AD">
        <w:t>ost</w:t>
      </w:r>
      <w:r w:rsidR="00CE2458" w:rsidRPr="001310AD">
        <w:t xml:space="preserve"> of the cost offsets occurring </w:t>
      </w:r>
      <w:r w:rsidR="00CE5FD1" w:rsidRPr="001310AD">
        <w:t>due to reduced hospitalisations (shared cost between the Federal and State and Territory Governments)</w:t>
      </w:r>
      <w:r w:rsidR="00183184" w:rsidRPr="001310AD">
        <w:t>.</w:t>
      </w:r>
      <w:r w:rsidR="00124E18" w:rsidRPr="001310AD">
        <w:t xml:space="preserve"> </w:t>
      </w:r>
    </w:p>
    <w:p w14:paraId="2238DEE9" w14:textId="3E6A228B" w:rsidR="00576972" w:rsidRPr="001310AD" w:rsidRDefault="00576972" w:rsidP="00606FBA">
      <w:pPr>
        <w:pStyle w:val="4-SubsectionHeading"/>
      </w:pPr>
      <w:bookmarkStart w:id="99" w:name="_Toc22897648"/>
      <w:bookmarkStart w:id="100" w:name="_Toc198731713"/>
      <w:r w:rsidRPr="001310AD">
        <w:t>Quality Use of Medicines</w:t>
      </w:r>
      <w:bookmarkEnd w:id="99"/>
      <w:bookmarkEnd w:id="100"/>
    </w:p>
    <w:p w14:paraId="7073A905" w14:textId="77777777" w:rsidR="005115E4" w:rsidRPr="001310AD" w:rsidRDefault="005115E4" w:rsidP="005115E4">
      <w:pPr>
        <w:pStyle w:val="3-BodyText"/>
      </w:pPr>
      <w:r w:rsidRPr="001310AD">
        <w:t>The resubmission presented additional post marketing activities that include:</w:t>
      </w:r>
    </w:p>
    <w:p w14:paraId="20280D32" w14:textId="73EF4E9C" w:rsidR="005115E4" w:rsidRPr="001310AD" w:rsidRDefault="005115E4">
      <w:pPr>
        <w:pStyle w:val="3-BodyText"/>
        <w:numPr>
          <w:ilvl w:val="1"/>
          <w:numId w:val="10"/>
        </w:numPr>
        <w:ind w:left="1134" w:hanging="283"/>
        <w:rPr>
          <w:i/>
          <w:iCs/>
        </w:rPr>
      </w:pPr>
      <w:r w:rsidRPr="001310AD">
        <w:t>education of healthcare professionals</w:t>
      </w:r>
      <w:r w:rsidR="00D51B24" w:rsidRPr="001310AD">
        <w:t>.</w:t>
      </w:r>
      <w:r w:rsidRPr="001310AD">
        <w:t xml:space="preserve"> </w:t>
      </w:r>
    </w:p>
    <w:p w14:paraId="3B8EEBB0" w14:textId="77777777" w:rsidR="005115E4" w:rsidRPr="001310AD" w:rsidRDefault="005115E4">
      <w:pPr>
        <w:pStyle w:val="3-BodyText"/>
        <w:numPr>
          <w:ilvl w:val="1"/>
          <w:numId w:val="10"/>
        </w:numPr>
        <w:ind w:left="1134" w:hanging="283"/>
        <w:rPr>
          <w:i/>
          <w:iCs/>
        </w:rPr>
      </w:pPr>
      <w:r w:rsidRPr="001310AD">
        <w:t xml:space="preserve">awareness campaigns helping educate consumers about RSV, including the development of culturally appropriate patient support materials for people with linguistically diverse backgrounds and dissemination of non-promotional RSV disease awareness information. </w:t>
      </w:r>
    </w:p>
    <w:p w14:paraId="74F4A570" w14:textId="45979461" w:rsidR="005115E4" w:rsidRPr="001310AD" w:rsidRDefault="006A68CE">
      <w:pPr>
        <w:pStyle w:val="3-BodyText"/>
        <w:numPr>
          <w:ilvl w:val="1"/>
          <w:numId w:val="10"/>
        </w:numPr>
        <w:ind w:left="1134" w:hanging="283"/>
        <w:rPr>
          <w:i/>
          <w:iCs/>
        </w:rPr>
      </w:pPr>
      <w:r w:rsidRPr="001310AD">
        <w:t>c</w:t>
      </w:r>
      <w:r w:rsidR="005115E4" w:rsidRPr="001310AD">
        <w:t xml:space="preserve">onsumer market research to understand consumers and inform development of disease awareness campaigns. </w:t>
      </w:r>
    </w:p>
    <w:p w14:paraId="687BA61B" w14:textId="53604CDD" w:rsidR="005115E4" w:rsidRPr="001310AD" w:rsidRDefault="006A68CE">
      <w:pPr>
        <w:pStyle w:val="3-BodyText"/>
        <w:numPr>
          <w:ilvl w:val="1"/>
          <w:numId w:val="10"/>
        </w:numPr>
        <w:ind w:left="1134" w:hanging="283"/>
        <w:rPr>
          <w:i/>
          <w:iCs/>
        </w:rPr>
      </w:pPr>
      <w:r w:rsidRPr="001310AD">
        <w:t>r</w:t>
      </w:r>
      <w:r w:rsidR="005115E4" w:rsidRPr="001310AD">
        <w:t>esources to support patients prescribed RSVPreF3 OA to healthcare professionals.</w:t>
      </w:r>
    </w:p>
    <w:p w14:paraId="732312F8" w14:textId="06F136E2" w:rsidR="004D3D24" w:rsidRPr="001310AD" w:rsidRDefault="006A68CE">
      <w:pPr>
        <w:pStyle w:val="3-BodyText"/>
        <w:numPr>
          <w:ilvl w:val="1"/>
          <w:numId w:val="10"/>
        </w:numPr>
        <w:ind w:left="1134" w:hanging="283"/>
      </w:pPr>
      <w:r w:rsidRPr="001310AD">
        <w:t>s</w:t>
      </w:r>
      <w:r w:rsidR="005115E4" w:rsidRPr="001310AD">
        <w:t xml:space="preserve">upport to patient organisations and general quality use of medicines measures. </w:t>
      </w:r>
    </w:p>
    <w:p w14:paraId="665B9913" w14:textId="77777777" w:rsidR="00D80D67" w:rsidRPr="001310AD" w:rsidRDefault="00D80D67" w:rsidP="00D80D67">
      <w:pPr>
        <w:pStyle w:val="3-BodyText"/>
        <w:numPr>
          <w:ilvl w:val="0"/>
          <w:numId w:val="0"/>
        </w:numPr>
        <w:ind w:left="1440" w:hanging="720"/>
        <w:rPr>
          <w:i/>
        </w:rPr>
      </w:pPr>
    </w:p>
    <w:p w14:paraId="453DCC9E" w14:textId="2DC30B2E" w:rsidR="008659F1" w:rsidRPr="001310AD" w:rsidRDefault="00D80D67" w:rsidP="0093124F">
      <w:pPr>
        <w:pStyle w:val="3-BodyText"/>
        <w:numPr>
          <w:ilvl w:val="0"/>
          <w:numId w:val="0"/>
        </w:numPr>
        <w:ind w:left="1440" w:hanging="720"/>
        <w:rPr>
          <w:i/>
        </w:rPr>
      </w:pPr>
      <w:r w:rsidRPr="001310AD">
        <w:rPr>
          <w:i/>
        </w:rPr>
        <w:t>For more detail on PBAC’s view, see section 7 PBAC outcome.</w:t>
      </w:r>
    </w:p>
    <w:p w14:paraId="30886D4D" w14:textId="77777777" w:rsidR="00A93B7A" w:rsidRPr="001310AD" w:rsidRDefault="00A93B7A" w:rsidP="00B36D3C">
      <w:pPr>
        <w:pStyle w:val="2-SectionHeading"/>
      </w:pPr>
      <w:bookmarkStart w:id="101" w:name="_Hlk76381249"/>
      <w:r w:rsidRPr="001310AD">
        <w:t>PBAC Outcome</w:t>
      </w:r>
    </w:p>
    <w:p w14:paraId="2BE6CD0F" w14:textId="63369ABE" w:rsidR="0098611C" w:rsidRPr="001310AD" w:rsidRDefault="003E559F" w:rsidP="00A0181B">
      <w:pPr>
        <w:pStyle w:val="3-BodyText"/>
        <w:rPr>
          <w:snapToGrid w:val="0"/>
        </w:rPr>
      </w:pPr>
      <w:r w:rsidRPr="001310AD">
        <w:rPr>
          <w:snapToGrid w:val="0"/>
        </w:rPr>
        <w:t>The PBAC recommended that respiratory syncytial virus vaccine (A</w:t>
      </w:r>
      <w:r w:rsidR="00040808" w:rsidRPr="001310AD">
        <w:rPr>
          <w:snapToGrid w:val="0"/>
        </w:rPr>
        <w:t>rexvy</w:t>
      </w:r>
      <w:r w:rsidRPr="001310AD">
        <w:rPr>
          <w:snapToGrid w:val="0"/>
        </w:rPr>
        <w:t>, RSV</w:t>
      </w:r>
      <w:r w:rsidR="00040808" w:rsidRPr="001310AD">
        <w:rPr>
          <w:snapToGrid w:val="0"/>
        </w:rPr>
        <w:t>P</w:t>
      </w:r>
      <w:r w:rsidRPr="001310AD">
        <w:rPr>
          <w:snapToGrid w:val="0"/>
        </w:rPr>
        <w:t>reF</w:t>
      </w:r>
      <w:r w:rsidR="00040808" w:rsidRPr="001310AD">
        <w:rPr>
          <w:snapToGrid w:val="0"/>
        </w:rPr>
        <w:t>3 OA</w:t>
      </w:r>
      <w:r w:rsidRPr="001310AD">
        <w:rPr>
          <w:snapToGrid w:val="0"/>
        </w:rPr>
        <w:t xml:space="preserve">) be a designated vaccine for the purposes of the </w:t>
      </w:r>
      <w:r w:rsidRPr="001310AD">
        <w:rPr>
          <w:i/>
          <w:iCs/>
          <w:snapToGrid w:val="0"/>
        </w:rPr>
        <w:t>National Health Act 1953</w:t>
      </w:r>
      <w:r w:rsidRPr="001310AD">
        <w:rPr>
          <w:snapToGrid w:val="0"/>
        </w:rPr>
        <w:t xml:space="preserve"> for the prevention of lower respiratory tract </w:t>
      </w:r>
      <w:r w:rsidR="00F3627E" w:rsidRPr="001310AD">
        <w:rPr>
          <w:snapToGrid w:val="0"/>
        </w:rPr>
        <w:t>disease</w:t>
      </w:r>
      <w:r w:rsidRPr="001310AD">
        <w:rPr>
          <w:snapToGrid w:val="0"/>
        </w:rPr>
        <w:t xml:space="preserve"> (LRT</w:t>
      </w:r>
      <w:r w:rsidR="00F3627E" w:rsidRPr="001310AD">
        <w:rPr>
          <w:snapToGrid w:val="0"/>
        </w:rPr>
        <w:t>D</w:t>
      </w:r>
      <w:r w:rsidRPr="001310AD">
        <w:rPr>
          <w:snapToGrid w:val="0"/>
        </w:rPr>
        <w:t xml:space="preserve">) caused by respiratory syncytial virus (RSV) for adults 75 years of age and above, and for Aboriginal and Torres Strait Islander peoples aged 60 to 74 years. </w:t>
      </w:r>
      <w:r w:rsidR="00F3627E" w:rsidRPr="001310AD">
        <w:rPr>
          <w:snapToGrid w:val="0"/>
        </w:rPr>
        <w:t>The PBAC considered that the vaccine was superior to no vaccine in terms of effectiveness with an acceptable safety profile, however the duration and magnitude of protection in the requested populations remained uncertain.</w:t>
      </w:r>
      <w:r w:rsidR="00044091">
        <w:rPr>
          <w:snapToGrid w:val="0"/>
        </w:rPr>
        <w:t xml:space="preserve"> </w:t>
      </w:r>
      <w:r w:rsidR="00130C09" w:rsidRPr="001310AD">
        <w:t xml:space="preserve">The PBAC noted the clinical evidence for </w:t>
      </w:r>
      <w:r w:rsidR="00F3627E" w:rsidRPr="001310AD">
        <w:t>RSVPreF3 OA</w:t>
      </w:r>
      <w:r w:rsidR="00130C09" w:rsidRPr="001310AD">
        <w:t xml:space="preserve"> over three seasons, and advised that it would be reasonable to accept vaccine efficacy (VE) over a period of </w:t>
      </w:r>
      <w:r w:rsidR="00C46B5E" w:rsidRPr="001310AD">
        <w:t>three years for the purposes of the economic evaluation.</w:t>
      </w:r>
      <w:r w:rsidR="002D059F" w:rsidRPr="001310AD">
        <w:t xml:space="preserve"> </w:t>
      </w:r>
      <w:r w:rsidR="00A8198B" w:rsidRPr="001310AD">
        <w:t xml:space="preserve">The PBAC </w:t>
      </w:r>
      <w:r w:rsidR="00F3627E" w:rsidRPr="001310AD">
        <w:t>recalled</w:t>
      </w:r>
      <w:r w:rsidR="00A8198B" w:rsidRPr="001310AD">
        <w:t xml:space="preserve"> that the near market comparator (</w:t>
      </w:r>
      <w:r w:rsidR="002901B4" w:rsidRPr="001310AD">
        <w:t xml:space="preserve">RSVPreF, </w:t>
      </w:r>
      <w:r w:rsidR="00A8198B" w:rsidRPr="001310AD">
        <w:t xml:space="preserve">Abrysvo) was recommended for NIP listing at the November 2024 PBAC meeting for the same populations (people </w:t>
      </w:r>
      <w:r w:rsidR="00A8198B" w:rsidRPr="001310AD">
        <w:rPr>
          <w:rFonts w:cs="Calibri"/>
        </w:rPr>
        <w:t>≥</w:t>
      </w:r>
      <w:r w:rsidR="00A8198B" w:rsidRPr="001310AD">
        <w:rPr>
          <w:rFonts w:cstheme="minorHAnsi"/>
        </w:rPr>
        <w:t>75 years and Aboriginal and Torres Strait Islander peoples aged 60 to 74 years)</w:t>
      </w:r>
      <w:r w:rsidR="009E40DD" w:rsidRPr="001310AD">
        <w:rPr>
          <w:rFonts w:cstheme="minorHAnsi"/>
        </w:rPr>
        <w:t>.</w:t>
      </w:r>
      <w:r w:rsidR="00044091">
        <w:rPr>
          <w:rFonts w:cstheme="minorHAnsi"/>
        </w:rPr>
        <w:t xml:space="preserve"> </w:t>
      </w:r>
      <w:r w:rsidR="0098611C" w:rsidRPr="001310AD">
        <w:t>The PBAC noted the limitations of the indirect comparison presented in the resubmission, including the different durations of trial follow-up available, and on balance concluded that RSVPreF3 OA was non-inferior to RSVPreF with respect to comparative effectiveness and safety.</w:t>
      </w:r>
      <w:r w:rsidR="00044091">
        <w:t xml:space="preserve"> </w:t>
      </w:r>
      <w:r w:rsidR="002901B4" w:rsidRPr="001310AD">
        <w:t>The PBAC advised that RSVPreF3 OA</w:t>
      </w:r>
      <w:r w:rsidR="00714BEB" w:rsidRPr="001310AD">
        <w:t xml:space="preserve"> </w:t>
      </w:r>
      <w:r w:rsidR="00A8198B" w:rsidRPr="001310AD">
        <w:t>would be cost</w:t>
      </w:r>
      <w:r w:rsidR="002901B4" w:rsidRPr="001310AD">
        <w:t>-</w:t>
      </w:r>
      <w:r w:rsidR="00A8198B" w:rsidRPr="001310AD">
        <w:t xml:space="preserve">effective </w:t>
      </w:r>
      <w:r w:rsidR="00DC57FD" w:rsidRPr="001310AD">
        <w:t xml:space="preserve">if it were cost-minimised to </w:t>
      </w:r>
      <w:r w:rsidR="00C426DD" w:rsidRPr="001310AD">
        <w:rPr>
          <w:snapToGrid w:val="0"/>
        </w:rPr>
        <w:t>RSVpreF.</w:t>
      </w:r>
      <w:r w:rsidR="00044091">
        <w:rPr>
          <w:snapToGrid w:val="0"/>
        </w:rPr>
        <w:t xml:space="preserve"> </w:t>
      </w:r>
      <w:r w:rsidR="0098611C" w:rsidRPr="001310AD">
        <w:rPr>
          <w:snapToGrid w:val="0"/>
        </w:rPr>
        <w:t xml:space="preserve">The PBAC considered, given the comparable effectiveness and </w:t>
      </w:r>
      <w:r w:rsidR="0098611C" w:rsidRPr="001310AD">
        <w:rPr>
          <w:snapToGrid w:val="0"/>
        </w:rPr>
        <w:lastRenderedPageBreak/>
        <w:t>safety of the RSVPreF3 OA and RSVpreF vaccines, that the listing should not result in any additional net cost to Government.</w:t>
      </w:r>
    </w:p>
    <w:p w14:paraId="0AAC0ABF" w14:textId="4A3D1EA3" w:rsidR="00A93B7A" w:rsidRPr="001310AD" w:rsidRDefault="007D7B35" w:rsidP="00751498">
      <w:pPr>
        <w:pStyle w:val="3-BodyText"/>
        <w:rPr>
          <w:snapToGrid w:val="0"/>
        </w:rPr>
      </w:pPr>
      <w:bookmarkStart w:id="102" w:name="_Ref204240640"/>
      <w:r w:rsidRPr="001310AD">
        <w:rPr>
          <w:snapToGrid w:val="0"/>
        </w:rPr>
        <w:t>The PBAC recommended the listing of RSVPreF3 OA on the basis that it should be available through the National Immunisation Program (NIP) under the circumstances specified in Section 8 below (adults aged 75 years and above, and Aboriginal and Torres Strait Islander peoples aged 60 to 74 years)</w:t>
      </w:r>
      <w:r w:rsidRPr="001310AD">
        <w:rPr>
          <w:bCs/>
        </w:rPr>
        <w:t>.</w:t>
      </w:r>
      <w:bookmarkEnd w:id="102"/>
    </w:p>
    <w:p w14:paraId="2B670836" w14:textId="377A7D9F" w:rsidR="006B161B" w:rsidRPr="001310AD" w:rsidRDefault="006B161B" w:rsidP="00C06C99">
      <w:pPr>
        <w:pStyle w:val="3-BodyText"/>
        <w:rPr>
          <w:snapToGrid w:val="0"/>
        </w:rPr>
      </w:pPr>
      <w:bookmarkStart w:id="103" w:name="_Ref118727999"/>
      <w:r w:rsidRPr="001310AD">
        <w:rPr>
          <w:rFonts w:eastAsia="Times New Roman" w:cs="Arial"/>
          <w:snapToGrid w:val="0"/>
          <w:szCs w:val="24"/>
        </w:rPr>
        <w:t>The PBAC considered RSVPreF3 OA would be cost-effective if it were cost-minimised against RSVpreF for the two recommended populations (</w:t>
      </w:r>
      <w:r w:rsidRPr="001310AD">
        <w:rPr>
          <w:rFonts w:eastAsia="Calibri"/>
        </w:rPr>
        <w:t xml:space="preserve">adults aged ≥75 years, and </w:t>
      </w:r>
      <w:r w:rsidRPr="001310AD">
        <w:rPr>
          <w:snapToGrid w:val="0"/>
        </w:rPr>
        <w:t>Aboriginal and Torres Strait Islander peoples aged 60 to 74 years).</w:t>
      </w:r>
      <w:r w:rsidR="00044091">
        <w:rPr>
          <w:snapToGrid w:val="0"/>
        </w:rPr>
        <w:t xml:space="preserve"> </w:t>
      </w:r>
      <w:r w:rsidRPr="001310AD">
        <w:rPr>
          <w:snapToGrid w:val="0"/>
        </w:rPr>
        <w:t xml:space="preserve">The PBAC </w:t>
      </w:r>
      <w:r w:rsidRPr="001310AD">
        <w:rPr>
          <w:rFonts w:eastAsia="Times New Roman" w:cs="Arial"/>
          <w:snapToGrid w:val="0"/>
          <w:szCs w:val="24"/>
        </w:rPr>
        <w:t xml:space="preserve">noted that a cost minimisation approach would result in the same price per dose for RSVPreF3 OA as for RSVpreF, </w:t>
      </w:r>
      <w:r w:rsidRPr="001310AD">
        <w:t xml:space="preserve">consistent with the clinical conclusion of non-inferior effectiveness and safety. </w:t>
      </w:r>
      <w:r w:rsidRPr="001310AD">
        <w:rPr>
          <w:snapToGrid w:val="0"/>
        </w:rPr>
        <w:t xml:space="preserve">The PBAC considered the equi-effective doses were: </w:t>
      </w:r>
      <w:bookmarkEnd w:id="103"/>
    </w:p>
    <w:p w14:paraId="2AB2C9A6" w14:textId="77777777" w:rsidR="006B161B" w:rsidRPr="001310AD" w:rsidRDefault="006B161B">
      <w:pPr>
        <w:pStyle w:val="3-BodyText"/>
        <w:numPr>
          <w:ilvl w:val="1"/>
          <w:numId w:val="17"/>
        </w:numPr>
        <w:spacing w:before="0" w:after="0"/>
        <w:ind w:hanging="357"/>
        <w:rPr>
          <w:rFonts w:eastAsia="Times New Roman" w:cs="Arial"/>
          <w:snapToGrid w:val="0"/>
          <w:szCs w:val="24"/>
        </w:rPr>
      </w:pPr>
      <w:r w:rsidRPr="001310AD">
        <w:rPr>
          <w:rFonts w:eastAsia="Times New Roman" w:cs="Arial"/>
          <w:snapToGrid w:val="0"/>
          <w:szCs w:val="24"/>
        </w:rPr>
        <w:t xml:space="preserve">One dose (120 micrograms) RSVPreF3 OA (Arexvy); </w:t>
      </w:r>
    </w:p>
    <w:p w14:paraId="27EEAA77" w14:textId="77777777" w:rsidR="006B161B" w:rsidRPr="001310AD" w:rsidRDefault="006B161B">
      <w:pPr>
        <w:pStyle w:val="ListParagraph"/>
        <w:widowControl w:val="0"/>
        <w:numPr>
          <w:ilvl w:val="1"/>
          <w:numId w:val="17"/>
        </w:numPr>
      </w:pPr>
      <w:r w:rsidRPr="001310AD">
        <w:t>One dose (</w:t>
      </w:r>
      <w:r w:rsidRPr="001310AD">
        <w:rPr>
          <w:bCs/>
        </w:rPr>
        <w:t>120 micrograms)</w:t>
      </w:r>
      <w:r w:rsidRPr="001310AD">
        <w:t xml:space="preserve"> RSVPreF (Abrysvo).</w:t>
      </w:r>
    </w:p>
    <w:p w14:paraId="38E4A585" w14:textId="35B8AFE4" w:rsidR="0098611C" w:rsidRPr="001310AD" w:rsidRDefault="0098611C" w:rsidP="00D92CE8">
      <w:pPr>
        <w:pStyle w:val="3-BodyText"/>
        <w:rPr>
          <w:snapToGrid w:val="0"/>
        </w:rPr>
      </w:pPr>
      <w:bookmarkStart w:id="104" w:name="_Ref204359590"/>
      <w:r w:rsidRPr="001310AD">
        <w:t xml:space="preserve">The PBAC noted and welcomed the advice from the ATAGI that was provided to assist with </w:t>
      </w:r>
      <w:r w:rsidR="00141D94" w:rsidRPr="001310AD">
        <w:t xml:space="preserve">its </w:t>
      </w:r>
      <w:r w:rsidRPr="001310AD">
        <w:t xml:space="preserve">consideration of this resubmission. The PBAC noted that ATAGI advice supported NIP listing </w:t>
      </w:r>
      <w:r w:rsidRPr="001310AD">
        <w:rPr>
          <w:rFonts w:eastAsia="Calibri"/>
        </w:rPr>
        <w:t xml:space="preserve">for three populations, that is all adults aged ≥75 years, </w:t>
      </w:r>
      <w:r w:rsidRPr="001310AD">
        <w:rPr>
          <w:snapToGrid w:val="0"/>
        </w:rPr>
        <w:t>Aboriginal and Torres Strait Islander peoples aged 60 to 74 years; and</w:t>
      </w:r>
      <w:r w:rsidRPr="001310AD">
        <w:rPr>
          <w:rFonts w:eastAsia="Calibri"/>
        </w:rPr>
        <w:t xml:space="preserve"> people </w:t>
      </w:r>
      <w:r w:rsidRPr="001310AD">
        <w:rPr>
          <w:snapToGrid w:val="0"/>
        </w:rPr>
        <w:t>aged 60 to 74 years</w:t>
      </w:r>
      <w:r w:rsidRPr="001310AD">
        <w:rPr>
          <w:rFonts w:eastAsia="Calibri"/>
        </w:rPr>
        <w:t xml:space="preserve"> with increased risk of severe RSV disease due to pre-defined risk conditions</w:t>
      </w:r>
      <w:r w:rsidRPr="001310AD">
        <w:t>.</w:t>
      </w:r>
      <w:r w:rsidR="00044091">
        <w:t xml:space="preserve"> </w:t>
      </w:r>
      <w:r w:rsidRPr="001310AD">
        <w:t>Consistent with its previous advice, t</w:t>
      </w:r>
      <w:r w:rsidRPr="001310AD">
        <w:rPr>
          <w:rFonts w:eastAsia="Calibri"/>
        </w:rPr>
        <w:t>he PBAC considered there was a high clinical need for an effective vaccine for the three populations supported by the ATAGI.</w:t>
      </w:r>
      <w:r w:rsidR="00044091">
        <w:rPr>
          <w:rFonts w:eastAsia="Calibri"/>
        </w:rPr>
        <w:t xml:space="preserve"> </w:t>
      </w:r>
      <w:r w:rsidRPr="001310AD">
        <w:t>The PBAC noted that the third population would be addressed in a future resubmission.</w:t>
      </w:r>
      <w:bookmarkEnd w:id="104"/>
    </w:p>
    <w:p w14:paraId="02595386" w14:textId="13CEDFEE" w:rsidR="00A93B7A" w:rsidRPr="001310AD" w:rsidRDefault="00A4160E" w:rsidP="00981E7C">
      <w:pPr>
        <w:pStyle w:val="3-BodyText"/>
        <w:rPr>
          <w:snapToGrid w:val="0"/>
        </w:rPr>
      </w:pPr>
      <w:r w:rsidRPr="001310AD">
        <w:t xml:space="preserve">The PBAC previously considered that there is a high clinical need for vaccines, such as RSVPreF3 OA vaccine, to reduce the risk of RSV in older adults, </w:t>
      </w:r>
      <w:r w:rsidRPr="001310AD">
        <w:rPr>
          <w:snapToGrid w:val="0"/>
        </w:rPr>
        <w:t>especially those aged over 75 years</w:t>
      </w:r>
      <w:r w:rsidR="00B46E0E" w:rsidRPr="001310AD">
        <w:rPr>
          <w:snapToGrid w:val="0"/>
        </w:rPr>
        <w:t>,</w:t>
      </w:r>
      <w:r w:rsidRPr="001310AD">
        <w:rPr>
          <w:snapToGrid w:val="0"/>
        </w:rPr>
        <w:t xml:space="preserve"> </w:t>
      </w:r>
      <w:r w:rsidR="00E70A5E" w:rsidRPr="001310AD">
        <w:rPr>
          <w:snapToGrid w:val="0"/>
        </w:rPr>
        <w:t>Aboriginal and Torres Strait Islander people</w:t>
      </w:r>
      <w:r w:rsidR="003C36A0" w:rsidRPr="001310AD">
        <w:rPr>
          <w:snapToGrid w:val="0"/>
        </w:rPr>
        <w:t>, and those vulnerable due to existing medical conditions</w:t>
      </w:r>
      <w:r w:rsidR="006E080A" w:rsidRPr="001310AD">
        <w:rPr>
          <w:snapToGrid w:val="0"/>
        </w:rPr>
        <w:t xml:space="preserve"> (</w:t>
      </w:r>
      <w:r w:rsidR="005A05B2" w:rsidRPr="001310AD">
        <w:rPr>
          <w:snapToGrid w:val="0"/>
        </w:rPr>
        <w:t xml:space="preserve">paragraph 7.4, </w:t>
      </w:r>
      <w:r w:rsidR="005A05B2" w:rsidRPr="001310AD">
        <w:rPr>
          <w:rFonts w:cstheme="minorHAnsi"/>
        </w:rPr>
        <w:t>RSVPreF3 OA PSD, July 2024</w:t>
      </w:r>
      <w:r w:rsidR="006E080A" w:rsidRPr="001310AD">
        <w:rPr>
          <w:snapToGrid w:val="0"/>
        </w:rPr>
        <w:t>)</w:t>
      </w:r>
      <w:r w:rsidRPr="001310AD">
        <w:rPr>
          <w:snapToGrid w:val="0"/>
        </w:rPr>
        <w:t xml:space="preserve">. </w:t>
      </w:r>
      <w:r w:rsidRPr="001310AD">
        <w:t xml:space="preserve">The PBAC noted the proposed listing of RSVPreF3 OA vaccine was supported by the consumer comments received for this </w:t>
      </w:r>
      <w:r w:rsidR="009B4728" w:rsidRPr="001310AD">
        <w:t>re</w:t>
      </w:r>
      <w:r w:rsidRPr="001310AD">
        <w:t>submission.</w:t>
      </w:r>
    </w:p>
    <w:p w14:paraId="385B0643" w14:textId="3E24B3AC" w:rsidR="00E16528" w:rsidRPr="001310AD" w:rsidRDefault="00E16528" w:rsidP="00C45BED">
      <w:pPr>
        <w:pStyle w:val="3-BodyText"/>
        <w:rPr>
          <w:snapToGrid w:val="0"/>
        </w:rPr>
      </w:pPr>
      <w:r w:rsidRPr="001310AD">
        <w:rPr>
          <w:snapToGrid w:val="0"/>
        </w:rPr>
        <w:t xml:space="preserve">The PBAC noted that </w:t>
      </w:r>
      <w:proofErr w:type="gramStart"/>
      <w:r w:rsidRPr="001310AD">
        <w:rPr>
          <w:snapToGrid w:val="0"/>
        </w:rPr>
        <w:t>a number of</w:t>
      </w:r>
      <w:proofErr w:type="gramEnd"/>
      <w:r w:rsidRPr="001310AD">
        <w:rPr>
          <w:snapToGrid w:val="0"/>
        </w:rPr>
        <w:t xml:space="preserve"> RSV vaccines and monoclonal antibodies are in development globally for prevention of RSV disease, and the clinical algorithm is changing following TGA registration and market launch of the first wave of these products in Australia, including </w:t>
      </w:r>
      <w:r w:rsidRPr="001310AD">
        <w:t>RSV</w:t>
      </w:r>
      <w:r w:rsidR="003B7B79" w:rsidRPr="001310AD">
        <w:t>P</w:t>
      </w:r>
      <w:r w:rsidRPr="001310AD">
        <w:t>reF</w:t>
      </w:r>
      <w:r w:rsidR="00B22AEE" w:rsidRPr="001310AD">
        <w:t>3</w:t>
      </w:r>
      <w:r w:rsidR="003B7B79" w:rsidRPr="001310AD">
        <w:t xml:space="preserve"> OA, </w:t>
      </w:r>
      <w:r w:rsidRPr="001310AD">
        <w:t>RSVPreF</w:t>
      </w:r>
      <w:r w:rsidR="00B51C3B" w:rsidRPr="001310AD">
        <w:t xml:space="preserve">, and </w:t>
      </w:r>
      <w:r w:rsidR="00B5312F" w:rsidRPr="001310AD">
        <w:t>mRNA-1345</w:t>
      </w:r>
      <w:r w:rsidR="00F43111" w:rsidRPr="001310AD">
        <w:t xml:space="preserve"> (</w:t>
      </w:r>
      <w:proofErr w:type="spellStart"/>
      <w:r w:rsidR="00F43111" w:rsidRPr="001310AD">
        <w:t>mR</w:t>
      </w:r>
      <w:r w:rsidR="0071182B" w:rsidRPr="001310AD">
        <w:t>ESVIA</w:t>
      </w:r>
      <w:proofErr w:type="spellEnd"/>
      <w:r w:rsidR="00F43111" w:rsidRPr="001310AD">
        <w:t>)</w:t>
      </w:r>
      <w:r w:rsidRPr="001310AD">
        <w:t>.</w:t>
      </w:r>
    </w:p>
    <w:p w14:paraId="43240B15" w14:textId="7FC992C9" w:rsidR="00380083" w:rsidRPr="001310AD" w:rsidRDefault="00251B8E" w:rsidP="00C45BED">
      <w:pPr>
        <w:pStyle w:val="3-BodyText"/>
        <w:rPr>
          <w:rFonts w:eastAsia="Times New Roman" w:cs="Arial"/>
          <w:snapToGrid w:val="0"/>
          <w:szCs w:val="24"/>
        </w:rPr>
      </w:pPr>
      <w:r w:rsidRPr="001310AD">
        <w:rPr>
          <w:snapToGrid w:val="0"/>
        </w:rPr>
        <w:t xml:space="preserve">The PBAC accepted the proposed clinical place for RSVPreF3 OA as a single dose for </w:t>
      </w:r>
      <w:r w:rsidRPr="001310AD">
        <w:t>the</w:t>
      </w:r>
      <w:r w:rsidR="00770751" w:rsidRPr="001310AD">
        <w:t xml:space="preserve"> two</w:t>
      </w:r>
      <w:r w:rsidRPr="001310AD">
        <w:t xml:space="preserve"> at-risk populations proposed by the submission.</w:t>
      </w:r>
      <w:bookmarkStart w:id="105" w:name="_Ref182398148"/>
      <w:r w:rsidRPr="001310AD">
        <w:t xml:space="preserve"> The PBAC noted the need for revaccination has not been establishe</w:t>
      </w:r>
      <w:r w:rsidR="00863C38" w:rsidRPr="001310AD">
        <w:t>d and that</w:t>
      </w:r>
      <w:r w:rsidR="003959D1" w:rsidRPr="001310AD">
        <w:t xml:space="preserve"> the ATAGI will make </w:t>
      </w:r>
      <w:r w:rsidR="003959D1" w:rsidRPr="001310AD">
        <w:rPr>
          <w:iCs/>
        </w:rPr>
        <w:t xml:space="preserve">recommendations for subsequent doses when </w:t>
      </w:r>
      <w:r w:rsidR="009B4728" w:rsidRPr="001310AD">
        <w:rPr>
          <w:iCs/>
        </w:rPr>
        <w:t>this is sought b</w:t>
      </w:r>
      <w:r w:rsidR="0098611C" w:rsidRPr="001310AD">
        <w:rPr>
          <w:iCs/>
        </w:rPr>
        <w:t>y</w:t>
      </w:r>
      <w:r w:rsidR="009B4728" w:rsidRPr="001310AD">
        <w:rPr>
          <w:iCs/>
        </w:rPr>
        <w:t xml:space="preserve"> the spons</w:t>
      </w:r>
      <w:r w:rsidR="004F6AF2" w:rsidRPr="001310AD">
        <w:rPr>
          <w:iCs/>
        </w:rPr>
        <w:t>o</w:t>
      </w:r>
      <w:r w:rsidR="009B4728" w:rsidRPr="001310AD">
        <w:rPr>
          <w:iCs/>
        </w:rPr>
        <w:t>r.</w:t>
      </w:r>
      <w:r w:rsidR="00044091">
        <w:rPr>
          <w:iCs/>
        </w:rPr>
        <w:t xml:space="preserve"> </w:t>
      </w:r>
      <w:r w:rsidR="009B4728" w:rsidRPr="001310AD">
        <w:rPr>
          <w:iCs/>
        </w:rPr>
        <w:t xml:space="preserve">The PBAC noted that </w:t>
      </w:r>
      <w:r w:rsidR="00AF43D1" w:rsidRPr="001310AD">
        <w:rPr>
          <w:rFonts w:eastAsia="Calibri"/>
        </w:rPr>
        <w:t xml:space="preserve">alternate revaccination schedules up to Month 60 after initial vaccination </w:t>
      </w:r>
      <w:r w:rsidR="00AF43D1" w:rsidRPr="001310AD">
        <w:t>are</w:t>
      </w:r>
      <w:r w:rsidR="0098611C" w:rsidRPr="001310AD">
        <w:t xml:space="preserve"> being assessed in ongoing clinical studies.</w:t>
      </w:r>
      <w:r w:rsidR="00044091">
        <w:t xml:space="preserve"> </w:t>
      </w:r>
      <w:r w:rsidRPr="001310AD">
        <w:t>The PBAC noted that if revaccination is requested in the future, this would impact cost-effectiveness and financial implications, and would require further PBAC consideration</w:t>
      </w:r>
      <w:r w:rsidR="00697EAD" w:rsidRPr="001310AD">
        <w:t xml:space="preserve"> of the cost effective price </w:t>
      </w:r>
      <w:r w:rsidR="00697EAD" w:rsidRPr="001310AD">
        <w:lastRenderedPageBreak/>
        <w:t>of the first and subsequent vaccine doses</w:t>
      </w:r>
      <w:r w:rsidRPr="001310AD">
        <w:t>.</w:t>
      </w:r>
      <w:bookmarkEnd w:id="105"/>
      <w:r w:rsidR="00DD4A57" w:rsidRPr="001310AD">
        <w:t xml:space="preserve"> </w:t>
      </w:r>
      <w:r w:rsidR="009B2A2B" w:rsidRPr="001310AD">
        <w:t>The PBAC advised that i</w:t>
      </w:r>
      <w:r w:rsidR="00DD4A57" w:rsidRPr="001310AD">
        <w:t xml:space="preserve">f the assumed duration of VE </w:t>
      </w:r>
      <w:r w:rsidR="0098611C" w:rsidRPr="001310AD">
        <w:t xml:space="preserve">in the economic model </w:t>
      </w:r>
      <w:r w:rsidR="00DD4A57" w:rsidRPr="001310AD">
        <w:t>is greater than the window for revaccination, the cost-effective price for RSVPreF</w:t>
      </w:r>
      <w:r w:rsidR="006A01CD" w:rsidRPr="001310AD">
        <w:t>3 OA</w:t>
      </w:r>
      <w:r w:rsidR="00DD4A57" w:rsidRPr="001310AD">
        <w:t xml:space="preserve"> will be overestimated.</w:t>
      </w:r>
      <w:bookmarkStart w:id="106" w:name="_Hlk204845098"/>
    </w:p>
    <w:p w14:paraId="0D22C0CF" w14:textId="712BF22F" w:rsidR="00ED43A1" w:rsidRPr="001310AD" w:rsidRDefault="00781D61" w:rsidP="009675EB">
      <w:pPr>
        <w:pStyle w:val="3-BodyText"/>
      </w:pPr>
      <w:r w:rsidRPr="001310AD">
        <w:t>The PBAC noted that administration errors involving RSVPreF3 OA have been reported to the TGA</w:t>
      </w:r>
      <w:r w:rsidRPr="001310AD">
        <w:rPr>
          <w:rStyle w:val="FootnoteReference"/>
        </w:rPr>
        <w:footnoteReference w:id="6"/>
      </w:r>
      <w:r w:rsidRPr="001310AD">
        <w:t>.</w:t>
      </w:r>
      <w:r w:rsidR="00044091">
        <w:t xml:space="preserve"> </w:t>
      </w:r>
      <w:r w:rsidRPr="001310AD">
        <w:t>The PBAC noted that unlike RSV</w:t>
      </w:r>
      <w:r w:rsidR="00ED43A1" w:rsidRPr="001310AD">
        <w:t>p</w:t>
      </w:r>
      <w:r w:rsidRPr="001310AD">
        <w:t>reF which is listed on the NIP for use as a maternal vaccine to protect infants from RSV, RSVPreF3 OA is not recommended during pregnancy.</w:t>
      </w:r>
      <w:r w:rsidR="00044091">
        <w:t xml:space="preserve"> </w:t>
      </w:r>
      <w:r w:rsidRPr="001310AD">
        <w:t>An increase in preterm births was observed compared to placebo after administration of an investigational unadjuvanted RSVPreF3 vaccine to 3,557 pregnant women in the RSV MAT-009 trial (paragraph 3.13, RSVPreF3 OA PSD, July 2024).</w:t>
      </w:r>
      <w:r w:rsidR="00D66BFC" w:rsidRPr="001310AD">
        <w:t xml:space="preserve"> </w:t>
      </w:r>
      <w:r w:rsidR="00380083" w:rsidRPr="001310AD">
        <w:t>The PBAC highlighted the need for quality use of medicines strategies to decrease the risk of incorrect administration of RSV prevention products including RSVPreF3 OA</w:t>
      </w:r>
      <w:r w:rsidR="00380083" w:rsidRPr="001310AD">
        <w:rPr>
          <w:vertAlign w:val="superscript"/>
        </w:rPr>
        <w:t>4</w:t>
      </w:r>
      <w:r w:rsidR="00380083" w:rsidRPr="001310AD">
        <w:t xml:space="preserve">. </w:t>
      </w:r>
    </w:p>
    <w:bookmarkEnd w:id="106"/>
    <w:p w14:paraId="09993448" w14:textId="2E3FFB23" w:rsidR="00A93B7A" w:rsidRPr="001310AD" w:rsidRDefault="00E914F0" w:rsidP="00373011">
      <w:pPr>
        <w:pStyle w:val="3-BodyText"/>
        <w:rPr>
          <w:snapToGrid w:val="0"/>
        </w:rPr>
      </w:pPr>
      <w:r w:rsidRPr="001310AD">
        <w:rPr>
          <w:snapToGrid w:val="0"/>
        </w:rPr>
        <w:t>The PBAC</w:t>
      </w:r>
      <w:r w:rsidR="002818C0" w:rsidRPr="001310AD">
        <w:rPr>
          <w:snapToGrid w:val="0"/>
        </w:rPr>
        <w:t xml:space="preserve"> previously</w:t>
      </w:r>
      <w:r w:rsidRPr="001310AD">
        <w:rPr>
          <w:snapToGrid w:val="0"/>
        </w:rPr>
        <w:t xml:space="preserve"> considered the</w:t>
      </w:r>
      <w:r w:rsidR="0047168A" w:rsidRPr="001310AD">
        <w:rPr>
          <w:snapToGrid w:val="0"/>
        </w:rPr>
        <w:t xml:space="preserve"> first</w:t>
      </w:r>
      <w:r w:rsidRPr="001310AD">
        <w:rPr>
          <w:snapToGrid w:val="0"/>
        </w:rPr>
        <w:t xml:space="preserve"> submission’s nomination of ‘no vaccine’ as main comparator was appropriate in the absence of any vaccine for RSV being currently available on the NIP</w:t>
      </w:r>
      <w:r w:rsidR="002818C0" w:rsidRPr="001310AD">
        <w:rPr>
          <w:snapToGrid w:val="0"/>
        </w:rPr>
        <w:t xml:space="preserve"> (</w:t>
      </w:r>
      <w:r w:rsidR="006C4CF4" w:rsidRPr="001310AD">
        <w:rPr>
          <w:rFonts w:cstheme="minorHAnsi"/>
        </w:rPr>
        <w:t>paragraph 7.11, RSVPreF3 OA PSD, July 2024</w:t>
      </w:r>
      <w:r w:rsidR="002818C0" w:rsidRPr="001310AD">
        <w:rPr>
          <w:snapToGrid w:val="0"/>
        </w:rPr>
        <w:t>)</w:t>
      </w:r>
      <w:r w:rsidRPr="001310AD">
        <w:rPr>
          <w:snapToGrid w:val="0"/>
        </w:rPr>
        <w:t>.</w:t>
      </w:r>
      <w:r w:rsidR="0047168A" w:rsidRPr="001310AD">
        <w:rPr>
          <w:snapToGrid w:val="0"/>
        </w:rPr>
        <w:t xml:space="preserve"> For the resubmission,</w:t>
      </w:r>
      <w:r w:rsidRPr="001310AD">
        <w:rPr>
          <w:snapToGrid w:val="0"/>
        </w:rPr>
        <w:t xml:space="preserve"> </w:t>
      </w:r>
      <w:r w:rsidR="0047168A" w:rsidRPr="001310AD">
        <w:rPr>
          <w:snapToGrid w:val="0"/>
        </w:rPr>
        <w:t>t</w:t>
      </w:r>
      <w:r w:rsidRPr="001310AD">
        <w:rPr>
          <w:snapToGrid w:val="0"/>
        </w:rPr>
        <w:t xml:space="preserve">he PBAC </w:t>
      </w:r>
      <w:r w:rsidR="00D9065B" w:rsidRPr="001310AD">
        <w:t xml:space="preserve">considered that RSVPreF </w:t>
      </w:r>
      <w:r w:rsidR="00D9065B" w:rsidRPr="001310AD">
        <w:rPr>
          <w:snapToGrid w:val="0"/>
        </w:rPr>
        <w:t xml:space="preserve">was the main comparator as it was recommended for NIP listing </w:t>
      </w:r>
      <w:r w:rsidR="00D9065B" w:rsidRPr="001310AD">
        <w:t xml:space="preserve">at the November 2024 PBAC meeting. </w:t>
      </w:r>
    </w:p>
    <w:p w14:paraId="09EC3736" w14:textId="3C92DF7B" w:rsidR="006B161B" w:rsidRPr="001310AD" w:rsidRDefault="0046269A" w:rsidP="00414927">
      <w:pPr>
        <w:pStyle w:val="3-BodyText"/>
        <w:rPr>
          <w:rFonts w:cstheme="minorHAnsi"/>
        </w:rPr>
      </w:pPr>
      <w:r w:rsidRPr="001310AD">
        <w:rPr>
          <w:snapToGrid w:val="0"/>
        </w:rPr>
        <w:t xml:space="preserve">The PBAC </w:t>
      </w:r>
      <w:r w:rsidR="00C623DE" w:rsidRPr="001310AD">
        <w:rPr>
          <w:snapToGrid w:val="0"/>
        </w:rPr>
        <w:t>previously considered that</w:t>
      </w:r>
      <w:r w:rsidR="00766556" w:rsidRPr="001310AD">
        <w:rPr>
          <w:snapToGrid w:val="0"/>
        </w:rPr>
        <w:t xml:space="preserve"> the</w:t>
      </w:r>
      <w:r w:rsidR="00C623DE" w:rsidRPr="001310AD">
        <w:rPr>
          <w:snapToGrid w:val="0"/>
        </w:rPr>
        <w:t xml:space="preserve"> </w:t>
      </w:r>
      <w:r w:rsidR="00766556" w:rsidRPr="001310AD">
        <w:rPr>
          <w:snapToGrid w:val="0"/>
          <w:szCs w:val="20"/>
        </w:rPr>
        <w:t>claim of superior comparative effectiveness was reasonable for the main comparison between RSVPreF3</w:t>
      </w:r>
      <w:r w:rsidR="00E2718C" w:rsidRPr="001310AD">
        <w:rPr>
          <w:snapToGrid w:val="0"/>
          <w:szCs w:val="20"/>
        </w:rPr>
        <w:t xml:space="preserve"> OA</w:t>
      </w:r>
      <w:r w:rsidR="00766556" w:rsidRPr="001310AD">
        <w:rPr>
          <w:snapToGrid w:val="0"/>
          <w:szCs w:val="20"/>
        </w:rPr>
        <w:t xml:space="preserve"> and no vaccination,</w:t>
      </w:r>
      <w:r w:rsidR="00541B99" w:rsidRPr="001310AD">
        <w:rPr>
          <w:snapToGrid w:val="0"/>
          <w:szCs w:val="20"/>
        </w:rPr>
        <w:t xml:space="preserve"> based on the </w:t>
      </w:r>
      <w:r w:rsidR="00541B99" w:rsidRPr="001310AD">
        <w:rPr>
          <w:snapToGrid w:val="0"/>
        </w:rPr>
        <w:t>randomised placebo</w:t>
      </w:r>
      <w:r w:rsidR="00464158" w:rsidRPr="001310AD">
        <w:rPr>
          <w:snapToGrid w:val="0"/>
        </w:rPr>
        <w:t>-</w:t>
      </w:r>
      <w:r w:rsidR="00541B99" w:rsidRPr="001310AD">
        <w:rPr>
          <w:snapToGrid w:val="0"/>
        </w:rPr>
        <w:t xml:space="preserve">controlled </w:t>
      </w:r>
      <w:r w:rsidR="00541B99" w:rsidRPr="001310AD">
        <w:t xml:space="preserve">trial AreSVi-006 </w:t>
      </w:r>
      <w:r w:rsidR="00D30736" w:rsidRPr="001310AD">
        <w:t xml:space="preserve">and </w:t>
      </w:r>
      <w:r w:rsidR="00541B99" w:rsidRPr="001310AD">
        <w:t>a supportive trial AreSVi-004</w:t>
      </w:r>
      <w:r w:rsidR="0067257D" w:rsidRPr="001310AD">
        <w:t xml:space="preserve">, albeit with </w:t>
      </w:r>
      <w:r w:rsidR="0067257D" w:rsidRPr="001310AD">
        <w:rPr>
          <w:szCs w:val="20"/>
        </w:rPr>
        <w:t>uncertainty regarding the duration of benefit given that VE waned over time</w:t>
      </w:r>
      <w:r w:rsidR="00541B99" w:rsidRPr="001310AD">
        <w:t xml:space="preserve"> </w:t>
      </w:r>
      <w:r w:rsidR="00464158" w:rsidRPr="001310AD">
        <w:rPr>
          <w:iCs/>
        </w:rPr>
        <w:t>(paragraph</w:t>
      </w:r>
      <w:r w:rsidR="00985FED" w:rsidRPr="001310AD">
        <w:rPr>
          <w:iCs/>
        </w:rPr>
        <w:t>s</w:t>
      </w:r>
      <w:r w:rsidR="00464158" w:rsidRPr="001310AD">
        <w:rPr>
          <w:iCs/>
        </w:rPr>
        <w:t xml:space="preserve"> </w:t>
      </w:r>
      <w:r w:rsidR="00413E52" w:rsidRPr="001310AD">
        <w:rPr>
          <w:iCs/>
        </w:rPr>
        <w:t>7.13</w:t>
      </w:r>
      <w:r w:rsidR="00970F02" w:rsidRPr="001310AD">
        <w:rPr>
          <w:iCs/>
        </w:rPr>
        <w:t xml:space="preserve"> and 7.14</w:t>
      </w:r>
      <w:r w:rsidR="00413E52" w:rsidRPr="001310AD">
        <w:rPr>
          <w:iCs/>
        </w:rPr>
        <w:t xml:space="preserve">, </w:t>
      </w:r>
      <w:r w:rsidR="00413E52" w:rsidRPr="001310AD">
        <w:rPr>
          <w:rFonts w:cstheme="minorHAnsi"/>
        </w:rPr>
        <w:t>RSVPreF3 OA PSD, July 2024)</w:t>
      </w:r>
      <w:r w:rsidR="00541B99" w:rsidRPr="001310AD">
        <w:rPr>
          <w:snapToGrid w:val="0"/>
        </w:rPr>
        <w:t>.</w:t>
      </w:r>
      <w:r w:rsidR="00657A62" w:rsidRPr="001310AD">
        <w:rPr>
          <w:snapToGrid w:val="0"/>
        </w:rPr>
        <w:t xml:space="preserve"> The first submission was based on </w:t>
      </w:r>
      <w:r w:rsidR="005A7FB0" w:rsidRPr="001310AD">
        <w:rPr>
          <w:snapToGrid w:val="0"/>
        </w:rPr>
        <w:t>2</w:t>
      </w:r>
      <w:r w:rsidR="00657A62" w:rsidRPr="001310AD">
        <w:rPr>
          <w:snapToGrid w:val="0"/>
        </w:rPr>
        <w:t xml:space="preserve"> seasons data VE;</w:t>
      </w:r>
      <w:r w:rsidR="001E4928" w:rsidRPr="001310AD">
        <w:rPr>
          <w:snapToGrid w:val="0"/>
        </w:rPr>
        <w:t xml:space="preserve"> </w:t>
      </w:r>
      <w:r w:rsidR="00657A62" w:rsidRPr="001310AD">
        <w:rPr>
          <w:snapToGrid w:val="0"/>
        </w:rPr>
        <w:t>f</w:t>
      </w:r>
      <w:r w:rsidR="001E4928" w:rsidRPr="001310AD">
        <w:rPr>
          <w:snapToGrid w:val="0"/>
        </w:rPr>
        <w:t>or the resubmission,</w:t>
      </w:r>
      <w:r w:rsidR="009E668C" w:rsidRPr="001310AD">
        <w:rPr>
          <w:snapToGrid w:val="0"/>
        </w:rPr>
        <w:t xml:space="preserve"> an additional season of data was provided</w:t>
      </w:r>
      <w:r w:rsidR="00781D61" w:rsidRPr="001310AD">
        <w:rPr>
          <w:snapToGrid w:val="0"/>
        </w:rPr>
        <w:t xml:space="preserve"> in the resubmission</w:t>
      </w:r>
      <w:r w:rsidR="00E20008" w:rsidRPr="001310AD">
        <w:rPr>
          <w:snapToGrid w:val="0"/>
        </w:rPr>
        <w:t>.</w:t>
      </w:r>
      <w:r w:rsidR="001E4928" w:rsidRPr="001310AD">
        <w:rPr>
          <w:snapToGrid w:val="0"/>
        </w:rPr>
        <w:t xml:space="preserve"> </w:t>
      </w:r>
      <w:bookmarkStart w:id="107" w:name="_Ref203461584"/>
      <w:r w:rsidR="006B161B" w:rsidRPr="001310AD">
        <w:rPr>
          <w:rFonts w:cstheme="minorHAnsi"/>
        </w:rPr>
        <w:t xml:space="preserve">The PBAC noted that the resubmission presented additional data from the </w:t>
      </w:r>
      <w:r w:rsidR="006B161B" w:rsidRPr="001310AD">
        <w:t xml:space="preserve">AReSVi-006 </w:t>
      </w:r>
      <w:r w:rsidR="006B161B" w:rsidRPr="001310AD">
        <w:rPr>
          <w:rFonts w:cstheme="minorHAnsi"/>
        </w:rPr>
        <w:t xml:space="preserve">trial corresponding to median follow-up of 30.6 months (see paragraph </w:t>
      </w:r>
      <w:r w:rsidR="006B161B" w:rsidRPr="001310AD">
        <w:rPr>
          <w:rFonts w:cstheme="minorHAnsi"/>
        </w:rPr>
        <w:fldChar w:fldCharType="begin"/>
      </w:r>
      <w:r w:rsidR="006B161B" w:rsidRPr="001310AD">
        <w:rPr>
          <w:rFonts w:cstheme="minorHAnsi"/>
        </w:rPr>
        <w:instrText xml:space="preserve"> REF _Ref203461584 \r \h  \* MERGEFORMAT </w:instrText>
      </w:r>
      <w:r w:rsidR="006B161B" w:rsidRPr="001310AD">
        <w:rPr>
          <w:rFonts w:cstheme="minorHAnsi"/>
        </w:rPr>
      </w:r>
      <w:r w:rsidR="006B161B" w:rsidRPr="001310AD">
        <w:rPr>
          <w:rFonts w:cstheme="minorHAnsi"/>
        </w:rPr>
        <w:fldChar w:fldCharType="separate"/>
      </w:r>
      <w:r w:rsidR="00A763D9">
        <w:rPr>
          <w:rFonts w:cstheme="minorHAnsi"/>
        </w:rPr>
        <w:t>7.10</w:t>
      </w:r>
      <w:r w:rsidR="006B161B" w:rsidRPr="001310AD">
        <w:rPr>
          <w:rFonts w:cstheme="minorHAnsi"/>
        </w:rPr>
        <w:fldChar w:fldCharType="end"/>
      </w:r>
      <w:r w:rsidR="006B161B" w:rsidRPr="001310AD">
        <w:rPr>
          <w:rFonts w:cstheme="minorHAnsi"/>
        </w:rPr>
        <w:t xml:space="preserve"> below). </w:t>
      </w:r>
      <w:r w:rsidR="006B161B" w:rsidRPr="001310AD">
        <w:rPr>
          <w:snapToGrid w:val="0"/>
        </w:rPr>
        <w:t>The PBAC was satisfied that RSVPreF3 OA provides, for some patients, a significant improvement in efficacy over no vaccine based on the results of AReSVi-006.</w:t>
      </w:r>
    </w:p>
    <w:p w14:paraId="64F87D5A" w14:textId="5F33B3D0" w:rsidR="00497590" w:rsidRPr="001310AD" w:rsidRDefault="00CD2244" w:rsidP="00EA619D">
      <w:pPr>
        <w:pStyle w:val="3-BodyText"/>
        <w:rPr>
          <w:snapToGrid w:val="0"/>
        </w:rPr>
      </w:pPr>
      <w:r w:rsidRPr="001310AD">
        <w:t>The PBAC advised that it would be reasonable to accept VE over a period of three years based on three seasons of data for AreSVi-006.</w:t>
      </w:r>
      <w:r w:rsidR="00044091">
        <w:t xml:space="preserve"> </w:t>
      </w:r>
      <w:r w:rsidRPr="001310AD">
        <w:t>However, t</w:t>
      </w:r>
      <w:r w:rsidR="001E4928" w:rsidRPr="001310AD">
        <w:rPr>
          <w:snapToGrid w:val="0"/>
        </w:rPr>
        <w:t>he PBAC</w:t>
      </w:r>
      <w:r w:rsidR="00462193" w:rsidRPr="001310AD">
        <w:rPr>
          <w:snapToGrid w:val="0"/>
        </w:rPr>
        <w:t xml:space="preserve"> </w:t>
      </w:r>
      <w:r w:rsidR="00A77028" w:rsidRPr="001310AD">
        <w:rPr>
          <w:snapToGrid w:val="0"/>
        </w:rPr>
        <w:t>maintained</w:t>
      </w:r>
      <w:r w:rsidR="00462193" w:rsidRPr="001310AD">
        <w:rPr>
          <w:snapToGrid w:val="0"/>
        </w:rPr>
        <w:t xml:space="preserve"> that </w:t>
      </w:r>
      <w:r w:rsidR="00A77028" w:rsidRPr="001310AD">
        <w:rPr>
          <w:snapToGrid w:val="0"/>
        </w:rPr>
        <w:t xml:space="preserve">the </w:t>
      </w:r>
      <w:r w:rsidR="006159FC" w:rsidRPr="001310AD">
        <w:t xml:space="preserve">duration of benefit </w:t>
      </w:r>
      <w:r w:rsidR="00841674" w:rsidRPr="001310AD">
        <w:t>remained</w:t>
      </w:r>
      <w:r w:rsidR="006159FC" w:rsidRPr="001310AD">
        <w:t xml:space="preserve"> uncertain</w:t>
      </w:r>
      <w:r w:rsidRPr="001310AD">
        <w:t xml:space="preserve">, and noted that </w:t>
      </w:r>
      <w:r w:rsidR="008702EB" w:rsidRPr="001310AD">
        <w:t>VE</w:t>
      </w:r>
      <w:r w:rsidR="00FC5E6D" w:rsidRPr="001310AD">
        <w:t xml:space="preserve"> against first occurrence of RSV-LRTD was 8</w:t>
      </w:r>
      <w:r w:rsidR="00024504" w:rsidRPr="001310AD">
        <w:t>1%</w:t>
      </w:r>
      <w:r w:rsidR="00FC5E6D" w:rsidRPr="001310AD">
        <w:t xml:space="preserve"> for Season 1, 61%</w:t>
      </w:r>
      <w:r w:rsidR="00904DE1" w:rsidRPr="001310AD">
        <w:t xml:space="preserve"> for Season 2, and 47% for Season 3</w:t>
      </w:r>
      <w:r w:rsidR="00A03C44" w:rsidRPr="001310AD">
        <w:t xml:space="preserve">. </w:t>
      </w:r>
      <w:r w:rsidR="00067E61" w:rsidRPr="001310AD">
        <w:t>For the Season 3 individual results, the lower bound of the 95% CI did not exceed the pre-defined</w:t>
      </w:r>
      <w:r w:rsidR="00D11F9E" w:rsidRPr="001310AD">
        <w:t xml:space="preserve"> effectiveness</w:t>
      </w:r>
      <w:r w:rsidR="00067E61" w:rsidRPr="001310AD">
        <w:t xml:space="preserve"> threshold of 20% for first occurrence of RSV-LRTD and severe RSV-LRTD. </w:t>
      </w:r>
      <w:bookmarkEnd w:id="107"/>
    </w:p>
    <w:p w14:paraId="57A37E16" w14:textId="5E61DC26" w:rsidR="004413C0" w:rsidRPr="001310AD" w:rsidRDefault="00A80B94" w:rsidP="00F16FDF">
      <w:pPr>
        <w:pStyle w:val="3-BodyText"/>
      </w:pPr>
      <w:r w:rsidRPr="001310AD">
        <w:t>The PBAC considered there was insufficient evidence to support a claim of superior effectiveness for either vaccine.</w:t>
      </w:r>
      <w:r w:rsidR="00044091">
        <w:t xml:space="preserve"> </w:t>
      </w:r>
      <w:r w:rsidR="00A842D5" w:rsidRPr="001310AD">
        <w:t>Regarding the</w:t>
      </w:r>
      <w:r w:rsidR="00CD6749" w:rsidRPr="001310AD">
        <w:t xml:space="preserve"> indirect</w:t>
      </w:r>
      <w:r w:rsidR="00A842D5" w:rsidRPr="001310AD">
        <w:t xml:space="preserve"> clinical comparison of </w:t>
      </w:r>
      <w:r w:rsidR="00CD6749" w:rsidRPr="001310AD">
        <w:t xml:space="preserve">RSVPreF3 OA to RSVPreF, </w:t>
      </w:r>
      <w:r w:rsidR="00C80F06" w:rsidRPr="001310AD">
        <w:t xml:space="preserve">the PBAC </w:t>
      </w:r>
      <w:r w:rsidR="00F64C92" w:rsidRPr="001310AD">
        <w:t xml:space="preserve">acknowledged the limitations of the comparison </w:t>
      </w:r>
      <w:r w:rsidR="0035502B" w:rsidRPr="001310AD">
        <w:lastRenderedPageBreak/>
        <w:t xml:space="preserve">include that </w:t>
      </w:r>
      <w:r w:rsidR="00F64C92" w:rsidRPr="001310AD">
        <w:t>it was unadjusted and unanchored, there were differences in outcome definitions between trials</w:t>
      </w:r>
      <w:r w:rsidR="004413C0" w:rsidRPr="001310AD">
        <w:t>, and there were different durations of trial follow-up available</w:t>
      </w:r>
      <w:r w:rsidRPr="001310AD">
        <w:t>.</w:t>
      </w:r>
      <w:r w:rsidR="00044091">
        <w:t xml:space="preserve"> </w:t>
      </w:r>
      <w:r w:rsidRPr="001310AD">
        <w:t xml:space="preserve">Based on current evidence, the PBAC </w:t>
      </w:r>
      <w:r w:rsidR="004413C0" w:rsidRPr="001310AD">
        <w:t>concluded that RSVPreF3 OA was non-inferior to RSVPreF with respect to comparative effectiveness and safety</w:t>
      </w:r>
      <w:r w:rsidR="008F646C" w:rsidRPr="001310AD">
        <w:t xml:space="preserve"> (paragraphs </w:t>
      </w:r>
      <w:r w:rsidR="008F646C" w:rsidRPr="001310AD">
        <w:fldChar w:fldCharType="begin"/>
      </w:r>
      <w:r w:rsidR="008F646C" w:rsidRPr="001310AD">
        <w:instrText xml:space="preserve"> REF _Ref204851848 \r \h </w:instrText>
      </w:r>
      <w:r w:rsidR="008F646C" w:rsidRPr="001310AD">
        <w:fldChar w:fldCharType="separate"/>
      </w:r>
      <w:r w:rsidR="008F646C" w:rsidRPr="001310AD">
        <w:t>6.47</w:t>
      </w:r>
      <w:r w:rsidR="008F646C" w:rsidRPr="001310AD">
        <w:fldChar w:fldCharType="end"/>
      </w:r>
      <w:r w:rsidR="008F646C" w:rsidRPr="001310AD">
        <w:t xml:space="preserve"> to </w:t>
      </w:r>
      <w:r w:rsidR="008F646C" w:rsidRPr="001310AD">
        <w:fldChar w:fldCharType="begin"/>
      </w:r>
      <w:r w:rsidR="008F646C" w:rsidRPr="001310AD">
        <w:instrText xml:space="preserve"> REF _Ref204851850 \r \h </w:instrText>
      </w:r>
      <w:r w:rsidR="008F646C" w:rsidRPr="001310AD">
        <w:fldChar w:fldCharType="separate"/>
      </w:r>
      <w:r w:rsidR="008F646C" w:rsidRPr="001310AD">
        <w:t>6.49</w:t>
      </w:r>
      <w:r w:rsidR="008F646C" w:rsidRPr="001310AD">
        <w:fldChar w:fldCharType="end"/>
      </w:r>
      <w:r w:rsidR="008F646C" w:rsidRPr="001310AD">
        <w:t>)</w:t>
      </w:r>
      <w:r w:rsidR="004413C0" w:rsidRPr="001310AD">
        <w:t>.</w:t>
      </w:r>
    </w:p>
    <w:p w14:paraId="07B1C9DE" w14:textId="77777777" w:rsidR="00FD4BD0" w:rsidRPr="001310AD" w:rsidRDefault="00FD4BD0" w:rsidP="00FD4BD0">
      <w:pPr>
        <w:pStyle w:val="3-BodyText"/>
      </w:pPr>
      <w:r w:rsidRPr="001310AD">
        <w:t>The PBAC noted that the United States CDC’s Advisory Committee on Immunization Practices (ACIP) has supported an assumption of 36 months of protection for the protein subunit RSV vaccines (including RSVPreF3 OA and RSVPreF) for older adults since October 2024</w:t>
      </w:r>
      <w:r w:rsidRPr="001310AD">
        <w:rPr>
          <w:rStyle w:val="FootnoteReference"/>
        </w:rPr>
        <w:footnoteReference w:id="7"/>
      </w:r>
      <w:r w:rsidRPr="001310AD">
        <w:rPr>
          <w:rStyle w:val="FootnoteReference"/>
        </w:rPr>
        <w:footnoteReference w:id="8"/>
      </w:r>
      <w:r w:rsidRPr="001310AD">
        <w:t xml:space="preserve">, noting this was increased from the ACIP’s previous recommendation of 24 months in June 2024. </w:t>
      </w:r>
    </w:p>
    <w:p w14:paraId="1CCE0DA2" w14:textId="3AE0C109" w:rsidR="001377A3" w:rsidRPr="001310AD" w:rsidRDefault="007D54E4" w:rsidP="00967B3F">
      <w:pPr>
        <w:pStyle w:val="3-BodyText"/>
        <w:rPr>
          <w:rFonts w:eastAsia="Times New Roman" w:cs="Arial"/>
          <w:snapToGrid w:val="0"/>
          <w:szCs w:val="24"/>
        </w:rPr>
      </w:pPr>
      <w:bookmarkStart w:id="108" w:name="_Ref204243400"/>
      <w:proofErr w:type="gramStart"/>
      <w:r w:rsidRPr="001310AD">
        <w:t>In regard to</w:t>
      </w:r>
      <w:proofErr w:type="gramEnd"/>
      <w:r w:rsidRPr="001310AD">
        <w:t xml:space="preserve"> the CUA provided in the resubmission, t</w:t>
      </w:r>
      <w:r w:rsidR="003C7F35" w:rsidRPr="001310AD">
        <w:rPr>
          <w:snapToGrid w:val="0"/>
        </w:rPr>
        <w:t xml:space="preserve">he PBAC advised it was reasonable to model vaccine efficacy over a period of three years in the economic model </w:t>
      </w:r>
      <w:r w:rsidR="00BB0BC8" w:rsidRPr="001310AD">
        <w:rPr>
          <w:snapToGrid w:val="0"/>
        </w:rPr>
        <w:t xml:space="preserve">as discussed in paragraph </w:t>
      </w:r>
      <w:r w:rsidR="00BB0BC8" w:rsidRPr="001310AD">
        <w:rPr>
          <w:snapToGrid w:val="0"/>
        </w:rPr>
        <w:fldChar w:fldCharType="begin"/>
      </w:r>
      <w:r w:rsidR="00BB0BC8" w:rsidRPr="001310AD">
        <w:rPr>
          <w:snapToGrid w:val="0"/>
        </w:rPr>
        <w:instrText xml:space="preserve"> REF _Ref203461584 \r \h </w:instrText>
      </w:r>
      <w:r w:rsidR="00BB0BC8" w:rsidRPr="001310AD">
        <w:rPr>
          <w:snapToGrid w:val="0"/>
        </w:rPr>
      </w:r>
      <w:r w:rsidR="00BB0BC8" w:rsidRPr="001310AD">
        <w:rPr>
          <w:snapToGrid w:val="0"/>
        </w:rPr>
        <w:fldChar w:fldCharType="separate"/>
      </w:r>
      <w:r w:rsidR="001F75E0" w:rsidRPr="001310AD">
        <w:rPr>
          <w:snapToGrid w:val="0"/>
        </w:rPr>
        <w:t>7.12</w:t>
      </w:r>
      <w:r w:rsidR="00BB0BC8" w:rsidRPr="001310AD">
        <w:rPr>
          <w:snapToGrid w:val="0"/>
        </w:rPr>
        <w:fldChar w:fldCharType="end"/>
      </w:r>
      <w:r w:rsidR="00BB0BC8" w:rsidRPr="001310AD">
        <w:rPr>
          <w:snapToGrid w:val="0"/>
        </w:rPr>
        <w:t>, rather than 4 or 5 years as had been proposed by the sponsor</w:t>
      </w:r>
      <w:r w:rsidR="003C7F35" w:rsidRPr="001310AD">
        <w:rPr>
          <w:snapToGrid w:val="0"/>
        </w:rPr>
        <w:t>.</w:t>
      </w:r>
      <w:r w:rsidR="00044091">
        <w:rPr>
          <w:snapToGrid w:val="0"/>
        </w:rPr>
        <w:t xml:space="preserve"> </w:t>
      </w:r>
      <w:bookmarkStart w:id="109" w:name="_Ref204239797"/>
      <w:r w:rsidR="00BB0BC8" w:rsidRPr="001310AD">
        <w:rPr>
          <w:snapToGrid w:val="0"/>
        </w:rPr>
        <w:t>T</w:t>
      </w:r>
      <w:r w:rsidR="003C7F35" w:rsidRPr="001310AD">
        <w:t>he PBAC considered that key inputs should align with the accepted parameters for RSVpreF, such as baseline risk and hospitalisation rates and costs</w:t>
      </w:r>
      <w:r w:rsidRPr="001310AD">
        <w:t xml:space="preserve"> (paragraph </w:t>
      </w:r>
      <w:r w:rsidRPr="001310AD">
        <w:fldChar w:fldCharType="begin"/>
      </w:r>
      <w:r w:rsidRPr="001310AD">
        <w:instrText xml:space="preserve"> REF _Ref204243067 \r \h </w:instrText>
      </w:r>
      <w:r w:rsidR="001F75E0" w:rsidRPr="001310AD">
        <w:instrText xml:space="preserve"> \* MERGEFORMAT </w:instrText>
      </w:r>
      <w:r w:rsidRPr="001310AD">
        <w:fldChar w:fldCharType="separate"/>
      </w:r>
      <w:r w:rsidR="001F75E0" w:rsidRPr="001310AD">
        <w:t>6.80</w:t>
      </w:r>
      <w:r w:rsidRPr="001310AD">
        <w:fldChar w:fldCharType="end"/>
      </w:r>
      <w:r w:rsidRPr="001310AD">
        <w:t>)</w:t>
      </w:r>
      <w:r w:rsidR="003C7F35" w:rsidRPr="001310AD">
        <w:t>.</w:t>
      </w:r>
      <w:r w:rsidR="00044091">
        <w:t xml:space="preserve"> </w:t>
      </w:r>
      <w:r w:rsidR="003C7F35" w:rsidRPr="001310AD">
        <w:t xml:space="preserve">The corresponding amendments to the PSCR model </w:t>
      </w:r>
      <w:r w:rsidR="00A21095" w:rsidRPr="001310AD">
        <w:t xml:space="preserve">included reduction of </w:t>
      </w:r>
      <w:r w:rsidR="00A21095" w:rsidRPr="001310AD">
        <w:rPr>
          <w:rFonts w:cs="Calibri"/>
        </w:rPr>
        <w:t>hospital costs from $20,091 to $9,900</w:t>
      </w:r>
      <w:r w:rsidR="00A21095" w:rsidRPr="001310AD">
        <w:rPr>
          <w:rFonts w:cs="Calibri"/>
          <w:vertAlign w:val="superscript"/>
        </w:rPr>
        <w:t xml:space="preserve"> </w:t>
      </w:r>
      <w:r w:rsidR="00A21095" w:rsidRPr="001310AD">
        <w:rPr>
          <w:rFonts w:cs="Calibri"/>
        </w:rPr>
        <w:t>and ED costs from $1,565 to $1,457, hospitalisation rate reduced from 443 to 384 and VE of 3 years</w:t>
      </w:r>
      <w:r w:rsidR="00843B4B" w:rsidRPr="001310AD">
        <w:rPr>
          <w:rFonts w:cs="Calibri"/>
        </w:rPr>
        <w:t xml:space="preserve"> </w:t>
      </w:r>
      <w:r w:rsidR="003C7F35" w:rsidRPr="001310AD">
        <w:t xml:space="preserve">(refer PBAC Scenario in </w:t>
      </w:r>
      <w:r w:rsidR="003C7F35" w:rsidRPr="001310AD">
        <w:fldChar w:fldCharType="begin"/>
      </w:r>
      <w:r w:rsidR="003C7F35" w:rsidRPr="001310AD">
        <w:instrText xml:space="preserve"> REF _Ref201305158 \h </w:instrText>
      </w:r>
      <w:r w:rsidR="001F75E0" w:rsidRPr="001310AD">
        <w:instrText xml:space="preserve"> \* MERGEFORMAT </w:instrText>
      </w:r>
      <w:r w:rsidR="003C7F35" w:rsidRPr="001310AD">
        <w:fldChar w:fldCharType="separate"/>
      </w:r>
      <w:r w:rsidR="00380B6B" w:rsidRPr="001310AD">
        <w:t>Table 20</w:t>
      </w:r>
      <w:r w:rsidR="003C7F35" w:rsidRPr="001310AD">
        <w:fldChar w:fldCharType="end"/>
      </w:r>
      <w:r w:rsidR="003C7F35" w:rsidRPr="001310AD">
        <w:t>).</w:t>
      </w:r>
      <w:bookmarkStart w:id="110" w:name="_Ref204243146"/>
      <w:bookmarkEnd w:id="108"/>
      <w:bookmarkEnd w:id="109"/>
      <w:r w:rsidR="00044091">
        <w:t xml:space="preserve"> </w:t>
      </w:r>
      <w:r w:rsidR="00CD2244" w:rsidRPr="001310AD">
        <w:t>T</w:t>
      </w:r>
      <w:r w:rsidRPr="001310AD">
        <w:t xml:space="preserve">he PBAC </w:t>
      </w:r>
      <w:r w:rsidR="001377A3" w:rsidRPr="001310AD">
        <w:t>considered</w:t>
      </w:r>
      <w:r w:rsidRPr="001310AD">
        <w:t xml:space="preserve"> that RSVPreF3 OA would be cost-effective </w:t>
      </w:r>
      <w:r w:rsidR="001377A3" w:rsidRPr="001310AD">
        <w:t xml:space="preserve">if the price was equal to the </w:t>
      </w:r>
      <w:r w:rsidRPr="001310AD">
        <w:t>recommended price for RSVpreF</w:t>
      </w:r>
      <w:bookmarkEnd w:id="110"/>
      <w:r w:rsidR="001377A3" w:rsidRPr="001310AD">
        <w:t>.</w:t>
      </w:r>
      <w:bookmarkStart w:id="111" w:name="_Ref204029340"/>
      <w:bookmarkStart w:id="112" w:name="_Ref204243701"/>
    </w:p>
    <w:p w14:paraId="7A1A3747" w14:textId="69F6A966" w:rsidR="00CD2244" w:rsidRPr="001310AD" w:rsidRDefault="00CD2244" w:rsidP="00BB4D9F">
      <w:pPr>
        <w:pStyle w:val="3-BodyText"/>
        <w:rPr>
          <w:rFonts w:eastAsia="Times New Roman" w:cs="Arial"/>
          <w:snapToGrid w:val="0"/>
          <w:szCs w:val="24"/>
        </w:rPr>
      </w:pPr>
      <w:bookmarkStart w:id="113" w:name="_Ref204359473"/>
      <w:r w:rsidRPr="001310AD">
        <w:rPr>
          <w:rFonts w:eastAsia="Times New Roman" w:cs="Arial"/>
          <w:snapToGrid w:val="0"/>
          <w:szCs w:val="24"/>
        </w:rPr>
        <w:t>The PBAC recalled that when recommending listing of RSVpreF in November 2024, it had advised specifications for acceptable cost-effectiveness for each population separately (Adults aged 75 years and above; and Aboriginal and Torres Strait Islander peoples aged 60 to 74 years).</w:t>
      </w:r>
      <w:r w:rsidR="00044091">
        <w:rPr>
          <w:rFonts w:eastAsia="Times New Roman" w:cs="Arial"/>
          <w:snapToGrid w:val="0"/>
          <w:szCs w:val="24"/>
        </w:rPr>
        <w:t xml:space="preserve"> </w:t>
      </w:r>
      <w:r w:rsidRPr="001310AD">
        <w:rPr>
          <w:rFonts w:eastAsia="Times New Roman" w:cs="Arial"/>
          <w:snapToGrid w:val="0"/>
          <w:szCs w:val="24"/>
        </w:rPr>
        <w:t>Consistent with this approach, t</w:t>
      </w:r>
      <w:r w:rsidRPr="001310AD">
        <w:t xml:space="preserve">he resubmission for RSVPreF3 OA </w:t>
      </w:r>
      <w:r w:rsidRPr="001310AD">
        <w:rPr>
          <w:rFonts w:eastAsia="Times New Roman" w:cs="Arial"/>
          <w:snapToGrid w:val="0"/>
          <w:szCs w:val="24"/>
        </w:rPr>
        <w:t>included the two populations proposed for the NIP.</w:t>
      </w:r>
      <w:r w:rsidR="00044091">
        <w:rPr>
          <w:rFonts w:eastAsia="Times New Roman" w:cs="Arial"/>
          <w:snapToGrid w:val="0"/>
          <w:szCs w:val="24"/>
        </w:rPr>
        <w:t xml:space="preserve"> </w:t>
      </w:r>
      <w:r w:rsidRPr="001310AD">
        <w:t xml:space="preserve">However, when deliberating on the current proposal, the PBAC noted that usage of RSVPreF3 OA in </w:t>
      </w:r>
      <w:r w:rsidRPr="001310AD">
        <w:rPr>
          <w:rFonts w:eastAsia="Times New Roman" w:cs="Arial"/>
          <w:snapToGrid w:val="0"/>
          <w:szCs w:val="24"/>
        </w:rPr>
        <w:t xml:space="preserve">Aboriginal and Torres Strait Islander peoples aged 60 to 74 years was estimated to be less than 5% of total utilisation in older adults, and given the uncertainties in modelling assumptions (paragraph </w:t>
      </w:r>
      <w:r w:rsidRPr="001310AD">
        <w:rPr>
          <w:rFonts w:eastAsia="Times New Roman" w:cs="Arial"/>
          <w:snapToGrid w:val="0"/>
          <w:szCs w:val="24"/>
        </w:rPr>
        <w:fldChar w:fldCharType="begin"/>
      </w:r>
      <w:r w:rsidRPr="001310AD">
        <w:rPr>
          <w:rFonts w:eastAsia="Times New Roman" w:cs="Arial"/>
          <w:snapToGrid w:val="0"/>
          <w:szCs w:val="24"/>
        </w:rPr>
        <w:instrText xml:space="preserve"> REF _Ref204241249 \r \h </w:instrText>
      </w:r>
      <w:r w:rsidRPr="001310AD">
        <w:rPr>
          <w:rFonts w:eastAsia="Times New Roman" w:cs="Arial"/>
          <w:snapToGrid w:val="0"/>
          <w:szCs w:val="24"/>
        </w:rPr>
      </w:r>
      <w:r w:rsidRPr="001310AD">
        <w:rPr>
          <w:rFonts w:eastAsia="Times New Roman" w:cs="Arial"/>
          <w:snapToGrid w:val="0"/>
          <w:szCs w:val="24"/>
        </w:rPr>
        <w:fldChar w:fldCharType="separate"/>
      </w:r>
      <w:r w:rsidRPr="001310AD">
        <w:rPr>
          <w:rFonts w:eastAsia="Times New Roman" w:cs="Arial"/>
          <w:snapToGrid w:val="0"/>
          <w:szCs w:val="24"/>
        </w:rPr>
        <w:t>6.75</w:t>
      </w:r>
      <w:r w:rsidRPr="001310AD">
        <w:rPr>
          <w:rFonts w:eastAsia="Times New Roman" w:cs="Arial"/>
          <w:snapToGrid w:val="0"/>
          <w:szCs w:val="24"/>
        </w:rPr>
        <w:fldChar w:fldCharType="end"/>
      </w:r>
      <w:r w:rsidRPr="001310AD">
        <w:rPr>
          <w:rFonts w:eastAsia="Times New Roman" w:cs="Arial"/>
          <w:snapToGrid w:val="0"/>
          <w:szCs w:val="24"/>
        </w:rPr>
        <w:t>), including burden of disease in Aboriginal and Torres Strait Islander peoples, considered it would be more appropriate to conduct the assessment of cost-effectiveness in the population of adults aged 75 years and above, and that this would provide an acceptable assessment of cost-effectiveness for the NIP listing in Aboriginal and Torres Strait Islander peoples aged 60 to 74 years.</w:t>
      </w:r>
      <w:bookmarkEnd w:id="113"/>
    </w:p>
    <w:bookmarkEnd w:id="111"/>
    <w:p w14:paraId="2BA528C7" w14:textId="1DA50932" w:rsidR="00CD2244" w:rsidRPr="001310AD" w:rsidRDefault="00143B90" w:rsidP="00BB4D9F">
      <w:pPr>
        <w:pStyle w:val="3-BodyText"/>
      </w:pPr>
      <w:r w:rsidRPr="001310AD">
        <w:rPr>
          <w:snapToGrid w:val="0"/>
        </w:rPr>
        <w:t xml:space="preserve">The PBAC advised that the vaccine price determined from the cost-effectiveness evaluation for </w:t>
      </w:r>
      <w:r w:rsidRPr="001310AD">
        <w:rPr>
          <w:rFonts w:eastAsia="Times New Roman" w:cs="Arial"/>
          <w:snapToGrid w:val="0"/>
          <w:szCs w:val="24"/>
        </w:rPr>
        <w:t xml:space="preserve">adults aged 75 years and above would also be considered cost-effective </w:t>
      </w:r>
      <w:r w:rsidRPr="001310AD">
        <w:rPr>
          <w:rFonts w:eastAsia="Times New Roman" w:cs="Arial"/>
          <w:snapToGrid w:val="0"/>
          <w:szCs w:val="24"/>
        </w:rPr>
        <w:lastRenderedPageBreak/>
        <w:t xml:space="preserve">for the proposed NIP listing for Aboriginal and Torres Strait Islander peoples aged 60 to 74 years as discussed in paragraph </w:t>
      </w:r>
      <w:r w:rsidRPr="001310AD">
        <w:rPr>
          <w:rFonts w:eastAsia="Times New Roman" w:cs="Arial"/>
          <w:snapToGrid w:val="0"/>
          <w:szCs w:val="24"/>
        </w:rPr>
        <w:fldChar w:fldCharType="begin"/>
      </w:r>
      <w:r w:rsidRPr="001310AD">
        <w:rPr>
          <w:rFonts w:eastAsia="Times New Roman" w:cs="Arial"/>
          <w:snapToGrid w:val="0"/>
          <w:szCs w:val="24"/>
        </w:rPr>
        <w:instrText xml:space="preserve"> REF _Ref204359473 \r \h </w:instrText>
      </w:r>
      <w:r w:rsidRPr="001310AD">
        <w:rPr>
          <w:rFonts w:eastAsia="Times New Roman" w:cs="Arial"/>
          <w:snapToGrid w:val="0"/>
          <w:szCs w:val="24"/>
        </w:rPr>
      </w:r>
      <w:r w:rsidRPr="001310AD">
        <w:rPr>
          <w:rFonts w:eastAsia="Times New Roman" w:cs="Arial"/>
          <w:snapToGrid w:val="0"/>
          <w:szCs w:val="24"/>
        </w:rPr>
        <w:fldChar w:fldCharType="separate"/>
      </w:r>
      <w:r w:rsidRPr="001310AD">
        <w:rPr>
          <w:rFonts w:eastAsia="Times New Roman" w:cs="Arial"/>
          <w:snapToGrid w:val="0"/>
          <w:szCs w:val="24"/>
        </w:rPr>
        <w:t>7.15</w:t>
      </w:r>
      <w:r w:rsidRPr="001310AD">
        <w:rPr>
          <w:rFonts w:eastAsia="Times New Roman" w:cs="Arial"/>
          <w:snapToGrid w:val="0"/>
          <w:szCs w:val="24"/>
        </w:rPr>
        <w:fldChar w:fldCharType="end"/>
      </w:r>
      <w:r w:rsidRPr="001310AD">
        <w:rPr>
          <w:rFonts w:eastAsia="Times New Roman" w:cs="Arial"/>
          <w:snapToGrid w:val="0"/>
          <w:szCs w:val="24"/>
        </w:rPr>
        <w:t>.</w:t>
      </w:r>
    </w:p>
    <w:bookmarkEnd w:id="112"/>
    <w:p w14:paraId="689BAAA9" w14:textId="0BB14B01" w:rsidR="00143B90" w:rsidRPr="001310AD" w:rsidRDefault="00BB0BC8" w:rsidP="00CC5089">
      <w:pPr>
        <w:pStyle w:val="3-BodyText"/>
        <w:rPr>
          <w:rStyle w:val="ui-provider"/>
          <w:rFonts w:eastAsia="Times New Roman" w:cs="Arial"/>
          <w:snapToGrid w:val="0"/>
          <w:szCs w:val="24"/>
        </w:rPr>
      </w:pPr>
      <w:r w:rsidRPr="001310AD">
        <w:rPr>
          <w:rFonts w:eastAsia="Times New Roman" w:cs="Arial"/>
          <w:snapToGrid w:val="0"/>
          <w:szCs w:val="24"/>
        </w:rPr>
        <w:t xml:space="preserve">The PBAC did not change its view previously expressed in July 2024, regarding the </w:t>
      </w:r>
      <w:r w:rsidRPr="001310AD">
        <w:t xml:space="preserve">high clinical need in high risk patients aged 60-74, however the </w:t>
      </w:r>
      <w:r w:rsidRPr="001310AD">
        <w:rPr>
          <w:iCs/>
        </w:rPr>
        <w:t xml:space="preserve">PBAC was unable to assess if </w:t>
      </w:r>
      <w:r w:rsidRPr="001310AD">
        <w:t xml:space="preserve">RSVPreF3 OA was </w:t>
      </w:r>
      <w:r w:rsidRPr="001310AD">
        <w:rPr>
          <w:iCs/>
        </w:rPr>
        <w:t>cost-effective based on the information presented in the resubmission</w:t>
      </w:r>
      <w:r w:rsidRPr="001310AD">
        <w:t xml:space="preserve"> for this group</w:t>
      </w:r>
      <w:r w:rsidR="00143B90" w:rsidRPr="001310AD">
        <w:t xml:space="preserve"> (see paragraph </w:t>
      </w:r>
      <w:r w:rsidR="00143B90" w:rsidRPr="001310AD">
        <w:fldChar w:fldCharType="begin"/>
      </w:r>
      <w:r w:rsidR="00143B90" w:rsidRPr="001310AD">
        <w:instrText xml:space="preserve"> REF _Ref204359590 \r \h </w:instrText>
      </w:r>
      <w:r w:rsidR="00143B90" w:rsidRPr="001310AD">
        <w:fldChar w:fldCharType="separate"/>
      </w:r>
      <w:r w:rsidR="00A763D9">
        <w:t>7.4</w:t>
      </w:r>
      <w:r w:rsidR="00143B90" w:rsidRPr="001310AD">
        <w:fldChar w:fldCharType="end"/>
      </w:r>
      <w:r w:rsidR="00143B90" w:rsidRPr="001310AD">
        <w:t>)</w:t>
      </w:r>
      <w:r w:rsidRPr="001310AD">
        <w:t>.</w:t>
      </w:r>
      <w:r w:rsidR="00044091">
        <w:t xml:space="preserve"> </w:t>
      </w:r>
      <w:r w:rsidR="00143B90" w:rsidRPr="001310AD">
        <w:t>The PBAC</w:t>
      </w:r>
      <w:r w:rsidR="00143B90" w:rsidRPr="001310AD">
        <w:rPr>
          <w:rStyle w:val="ui-provider"/>
        </w:rPr>
        <w:t xml:space="preserve"> noted that the costs to the NIP for this group had been estimated as more than </w:t>
      </w:r>
      <w:r w:rsidR="008F637A" w:rsidRPr="008F637A">
        <w:rPr>
          <w:rStyle w:val="ui-provider"/>
        </w:rPr>
        <w:t>$300 million to &lt; $400 million</w:t>
      </w:r>
      <w:r w:rsidR="00143B90" w:rsidRPr="001310AD">
        <w:rPr>
          <w:rStyle w:val="ui-provider"/>
        </w:rPr>
        <w:t xml:space="preserve"> over 6 years by the July 2024 submission (paragraph 6.108, </w:t>
      </w:r>
      <w:r w:rsidR="00697EAD" w:rsidRPr="001310AD">
        <w:t>RSVPreF3 OA PSD, July 2024</w:t>
      </w:r>
      <w:r w:rsidR="00143B90" w:rsidRPr="001310AD">
        <w:rPr>
          <w:rStyle w:val="ui-provider"/>
        </w:rPr>
        <w:t>).</w:t>
      </w:r>
    </w:p>
    <w:p w14:paraId="1364475B" w14:textId="6138C3E7" w:rsidR="00C15140" w:rsidRPr="001310AD" w:rsidRDefault="004413C0" w:rsidP="007F03AC">
      <w:pPr>
        <w:pStyle w:val="3-BodyText"/>
      </w:pPr>
      <w:r w:rsidRPr="001310AD">
        <w:t xml:space="preserve">The PBAC noted that the financial implications had been calculated using the proposed price in the PSCR, however the estimates would need to be recalculated using the cost-effective price </w:t>
      </w:r>
      <w:r w:rsidR="00C15140" w:rsidRPr="001310AD">
        <w:t>recommended by the PBAC</w:t>
      </w:r>
      <w:r w:rsidR="001F75E0" w:rsidRPr="001310AD">
        <w:t xml:space="preserve"> which was equal to the recommended price for RSVpreF</w:t>
      </w:r>
      <w:r w:rsidRPr="001310AD">
        <w:t>.</w:t>
      </w:r>
      <w:r w:rsidR="00044091">
        <w:t xml:space="preserve"> </w:t>
      </w:r>
      <w:r w:rsidR="00C15140" w:rsidRPr="001310AD">
        <w:t xml:space="preserve">It was noted that the estimated volume of vaccinations in Year 1 was substantially higher than the following years, due to the </w:t>
      </w:r>
      <w:r w:rsidR="00306A87" w:rsidRPr="001310AD">
        <w:t xml:space="preserve">large </w:t>
      </w:r>
      <w:r w:rsidR="00C15140" w:rsidRPr="001310AD">
        <w:t xml:space="preserve">prevalent population </w:t>
      </w:r>
      <w:r w:rsidR="00306A87" w:rsidRPr="001310AD">
        <w:t>above the relevant age thresholds, that will potentially come forward for vaccination in the first year after the NIP listing is implemented.</w:t>
      </w:r>
    </w:p>
    <w:p w14:paraId="233BB39B" w14:textId="429A0EA3" w:rsidR="00D016D6" w:rsidRPr="001310AD" w:rsidRDefault="004413C0" w:rsidP="00D425FF">
      <w:pPr>
        <w:pStyle w:val="3-BodyText"/>
      </w:pPr>
      <w:r w:rsidRPr="001310AD">
        <w:t>The PBAC noted that there would be no additional financial impact of listing RSVPreF3 OA on the NIP, as the recommended price was equal to the recommended price for RSVPreF.</w:t>
      </w:r>
    </w:p>
    <w:p w14:paraId="1E5C594D" w14:textId="1FCFC044" w:rsidR="006A0061" w:rsidRPr="001310AD" w:rsidRDefault="006A0061" w:rsidP="00444140">
      <w:pPr>
        <w:pStyle w:val="3-BodyText"/>
        <w:rPr>
          <w:rStyle w:val="ui-provider"/>
        </w:rPr>
      </w:pPr>
      <w:r w:rsidRPr="001310AD">
        <w:rPr>
          <w:rStyle w:val="ui-provider"/>
        </w:rPr>
        <w:t>The PBAC reiterated that the submission</w:t>
      </w:r>
      <w:r w:rsidRPr="001310AD">
        <w:t xml:space="preserve"> requested listing on the NIP for a single dose of vaccine and that if the sponsor wishes to request listing for revaccination in the future, PBAC consideration of a new submission would be required.</w:t>
      </w:r>
    </w:p>
    <w:p w14:paraId="0EC8606A" w14:textId="57DA978B" w:rsidR="00A93B7A" w:rsidRPr="001310AD" w:rsidRDefault="006A0061" w:rsidP="006A0061">
      <w:pPr>
        <w:pStyle w:val="3-BodyText"/>
      </w:pPr>
      <w:r w:rsidRPr="001310AD">
        <w:t>The PBAC noted that this submission is not eligible for an Independent Review because it is only relevant to submissions requesting a listing (or change to a listing) on the PBS.</w:t>
      </w:r>
    </w:p>
    <w:p w14:paraId="3827850C" w14:textId="77777777" w:rsidR="00A93B7A" w:rsidRPr="001310AD" w:rsidRDefault="00A93B7A" w:rsidP="00A93B7A">
      <w:pPr>
        <w:spacing w:before="240"/>
        <w:rPr>
          <w:rFonts w:asciiTheme="minorHAnsi" w:hAnsiTheme="minorHAnsi"/>
          <w:b/>
          <w:bCs/>
          <w:snapToGrid w:val="0"/>
        </w:rPr>
      </w:pPr>
      <w:r w:rsidRPr="001310AD">
        <w:rPr>
          <w:rFonts w:asciiTheme="minorHAnsi" w:hAnsiTheme="minorHAnsi"/>
          <w:b/>
          <w:bCs/>
          <w:snapToGrid w:val="0"/>
        </w:rPr>
        <w:t>Outcome:</w:t>
      </w:r>
    </w:p>
    <w:p w14:paraId="434FA508" w14:textId="10D79F9E" w:rsidR="00050038" w:rsidRPr="001310AD" w:rsidRDefault="00050038" w:rsidP="00A93B7A">
      <w:pPr>
        <w:rPr>
          <w:rFonts w:asciiTheme="minorHAnsi" w:hAnsiTheme="minorHAnsi"/>
          <w:bCs/>
          <w:snapToGrid w:val="0"/>
        </w:rPr>
      </w:pPr>
      <w:r w:rsidRPr="001310AD">
        <w:rPr>
          <w:rFonts w:asciiTheme="minorHAnsi" w:hAnsiTheme="minorHAnsi"/>
          <w:bCs/>
          <w:snapToGrid w:val="0"/>
        </w:rPr>
        <w:t>Recommended</w:t>
      </w:r>
    </w:p>
    <w:p w14:paraId="1EAB9C69" w14:textId="77777777" w:rsidR="006B161B" w:rsidRPr="001310AD" w:rsidRDefault="006B161B" w:rsidP="006B161B">
      <w:pPr>
        <w:pStyle w:val="2-SectionHeading"/>
        <w:numPr>
          <w:ilvl w:val="0"/>
          <w:numId w:val="1"/>
        </w:numPr>
      </w:pPr>
      <w:r w:rsidRPr="001310AD">
        <w:t>Recommended listing</w:t>
      </w:r>
    </w:p>
    <w:p w14:paraId="389C35EC" w14:textId="77777777" w:rsidR="006B161B" w:rsidRPr="001310AD" w:rsidRDefault="006B161B" w:rsidP="006B161B">
      <w:pPr>
        <w:widowControl w:val="0"/>
        <w:numPr>
          <w:ilvl w:val="1"/>
          <w:numId w:val="1"/>
        </w:numPr>
        <w:spacing w:after="120"/>
        <w:contextualSpacing/>
        <w:rPr>
          <w:rFonts w:asciiTheme="minorHAnsi" w:hAnsiTheme="minorHAnsi"/>
          <w:b/>
          <w:bCs/>
          <w:snapToGrid w:val="0"/>
        </w:rPr>
      </w:pPr>
      <w:r w:rsidRPr="001310AD">
        <w:rPr>
          <w:rFonts w:asciiTheme="minorHAnsi" w:hAnsiTheme="minorHAnsi"/>
          <w:bCs/>
          <w:snapToGrid w:val="0"/>
        </w:rPr>
        <w:t>Add new item to the Determination:</w:t>
      </w:r>
    </w:p>
    <w:tbl>
      <w:tblPr>
        <w:tblW w:w="0" w:type="auto"/>
        <w:tblBorders>
          <w:top w:val="single" w:sz="4" w:space="0" w:color="808080"/>
          <w:bottom w:val="single" w:sz="4" w:space="0" w:color="808080"/>
          <w:insideH w:val="single" w:sz="4" w:space="0" w:color="808080"/>
        </w:tblBorders>
        <w:tblLook w:val="04A0" w:firstRow="1" w:lastRow="0" w:firstColumn="1" w:lastColumn="0" w:noHBand="0" w:noVBand="1"/>
        <w:tblCaption w:val="Recommended listing"/>
      </w:tblPr>
      <w:tblGrid>
        <w:gridCol w:w="2796"/>
        <w:gridCol w:w="718"/>
        <w:gridCol w:w="1237"/>
        <w:gridCol w:w="3007"/>
        <w:gridCol w:w="1259"/>
      </w:tblGrid>
      <w:tr w:rsidR="006B161B" w:rsidRPr="001310AD" w14:paraId="46D7CAE1" w14:textId="77777777" w:rsidTr="00934633">
        <w:trPr>
          <w:tblHeader/>
        </w:trPr>
        <w:tc>
          <w:tcPr>
            <w:tcW w:w="0" w:type="auto"/>
            <w:tcBorders>
              <w:top w:val="single" w:sz="4" w:space="0" w:color="auto"/>
              <w:left w:val="single" w:sz="4" w:space="0" w:color="auto"/>
              <w:bottom w:val="single" w:sz="4" w:space="0" w:color="auto"/>
              <w:right w:val="single" w:sz="4" w:space="0" w:color="auto"/>
            </w:tcBorders>
          </w:tcPr>
          <w:p w14:paraId="5BCD670A" w14:textId="77777777" w:rsidR="006B161B" w:rsidRPr="001310AD" w:rsidRDefault="006B161B" w:rsidP="00934633">
            <w:pPr>
              <w:pStyle w:val="TableText0"/>
              <w:rPr>
                <w:b/>
                <w:bCs w:val="0"/>
                <w:snapToGrid w:val="0"/>
              </w:rPr>
            </w:pPr>
            <w:r w:rsidRPr="001310AD">
              <w:rPr>
                <w:b/>
                <w:bCs w:val="0"/>
                <w:snapToGrid w:val="0"/>
              </w:rPr>
              <w:t>Vaccine and the circumstances in which vaccine may be provided</w:t>
            </w:r>
          </w:p>
        </w:tc>
        <w:tc>
          <w:tcPr>
            <w:tcW w:w="0" w:type="auto"/>
            <w:tcBorders>
              <w:top w:val="single" w:sz="4" w:space="0" w:color="auto"/>
              <w:left w:val="single" w:sz="4" w:space="0" w:color="auto"/>
              <w:bottom w:val="single" w:sz="4" w:space="0" w:color="auto"/>
              <w:right w:val="single" w:sz="4" w:space="0" w:color="auto"/>
            </w:tcBorders>
          </w:tcPr>
          <w:p w14:paraId="71F6CF55" w14:textId="77777777" w:rsidR="006B161B" w:rsidRPr="001310AD" w:rsidRDefault="006B161B" w:rsidP="00934633">
            <w:pPr>
              <w:pStyle w:val="TableText0"/>
              <w:rPr>
                <w:b/>
                <w:bCs w:val="0"/>
                <w:snapToGrid w:val="0"/>
              </w:rPr>
            </w:pPr>
            <w:r w:rsidRPr="001310AD">
              <w:rPr>
                <w:b/>
                <w:bCs w:val="0"/>
                <w:snapToGrid w:val="0"/>
              </w:rPr>
              <w:t xml:space="preserve">Brand </w:t>
            </w:r>
          </w:p>
        </w:tc>
        <w:tc>
          <w:tcPr>
            <w:tcW w:w="0" w:type="auto"/>
            <w:tcBorders>
              <w:top w:val="single" w:sz="4" w:space="0" w:color="auto"/>
              <w:left w:val="single" w:sz="4" w:space="0" w:color="auto"/>
              <w:bottom w:val="single" w:sz="4" w:space="0" w:color="auto"/>
              <w:right w:val="single" w:sz="4" w:space="0" w:color="auto"/>
            </w:tcBorders>
          </w:tcPr>
          <w:p w14:paraId="247CF4E1" w14:textId="77777777" w:rsidR="006B161B" w:rsidRPr="001310AD" w:rsidRDefault="006B161B" w:rsidP="00934633">
            <w:pPr>
              <w:pStyle w:val="TableText0"/>
              <w:rPr>
                <w:b/>
                <w:bCs w:val="0"/>
                <w:snapToGrid w:val="0"/>
              </w:rPr>
            </w:pPr>
            <w:r w:rsidRPr="001310AD">
              <w:rPr>
                <w:b/>
                <w:bCs w:val="0"/>
                <w:snapToGrid w:val="0"/>
              </w:rPr>
              <w:t xml:space="preserve">Formulation </w:t>
            </w:r>
          </w:p>
        </w:tc>
        <w:tc>
          <w:tcPr>
            <w:tcW w:w="0" w:type="auto"/>
            <w:tcBorders>
              <w:top w:val="single" w:sz="4" w:space="0" w:color="auto"/>
              <w:left w:val="single" w:sz="4" w:space="0" w:color="auto"/>
              <w:bottom w:val="single" w:sz="4" w:space="0" w:color="auto"/>
              <w:right w:val="single" w:sz="4" w:space="0" w:color="auto"/>
            </w:tcBorders>
          </w:tcPr>
          <w:p w14:paraId="68CB1F19" w14:textId="77777777" w:rsidR="006B161B" w:rsidRPr="001310AD" w:rsidRDefault="006B161B" w:rsidP="00934633">
            <w:pPr>
              <w:pStyle w:val="TableText0"/>
              <w:rPr>
                <w:b/>
                <w:bCs w:val="0"/>
                <w:snapToGrid w:val="0"/>
              </w:rPr>
            </w:pPr>
            <w:r w:rsidRPr="001310AD">
              <w:rPr>
                <w:b/>
                <w:bCs w:val="0"/>
                <w:snapToGrid w:val="0"/>
              </w:rPr>
              <w:t>Active ingredient and strength</w:t>
            </w:r>
          </w:p>
        </w:tc>
        <w:tc>
          <w:tcPr>
            <w:tcW w:w="0" w:type="auto"/>
            <w:tcBorders>
              <w:top w:val="single" w:sz="4" w:space="0" w:color="auto"/>
              <w:left w:val="single" w:sz="4" w:space="0" w:color="auto"/>
              <w:bottom w:val="single" w:sz="4" w:space="0" w:color="auto"/>
              <w:right w:val="single" w:sz="4" w:space="0" w:color="auto"/>
            </w:tcBorders>
          </w:tcPr>
          <w:p w14:paraId="5374E73C" w14:textId="77777777" w:rsidR="006B161B" w:rsidRPr="001310AD" w:rsidRDefault="006B161B" w:rsidP="00934633">
            <w:pPr>
              <w:pStyle w:val="TableText0"/>
              <w:rPr>
                <w:b/>
                <w:bCs w:val="0"/>
                <w:snapToGrid w:val="0"/>
              </w:rPr>
            </w:pPr>
            <w:r w:rsidRPr="001310AD">
              <w:rPr>
                <w:b/>
                <w:bCs w:val="0"/>
                <w:snapToGrid w:val="0"/>
              </w:rPr>
              <w:t>Number and timing of doses</w:t>
            </w:r>
          </w:p>
        </w:tc>
      </w:tr>
      <w:tr w:rsidR="006B161B" w:rsidRPr="001310AD" w14:paraId="6BEFBF51" w14:textId="77777777" w:rsidTr="00934633">
        <w:tc>
          <w:tcPr>
            <w:tcW w:w="0" w:type="auto"/>
            <w:tcBorders>
              <w:top w:val="single" w:sz="4" w:space="0" w:color="auto"/>
              <w:left w:val="single" w:sz="4" w:space="0" w:color="auto"/>
              <w:bottom w:val="single" w:sz="4" w:space="0" w:color="auto"/>
              <w:right w:val="single" w:sz="4" w:space="0" w:color="auto"/>
            </w:tcBorders>
          </w:tcPr>
          <w:p w14:paraId="5F8EEAA9" w14:textId="77777777" w:rsidR="006B161B" w:rsidRPr="001310AD" w:rsidRDefault="006B161B" w:rsidP="00934633">
            <w:pPr>
              <w:pStyle w:val="TableText0"/>
              <w:rPr>
                <w:rFonts w:eastAsia="MS Gothic"/>
                <w:u w:val="single"/>
              </w:rPr>
            </w:pPr>
            <w:r w:rsidRPr="001310AD">
              <w:rPr>
                <w:rFonts w:eastAsia="MS Gothic"/>
                <w:u w:val="single"/>
              </w:rPr>
              <w:t>Vaccine</w:t>
            </w:r>
          </w:p>
          <w:p w14:paraId="08CD35D5" w14:textId="77777777" w:rsidR="006B161B" w:rsidRPr="001310AD" w:rsidRDefault="006B161B" w:rsidP="00934633">
            <w:pPr>
              <w:pStyle w:val="Tabletext"/>
              <w:keepNext/>
              <w:keepLines/>
              <w:rPr>
                <w:bCs/>
              </w:rPr>
            </w:pPr>
            <w:r w:rsidRPr="001310AD">
              <w:rPr>
                <w:bCs/>
              </w:rPr>
              <w:t xml:space="preserve">respiratory syncytial virus (RSV) stabilised prefusion F </w:t>
            </w:r>
            <w:r w:rsidRPr="001310AD">
              <w:t>protein vaccine (AS01</w:t>
            </w:r>
            <w:r w:rsidRPr="001310AD">
              <w:rPr>
                <w:vertAlign w:val="subscript"/>
              </w:rPr>
              <w:t>E</w:t>
            </w:r>
            <w:r w:rsidRPr="001310AD">
              <w:t xml:space="preserve"> adjuvanted)</w:t>
            </w:r>
          </w:p>
        </w:tc>
        <w:tc>
          <w:tcPr>
            <w:tcW w:w="0" w:type="auto"/>
            <w:tcBorders>
              <w:top w:val="single" w:sz="4" w:space="0" w:color="auto"/>
              <w:left w:val="single" w:sz="4" w:space="0" w:color="auto"/>
              <w:bottom w:val="single" w:sz="4" w:space="0" w:color="auto"/>
              <w:right w:val="single" w:sz="4" w:space="0" w:color="auto"/>
            </w:tcBorders>
          </w:tcPr>
          <w:p w14:paraId="4396D717" w14:textId="77777777" w:rsidR="006B161B" w:rsidRPr="001310AD" w:rsidRDefault="006B161B" w:rsidP="00934633">
            <w:pPr>
              <w:pStyle w:val="TableText0"/>
            </w:pPr>
            <w:r w:rsidRPr="001310AD">
              <w:rPr>
                <w:rFonts w:eastAsia="MS Gothic"/>
              </w:rPr>
              <w:t>Arexvy</w:t>
            </w:r>
          </w:p>
        </w:tc>
        <w:tc>
          <w:tcPr>
            <w:tcW w:w="0" w:type="auto"/>
            <w:tcBorders>
              <w:top w:val="single" w:sz="4" w:space="0" w:color="auto"/>
              <w:left w:val="single" w:sz="4" w:space="0" w:color="auto"/>
              <w:bottom w:val="single" w:sz="4" w:space="0" w:color="auto"/>
              <w:right w:val="single" w:sz="4" w:space="0" w:color="auto"/>
            </w:tcBorders>
          </w:tcPr>
          <w:p w14:paraId="0CC6555D" w14:textId="77777777" w:rsidR="006B161B" w:rsidRPr="001310AD" w:rsidRDefault="006B161B" w:rsidP="00934633">
            <w:pPr>
              <w:pStyle w:val="TableText0"/>
            </w:pPr>
            <w:r w:rsidRPr="001310AD">
              <w:t>Injection (0.5mL)</w:t>
            </w:r>
          </w:p>
        </w:tc>
        <w:tc>
          <w:tcPr>
            <w:tcW w:w="0" w:type="auto"/>
            <w:tcBorders>
              <w:top w:val="single" w:sz="4" w:space="0" w:color="auto"/>
              <w:left w:val="single" w:sz="4" w:space="0" w:color="auto"/>
              <w:bottom w:val="single" w:sz="4" w:space="0" w:color="auto"/>
              <w:right w:val="single" w:sz="4" w:space="0" w:color="auto"/>
            </w:tcBorders>
          </w:tcPr>
          <w:p w14:paraId="2FC5999E" w14:textId="77777777" w:rsidR="006B161B" w:rsidRPr="001310AD" w:rsidRDefault="006B161B" w:rsidP="00934633">
            <w:pPr>
              <w:pStyle w:val="Tabletext"/>
              <w:keepNext/>
              <w:keepLines/>
            </w:pPr>
            <w:r w:rsidRPr="001310AD">
              <w:rPr>
                <w:iCs/>
              </w:rPr>
              <w:t>Each 0.5mL dose contains 120 μg of</w:t>
            </w:r>
            <w:r w:rsidRPr="001310AD">
              <w:t xml:space="preserve"> </w:t>
            </w:r>
            <w:r w:rsidRPr="001310AD">
              <w:rPr>
                <w:iCs/>
              </w:rPr>
              <w:t xml:space="preserve">RSVPreF3 antigen adjuvanted with </w:t>
            </w:r>
            <w:r w:rsidRPr="001310AD">
              <w:t>GSK proprietary adjuvant system, AS01</w:t>
            </w:r>
            <w:r w:rsidRPr="001310AD">
              <w:rPr>
                <w:vertAlign w:val="subscript"/>
              </w:rPr>
              <w:t>E.</w:t>
            </w:r>
          </w:p>
        </w:tc>
        <w:tc>
          <w:tcPr>
            <w:tcW w:w="0" w:type="auto"/>
            <w:tcBorders>
              <w:top w:val="single" w:sz="4" w:space="0" w:color="auto"/>
              <w:left w:val="single" w:sz="4" w:space="0" w:color="auto"/>
              <w:bottom w:val="single" w:sz="4" w:space="0" w:color="auto"/>
              <w:right w:val="single" w:sz="4" w:space="0" w:color="auto"/>
            </w:tcBorders>
          </w:tcPr>
          <w:p w14:paraId="4AA30B27" w14:textId="77777777" w:rsidR="006B161B" w:rsidRPr="001310AD" w:rsidRDefault="006B161B" w:rsidP="00934633">
            <w:pPr>
              <w:pStyle w:val="TableText0"/>
            </w:pPr>
            <w:r w:rsidRPr="001310AD">
              <w:t xml:space="preserve">1 dose </w:t>
            </w:r>
          </w:p>
        </w:tc>
      </w:tr>
      <w:tr w:rsidR="006B161B" w:rsidRPr="001310AD" w14:paraId="60C2B8B3" w14:textId="77777777" w:rsidTr="00934633">
        <w:tc>
          <w:tcPr>
            <w:tcW w:w="0" w:type="auto"/>
            <w:gridSpan w:val="5"/>
            <w:tcBorders>
              <w:top w:val="single" w:sz="4" w:space="0" w:color="auto"/>
              <w:left w:val="single" w:sz="4" w:space="0" w:color="auto"/>
              <w:bottom w:val="single" w:sz="4" w:space="0" w:color="auto"/>
              <w:right w:val="single" w:sz="4" w:space="0" w:color="auto"/>
            </w:tcBorders>
          </w:tcPr>
          <w:p w14:paraId="678B72B2" w14:textId="77777777" w:rsidR="006B161B" w:rsidRPr="001310AD" w:rsidRDefault="006B161B" w:rsidP="00934633">
            <w:pPr>
              <w:pStyle w:val="TableText0"/>
              <w:rPr>
                <w:u w:val="single"/>
              </w:rPr>
            </w:pPr>
            <w:r w:rsidRPr="001310AD">
              <w:rPr>
                <w:u w:val="single"/>
              </w:rPr>
              <w:t>Circumstances</w:t>
            </w:r>
          </w:p>
          <w:p w14:paraId="6BBC02A2" w14:textId="77777777" w:rsidR="006B161B" w:rsidRPr="001310AD" w:rsidRDefault="006B161B">
            <w:pPr>
              <w:pStyle w:val="Tabletext"/>
              <w:keepNext/>
              <w:keepLines/>
              <w:numPr>
                <w:ilvl w:val="0"/>
                <w:numId w:val="16"/>
              </w:numPr>
            </w:pPr>
            <w:r w:rsidRPr="001310AD">
              <w:t>Adults 75 years of age and above;</w:t>
            </w:r>
          </w:p>
          <w:p w14:paraId="26BDF73D" w14:textId="77777777" w:rsidR="006B161B" w:rsidRPr="001310AD" w:rsidRDefault="006B161B">
            <w:pPr>
              <w:pStyle w:val="TableText0"/>
              <w:numPr>
                <w:ilvl w:val="0"/>
                <w:numId w:val="16"/>
              </w:numPr>
            </w:pPr>
            <w:r w:rsidRPr="001310AD">
              <w:t>Aboriginal and Torres Strait Islander peoples aged 60 to 74 years.</w:t>
            </w:r>
          </w:p>
        </w:tc>
      </w:tr>
    </w:tbl>
    <w:p w14:paraId="45867131" w14:textId="77777777" w:rsidR="00551A4A" w:rsidRDefault="00551A4A" w:rsidP="006B161B">
      <w:pPr>
        <w:jc w:val="left"/>
        <w:rPr>
          <w:rFonts w:asciiTheme="minorHAnsi" w:hAnsiTheme="minorHAnsi"/>
          <w:b/>
          <w:i/>
          <w:iCs/>
          <w:snapToGrid w:val="0"/>
        </w:rPr>
      </w:pPr>
    </w:p>
    <w:p w14:paraId="7D38FA38" w14:textId="6577F1DC" w:rsidR="006B161B" w:rsidRDefault="006B161B" w:rsidP="006B161B">
      <w:pPr>
        <w:jc w:val="left"/>
        <w:rPr>
          <w:rFonts w:asciiTheme="minorHAnsi" w:hAnsiTheme="minorHAnsi"/>
          <w:b/>
          <w:i/>
          <w:iCs/>
          <w:snapToGrid w:val="0"/>
        </w:rPr>
      </w:pPr>
      <w:r w:rsidRPr="001310AD">
        <w:rPr>
          <w:rFonts w:asciiTheme="minorHAnsi" w:hAnsiTheme="minorHAnsi"/>
          <w:b/>
          <w:i/>
          <w:iCs/>
          <w:snapToGrid w:val="0"/>
        </w:rPr>
        <w:lastRenderedPageBreak/>
        <w:t>This restriction may be subject to further review. Should there be any changes made to the restriction the sponsor will be informed.</w:t>
      </w:r>
    </w:p>
    <w:p w14:paraId="5C064817" w14:textId="77777777" w:rsidR="001D0FD7" w:rsidRPr="001D0FD7" w:rsidRDefault="001D0FD7" w:rsidP="001D0FD7">
      <w:pPr>
        <w:keepNext/>
        <w:spacing w:before="240" w:after="120"/>
        <w:ind w:left="720" w:hanging="720"/>
        <w:jc w:val="left"/>
        <w:outlineLvl w:val="0"/>
        <w:rPr>
          <w:rFonts w:asciiTheme="minorHAnsi" w:hAnsiTheme="minorHAnsi"/>
          <w:b/>
          <w:bCs/>
          <w:snapToGrid w:val="0"/>
          <w:sz w:val="32"/>
          <w:szCs w:val="32"/>
          <w:lang w:val="en-GB"/>
        </w:rPr>
      </w:pPr>
      <w:r w:rsidRPr="001D0FD7">
        <w:rPr>
          <w:rFonts w:asciiTheme="minorHAnsi" w:hAnsiTheme="minorHAnsi"/>
          <w:b/>
          <w:snapToGrid w:val="0"/>
          <w:sz w:val="32"/>
          <w:szCs w:val="32"/>
        </w:rPr>
        <w:t>9</w:t>
      </w:r>
      <w:r w:rsidRPr="001D0FD7">
        <w:rPr>
          <w:rFonts w:asciiTheme="minorHAnsi" w:hAnsiTheme="minorHAnsi"/>
          <w:b/>
          <w:snapToGrid w:val="0"/>
          <w:sz w:val="32"/>
          <w:szCs w:val="32"/>
        </w:rPr>
        <w:tab/>
        <w:t>Context for Decision</w:t>
      </w:r>
    </w:p>
    <w:p w14:paraId="78087085" w14:textId="77777777" w:rsidR="001D0FD7" w:rsidRPr="001D0FD7" w:rsidRDefault="001D0FD7" w:rsidP="001D0FD7">
      <w:pPr>
        <w:spacing w:after="120"/>
        <w:ind w:left="720"/>
        <w:rPr>
          <w:rFonts w:asciiTheme="minorHAnsi" w:hAnsiTheme="minorHAnsi"/>
          <w:bCs/>
          <w:lang w:val="en-GB"/>
        </w:rPr>
      </w:pPr>
      <w:r w:rsidRPr="001D0FD7">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6D19A2B" w14:textId="77777777" w:rsidR="001D0FD7" w:rsidRPr="001D0FD7" w:rsidRDefault="001D0FD7" w:rsidP="001D0FD7">
      <w:pPr>
        <w:keepNext/>
        <w:spacing w:before="240" w:after="120"/>
        <w:ind w:left="720" w:hanging="720"/>
        <w:jc w:val="left"/>
        <w:outlineLvl w:val="0"/>
        <w:rPr>
          <w:rFonts w:asciiTheme="minorHAnsi" w:hAnsiTheme="minorHAnsi"/>
          <w:b/>
          <w:snapToGrid w:val="0"/>
          <w:sz w:val="32"/>
          <w:szCs w:val="32"/>
        </w:rPr>
      </w:pPr>
      <w:r w:rsidRPr="001D0FD7">
        <w:rPr>
          <w:rFonts w:asciiTheme="minorHAnsi" w:hAnsiTheme="minorHAnsi"/>
          <w:b/>
          <w:snapToGrid w:val="0"/>
          <w:sz w:val="32"/>
          <w:szCs w:val="32"/>
        </w:rPr>
        <w:t>10</w:t>
      </w:r>
      <w:r w:rsidRPr="001D0FD7">
        <w:rPr>
          <w:rFonts w:asciiTheme="minorHAnsi" w:hAnsiTheme="minorHAnsi"/>
          <w:b/>
          <w:snapToGrid w:val="0"/>
          <w:sz w:val="32"/>
          <w:szCs w:val="32"/>
        </w:rPr>
        <w:tab/>
        <w:t>Sponsor’s Comment</w:t>
      </w:r>
    </w:p>
    <w:p w14:paraId="44BC1696" w14:textId="77777777" w:rsidR="001D0FD7" w:rsidRPr="001D0FD7" w:rsidRDefault="001D0FD7" w:rsidP="001D0FD7">
      <w:pPr>
        <w:spacing w:after="120" w:line="276" w:lineRule="auto"/>
        <w:ind w:left="720"/>
        <w:rPr>
          <w:rFonts w:asciiTheme="minorHAnsi" w:eastAsiaTheme="minorHAnsi" w:hAnsiTheme="minorHAnsi"/>
          <w:bCs/>
          <w:szCs w:val="22"/>
          <w:lang w:eastAsia="en-US"/>
        </w:rPr>
      </w:pPr>
      <w:r w:rsidRPr="001D0FD7">
        <w:rPr>
          <w:rFonts w:asciiTheme="minorHAnsi" w:eastAsiaTheme="minorHAnsi" w:hAnsiTheme="minorHAnsi"/>
          <w:bCs/>
          <w:szCs w:val="22"/>
          <w:lang w:eastAsia="en-US"/>
        </w:rPr>
        <w:t>The sponsor had no comment.</w:t>
      </w:r>
    </w:p>
    <w:bookmarkEnd w:id="101"/>
    <w:p w14:paraId="640993CE" w14:textId="77777777" w:rsidR="001D0FD7" w:rsidRPr="001310AD" w:rsidRDefault="001D0FD7" w:rsidP="006B161B">
      <w:pPr>
        <w:jc w:val="left"/>
        <w:rPr>
          <w:rFonts w:asciiTheme="minorHAnsi" w:hAnsiTheme="minorHAnsi"/>
          <w:b/>
          <w:i/>
          <w:iCs/>
          <w:snapToGrid w:val="0"/>
        </w:rPr>
      </w:pPr>
    </w:p>
    <w:sectPr w:rsidR="001D0FD7" w:rsidRPr="001310AD" w:rsidSect="00022D9C">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419A" w14:textId="77777777" w:rsidR="0006294B" w:rsidRDefault="0006294B" w:rsidP="00124A51">
      <w:r>
        <w:separator/>
      </w:r>
    </w:p>
    <w:p w14:paraId="64B16A1D" w14:textId="77777777" w:rsidR="0006294B" w:rsidRDefault="0006294B"/>
  </w:endnote>
  <w:endnote w:type="continuationSeparator" w:id="0">
    <w:p w14:paraId="21BB915D" w14:textId="77777777" w:rsidR="0006294B" w:rsidRDefault="0006294B" w:rsidP="00124A51">
      <w:r>
        <w:continuationSeparator/>
      </w:r>
    </w:p>
    <w:p w14:paraId="33C4611F" w14:textId="77777777" w:rsidR="0006294B" w:rsidRDefault="0006294B"/>
  </w:endnote>
  <w:endnote w:type="continuationNotice" w:id="1">
    <w:p w14:paraId="071919E2" w14:textId="77777777" w:rsidR="0006294B" w:rsidRDefault="00062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FC2A" w14:textId="438A670B" w:rsidR="007E5AE8" w:rsidRDefault="00074E7F">
    <w:pPr>
      <w:pStyle w:val="Footer"/>
      <w:framePr w:wrap="none" w:vAnchor="text" w:hAnchor="margin" w:xAlign="center" w:y="1"/>
      <w:rPr>
        <w:rStyle w:val="PageNumber"/>
      </w:rPr>
    </w:pPr>
    <w:r>
      <w:rPr>
        <w:noProof/>
      </w:rPr>
      <mc:AlternateContent>
        <mc:Choice Requires="wps">
          <w:drawing>
            <wp:anchor distT="0" distB="0" distL="0" distR="0" simplePos="0" relativeHeight="251669509" behindDoc="0" locked="0" layoutInCell="1" allowOverlap="1" wp14:anchorId="2F9FECEF" wp14:editId="2C5F6C7C">
              <wp:simplePos x="635" y="635"/>
              <wp:positionH relativeFrom="page">
                <wp:align>center</wp:align>
              </wp:positionH>
              <wp:positionV relativeFrom="page">
                <wp:align>bottom</wp:align>
              </wp:positionV>
              <wp:extent cx="622300" cy="376555"/>
              <wp:effectExtent l="0" t="0" r="6350" b="0"/>
              <wp:wrapNone/>
              <wp:docPr id="94570281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2181D6" w14:textId="267EC776"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FECEF" id="_x0000_t202" coordsize="21600,21600" o:spt="202" path="m,l,21600r21600,l21600,xe">
              <v:stroke joinstyle="miter"/>
              <v:path gradientshapeok="t" o:connecttype="rect"/>
            </v:shapetype>
            <v:shape id="Text Box 13" o:spid="_x0000_s1031" type="#_x0000_t202" alt="OFFICIAL"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E2181D6" w14:textId="267EC776"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v:textbox>
              <w10:wrap anchorx="page" anchory="page"/>
            </v:shape>
          </w:pict>
        </mc:Fallback>
      </mc:AlternateContent>
    </w:r>
  </w:p>
  <w:sdt>
    <w:sdtPr>
      <w:rPr>
        <w:rStyle w:val="PageNumber"/>
      </w:rPr>
      <w:id w:val="2082872306"/>
      <w:docPartObj>
        <w:docPartGallery w:val="Page Numbers (Bottom of Page)"/>
        <w:docPartUnique/>
      </w:docPartObj>
    </w:sdtPr>
    <w:sdtContent>
      <w:p w14:paraId="7D1EA81E" w14:textId="77777777" w:rsidR="007E5AE8" w:rsidRDefault="007E5A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521D7" w14:textId="77777777" w:rsidR="00D843F2" w:rsidRDefault="00D84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9D2477C" w:rsidR="00D843F2" w:rsidRDefault="00074E7F" w:rsidP="00753B29">
    <w:pPr>
      <w:pStyle w:val="Footer"/>
      <w:jc w:val="center"/>
    </w:pPr>
    <w:r>
      <w:rPr>
        <w:noProof/>
      </w:rPr>
      <mc:AlternateContent>
        <mc:Choice Requires="wps">
          <w:drawing>
            <wp:anchor distT="0" distB="0" distL="0" distR="0" simplePos="0" relativeHeight="251670533" behindDoc="0" locked="0" layoutInCell="1" allowOverlap="1" wp14:anchorId="130D4D72" wp14:editId="23BFE682">
              <wp:simplePos x="914400" y="9404252"/>
              <wp:positionH relativeFrom="page">
                <wp:align>center</wp:align>
              </wp:positionH>
              <wp:positionV relativeFrom="page">
                <wp:align>bottom</wp:align>
              </wp:positionV>
              <wp:extent cx="622300" cy="376555"/>
              <wp:effectExtent l="0" t="0" r="6350" b="0"/>
              <wp:wrapNone/>
              <wp:docPr id="67556360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1A8C92" w14:textId="418F79F5"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0D4D72" id="_x0000_t202" coordsize="21600,21600" o:spt="202" path="m,l,21600r21600,l21600,xe">
              <v:stroke joinstyle="miter"/>
              <v:path gradientshapeok="t" o:connecttype="rect"/>
            </v:shapetype>
            <v:shape id="Text Box 14" o:spid="_x0000_s1032" type="#_x0000_t202" alt="OFFICIAL"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C1A8C92" w14:textId="418F79F5"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v:textbox>
              <w10:wrap anchorx="page" anchory="page"/>
            </v:shape>
          </w:pict>
        </mc:Fallback>
      </mc:AlternateContent>
    </w:r>
  </w:p>
  <w:p w14:paraId="37484CD3" w14:textId="1C3A880D" w:rsidR="00D843F2" w:rsidRPr="007C1CD9" w:rsidRDefault="00000000" w:rsidP="00B26345">
    <w:pPr>
      <w:pStyle w:val="PageFooter"/>
    </w:pPr>
    <w:sdt>
      <w:sdtPr>
        <w:id w:val="1036156457"/>
        <w:docPartObj>
          <w:docPartGallery w:val="Page Numbers (Bottom of Page)"/>
          <w:docPartUnique/>
        </w:docPartObj>
      </w:sdtPr>
      <w:sdtEndPr>
        <w:rPr>
          <w:noProof/>
        </w:rPr>
      </w:sdtEndPr>
      <w:sdtContent>
        <w:r w:rsidR="00B26345">
          <w:fldChar w:fldCharType="begin"/>
        </w:r>
        <w:r w:rsidR="00B26345">
          <w:instrText xml:space="preserve"> PAGE   \* MERGEFORMAT </w:instrText>
        </w:r>
        <w:r w:rsidR="00B26345">
          <w:fldChar w:fldCharType="separate"/>
        </w:r>
        <w:r w:rsidR="00B26345">
          <w:t>ii</w:t>
        </w:r>
        <w:r w:rsidR="00B2634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8C82" w14:textId="2B930967" w:rsidR="00CD269E" w:rsidRDefault="00074E7F">
    <w:pPr>
      <w:pStyle w:val="Footer"/>
    </w:pPr>
    <w:r>
      <w:rPr>
        <w:noProof/>
      </w:rPr>
      <mc:AlternateContent>
        <mc:Choice Requires="wps">
          <w:drawing>
            <wp:anchor distT="0" distB="0" distL="0" distR="0" simplePos="0" relativeHeight="251668485" behindDoc="0" locked="0" layoutInCell="1" allowOverlap="1" wp14:anchorId="42DC6FC3" wp14:editId="049BE1D9">
              <wp:simplePos x="635" y="635"/>
              <wp:positionH relativeFrom="page">
                <wp:align>center</wp:align>
              </wp:positionH>
              <wp:positionV relativeFrom="page">
                <wp:align>bottom</wp:align>
              </wp:positionV>
              <wp:extent cx="622300" cy="376555"/>
              <wp:effectExtent l="0" t="0" r="6350" b="0"/>
              <wp:wrapNone/>
              <wp:docPr id="111450374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529F32" w14:textId="0DB2105E"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DC6FC3" id="_x0000_t202" coordsize="21600,21600" o:spt="202" path="m,l,21600r21600,l21600,xe">
              <v:stroke joinstyle="miter"/>
              <v:path gradientshapeok="t" o:connecttype="rect"/>
            </v:shapetype>
            <v:shape id="Text Box 12" o:spid="_x0000_s1034"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5529F32" w14:textId="0DB2105E"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FABD" w14:textId="77777777" w:rsidR="0006294B" w:rsidRDefault="0006294B" w:rsidP="00124A51">
      <w:r>
        <w:separator/>
      </w:r>
    </w:p>
    <w:p w14:paraId="40F7FECD" w14:textId="77777777" w:rsidR="0006294B" w:rsidRDefault="0006294B"/>
  </w:footnote>
  <w:footnote w:type="continuationSeparator" w:id="0">
    <w:p w14:paraId="0A0986F1" w14:textId="77777777" w:rsidR="0006294B" w:rsidRDefault="0006294B" w:rsidP="00124A51">
      <w:r>
        <w:continuationSeparator/>
      </w:r>
    </w:p>
    <w:p w14:paraId="2A8A74EA" w14:textId="77777777" w:rsidR="0006294B" w:rsidRDefault="0006294B"/>
  </w:footnote>
  <w:footnote w:type="continuationNotice" w:id="1">
    <w:p w14:paraId="3E719D21" w14:textId="77777777" w:rsidR="0006294B" w:rsidRDefault="0006294B"/>
  </w:footnote>
  <w:footnote w:id="2">
    <w:p w14:paraId="00101C51" w14:textId="77777777" w:rsidR="00AA7D3A" w:rsidRPr="00E849CC" w:rsidRDefault="00AA7D3A" w:rsidP="00AA7D3A">
      <w:pPr>
        <w:pStyle w:val="FootnoteText"/>
      </w:pPr>
      <w:r>
        <w:rPr>
          <w:rStyle w:val="FootnoteReference"/>
        </w:rPr>
        <w:footnoteRef/>
      </w:r>
      <w:r>
        <w:t xml:space="preserve"> </w:t>
      </w:r>
      <w:r w:rsidRPr="00E849CC">
        <w:t xml:space="preserve">Foley, D.A.; Minney-Smith, C.A.; </w:t>
      </w:r>
      <w:proofErr w:type="spellStart"/>
      <w:r w:rsidRPr="00E849CC">
        <w:t>Tjea</w:t>
      </w:r>
      <w:proofErr w:type="spellEnd"/>
      <w:r w:rsidRPr="00E849CC">
        <w:t>, A.; Nicol, M.P.; Levy, A.; Moore, H.C.; Blyth, C.C. The Changing Detection Rate of Respiratory Syncytial Virus in Adults in Western Australia between 2017 and 2023. </w:t>
      </w:r>
      <w:r w:rsidRPr="00EC4612">
        <w:rPr>
          <w:i/>
          <w:iCs/>
        </w:rPr>
        <w:t>Viruses</w:t>
      </w:r>
      <w:r w:rsidRPr="00EC4612">
        <w:t> 2024,</w:t>
      </w:r>
      <w:r w:rsidRPr="00E849CC">
        <w:t> </w:t>
      </w:r>
      <w:r w:rsidRPr="00E849CC">
        <w:rPr>
          <w:i/>
          <w:iCs/>
        </w:rPr>
        <w:t>16</w:t>
      </w:r>
      <w:r w:rsidRPr="00E849CC">
        <w:t>, 656. https://doi.org/10.3390/v16050656</w:t>
      </w:r>
    </w:p>
  </w:footnote>
  <w:footnote w:id="3">
    <w:p w14:paraId="538694D2" w14:textId="6B037A28" w:rsidR="00EF5964" w:rsidRPr="00EF5964" w:rsidRDefault="00EF5964">
      <w:pPr>
        <w:pStyle w:val="FootnoteText"/>
      </w:pPr>
      <w:r>
        <w:rPr>
          <w:rStyle w:val="FootnoteReference"/>
        </w:rPr>
        <w:footnoteRef/>
      </w:r>
      <w:r>
        <w:t xml:space="preserve"> AIHW data analysis conducted by the NCIRS (</w:t>
      </w:r>
      <w:r w:rsidRPr="002A41A4">
        <w:t>https://ncirs.org.au/ncirs-webinar-series/07032024-rsv-vaccines-protection-older-adults</w:t>
      </w:r>
      <w:r>
        <w:t>)</w:t>
      </w:r>
    </w:p>
  </w:footnote>
  <w:footnote w:id="4">
    <w:p w14:paraId="454D933E" w14:textId="77777777" w:rsidR="003C433E" w:rsidRPr="00330CD7" w:rsidRDefault="003C433E" w:rsidP="003C433E">
      <w:pPr>
        <w:pStyle w:val="FootnoteText"/>
      </w:pPr>
      <w:r>
        <w:rPr>
          <w:rStyle w:val="FootnoteReference"/>
        </w:rPr>
        <w:footnoteRef/>
      </w:r>
      <w:r>
        <w:t xml:space="preserve"> </w:t>
      </w:r>
      <w:r w:rsidRPr="00330CD7">
        <w:t xml:space="preserve">Yu J, Powers JH 3rd, Vallo D, Falloon J. Evaluation of Efficacy Endpoints for a Phase IIb Study of a Respiratory Syncytial Virus Vaccine in Older Adults Using Patient-Reported Outcomes With Laboratory Confirmation. Value Health. 2020 Feb;23(2):227-235. doi: 10.1016/j.jval.2019.09.2747. </w:t>
      </w:r>
      <w:proofErr w:type="spellStart"/>
      <w:r w:rsidRPr="00330CD7">
        <w:t>Epub</w:t>
      </w:r>
      <w:proofErr w:type="spellEnd"/>
      <w:r w:rsidRPr="00330CD7">
        <w:t xml:space="preserve"> 2019 Nov 21. PMID: 32113628.</w:t>
      </w:r>
    </w:p>
  </w:footnote>
  <w:footnote w:id="5">
    <w:p w14:paraId="30C357F7" w14:textId="43F546C5" w:rsidR="00F34F50" w:rsidRDefault="00F34F50">
      <w:pPr>
        <w:pStyle w:val="FootnoteText"/>
      </w:pPr>
      <w:r>
        <w:rPr>
          <w:rStyle w:val="FootnoteReference"/>
        </w:rPr>
        <w:footnoteRef/>
      </w:r>
      <w:r>
        <w:t xml:space="preserve"> </w:t>
      </w:r>
      <w:r w:rsidRPr="00F34F50">
        <w:t>Note that the results for the naïve indirect treatment comparison presented, including the post-hoc analysis of RSVPreF3 OA VE without season as a covariate, are derived from ad-hoc/ post-hoc analyses specifically for the purposes of informing the PBAC consideration. These analyses were not part of the pre-specified statistical plan for RSV OA=ADJ-006 or RENOIR. Interpretation of the results and their application should therefore be limited to seeking to understand the basis for the PBAC outcome and should not be used for any other purpose</w:t>
      </w:r>
      <w:r w:rsidRPr="00F34F50">
        <w:rPr>
          <w:i/>
          <w:iCs/>
        </w:rPr>
        <w:t>.</w:t>
      </w:r>
    </w:p>
  </w:footnote>
  <w:footnote w:id="6">
    <w:p w14:paraId="7FC6FA7A" w14:textId="0237AD1F" w:rsidR="00781D61" w:rsidRDefault="00781D61" w:rsidP="006B161B">
      <w:pPr>
        <w:pStyle w:val="FootnoteText"/>
        <w:jc w:val="left"/>
      </w:pPr>
      <w:r>
        <w:rPr>
          <w:rStyle w:val="FootnoteReference"/>
        </w:rPr>
        <w:footnoteRef/>
      </w:r>
      <w:r w:rsidR="006B161B">
        <w:t xml:space="preserve"> </w:t>
      </w:r>
      <w:hyperlink r:id="rId1" w:anchor=":~:text=About%20the%20administration%20errors,the%20administration%20errors%20outlined%20above" w:history="1">
        <w:r w:rsidR="006B161B" w:rsidRPr="006B161B">
          <w:rPr>
            <w:rStyle w:val="Hyperlink"/>
            <w:sz w:val="18"/>
            <w:szCs w:val="18"/>
          </w:rPr>
          <w:t>https://www.tga.gov.au/news/safety-updates/correct-administration-rsv-vaccine-and-antibody-products#:~:text=About%20the%20administration%20errors,the%20administration%20errors%20outlined%20above</w:t>
        </w:r>
      </w:hyperlink>
      <w:r w:rsidRPr="006B161B">
        <w:rPr>
          <w:sz w:val="18"/>
          <w:szCs w:val="18"/>
        </w:rPr>
        <w:t xml:space="preserve">. </w:t>
      </w:r>
    </w:p>
  </w:footnote>
  <w:footnote w:id="7">
    <w:p w14:paraId="4A9A048B" w14:textId="77777777" w:rsidR="00FD4BD0" w:rsidRDefault="00FD4BD0" w:rsidP="00FD4BD0">
      <w:pPr>
        <w:pStyle w:val="FootnoteText"/>
      </w:pPr>
      <w:r>
        <w:rPr>
          <w:rStyle w:val="FootnoteReference"/>
          <w:rFonts w:eastAsiaTheme="majorEastAsia"/>
        </w:rPr>
        <w:footnoteRef/>
      </w:r>
      <w:r>
        <w:t xml:space="preserve"> </w:t>
      </w:r>
      <w:r w:rsidRPr="00D47B7A">
        <w:t xml:space="preserve">National Center for Immunization and Respiratory Diseases. RSV Vaccination in Adults: Work Group Interpretations. ACIP Meeting, 24 October 2024. </w:t>
      </w:r>
      <w:hyperlink r:id="rId2" w:history="1">
        <w:r w:rsidRPr="005A0BA0">
          <w:rPr>
            <w:rStyle w:val="Hyperlink"/>
          </w:rPr>
          <w:t>https://www.cdc.gov/acip/downloads/slides-2024-10-23-24/06-RSV-Adult-Melgar-508.pdf</w:t>
        </w:r>
      </w:hyperlink>
      <w:r>
        <w:t xml:space="preserve"> </w:t>
      </w:r>
    </w:p>
  </w:footnote>
  <w:footnote w:id="8">
    <w:p w14:paraId="11AD197F" w14:textId="77777777" w:rsidR="00FD4BD0" w:rsidRDefault="00FD4BD0" w:rsidP="00FD4BD0">
      <w:pPr>
        <w:pStyle w:val="FootnoteText"/>
      </w:pPr>
      <w:r>
        <w:rPr>
          <w:rStyle w:val="FootnoteReference"/>
          <w:rFonts w:eastAsiaTheme="majorEastAsia"/>
        </w:rPr>
        <w:footnoteRef/>
      </w:r>
      <w:r>
        <w:t xml:space="preserve"> </w:t>
      </w:r>
      <w:r w:rsidRPr="00D47B7A">
        <w:t xml:space="preserve">National Center for Immunization and Respiratory Diseases. RSV Vaccination in Adults: Work Group Interpretations. ACIP Meeting, 16 April 2025. </w:t>
      </w:r>
      <w:hyperlink r:id="rId3" w:history="1">
        <w:r w:rsidRPr="005A0BA0">
          <w:rPr>
            <w:rStyle w:val="Hyperlink"/>
          </w:rPr>
          <w:t>https://www.cdc.gov/acip/downloads/slides-2025-04-15-16/04-Ortega-Sanchez-Adult-RSV-508.pdf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E2D6" w14:textId="228A8EDF" w:rsidR="00CD269E" w:rsidRDefault="00074E7F">
    <w:pPr>
      <w:pStyle w:val="Header"/>
    </w:pPr>
    <w:r>
      <w:rPr>
        <w:noProof/>
      </w:rPr>
      <mc:AlternateContent>
        <mc:Choice Requires="wps">
          <w:drawing>
            <wp:anchor distT="0" distB="0" distL="0" distR="0" simplePos="0" relativeHeight="251666437" behindDoc="0" locked="0" layoutInCell="1" allowOverlap="1" wp14:anchorId="3897C08D" wp14:editId="64B64640">
              <wp:simplePos x="635" y="635"/>
              <wp:positionH relativeFrom="page">
                <wp:align>center</wp:align>
              </wp:positionH>
              <wp:positionV relativeFrom="page">
                <wp:align>top</wp:align>
              </wp:positionV>
              <wp:extent cx="622300" cy="376555"/>
              <wp:effectExtent l="0" t="0" r="6350" b="4445"/>
              <wp:wrapNone/>
              <wp:docPr id="95985550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BD246A" w14:textId="282ADAB0"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97C08D"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9BD246A" w14:textId="282ADAB0"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28C7C480" w:rsidR="00D843F2" w:rsidRPr="00195452" w:rsidRDefault="00074E7F" w:rsidP="00D822E2">
    <w:pPr>
      <w:pStyle w:val="Header"/>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7461" behindDoc="0" locked="0" layoutInCell="1" allowOverlap="1" wp14:anchorId="12CA21BE" wp14:editId="2EBE11DE">
              <wp:simplePos x="914400" y="914400"/>
              <wp:positionH relativeFrom="page">
                <wp:align>center</wp:align>
              </wp:positionH>
              <wp:positionV relativeFrom="page">
                <wp:align>top</wp:align>
              </wp:positionV>
              <wp:extent cx="622300" cy="376555"/>
              <wp:effectExtent l="0" t="0" r="6350" b="4445"/>
              <wp:wrapNone/>
              <wp:docPr id="192186872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6E5100" w14:textId="70262977"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A21BE" id="_x0000_t202" coordsize="21600,21600" o:spt="202" path="m,l,21600r21600,l21600,xe">
              <v:stroke joinstyle="miter"/>
              <v:path gradientshapeok="t" o:connecttype="rect"/>
            </v:shapetype>
            <v:shape id="Text Box 11" o:spid="_x0000_s1030"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16E5100" w14:textId="70262977"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v:textbox>
              <w10:wrap anchorx="page" anchory="page"/>
            </v:shape>
          </w:pict>
        </mc:Fallback>
      </mc:AlternateContent>
    </w:r>
    <w:r w:rsidR="00AB3AD3">
      <w:rPr>
        <w:rFonts w:asciiTheme="minorHAnsi" w:hAnsiTheme="minorHAnsi"/>
        <w:color w:val="808080"/>
      </w:rPr>
      <w:t>Public Summary Document</w:t>
    </w:r>
    <w:r w:rsidR="00AB6D38" w:rsidRPr="00056684">
      <w:rPr>
        <w:rFonts w:asciiTheme="minorHAnsi" w:hAnsiTheme="minorHAnsi"/>
        <w:color w:val="808080"/>
      </w:rPr>
      <w:t xml:space="preserve"> – </w:t>
    </w:r>
    <w:r w:rsidR="00AB6D38">
      <w:rPr>
        <w:rFonts w:asciiTheme="minorHAnsi" w:hAnsiTheme="minorHAnsi"/>
        <w:color w:val="808080"/>
      </w:rPr>
      <w:t>July 2025</w:t>
    </w:r>
    <w:r w:rsidR="00AB6D38" w:rsidRPr="00056684">
      <w:rPr>
        <w:rFonts w:asciiTheme="minorHAnsi" w:hAnsiTheme="minorHAnsi"/>
        <w:color w:val="808080"/>
      </w:rPr>
      <w:t xml:space="preserve"> 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044F" w14:textId="7C3B388C" w:rsidR="00CD269E" w:rsidRDefault="00074E7F">
    <w:pPr>
      <w:pStyle w:val="Header"/>
    </w:pPr>
    <w:r>
      <w:rPr>
        <w:noProof/>
      </w:rPr>
      <mc:AlternateContent>
        <mc:Choice Requires="wps">
          <w:drawing>
            <wp:anchor distT="0" distB="0" distL="0" distR="0" simplePos="0" relativeHeight="251665413" behindDoc="0" locked="0" layoutInCell="1" allowOverlap="1" wp14:anchorId="06F53F82" wp14:editId="4C8BB700">
              <wp:simplePos x="635" y="635"/>
              <wp:positionH relativeFrom="page">
                <wp:align>center</wp:align>
              </wp:positionH>
              <wp:positionV relativeFrom="page">
                <wp:align>top</wp:align>
              </wp:positionV>
              <wp:extent cx="622300" cy="376555"/>
              <wp:effectExtent l="0" t="0" r="6350" b="4445"/>
              <wp:wrapNone/>
              <wp:docPr id="195631519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F15EB7" w14:textId="57CB69C5"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F53F82" id="_x0000_t202" coordsize="21600,21600" o:spt="202" path="m,l,21600r21600,l21600,xe">
              <v:stroke joinstyle="miter"/>
              <v:path gradientshapeok="t" o:connecttype="rect"/>
            </v:shapetype>
            <v:shape id="Text Box 9" o:spid="_x0000_s1033"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5F15EB7" w14:textId="57CB69C5" w:rsidR="00074E7F" w:rsidRPr="00074E7F" w:rsidRDefault="00074E7F" w:rsidP="00074E7F">
                    <w:pPr>
                      <w:rPr>
                        <w:rFonts w:ascii="Aptos" w:eastAsia="Aptos" w:hAnsi="Aptos" w:cs="Aptos"/>
                        <w:noProof/>
                        <w:color w:val="FF0000"/>
                      </w:rPr>
                    </w:pPr>
                    <w:r w:rsidRPr="00074E7F">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A2AF3"/>
    <w:multiLevelType w:val="hybridMultilevel"/>
    <w:tmpl w:val="EBB4D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295C88"/>
    <w:multiLevelType w:val="hybridMultilevel"/>
    <w:tmpl w:val="0F301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4A773C"/>
    <w:multiLevelType w:val="hybridMultilevel"/>
    <w:tmpl w:val="38F68F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DE4147"/>
    <w:multiLevelType w:val="hybridMultilevel"/>
    <w:tmpl w:val="FDA678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0346AD7"/>
    <w:multiLevelType w:val="hybridMultilevel"/>
    <w:tmpl w:val="71A65F8E"/>
    <w:lvl w:ilvl="0" w:tplc="CFBE442A">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3963546"/>
    <w:multiLevelType w:val="hybridMultilevel"/>
    <w:tmpl w:val="A2842C0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0B4A9C"/>
    <w:multiLevelType w:val="hybridMultilevel"/>
    <w:tmpl w:val="ED928A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20B6ECC"/>
    <w:multiLevelType w:val="hybridMultilevel"/>
    <w:tmpl w:val="FCF03FF6"/>
    <w:lvl w:ilvl="0" w:tplc="ED1E5F1E">
      <w:start w:val="1"/>
      <w:numFmt w:val="bullet"/>
      <w:pStyle w:val="BulletedList"/>
      <w:lvlText w:val=""/>
      <w:lvlJc w:val="left"/>
      <w:pPr>
        <w:ind w:left="1080" w:hanging="360"/>
      </w:pPr>
      <w:rPr>
        <w:rFonts w:ascii="Symbol" w:hAnsi="Symbol" w:hint="default"/>
      </w:rPr>
    </w:lvl>
    <w:lvl w:ilvl="1" w:tplc="9452778A">
      <w:start w:val="1"/>
      <w:numFmt w:val="bullet"/>
      <w:lvlText w:val="o"/>
      <w:lvlJc w:val="left"/>
      <w:pPr>
        <w:ind w:left="1800" w:hanging="360"/>
      </w:pPr>
      <w:rPr>
        <w:rFonts w:ascii="Courier New" w:hAnsi="Courier New" w:hint="default"/>
      </w:rPr>
    </w:lvl>
    <w:lvl w:ilvl="2" w:tplc="87E4D1D6">
      <w:start w:val="1"/>
      <w:numFmt w:val="bullet"/>
      <w:lvlText w:val=""/>
      <w:lvlJc w:val="left"/>
      <w:pPr>
        <w:ind w:left="2520" w:hanging="360"/>
      </w:pPr>
      <w:rPr>
        <w:rFonts w:ascii="Wingdings" w:hAnsi="Wingdings" w:hint="default"/>
      </w:rPr>
    </w:lvl>
    <w:lvl w:ilvl="3" w:tplc="B26EBE3C" w:tentative="1">
      <w:start w:val="1"/>
      <w:numFmt w:val="bullet"/>
      <w:lvlText w:val=""/>
      <w:lvlJc w:val="left"/>
      <w:pPr>
        <w:ind w:left="3240" w:hanging="360"/>
      </w:pPr>
      <w:rPr>
        <w:rFonts w:ascii="Symbol" w:hAnsi="Symbol" w:hint="default"/>
      </w:rPr>
    </w:lvl>
    <w:lvl w:ilvl="4" w:tplc="AF3E72D2" w:tentative="1">
      <w:start w:val="1"/>
      <w:numFmt w:val="bullet"/>
      <w:lvlText w:val="o"/>
      <w:lvlJc w:val="left"/>
      <w:pPr>
        <w:ind w:left="3960" w:hanging="360"/>
      </w:pPr>
      <w:rPr>
        <w:rFonts w:ascii="Courier New" w:hAnsi="Courier New" w:hint="default"/>
      </w:rPr>
    </w:lvl>
    <w:lvl w:ilvl="5" w:tplc="79F2BED2" w:tentative="1">
      <w:start w:val="1"/>
      <w:numFmt w:val="bullet"/>
      <w:lvlText w:val=""/>
      <w:lvlJc w:val="left"/>
      <w:pPr>
        <w:ind w:left="4680" w:hanging="360"/>
      </w:pPr>
      <w:rPr>
        <w:rFonts w:ascii="Wingdings" w:hAnsi="Wingdings" w:hint="default"/>
      </w:rPr>
    </w:lvl>
    <w:lvl w:ilvl="6" w:tplc="19321076" w:tentative="1">
      <w:start w:val="1"/>
      <w:numFmt w:val="bullet"/>
      <w:lvlText w:val=""/>
      <w:lvlJc w:val="left"/>
      <w:pPr>
        <w:ind w:left="5400" w:hanging="360"/>
      </w:pPr>
      <w:rPr>
        <w:rFonts w:ascii="Symbol" w:hAnsi="Symbol" w:hint="default"/>
      </w:rPr>
    </w:lvl>
    <w:lvl w:ilvl="7" w:tplc="C7A826BC" w:tentative="1">
      <w:start w:val="1"/>
      <w:numFmt w:val="bullet"/>
      <w:lvlText w:val="o"/>
      <w:lvlJc w:val="left"/>
      <w:pPr>
        <w:ind w:left="6120" w:hanging="360"/>
      </w:pPr>
      <w:rPr>
        <w:rFonts w:ascii="Courier New" w:hAnsi="Courier New" w:hint="default"/>
      </w:rPr>
    </w:lvl>
    <w:lvl w:ilvl="8" w:tplc="6F3A9138" w:tentative="1">
      <w:start w:val="1"/>
      <w:numFmt w:val="bullet"/>
      <w:lvlText w:val=""/>
      <w:lvlJc w:val="left"/>
      <w:pPr>
        <w:ind w:left="684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497"/>
    <w:multiLevelType w:val="hybridMultilevel"/>
    <w:tmpl w:val="87ECE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744CAC"/>
    <w:multiLevelType w:val="hybridMultilevel"/>
    <w:tmpl w:val="34E45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5FB193D"/>
    <w:multiLevelType w:val="hybridMultilevel"/>
    <w:tmpl w:val="E83256D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7B30A88"/>
    <w:multiLevelType w:val="multilevel"/>
    <w:tmpl w:val="D99A711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FA6C33"/>
    <w:multiLevelType w:val="multilevel"/>
    <w:tmpl w:val="AC40B59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4D033C"/>
    <w:multiLevelType w:val="multilevel"/>
    <w:tmpl w:val="5C52427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697720"/>
    <w:multiLevelType w:val="hybridMultilevel"/>
    <w:tmpl w:val="B2DC3B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6186631">
    <w:abstractNumId w:val="16"/>
  </w:num>
  <w:num w:numId="2" w16cid:durableId="917793048">
    <w:abstractNumId w:val="9"/>
  </w:num>
  <w:num w:numId="3" w16cid:durableId="263461728">
    <w:abstractNumId w:val="0"/>
  </w:num>
  <w:num w:numId="4" w16cid:durableId="220360847">
    <w:abstractNumId w:val="12"/>
  </w:num>
  <w:num w:numId="5" w16cid:durableId="268196418">
    <w:abstractNumId w:val="5"/>
  </w:num>
  <w:num w:numId="6" w16cid:durableId="1048839230">
    <w:abstractNumId w:val="16"/>
  </w:num>
  <w:num w:numId="7" w16cid:durableId="1780373716">
    <w:abstractNumId w:val="1"/>
  </w:num>
  <w:num w:numId="8" w16cid:durableId="550388232">
    <w:abstractNumId w:val="8"/>
  </w:num>
  <w:num w:numId="9" w16cid:durableId="1542739825">
    <w:abstractNumId w:val="10"/>
  </w:num>
  <w:num w:numId="10" w16cid:durableId="1011302740">
    <w:abstractNumId w:val="14"/>
  </w:num>
  <w:num w:numId="11" w16cid:durableId="1745100028">
    <w:abstractNumId w:val="7"/>
  </w:num>
  <w:num w:numId="12" w16cid:durableId="1652834378">
    <w:abstractNumId w:val="3"/>
  </w:num>
  <w:num w:numId="13" w16cid:durableId="488984195">
    <w:abstractNumId w:val="4"/>
  </w:num>
  <w:num w:numId="14" w16cid:durableId="815538013">
    <w:abstractNumId w:val="17"/>
  </w:num>
  <w:num w:numId="15" w16cid:durableId="296297593">
    <w:abstractNumId w:val="2"/>
  </w:num>
  <w:num w:numId="16" w16cid:durableId="21367346">
    <w:abstractNumId w:val="11"/>
  </w:num>
  <w:num w:numId="17" w16cid:durableId="197280399">
    <w:abstractNumId w:val="6"/>
  </w:num>
  <w:num w:numId="18" w16cid:durableId="102504368">
    <w:abstractNumId w:val="13"/>
  </w:num>
  <w:num w:numId="19" w16cid:durableId="8619813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DD"/>
    <w:rsid w:val="00000B85"/>
    <w:rsid w:val="00000E9B"/>
    <w:rsid w:val="0000110B"/>
    <w:rsid w:val="0000148A"/>
    <w:rsid w:val="000014DF"/>
    <w:rsid w:val="0000165C"/>
    <w:rsid w:val="00001A12"/>
    <w:rsid w:val="00001D2F"/>
    <w:rsid w:val="00001F1E"/>
    <w:rsid w:val="00002139"/>
    <w:rsid w:val="00002231"/>
    <w:rsid w:val="000022BD"/>
    <w:rsid w:val="000027CC"/>
    <w:rsid w:val="0000298D"/>
    <w:rsid w:val="000029FD"/>
    <w:rsid w:val="00002B49"/>
    <w:rsid w:val="00002DD4"/>
    <w:rsid w:val="00002E45"/>
    <w:rsid w:val="00002F48"/>
    <w:rsid w:val="00002F59"/>
    <w:rsid w:val="00003218"/>
    <w:rsid w:val="0000323D"/>
    <w:rsid w:val="00003499"/>
    <w:rsid w:val="00003665"/>
    <w:rsid w:val="000036B9"/>
    <w:rsid w:val="000037B3"/>
    <w:rsid w:val="000039B7"/>
    <w:rsid w:val="00003A37"/>
    <w:rsid w:val="00003C46"/>
    <w:rsid w:val="00003C8D"/>
    <w:rsid w:val="00003DED"/>
    <w:rsid w:val="00003ED2"/>
    <w:rsid w:val="000041D3"/>
    <w:rsid w:val="00004686"/>
    <w:rsid w:val="00004A7B"/>
    <w:rsid w:val="00004F63"/>
    <w:rsid w:val="0000509B"/>
    <w:rsid w:val="000055F3"/>
    <w:rsid w:val="000055F6"/>
    <w:rsid w:val="000056B9"/>
    <w:rsid w:val="000058AC"/>
    <w:rsid w:val="000059E0"/>
    <w:rsid w:val="00005B35"/>
    <w:rsid w:val="00005B36"/>
    <w:rsid w:val="00006023"/>
    <w:rsid w:val="0000623F"/>
    <w:rsid w:val="0000639A"/>
    <w:rsid w:val="000064E8"/>
    <w:rsid w:val="00006529"/>
    <w:rsid w:val="000070B0"/>
    <w:rsid w:val="00007100"/>
    <w:rsid w:val="000071CD"/>
    <w:rsid w:val="000071EF"/>
    <w:rsid w:val="00007560"/>
    <w:rsid w:val="00007576"/>
    <w:rsid w:val="00007622"/>
    <w:rsid w:val="00007BBA"/>
    <w:rsid w:val="00007C56"/>
    <w:rsid w:val="00010056"/>
    <w:rsid w:val="000100BB"/>
    <w:rsid w:val="0001014E"/>
    <w:rsid w:val="000101ED"/>
    <w:rsid w:val="00010356"/>
    <w:rsid w:val="000108BE"/>
    <w:rsid w:val="00010EC1"/>
    <w:rsid w:val="00010EC6"/>
    <w:rsid w:val="00010EED"/>
    <w:rsid w:val="000112B4"/>
    <w:rsid w:val="000112CF"/>
    <w:rsid w:val="00011980"/>
    <w:rsid w:val="00011DC6"/>
    <w:rsid w:val="00011F8A"/>
    <w:rsid w:val="00012200"/>
    <w:rsid w:val="00012203"/>
    <w:rsid w:val="000123FA"/>
    <w:rsid w:val="00012460"/>
    <w:rsid w:val="000126DD"/>
    <w:rsid w:val="00012AB2"/>
    <w:rsid w:val="00012C46"/>
    <w:rsid w:val="00012D0B"/>
    <w:rsid w:val="00013247"/>
    <w:rsid w:val="000132D1"/>
    <w:rsid w:val="0001335A"/>
    <w:rsid w:val="00013569"/>
    <w:rsid w:val="00013992"/>
    <w:rsid w:val="000139AF"/>
    <w:rsid w:val="00013F3B"/>
    <w:rsid w:val="0001435E"/>
    <w:rsid w:val="00014677"/>
    <w:rsid w:val="00014830"/>
    <w:rsid w:val="00014EE5"/>
    <w:rsid w:val="00014F39"/>
    <w:rsid w:val="00014F90"/>
    <w:rsid w:val="00015886"/>
    <w:rsid w:val="000162EF"/>
    <w:rsid w:val="000163A0"/>
    <w:rsid w:val="000163A1"/>
    <w:rsid w:val="00016423"/>
    <w:rsid w:val="000165F8"/>
    <w:rsid w:val="0001682A"/>
    <w:rsid w:val="00016B81"/>
    <w:rsid w:val="00016D5C"/>
    <w:rsid w:val="00016F03"/>
    <w:rsid w:val="00017772"/>
    <w:rsid w:val="00017902"/>
    <w:rsid w:val="0001792A"/>
    <w:rsid w:val="00017A89"/>
    <w:rsid w:val="00020337"/>
    <w:rsid w:val="00020609"/>
    <w:rsid w:val="000207C9"/>
    <w:rsid w:val="0002081D"/>
    <w:rsid w:val="00020ADB"/>
    <w:rsid w:val="00020D75"/>
    <w:rsid w:val="00021049"/>
    <w:rsid w:val="0002105B"/>
    <w:rsid w:val="0002109B"/>
    <w:rsid w:val="000214E9"/>
    <w:rsid w:val="000214FF"/>
    <w:rsid w:val="000215EC"/>
    <w:rsid w:val="000216A4"/>
    <w:rsid w:val="00021A1A"/>
    <w:rsid w:val="0002225F"/>
    <w:rsid w:val="000224B0"/>
    <w:rsid w:val="0002263B"/>
    <w:rsid w:val="00022A38"/>
    <w:rsid w:val="00022CE6"/>
    <w:rsid w:val="00022D92"/>
    <w:rsid w:val="00022D9C"/>
    <w:rsid w:val="00022F31"/>
    <w:rsid w:val="000231C2"/>
    <w:rsid w:val="00023763"/>
    <w:rsid w:val="000239D1"/>
    <w:rsid w:val="00023E8F"/>
    <w:rsid w:val="0002443A"/>
    <w:rsid w:val="00024504"/>
    <w:rsid w:val="00024858"/>
    <w:rsid w:val="000249CD"/>
    <w:rsid w:val="00024B20"/>
    <w:rsid w:val="00024EB5"/>
    <w:rsid w:val="00025050"/>
    <w:rsid w:val="000250DD"/>
    <w:rsid w:val="000255FC"/>
    <w:rsid w:val="0002580E"/>
    <w:rsid w:val="000258F3"/>
    <w:rsid w:val="000259E3"/>
    <w:rsid w:val="00025DA3"/>
    <w:rsid w:val="00025F09"/>
    <w:rsid w:val="00026605"/>
    <w:rsid w:val="00026656"/>
    <w:rsid w:val="00026BB0"/>
    <w:rsid w:val="00026C4C"/>
    <w:rsid w:val="00026F39"/>
    <w:rsid w:val="000273C7"/>
    <w:rsid w:val="000274B8"/>
    <w:rsid w:val="00027732"/>
    <w:rsid w:val="0002786E"/>
    <w:rsid w:val="00027A7D"/>
    <w:rsid w:val="00027AB6"/>
    <w:rsid w:val="00027C63"/>
    <w:rsid w:val="00030A79"/>
    <w:rsid w:val="00030AF4"/>
    <w:rsid w:val="00030B06"/>
    <w:rsid w:val="00031029"/>
    <w:rsid w:val="00031363"/>
    <w:rsid w:val="000314D1"/>
    <w:rsid w:val="000314FA"/>
    <w:rsid w:val="00031606"/>
    <w:rsid w:val="00031878"/>
    <w:rsid w:val="00031A99"/>
    <w:rsid w:val="00031B07"/>
    <w:rsid w:val="00031C24"/>
    <w:rsid w:val="00031F84"/>
    <w:rsid w:val="00031F89"/>
    <w:rsid w:val="0003201D"/>
    <w:rsid w:val="0003232B"/>
    <w:rsid w:val="00032434"/>
    <w:rsid w:val="00032481"/>
    <w:rsid w:val="00032C04"/>
    <w:rsid w:val="00032D25"/>
    <w:rsid w:val="00032E6E"/>
    <w:rsid w:val="00033289"/>
    <w:rsid w:val="000332D6"/>
    <w:rsid w:val="000333A5"/>
    <w:rsid w:val="000337D8"/>
    <w:rsid w:val="00033863"/>
    <w:rsid w:val="000338FF"/>
    <w:rsid w:val="000339F6"/>
    <w:rsid w:val="00033F7C"/>
    <w:rsid w:val="000341DE"/>
    <w:rsid w:val="000346E8"/>
    <w:rsid w:val="00034720"/>
    <w:rsid w:val="000349B4"/>
    <w:rsid w:val="00034A01"/>
    <w:rsid w:val="00034D4B"/>
    <w:rsid w:val="00035088"/>
    <w:rsid w:val="0003527D"/>
    <w:rsid w:val="000355A2"/>
    <w:rsid w:val="00035831"/>
    <w:rsid w:val="0003590E"/>
    <w:rsid w:val="00035C45"/>
    <w:rsid w:val="00035DC0"/>
    <w:rsid w:val="00035FD7"/>
    <w:rsid w:val="00036000"/>
    <w:rsid w:val="0003638D"/>
    <w:rsid w:val="00036701"/>
    <w:rsid w:val="00036829"/>
    <w:rsid w:val="00036AA4"/>
    <w:rsid w:val="00036AAC"/>
    <w:rsid w:val="00037004"/>
    <w:rsid w:val="0003720A"/>
    <w:rsid w:val="000372CA"/>
    <w:rsid w:val="000374A5"/>
    <w:rsid w:val="00037538"/>
    <w:rsid w:val="000378C2"/>
    <w:rsid w:val="00037AB9"/>
    <w:rsid w:val="00037B82"/>
    <w:rsid w:val="00037BE0"/>
    <w:rsid w:val="00037C49"/>
    <w:rsid w:val="00037D07"/>
    <w:rsid w:val="00037F56"/>
    <w:rsid w:val="00040049"/>
    <w:rsid w:val="0004020E"/>
    <w:rsid w:val="00040678"/>
    <w:rsid w:val="00040808"/>
    <w:rsid w:val="00040895"/>
    <w:rsid w:val="00040B79"/>
    <w:rsid w:val="00040C78"/>
    <w:rsid w:val="00040FF5"/>
    <w:rsid w:val="000410A0"/>
    <w:rsid w:val="0004158C"/>
    <w:rsid w:val="00041848"/>
    <w:rsid w:val="00041AB4"/>
    <w:rsid w:val="00041AB6"/>
    <w:rsid w:val="00041B88"/>
    <w:rsid w:val="00041B9E"/>
    <w:rsid w:val="00041D41"/>
    <w:rsid w:val="00042145"/>
    <w:rsid w:val="00042791"/>
    <w:rsid w:val="00042B2C"/>
    <w:rsid w:val="00042E32"/>
    <w:rsid w:val="00042EF0"/>
    <w:rsid w:val="00043026"/>
    <w:rsid w:val="00043086"/>
    <w:rsid w:val="000430E6"/>
    <w:rsid w:val="000432A3"/>
    <w:rsid w:val="000435EE"/>
    <w:rsid w:val="000436A6"/>
    <w:rsid w:val="0004379A"/>
    <w:rsid w:val="000437B9"/>
    <w:rsid w:val="00043B0F"/>
    <w:rsid w:val="00043C37"/>
    <w:rsid w:val="00043D18"/>
    <w:rsid w:val="00044091"/>
    <w:rsid w:val="0004423A"/>
    <w:rsid w:val="00044364"/>
    <w:rsid w:val="000443FC"/>
    <w:rsid w:val="0004493A"/>
    <w:rsid w:val="00044E0B"/>
    <w:rsid w:val="00044E18"/>
    <w:rsid w:val="00045017"/>
    <w:rsid w:val="00045303"/>
    <w:rsid w:val="0004555B"/>
    <w:rsid w:val="000455F9"/>
    <w:rsid w:val="00045886"/>
    <w:rsid w:val="00045A2B"/>
    <w:rsid w:val="00045AE3"/>
    <w:rsid w:val="0004615D"/>
    <w:rsid w:val="000461DC"/>
    <w:rsid w:val="00046352"/>
    <w:rsid w:val="000464AA"/>
    <w:rsid w:val="00046656"/>
    <w:rsid w:val="000466BC"/>
    <w:rsid w:val="000466C8"/>
    <w:rsid w:val="000468BE"/>
    <w:rsid w:val="0004698F"/>
    <w:rsid w:val="00046A1E"/>
    <w:rsid w:val="00046D64"/>
    <w:rsid w:val="00046E8C"/>
    <w:rsid w:val="00047722"/>
    <w:rsid w:val="0004772C"/>
    <w:rsid w:val="00047748"/>
    <w:rsid w:val="00047842"/>
    <w:rsid w:val="000478FF"/>
    <w:rsid w:val="00047ABD"/>
    <w:rsid w:val="00047F7E"/>
    <w:rsid w:val="00050038"/>
    <w:rsid w:val="000501B2"/>
    <w:rsid w:val="00050421"/>
    <w:rsid w:val="00050586"/>
    <w:rsid w:val="000508C2"/>
    <w:rsid w:val="00050AC4"/>
    <w:rsid w:val="00050ACB"/>
    <w:rsid w:val="00050EB2"/>
    <w:rsid w:val="0005107A"/>
    <w:rsid w:val="0005136F"/>
    <w:rsid w:val="000513A6"/>
    <w:rsid w:val="00051439"/>
    <w:rsid w:val="0005163F"/>
    <w:rsid w:val="000516A0"/>
    <w:rsid w:val="00051836"/>
    <w:rsid w:val="00051A8E"/>
    <w:rsid w:val="000528AE"/>
    <w:rsid w:val="00052DA0"/>
    <w:rsid w:val="00052E98"/>
    <w:rsid w:val="000530BA"/>
    <w:rsid w:val="0005346E"/>
    <w:rsid w:val="000534B7"/>
    <w:rsid w:val="00053700"/>
    <w:rsid w:val="000538FE"/>
    <w:rsid w:val="000539D0"/>
    <w:rsid w:val="00053AD8"/>
    <w:rsid w:val="00053E24"/>
    <w:rsid w:val="00054196"/>
    <w:rsid w:val="00054621"/>
    <w:rsid w:val="000546D7"/>
    <w:rsid w:val="0005477B"/>
    <w:rsid w:val="000547EB"/>
    <w:rsid w:val="00054843"/>
    <w:rsid w:val="00054A12"/>
    <w:rsid w:val="00054A8D"/>
    <w:rsid w:val="00054D3C"/>
    <w:rsid w:val="00054DEC"/>
    <w:rsid w:val="00054E33"/>
    <w:rsid w:val="000554FD"/>
    <w:rsid w:val="00055567"/>
    <w:rsid w:val="000555B0"/>
    <w:rsid w:val="00055837"/>
    <w:rsid w:val="00055A5A"/>
    <w:rsid w:val="00055B26"/>
    <w:rsid w:val="00055B3D"/>
    <w:rsid w:val="00055C65"/>
    <w:rsid w:val="00056181"/>
    <w:rsid w:val="00056472"/>
    <w:rsid w:val="000566C8"/>
    <w:rsid w:val="00056A49"/>
    <w:rsid w:val="00056A79"/>
    <w:rsid w:val="00056ECF"/>
    <w:rsid w:val="0005719A"/>
    <w:rsid w:val="000572A6"/>
    <w:rsid w:val="000574E0"/>
    <w:rsid w:val="000577BD"/>
    <w:rsid w:val="0005791C"/>
    <w:rsid w:val="00057B02"/>
    <w:rsid w:val="00057BC6"/>
    <w:rsid w:val="000602D5"/>
    <w:rsid w:val="00060498"/>
    <w:rsid w:val="000604DF"/>
    <w:rsid w:val="0006064A"/>
    <w:rsid w:val="00060733"/>
    <w:rsid w:val="000607BD"/>
    <w:rsid w:val="000607D8"/>
    <w:rsid w:val="00060CB9"/>
    <w:rsid w:val="00060CC6"/>
    <w:rsid w:val="00061372"/>
    <w:rsid w:val="000618D3"/>
    <w:rsid w:val="000619D4"/>
    <w:rsid w:val="00061D33"/>
    <w:rsid w:val="00061D37"/>
    <w:rsid w:val="00061E9F"/>
    <w:rsid w:val="00062007"/>
    <w:rsid w:val="00062016"/>
    <w:rsid w:val="00062154"/>
    <w:rsid w:val="000622A0"/>
    <w:rsid w:val="00062324"/>
    <w:rsid w:val="0006243B"/>
    <w:rsid w:val="0006289B"/>
    <w:rsid w:val="0006294B"/>
    <w:rsid w:val="00062B42"/>
    <w:rsid w:val="00062C32"/>
    <w:rsid w:val="00062C8B"/>
    <w:rsid w:val="00062F60"/>
    <w:rsid w:val="0006307C"/>
    <w:rsid w:val="000630F8"/>
    <w:rsid w:val="000638D5"/>
    <w:rsid w:val="0006398C"/>
    <w:rsid w:val="00063C45"/>
    <w:rsid w:val="00063E08"/>
    <w:rsid w:val="00064518"/>
    <w:rsid w:val="00064845"/>
    <w:rsid w:val="00064966"/>
    <w:rsid w:val="00064B42"/>
    <w:rsid w:val="00064C9B"/>
    <w:rsid w:val="00064D74"/>
    <w:rsid w:val="00064E24"/>
    <w:rsid w:val="00064EDE"/>
    <w:rsid w:val="00065014"/>
    <w:rsid w:val="000653B5"/>
    <w:rsid w:val="00065631"/>
    <w:rsid w:val="000656DE"/>
    <w:rsid w:val="00065740"/>
    <w:rsid w:val="000659AB"/>
    <w:rsid w:val="00065A41"/>
    <w:rsid w:val="00065AC0"/>
    <w:rsid w:val="00065E37"/>
    <w:rsid w:val="00066244"/>
    <w:rsid w:val="00066360"/>
    <w:rsid w:val="000664F8"/>
    <w:rsid w:val="00066A6B"/>
    <w:rsid w:val="00066AF8"/>
    <w:rsid w:val="00066B8B"/>
    <w:rsid w:val="00066FB8"/>
    <w:rsid w:val="00067001"/>
    <w:rsid w:val="000673B2"/>
    <w:rsid w:val="000677D3"/>
    <w:rsid w:val="000679E0"/>
    <w:rsid w:val="00067E61"/>
    <w:rsid w:val="00067E8E"/>
    <w:rsid w:val="0007044F"/>
    <w:rsid w:val="000707C5"/>
    <w:rsid w:val="00070819"/>
    <w:rsid w:val="00070A9E"/>
    <w:rsid w:val="00070CD5"/>
    <w:rsid w:val="00071112"/>
    <w:rsid w:val="00071139"/>
    <w:rsid w:val="00071248"/>
    <w:rsid w:val="000713CC"/>
    <w:rsid w:val="000719F1"/>
    <w:rsid w:val="00071A78"/>
    <w:rsid w:val="00071B82"/>
    <w:rsid w:val="00071CFB"/>
    <w:rsid w:val="00071E82"/>
    <w:rsid w:val="000720B9"/>
    <w:rsid w:val="00072115"/>
    <w:rsid w:val="00072665"/>
    <w:rsid w:val="00072A50"/>
    <w:rsid w:val="00072BD3"/>
    <w:rsid w:val="00072CA1"/>
    <w:rsid w:val="00072F47"/>
    <w:rsid w:val="00072FA2"/>
    <w:rsid w:val="0007324B"/>
    <w:rsid w:val="00073340"/>
    <w:rsid w:val="000737F7"/>
    <w:rsid w:val="00073B86"/>
    <w:rsid w:val="000740F1"/>
    <w:rsid w:val="00074145"/>
    <w:rsid w:val="00074690"/>
    <w:rsid w:val="00074C96"/>
    <w:rsid w:val="00074D33"/>
    <w:rsid w:val="00074E0C"/>
    <w:rsid w:val="00074E7F"/>
    <w:rsid w:val="000751A0"/>
    <w:rsid w:val="000753D7"/>
    <w:rsid w:val="00075411"/>
    <w:rsid w:val="000756A5"/>
    <w:rsid w:val="000757DC"/>
    <w:rsid w:val="000758D9"/>
    <w:rsid w:val="00075C72"/>
    <w:rsid w:val="00076112"/>
    <w:rsid w:val="000761D9"/>
    <w:rsid w:val="00076336"/>
    <w:rsid w:val="0007664F"/>
    <w:rsid w:val="0007672F"/>
    <w:rsid w:val="00076843"/>
    <w:rsid w:val="00076AF0"/>
    <w:rsid w:val="00076B54"/>
    <w:rsid w:val="00076C62"/>
    <w:rsid w:val="00076CCF"/>
    <w:rsid w:val="00076E47"/>
    <w:rsid w:val="00076E8A"/>
    <w:rsid w:val="000774F0"/>
    <w:rsid w:val="00077699"/>
    <w:rsid w:val="00077A6D"/>
    <w:rsid w:val="00077ABA"/>
    <w:rsid w:val="00077AC9"/>
    <w:rsid w:val="00077BC6"/>
    <w:rsid w:val="00077E64"/>
    <w:rsid w:val="000802D7"/>
    <w:rsid w:val="000806A7"/>
    <w:rsid w:val="00080909"/>
    <w:rsid w:val="0008092A"/>
    <w:rsid w:val="0008092B"/>
    <w:rsid w:val="00080B70"/>
    <w:rsid w:val="00080DD8"/>
    <w:rsid w:val="000812CA"/>
    <w:rsid w:val="0008134B"/>
    <w:rsid w:val="00081579"/>
    <w:rsid w:val="00081797"/>
    <w:rsid w:val="000817D9"/>
    <w:rsid w:val="000818FA"/>
    <w:rsid w:val="00081E63"/>
    <w:rsid w:val="00082062"/>
    <w:rsid w:val="0008219B"/>
    <w:rsid w:val="00082570"/>
    <w:rsid w:val="00082588"/>
    <w:rsid w:val="0008258D"/>
    <w:rsid w:val="00082753"/>
    <w:rsid w:val="00082AB1"/>
    <w:rsid w:val="0008301B"/>
    <w:rsid w:val="00083154"/>
    <w:rsid w:val="00083753"/>
    <w:rsid w:val="0008376D"/>
    <w:rsid w:val="00083B28"/>
    <w:rsid w:val="00083E99"/>
    <w:rsid w:val="00083EF8"/>
    <w:rsid w:val="00083F6A"/>
    <w:rsid w:val="00083F74"/>
    <w:rsid w:val="00084024"/>
    <w:rsid w:val="000841DC"/>
    <w:rsid w:val="00084789"/>
    <w:rsid w:val="000849C6"/>
    <w:rsid w:val="00084CA3"/>
    <w:rsid w:val="00084CCF"/>
    <w:rsid w:val="00084DFF"/>
    <w:rsid w:val="00084FA8"/>
    <w:rsid w:val="0008505E"/>
    <w:rsid w:val="000852A7"/>
    <w:rsid w:val="00085670"/>
    <w:rsid w:val="000856C5"/>
    <w:rsid w:val="00085872"/>
    <w:rsid w:val="00085921"/>
    <w:rsid w:val="00085A00"/>
    <w:rsid w:val="00085A56"/>
    <w:rsid w:val="00085C31"/>
    <w:rsid w:val="00085F0A"/>
    <w:rsid w:val="00085FB9"/>
    <w:rsid w:val="00086039"/>
    <w:rsid w:val="000862AA"/>
    <w:rsid w:val="000862B2"/>
    <w:rsid w:val="00086822"/>
    <w:rsid w:val="0008690A"/>
    <w:rsid w:val="00086BAA"/>
    <w:rsid w:val="00086BE4"/>
    <w:rsid w:val="00086E08"/>
    <w:rsid w:val="00087076"/>
    <w:rsid w:val="00087264"/>
    <w:rsid w:val="00087347"/>
    <w:rsid w:val="0008762A"/>
    <w:rsid w:val="00087901"/>
    <w:rsid w:val="00087D36"/>
    <w:rsid w:val="000902D9"/>
    <w:rsid w:val="00090AD7"/>
    <w:rsid w:val="00090AF1"/>
    <w:rsid w:val="00090B32"/>
    <w:rsid w:val="00090C7E"/>
    <w:rsid w:val="00090FD0"/>
    <w:rsid w:val="0009114D"/>
    <w:rsid w:val="000911AC"/>
    <w:rsid w:val="000915CE"/>
    <w:rsid w:val="00092434"/>
    <w:rsid w:val="000925AB"/>
    <w:rsid w:val="000925CE"/>
    <w:rsid w:val="00092600"/>
    <w:rsid w:val="0009262B"/>
    <w:rsid w:val="000927C5"/>
    <w:rsid w:val="0009283B"/>
    <w:rsid w:val="00092A38"/>
    <w:rsid w:val="00092EDE"/>
    <w:rsid w:val="00092FD5"/>
    <w:rsid w:val="00093310"/>
    <w:rsid w:val="0009342C"/>
    <w:rsid w:val="0009356D"/>
    <w:rsid w:val="00093590"/>
    <w:rsid w:val="00093642"/>
    <w:rsid w:val="0009384F"/>
    <w:rsid w:val="00093879"/>
    <w:rsid w:val="00093A7E"/>
    <w:rsid w:val="00093CB7"/>
    <w:rsid w:val="00093E6F"/>
    <w:rsid w:val="00093E72"/>
    <w:rsid w:val="00093F5B"/>
    <w:rsid w:val="00093F60"/>
    <w:rsid w:val="0009445C"/>
    <w:rsid w:val="00094704"/>
    <w:rsid w:val="00094839"/>
    <w:rsid w:val="00094B73"/>
    <w:rsid w:val="00095200"/>
    <w:rsid w:val="000956A4"/>
    <w:rsid w:val="00095956"/>
    <w:rsid w:val="00095A1A"/>
    <w:rsid w:val="00095A4C"/>
    <w:rsid w:val="00095FE5"/>
    <w:rsid w:val="00096284"/>
    <w:rsid w:val="000964BA"/>
    <w:rsid w:val="00096763"/>
    <w:rsid w:val="00096853"/>
    <w:rsid w:val="00096874"/>
    <w:rsid w:val="00096A86"/>
    <w:rsid w:val="00096CCA"/>
    <w:rsid w:val="00097019"/>
    <w:rsid w:val="000975CC"/>
    <w:rsid w:val="000975D7"/>
    <w:rsid w:val="00097CE5"/>
    <w:rsid w:val="00097D0C"/>
    <w:rsid w:val="00097E43"/>
    <w:rsid w:val="000A0214"/>
    <w:rsid w:val="000A061D"/>
    <w:rsid w:val="000A0736"/>
    <w:rsid w:val="000A116C"/>
    <w:rsid w:val="000A1241"/>
    <w:rsid w:val="000A1325"/>
    <w:rsid w:val="000A134D"/>
    <w:rsid w:val="000A1528"/>
    <w:rsid w:val="000A1803"/>
    <w:rsid w:val="000A1A4F"/>
    <w:rsid w:val="000A1BC0"/>
    <w:rsid w:val="000A1C7D"/>
    <w:rsid w:val="000A254E"/>
    <w:rsid w:val="000A2631"/>
    <w:rsid w:val="000A26AF"/>
    <w:rsid w:val="000A2952"/>
    <w:rsid w:val="000A2BCA"/>
    <w:rsid w:val="000A2CC7"/>
    <w:rsid w:val="000A2F9E"/>
    <w:rsid w:val="000A326A"/>
    <w:rsid w:val="000A3292"/>
    <w:rsid w:val="000A3616"/>
    <w:rsid w:val="000A3A2D"/>
    <w:rsid w:val="000A3C4E"/>
    <w:rsid w:val="000A3E47"/>
    <w:rsid w:val="000A3F0F"/>
    <w:rsid w:val="000A44A9"/>
    <w:rsid w:val="000A4B6C"/>
    <w:rsid w:val="000A4BAE"/>
    <w:rsid w:val="000A4FE6"/>
    <w:rsid w:val="000A51E3"/>
    <w:rsid w:val="000A522B"/>
    <w:rsid w:val="000A531C"/>
    <w:rsid w:val="000A53BF"/>
    <w:rsid w:val="000A5730"/>
    <w:rsid w:val="000A57D5"/>
    <w:rsid w:val="000A6039"/>
    <w:rsid w:val="000A63F5"/>
    <w:rsid w:val="000A64D3"/>
    <w:rsid w:val="000A66C3"/>
    <w:rsid w:val="000A6AD3"/>
    <w:rsid w:val="000A6F0E"/>
    <w:rsid w:val="000A7082"/>
    <w:rsid w:val="000A729F"/>
    <w:rsid w:val="000A7453"/>
    <w:rsid w:val="000A7648"/>
    <w:rsid w:val="000A76C7"/>
    <w:rsid w:val="000A76D3"/>
    <w:rsid w:val="000A78DB"/>
    <w:rsid w:val="000A7A60"/>
    <w:rsid w:val="000A7D08"/>
    <w:rsid w:val="000A7E09"/>
    <w:rsid w:val="000A7E36"/>
    <w:rsid w:val="000A7E5A"/>
    <w:rsid w:val="000B0121"/>
    <w:rsid w:val="000B0670"/>
    <w:rsid w:val="000B08AF"/>
    <w:rsid w:val="000B08CE"/>
    <w:rsid w:val="000B08F8"/>
    <w:rsid w:val="000B094E"/>
    <w:rsid w:val="000B0CBF"/>
    <w:rsid w:val="000B0D89"/>
    <w:rsid w:val="000B0E4C"/>
    <w:rsid w:val="000B0E75"/>
    <w:rsid w:val="000B0F22"/>
    <w:rsid w:val="000B0FAE"/>
    <w:rsid w:val="000B15A7"/>
    <w:rsid w:val="000B15C2"/>
    <w:rsid w:val="000B1A27"/>
    <w:rsid w:val="000B1B48"/>
    <w:rsid w:val="000B1CEA"/>
    <w:rsid w:val="000B1D87"/>
    <w:rsid w:val="000B1D9C"/>
    <w:rsid w:val="000B214E"/>
    <w:rsid w:val="000B222B"/>
    <w:rsid w:val="000B2B9D"/>
    <w:rsid w:val="000B2C03"/>
    <w:rsid w:val="000B2CC9"/>
    <w:rsid w:val="000B2D9D"/>
    <w:rsid w:val="000B2DCB"/>
    <w:rsid w:val="000B34FA"/>
    <w:rsid w:val="000B3800"/>
    <w:rsid w:val="000B3833"/>
    <w:rsid w:val="000B3995"/>
    <w:rsid w:val="000B3A90"/>
    <w:rsid w:val="000B3B41"/>
    <w:rsid w:val="000B3B66"/>
    <w:rsid w:val="000B3BEF"/>
    <w:rsid w:val="000B3C94"/>
    <w:rsid w:val="000B3CAF"/>
    <w:rsid w:val="000B42EB"/>
    <w:rsid w:val="000B493C"/>
    <w:rsid w:val="000B4B79"/>
    <w:rsid w:val="000B4CF6"/>
    <w:rsid w:val="000B4EFE"/>
    <w:rsid w:val="000B51CE"/>
    <w:rsid w:val="000B5580"/>
    <w:rsid w:val="000B58CE"/>
    <w:rsid w:val="000B5CE0"/>
    <w:rsid w:val="000B5CEB"/>
    <w:rsid w:val="000B61C4"/>
    <w:rsid w:val="000B629F"/>
    <w:rsid w:val="000B6726"/>
    <w:rsid w:val="000B6C38"/>
    <w:rsid w:val="000B6CAC"/>
    <w:rsid w:val="000B7135"/>
    <w:rsid w:val="000B7138"/>
    <w:rsid w:val="000B7140"/>
    <w:rsid w:val="000B71BB"/>
    <w:rsid w:val="000B7223"/>
    <w:rsid w:val="000B732E"/>
    <w:rsid w:val="000B74BC"/>
    <w:rsid w:val="000B75B8"/>
    <w:rsid w:val="000B7612"/>
    <w:rsid w:val="000B7730"/>
    <w:rsid w:val="000B7777"/>
    <w:rsid w:val="000B78AE"/>
    <w:rsid w:val="000B7A29"/>
    <w:rsid w:val="000B7A95"/>
    <w:rsid w:val="000B7B1E"/>
    <w:rsid w:val="000C0606"/>
    <w:rsid w:val="000C060F"/>
    <w:rsid w:val="000C06D7"/>
    <w:rsid w:val="000C0716"/>
    <w:rsid w:val="000C0776"/>
    <w:rsid w:val="000C07F4"/>
    <w:rsid w:val="000C0927"/>
    <w:rsid w:val="000C0B46"/>
    <w:rsid w:val="000C0CE5"/>
    <w:rsid w:val="000C0D02"/>
    <w:rsid w:val="000C0F0C"/>
    <w:rsid w:val="000C0F98"/>
    <w:rsid w:val="000C10ED"/>
    <w:rsid w:val="000C110B"/>
    <w:rsid w:val="000C1975"/>
    <w:rsid w:val="000C1FE4"/>
    <w:rsid w:val="000C2005"/>
    <w:rsid w:val="000C24CF"/>
    <w:rsid w:val="000C2E36"/>
    <w:rsid w:val="000C3048"/>
    <w:rsid w:val="000C3498"/>
    <w:rsid w:val="000C3673"/>
    <w:rsid w:val="000C37C2"/>
    <w:rsid w:val="000C3859"/>
    <w:rsid w:val="000C3907"/>
    <w:rsid w:val="000C39CE"/>
    <w:rsid w:val="000C3CB2"/>
    <w:rsid w:val="000C3D17"/>
    <w:rsid w:val="000C3DF9"/>
    <w:rsid w:val="000C3F32"/>
    <w:rsid w:val="000C4130"/>
    <w:rsid w:val="000C4264"/>
    <w:rsid w:val="000C44AB"/>
    <w:rsid w:val="000C46CB"/>
    <w:rsid w:val="000C46DA"/>
    <w:rsid w:val="000C47EC"/>
    <w:rsid w:val="000C4A35"/>
    <w:rsid w:val="000C4A7B"/>
    <w:rsid w:val="000C4CF2"/>
    <w:rsid w:val="000C4DED"/>
    <w:rsid w:val="000C4F0E"/>
    <w:rsid w:val="000C4F4A"/>
    <w:rsid w:val="000C4F8F"/>
    <w:rsid w:val="000C4F9B"/>
    <w:rsid w:val="000C54E2"/>
    <w:rsid w:val="000C586D"/>
    <w:rsid w:val="000C5C37"/>
    <w:rsid w:val="000C5D27"/>
    <w:rsid w:val="000C5E3E"/>
    <w:rsid w:val="000C5EFF"/>
    <w:rsid w:val="000C5F11"/>
    <w:rsid w:val="000C6132"/>
    <w:rsid w:val="000C6435"/>
    <w:rsid w:val="000C6676"/>
    <w:rsid w:val="000C6713"/>
    <w:rsid w:val="000C68FE"/>
    <w:rsid w:val="000C69E0"/>
    <w:rsid w:val="000C73DB"/>
    <w:rsid w:val="000C7474"/>
    <w:rsid w:val="000C78B8"/>
    <w:rsid w:val="000C78BD"/>
    <w:rsid w:val="000C7C56"/>
    <w:rsid w:val="000C7D71"/>
    <w:rsid w:val="000D0169"/>
    <w:rsid w:val="000D02E6"/>
    <w:rsid w:val="000D04F1"/>
    <w:rsid w:val="000D058B"/>
    <w:rsid w:val="000D0655"/>
    <w:rsid w:val="000D07F5"/>
    <w:rsid w:val="000D0A92"/>
    <w:rsid w:val="000D0C0E"/>
    <w:rsid w:val="000D10D6"/>
    <w:rsid w:val="000D121F"/>
    <w:rsid w:val="000D12AC"/>
    <w:rsid w:val="000D163D"/>
    <w:rsid w:val="000D1693"/>
    <w:rsid w:val="000D17D3"/>
    <w:rsid w:val="000D18FA"/>
    <w:rsid w:val="000D1BCE"/>
    <w:rsid w:val="000D1BFC"/>
    <w:rsid w:val="000D1D2B"/>
    <w:rsid w:val="000D1D5D"/>
    <w:rsid w:val="000D1EDF"/>
    <w:rsid w:val="000D2086"/>
    <w:rsid w:val="000D22A3"/>
    <w:rsid w:val="000D23D0"/>
    <w:rsid w:val="000D2715"/>
    <w:rsid w:val="000D2814"/>
    <w:rsid w:val="000D281A"/>
    <w:rsid w:val="000D2848"/>
    <w:rsid w:val="000D29F0"/>
    <w:rsid w:val="000D326A"/>
    <w:rsid w:val="000D3642"/>
    <w:rsid w:val="000D3EF6"/>
    <w:rsid w:val="000D430D"/>
    <w:rsid w:val="000D4320"/>
    <w:rsid w:val="000D4A27"/>
    <w:rsid w:val="000D4FFA"/>
    <w:rsid w:val="000D51FB"/>
    <w:rsid w:val="000D5249"/>
    <w:rsid w:val="000D6085"/>
    <w:rsid w:val="000D6136"/>
    <w:rsid w:val="000D627F"/>
    <w:rsid w:val="000D6571"/>
    <w:rsid w:val="000D65AB"/>
    <w:rsid w:val="000D663D"/>
    <w:rsid w:val="000D6916"/>
    <w:rsid w:val="000D69B9"/>
    <w:rsid w:val="000D6A03"/>
    <w:rsid w:val="000D6B99"/>
    <w:rsid w:val="000D6F6B"/>
    <w:rsid w:val="000D7006"/>
    <w:rsid w:val="000D704D"/>
    <w:rsid w:val="000D72C9"/>
    <w:rsid w:val="000D7F17"/>
    <w:rsid w:val="000D7FCC"/>
    <w:rsid w:val="000E012E"/>
    <w:rsid w:val="000E03E2"/>
    <w:rsid w:val="000E0640"/>
    <w:rsid w:val="000E087C"/>
    <w:rsid w:val="000E094A"/>
    <w:rsid w:val="000E0A67"/>
    <w:rsid w:val="000E0AAC"/>
    <w:rsid w:val="000E0EF9"/>
    <w:rsid w:val="000E135D"/>
    <w:rsid w:val="000E18CF"/>
    <w:rsid w:val="000E1A8B"/>
    <w:rsid w:val="000E1CB5"/>
    <w:rsid w:val="000E1EB3"/>
    <w:rsid w:val="000E213B"/>
    <w:rsid w:val="000E2215"/>
    <w:rsid w:val="000E2218"/>
    <w:rsid w:val="000E2307"/>
    <w:rsid w:val="000E2418"/>
    <w:rsid w:val="000E26FF"/>
    <w:rsid w:val="000E27E4"/>
    <w:rsid w:val="000E2893"/>
    <w:rsid w:val="000E289A"/>
    <w:rsid w:val="000E2A1D"/>
    <w:rsid w:val="000E2D27"/>
    <w:rsid w:val="000E2FE4"/>
    <w:rsid w:val="000E301B"/>
    <w:rsid w:val="000E35C3"/>
    <w:rsid w:val="000E374E"/>
    <w:rsid w:val="000E376A"/>
    <w:rsid w:val="000E380D"/>
    <w:rsid w:val="000E4176"/>
    <w:rsid w:val="000E4448"/>
    <w:rsid w:val="000E4921"/>
    <w:rsid w:val="000E4A94"/>
    <w:rsid w:val="000E4C91"/>
    <w:rsid w:val="000E4D81"/>
    <w:rsid w:val="000E55A4"/>
    <w:rsid w:val="000E58C2"/>
    <w:rsid w:val="000E5945"/>
    <w:rsid w:val="000E5E59"/>
    <w:rsid w:val="000E5F67"/>
    <w:rsid w:val="000E6004"/>
    <w:rsid w:val="000E60C2"/>
    <w:rsid w:val="000E6205"/>
    <w:rsid w:val="000E6721"/>
    <w:rsid w:val="000E6858"/>
    <w:rsid w:val="000E693E"/>
    <w:rsid w:val="000E6CAD"/>
    <w:rsid w:val="000E6FA6"/>
    <w:rsid w:val="000E77EE"/>
    <w:rsid w:val="000E78F1"/>
    <w:rsid w:val="000E7F10"/>
    <w:rsid w:val="000F00BA"/>
    <w:rsid w:val="000F01BD"/>
    <w:rsid w:val="000F079D"/>
    <w:rsid w:val="000F099F"/>
    <w:rsid w:val="000F0C46"/>
    <w:rsid w:val="000F11E9"/>
    <w:rsid w:val="000F13A5"/>
    <w:rsid w:val="000F1811"/>
    <w:rsid w:val="000F1A0C"/>
    <w:rsid w:val="000F1A88"/>
    <w:rsid w:val="000F1E58"/>
    <w:rsid w:val="000F1FFB"/>
    <w:rsid w:val="000F22BA"/>
    <w:rsid w:val="000F23EA"/>
    <w:rsid w:val="000F24CE"/>
    <w:rsid w:val="000F2539"/>
    <w:rsid w:val="000F26E4"/>
    <w:rsid w:val="000F2868"/>
    <w:rsid w:val="000F2D40"/>
    <w:rsid w:val="000F2D7A"/>
    <w:rsid w:val="000F2E71"/>
    <w:rsid w:val="000F313C"/>
    <w:rsid w:val="000F3165"/>
    <w:rsid w:val="000F316A"/>
    <w:rsid w:val="000F36A6"/>
    <w:rsid w:val="000F3827"/>
    <w:rsid w:val="000F386D"/>
    <w:rsid w:val="000F3A74"/>
    <w:rsid w:val="000F3BB3"/>
    <w:rsid w:val="000F3C74"/>
    <w:rsid w:val="000F3EAA"/>
    <w:rsid w:val="000F43ED"/>
    <w:rsid w:val="000F4603"/>
    <w:rsid w:val="000F472E"/>
    <w:rsid w:val="000F49BF"/>
    <w:rsid w:val="000F4BB8"/>
    <w:rsid w:val="000F4FA9"/>
    <w:rsid w:val="000F521A"/>
    <w:rsid w:val="000F53FB"/>
    <w:rsid w:val="000F548E"/>
    <w:rsid w:val="000F5497"/>
    <w:rsid w:val="000F557D"/>
    <w:rsid w:val="000F5584"/>
    <w:rsid w:val="000F606C"/>
    <w:rsid w:val="000F68F6"/>
    <w:rsid w:val="000F69EB"/>
    <w:rsid w:val="000F6CF6"/>
    <w:rsid w:val="000F7127"/>
    <w:rsid w:val="000F7179"/>
    <w:rsid w:val="000F7524"/>
    <w:rsid w:val="000F79D2"/>
    <w:rsid w:val="000F7B54"/>
    <w:rsid w:val="00100063"/>
    <w:rsid w:val="00100088"/>
    <w:rsid w:val="001000B3"/>
    <w:rsid w:val="00100244"/>
    <w:rsid w:val="00100512"/>
    <w:rsid w:val="00100558"/>
    <w:rsid w:val="001008EF"/>
    <w:rsid w:val="00100F0C"/>
    <w:rsid w:val="00100F8A"/>
    <w:rsid w:val="00101125"/>
    <w:rsid w:val="001018FD"/>
    <w:rsid w:val="00101A62"/>
    <w:rsid w:val="00101C11"/>
    <w:rsid w:val="0010262C"/>
    <w:rsid w:val="00102834"/>
    <w:rsid w:val="00102A5E"/>
    <w:rsid w:val="00102ABF"/>
    <w:rsid w:val="00102D8B"/>
    <w:rsid w:val="00102E13"/>
    <w:rsid w:val="00103097"/>
    <w:rsid w:val="00103719"/>
    <w:rsid w:val="00103B92"/>
    <w:rsid w:val="00103C57"/>
    <w:rsid w:val="00104399"/>
    <w:rsid w:val="0010452E"/>
    <w:rsid w:val="001047C8"/>
    <w:rsid w:val="00104A87"/>
    <w:rsid w:val="00105265"/>
    <w:rsid w:val="00105530"/>
    <w:rsid w:val="00105661"/>
    <w:rsid w:val="00105AE2"/>
    <w:rsid w:val="00105B61"/>
    <w:rsid w:val="00105C51"/>
    <w:rsid w:val="00105D52"/>
    <w:rsid w:val="00105EB0"/>
    <w:rsid w:val="001060C6"/>
    <w:rsid w:val="001061E3"/>
    <w:rsid w:val="00106209"/>
    <w:rsid w:val="00106618"/>
    <w:rsid w:val="00106B80"/>
    <w:rsid w:val="00106BB9"/>
    <w:rsid w:val="00106ED8"/>
    <w:rsid w:val="00107045"/>
    <w:rsid w:val="001071EB"/>
    <w:rsid w:val="0010736F"/>
    <w:rsid w:val="001073B0"/>
    <w:rsid w:val="00107ABE"/>
    <w:rsid w:val="00107C74"/>
    <w:rsid w:val="00107D94"/>
    <w:rsid w:val="00107EA0"/>
    <w:rsid w:val="00107F72"/>
    <w:rsid w:val="0011032E"/>
    <w:rsid w:val="0011035F"/>
    <w:rsid w:val="0011060D"/>
    <w:rsid w:val="00110C27"/>
    <w:rsid w:val="00110D8E"/>
    <w:rsid w:val="0011131E"/>
    <w:rsid w:val="00111471"/>
    <w:rsid w:val="001114AD"/>
    <w:rsid w:val="00111557"/>
    <w:rsid w:val="00111639"/>
    <w:rsid w:val="00111AAF"/>
    <w:rsid w:val="00111BB4"/>
    <w:rsid w:val="00111DC6"/>
    <w:rsid w:val="00111E92"/>
    <w:rsid w:val="00112004"/>
    <w:rsid w:val="00112113"/>
    <w:rsid w:val="0011229C"/>
    <w:rsid w:val="00113439"/>
    <w:rsid w:val="0011348B"/>
    <w:rsid w:val="001134D9"/>
    <w:rsid w:val="00113517"/>
    <w:rsid w:val="001136AB"/>
    <w:rsid w:val="00113759"/>
    <w:rsid w:val="001138EB"/>
    <w:rsid w:val="00113A2F"/>
    <w:rsid w:val="00113BF0"/>
    <w:rsid w:val="00113F7A"/>
    <w:rsid w:val="001140DC"/>
    <w:rsid w:val="001145F0"/>
    <w:rsid w:val="001148C2"/>
    <w:rsid w:val="00114960"/>
    <w:rsid w:val="00114C5D"/>
    <w:rsid w:val="00115393"/>
    <w:rsid w:val="0011575B"/>
    <w:rsid w:val="00115982"/>
    <w:rsid w:val="00115A6A"/>
    <w:rsid w:val="00115B63"/>
    <w:rsid w:val="00115B95"/>
    <w:rsid w:val="00115C7E"/>
    <w:rsid w:val="00115E32"/>
    <w:rsid w:val="00116010"/>
    <w:rsid w:val="001161E6"/>
    <w:rsid w:val="0011657A"/>
    <w:rsid w:val="001165A1"/>
    <w:rsid w:val="00116C53"/>
    <w:rsid w:val="001171C6"/>
    <w:rsid w:val="001171DE"/>
    <w:rsid w:val="00117635"/>
    <w:rsid w:val="00117919"/>
    <w:rsid w:val="00117AC9"/>
    <w:rsid w:val="00117C2D"/>
    <w:rsid w:val="00120082"/>
    <w:rsid w:val="00120183"/>
    <w:rsid w:val="001201B0"/>
    <w:rsid w:val="001202FD"/>
    <w:rsid w:val="00120567"/>
    <w:rsid w:val="00120856"/>
    <w:rsid w:val="0012132B"/>
    <w:rsid w:val="0012133E"/>
    <w:rsid w:val="00121780"/>
    <w:rsid w:val="00121799"/>
    <w:rsid w:val="00121860"/>
    <w:rsid w:val="0012188B"/>
    <w:rsid w:val="00121F5A"/>
    <w:rsid w:val="001222FC"/>
    <w:rsid w:val="00122A85"/>
    <w:rsid w:val="00122B4A"/>
    <w:rsid w:val="00122FD3"/>
    <w:rsid w:val="0012330B"/>
    <w:rsid w:val="00123760"/>
    <w:rsid w:val="00123902"/>
    <w:rsid w:val="001244C8"/>
    <w:rsid w:val="0012459A"/>
    <w:rsid w:val="001248BB"/>
    <w:rsid w:val="001249B1"/>
    <w:rsid w:val="00124A51"/>
    <w:rsid w:val="00124A5F"/>
    <w:rsid w:val="00124B1B"/>
    <w:rsid w:val="00124BD7"/>
    <w:rsid w:val="00124D8B"/>
    <w:rsid w:val="00124E18"/>
    <w:rsid w:val="00124ECE"/>
    <w:rsid w:val="00124FF5"/>
    <w:rsid w:val="00125068"/>
    <w:rsid w:val="001252FB"/>
    <w:rsid w:val="00125373"/>
    <w:rsid w:val="0012553E"/>
    <w:rsid w:val="001255D7"/>
    <w:rsid w:val="00125818"/>
    <w:rsid w:val="00125C51"/>
    <w:rsid w:val="00125D65"/>
    <w:rsid w:val="00126113"/>
    <w:rsid w:val="0012613E"/>
    <w:rsid w:val="00126277"/>
    <w:rsid w:val="00126494"/>
    <w:rsid w:val="00126621"/>
    <w:rsid w:val="00126912"/>
    <w:rsid w:val="00126B1D"/>
    <w:rsid w:val="00126CB3"/>
    <w:rsid w:val="00127423"/>
    <w:rsid w:val="00127457"/>
    <w:rsid w:val="001276B6"/>
    <w:rsid w:val="00127B5F"/>
    <w:rsid w:val="00127BA2"/>
    <w:rsid w:val="001300AF"/>
    <w:rsid w:val="001301E9"/>
    <w:rsid w:val="001302B8"/>
    <w:rsid w:val="001302EF"/>
    <w:rsid w:val="0013077D"/>
    <w:rsid w:val="001307D7"/>
    <w:rsid w:val="0013095B"/>
    <w:rsid w:val="00130B93"/>
    <w:rsid w:val="00130C09"/>
    <w:rsid w:val="00130CD6"/>
    <w:rsid w:val="00130D13"/>
    <w:rsid w:val="001310AD"/>
    <w:rsid w:val="00131254"/>
    <w:rsid w:val="001312B3"/>
    <w:rsid w:val="00131378"/>
    <w:rsid w:val="00131486"/>
    <w:rsid w:val="001314D6"/>
    <w:rsid w:val="00131530"/>
    <w:rsid w:val="0013187B"/>
    <w:rsid w:val="00131D82"/>
    <w:rsid w:val="00131EA4"/>
    <w:rsid w:val="00131EF9"/>
    <w:rsid w:val="00131F64"/>
    <w:rsid w:val="00131FFA"/>
    <w:rsid w:val="0013201F"/>
    <w:rsid w:val="001321A5"/>
    <w:rsid w:val="001323D1"/>
    <w:rsid w:val="001329D4"/>
    <w:rsid w:val="00132B22"/>
    <w:rsid w:val="00132D52"/>
    <w:rsid w:val="001332EE"/>
    <w:rsid w:val="00133665"/>
    <w:rsid w:val="00133727"/>
    <w:rsid w:val="00133D36"/>
    <w:rsid w:val="00133DFF"/>
    <w:rsid w:val="00133F53"/>
    <w:rsid w:val="00133FD8"/>
    <w:rsid w:val="001340E2"/>
    <w:rsid w:val="00134140"/>
    <w:rsid w:val="001341B8"/>
    <w:rsid w:val="00134421"/>
    <w:rsid w:val="0013468E"/>
    <w:rsid w:val="001346C4"/>
    <w:rsid w:val="001347A2"/>
    <w:rsid w:val="0013499A"/>
    <w:rsid w:val="00134B18"/>
    <w:rsid w:val="00134F56"/>
    <w:rsid w:val="00135070"/>
    <w:rsid w:val="001351BB"/>
    <w:rsid w:val="00135344"/>
    <w:rsid w:val="00135404"/>
    <w:rsid w:val="001354CC"/>
    <w:rsid w:val="001355AE"/>
    <w:rsid w:val="0013560F"/>
    <w:rsid w:val="001358A9"/>
    <w:rsid w:val="001359E8"/>
    <w:rsid w:val="00135B8D"/>
    <w:rsid w:val="00135BE0"/>
    <w:rsid w:val="00136BD4"/>
    <w:rsid w:val="00136CFC"/>
    <w:rsid w:val="00136D3C"/>
    <w:rsid w:val="00136EFF"/>
    <w:rsid w:val="00137081"/>
    <w:rsid w:val="001373AB"/>
    <w:rsid w:val="00137426"/>
    <w:rsid w:val="00137430"/>
    <w:rsid w:val="00137645"/>
    <w:rsid w:val="001377A3"/>
    <w:rsid w:val="00137941"/>
    <w:rsid w:val="00137994"/>
    <w:rsid w:val="001379D2"/>
    <w:rsid w:val="00137ACD"/>
    <w:rsid w:val="00137F75"/>
    <w:rsid w:val="0014015A"/>
    <w:rsid w:val="001403B0"/>
    <w:rsid w:val="00140646"/>
    <w:rsid w:val="0014071C"/>
    <w:rsid w:val="00140794"/>
    <w:rsid w:val="0014084B"/>
    <w:rsid w:val="00140D37"/>
    <w:rsid w:val="00140E40"/>
    <w:rsid w:val="00140E99"/>
    <w:rsid w:val="001413A7"/>
    <w:rsid w:val="00141610"/>
    <w:rsid w:val="001417BC"/>
    <w:rsid w:val="0014193A"/>
    <w:rsid w:val="00141B98"/>
    <w:rsid w:val="00141D94"/>
    <w:rsid w:val="001421C7"/>
    <w:rsid w:val="00142331"/>
    <w:rsid w:val="00142BAD"/>
    <w:rsid w:val="00142D5C"/>
    <w:rsid w:val="00142DF9"/>
    <w:rsid w:val="00143177"/>
    <w:rsid w:val="001435ED"/>
    <w:rsid w:val="0014366E"/>
    <w:rsid w:val="001439E5"/>
    <w:rsid w:val="00143ABB"/>
    <w:rsid w:val="00143B90"/>
    <w:rsid w:val="00143C66"/>
    <w:rsid w:val="00143F67"/>
    <w:rsid w:val="001440B1"/>
    <w:rsid w:val="00144859"/>
    <w:rsid w:val="00144EA1"/>
    <w:rsid w:val="001451BC"/>
    <w:rsid w:val="00145234"/>
    <w:rsid w:val="0014541B"/>
    <w:rsid w:val="00145540"/>
    <w:rsid w:val="001456B0"/>
    <w:rsid w:val="001456B2"/>
    <w:rsid w:val="001456EF"/>
    <w:rsid w:val="001456FD"/>
    <w:rsid w:val="00145A29"/>
    <w:rsid w:val="00145A9C"/>
    <w:rsid w:val="00146308"/>
    <w:rsid w:val="00146486"/>
    <w:rsid w:val="00146768"/>
    <w:rsid w:val="00146976"/>
    <w:rsid w:val="00146AF2"/>
    <w:rsid w:val="00146DD5"/>
    <w:rsid w:val="0014746A"/>
    <w:rsid w:val="001474DB"/>
    <w:rsid w:val="0014760C"/>
    <w:rsid w:val="001476C7"/>
    <w:rsid w:val="0014785A"/>
    <w:rsid w:val="00147F1F"/>
    <w:rsid w:val="00150017"/>
    <w:rsid w:val="00150109"/>
    <w:rsid w:val="00150692"/>
    <w:rsid w:val="00150A94"/>
    <w:rsid w:val="00150B24"/>
    <w:rsid w:val="00150D2B"/>
    <w:rsid w:val="00150F76"/>
    <w:rsid w:val="0015139F"/>
    <w:rsid w:val="00151657"/>
    <w:rsid w:val="001516EA"/>
    <w:rsid w:val="0015189F"/>
    <w:rsid w:val="00151BFA"/>
    <w:rsid w:val="00152204"/>
    <w:rsid w:val="00152734"/>
    <w:rsid w:val="00152882"/>
    <w:rsid w:val="00152996"/>
    <w:rsid w:val="00152A7A"/>
    <w:rsid w:val="00152EAA"/>
    <w:rsid w:val="0015306A"/>
    <w:rsid w:val="00153399"/>
    <w:rsid w:val="001537C1"/>
    <w:rsid w:val="001538FB"/>
    <w:rsid w:val="00153949"/>
    <w:rsid w:val="00153D2A"/>
    <w:rsid w:val="00153E00"/>
    <w:rsid w:val="00153E60"/>
    <w:rsid w:val="00153F17"/>
    <w:rsid w:val="0015407D"/>
    <w:rsid w:val="0015408F"/>
    <w:rsid w:val="00154371"/>
    <w:rsid w:val="00154796"/>
    <w:rsid w:val="001547AB"/>
    <w:rsid w:val="0015491A"/>
    <w:rsid w:val="00155349"/>
    <w:rsid w:val="001555E4"/>
    <w:rsid w:val="00155640"/>
    <w:rsid w:val="001556A3"/>
    <w:rsid w:val="0015588D"/>
    <w:rsid w:val="001558C2"/>
    <w:rsid w:val="00155949"/>
    <w:rsid w:val="001559D7"/>
    <w:rsid w:val="00155A41"/>
    <w:rsid w:val="00155CA9"/>
    <w:rsid w:val="00155E82"/>
    <w:rsid w:val="0015613B"/>
    <w:rsid w:val="00156BD4"/>
    <w:rsid w:val="00156E71"/>
    <w:rsid w:val="00156F8F"/>
    <w:rsid w:val="00157130"/>
    <w:rsid w:val="0015715F"/>
    <w:rsid w:val="0015764B"/>
    <w:rsid w:val="001576B1"/>
    <w:rsid w:val="001579C5"/>
    <w:rsid w:val="00157B71"/>
    <w:rsid w:val="00157E63"/>
    <w:rsid w:val="00160262"/>
    <w:rsid w:val="001603FC"/>
    <w:rsid w:val="0016047B"/>
    <w:rsid w:val="00160630"/>
    <w:rsid w:val="001606DF"/>
    <w:rsid w:val="00160710"/>
    <w:rsid w:val="001607AB"/>
    <w:rsid w:val="00160A4C"/>
    <w:rsid w:val="00160C86"/>
    <w:rsid w:val="00160D70"/>
    <w:rsid w:val="0016130F"/>
    <w:rsid w:val="00161483"/>
    <w:rsid w:val="001614B3"/>
    <w:rsid w:val="00161AF9"/>
    <w:rsid w:val="00161B3D"/>
    <w:rsid w:val="00161B68"/>
    <w:rsid w:val="001620BB"/>
    <w:rsid w:val="00162446"/>
    <w:rsid w:val="00162913"/>
    <w:rsid w:val="00162B76"/>
    <w:rsid w:val="00162E27"/>
    <w:rsid w:val="0016302B"/>
    <w:rsid w:val="001633E5"/>
    <w:rsid w:val="001637C6"/>
    <w:rsid w:val="00163A53"/>
    <w:rsid w:val="00163BB3"/>
    <w:rsid w:val="00163CA5"/>
    <w:rsid w:val="00163D64"/>
    <w:rsid w:val="00163EFF"/>
    <w:rsid w:val="00163F66"/>
    <w:rsid w:val="00164409"/>
    <w:rsid w:val="0016448C"/>
    <w:rsid w:val="0016478E"/>
    <w:rsid w:val="00164BF2"/>
    <w:rsid w:val="00164E08"/>
    <w:rsid w:val="001658A4"/>
    <w:rsid w:val="00165D4D"/>
    <w:rsid w:val="00165EC4"/>
    <w:rsid w:val="001661FB"/>
    <w:rsid w:val="00166428"/>
    <w:rsid w:val="0016652D"/>
    <w:rsid w:val="0016668A"/>
    <w:rsid w:val="00166B02"/>
    <w:rsid w:val="00166BD2"/>
    <w:rsid w:val="00166D3C"/>
    <w:rsid w:val="00166DA5"/>
    <w:rsid w:val="001671A0"/>
    <w:rsid w:val="001672CA"/>
    <w:rsid w:val="00167426"/>
    <w:rsid w:val="0016767F"/>
    <w:rsid w:val="001676CF"/>
    <w:rsid w:val="001678F2"/>
    <w:rsid w:val="00167B4D"/>
    <w:rsid w:val="001702E8"/>
    <w:rsid w:val="001703AF"/>
    <w:rsid w:val="00170CBB"/>
    <w:rsid w:val="00170F26"/>
    <w:rsid w:val="00170F67"/>
    <w:rsid w:val="00170F8B"/>
    <w:rsid w:val="00171682"/>
    <w:rsid w:val="00171684"/>
    <w:rsid w:val="00171A53"/>
    <w:rsid w:val="00171E74"/>
    <w:rsid w:val="001723A7"/>
    <w:rsid w:val="0017259F"/>
    <w:rsid w:val="00172ADE"/>
    <w:rsid w:val="00172B82"/>
    <w:rsid w:val="00172BD4"/>
    <w:rsid w:val="00172DF3"/>
    <w:rsid w:val="001730F3"/>
    <w:rsid w:val="00173186"/>
    <w:rsid w:val="00173254"/>
    <w:rsid w:val="00173352"/>
    <w:rsid w:val="00173411"/>
    <w:rsid w:val="00173565"/>
    <w:rsid w:val="0017357B"/>
    <w:rsid w:val="0017397D"/>
    <w:rsid w:val="00173B07"/>
    <w:rsid w:val="00173BA4"/>
    <w:rsid w:val="00173D59"/>
    <w:rsid w:val="00173EC5"/>
    <w:rsid w:val="00174156"/>
    <w:rsid w:val="001741C6"/>
    <w:rsid w:val="00174454"/>
    <w:rsid w:val="00174457"/>
    <w:rsid w:val="001744EE"/>
    <w:rsid w:val="00174545"/>
    <w:rsid w:val="001745F5"/>
    <w:rsid w:val="00174D12"/>
    <w:rsid w:val="00174D4D"/>
    <w:rsid w:val="001751F5"/>
    <w:rsid w:val="001751FA"/>
    <w:rsid w:val="001758AA"/>
    <w:rsid w:val="00175AAD"/>
    <w:rsid w:val="00176230"/>
    <w:rsid w:val="001763CB"/>
    <w:rsid w:val="00176432"/>
    <w:rsid w:val="001764F6"/>
    <w:rsid w:val="00176684"/>
    <w:rsid w:val="00176909"/>
    <w:rsid w:val="0017692B"/>
    <w:rsid w:val="001769E8"/>
    <w:rsid w:val="001769FE"/>
    <w:rsid w:val="0017737F"/>
    <w:rsid w:val="00177512"/>
    <w:rsid w:val="00177608"/>
    <w:rsid w:val="0017795F"/>
    <w:rsid w:val="00177CE0"/>
    <w:rsid w:val="0018013A"/>
    <w:rsid w:val="001806B6"/>
    <w:rsid w:val="00180929"/>
    <w:rsid w:val="00180AB2"/>
    <w:rsid w:val="00180FAD"/>
    <w:rsid w:val="00181059"/>
    <w:rsid w:val="00181152"/>
    <w:rsid w:val="0018117F"/>
    <w:rsid w:val="001811E2"/>
    <w:rsid w:val="001813B5"/>
    <w:rsid w:val="001816C8"/>
    <w:rsid w:val="00181C10"/>
    <w:rsid w:val="00181D9C"/>
    <w:rsid w:val="00181E1B"/>
    <w:rsid w:val="001820D6"/>
    <w:rsid w:val="00182267"/>
    <w:rsid w:val="001825AD"/>
    <w:rsid w:val="001829CE"/>
    <w:rsid w:val="00182CA4"/>
    <w:rsid w:val="00182E6D"/>
    <w:rsid w:val="00182F0E"/>
    <w:rsid w:val="00183042"/>
    <w:rsid w:val="00183184"/>
    <w:rsid w:val="001833BA"/>
    <w:rsid w:val="001835AD"/>
    <w:rsid w:val="001835D5"/>
    <w:rsid w:val="0018376A"/>
    <w:rsid w:val="001837C2"/>
    <w:rsid w:val="001837FF"/>
    <w:rsid w:val="001838A4"/>
    <w:rsid w:val="001839A2"/>
    <w:rsid w:val="00183CDC"/>
    <w:rsid w:val="00183D1F"/>
    <w:rsid w:val="00183D96"/>
    <w:rsid w:val="00183FAA"/>
    <w:rsid w:val="00184046"/>
    <w:rsid w:val="001842DC"/>
    <w:rsid w:val="001843F0"/>
    <w:rsid w:val="0018443D"/>
    <w:rsid w:val="00184718"/>
    <w:rsid w:val="001849F5"/>
    <w:rsid w:val="00184A31"/>
    <w:rsid w:val="00184B0E"/>
    <w:rsid w:val="00184C10"/>
    <w:rsid w:val="00184F30"/>
    <w:rsid w:val="001852DD"/>
    <w:rsid w:val="00185327"/>
    <w:rsid w:val="00185D8F"/>
    <w:rsid w:val="00185FB4"/>
    <w:rsid w:val="00186062"/>
    <w:rsid w:val="00186133"/>
    <w:rsid w:val="001863CA"/>
    <w:rsid w:val="00186411"/>
    <w:rsid w:val="0018641E"/>
    <w:rsid w:val="001867FE"/>
    <w:rsid w:val="00186819"/>
    <w:rsid w:val="001868D6"/>
    <w:rsid w:val="0018694E"/>
    <w:rsid w:val="001869C8"/>
    <w:rsid w:val="00187151"/>
    <w:rsid w:val="001874F9"/>
    <w:rsid w:val="0018752F"/>
    <w:rsid w:val="001875B4"/>
    <w:rsid w:val="00187664"/>
    <w:rsid w:val="001876A6"/>
    <w:rsid w:val="00187826"/>
    <w:rsid w:val="00187AEC"/>
    <w:rsid w:val="00187B5A"/>
    <w:rsid w:val="00187EEA"/>
    <w:rsid w:val="00190181"/>
    <w:rsid w:val="001902E9"/>
    <w:rsid w:val="00190538"/>
    <w:rsid w:val="00190A92"/>
    <w:rsid w:val="00190ECC"/>
    <w:rsid w:val="00191990"/>
    <w:rsid w:val="001919D7"/>
    <w:rsid w:val="00192490"/>
    <w:rsid w:val="001924B0"/>
    <w:rsid w:val="00192ADC"/>
    <w:rsid w:val="00192AE7"/>
    <w:rsid w:val="00192CF1"/>
    <w:rsid w:val="00192D06"/>
    <w:rsid w:val="00192F1D"/>
    <w:rsid w:val="00192F43"/>
    <w:rsid w:val="00192FF4"/>
    <w:rsid w:val="00193046"/>
    <w:rsid w:val="001932B3"/>
    <w:rsid w:val="0019334A"/>
    <w:rsid w:val="001933EC"/>
    <w:rsid w:val="00193690"/>
    <w:rsid w:val="00193838"/>
    <w:rsid w:val="001938F7"/>
    <w:rsid w:val="00193A19"/>
    <w:rsid w:val="00193A45"/>
    <w:rsid w:val="00193EF0"/>
    <w:rsid w:val="0019402D"/>
    <w:rsid w:val="00194168"/>
    <w:rsid w:val="001944E8"/>
    <w:rsid w:val="00194556"/>
    <w:rsid w:val="001947D8"/>
    <w:rsid w:val="00194AD8"/>
    <w:rsid w:val="00194CDA"/>
    <w:rsid w:val="00194DD6"/>
    <w:rsid w:val="00194E81"/>
    <w:rsid w:val="00194E8C"/>
    <w:rsid w:val="00194FCC"/>
    <w:rsid w:val="00194FD3"/>
    <w:rsid w:val="00195102"/>
    <w:rsid w:val="00195222"/>
    <w:rsid w:val="0019525A"/>
    <w:rsid w:val="001952B3"/>
    <w:rsid w:val="001953D8"/>
    <w:rsid w:val="00195452"/>
    <w:rsid w:val="00195662"/>
    <w:rsid w:val="00195882"/>
    <w:rsid w:val="00195900"/>
    <w:rsid w:val="001959BC"/>
    <w:rsid w:val="00195A74"/>
    <w:rsid w:val="00195C57"/>
    <w:rsid w:val="00195F9D"/>
    <w:rsid w:val="00196564"/>
    <w:rsid w:val="001965B2"/>
    <w:rsid w:val="001965DA"/>
    <w:rsid w:val="001966C6"/>
    <w:rsid w:val="0019672B"/>
    <w:rsid w:val="00196806"/>
    <w:rsid w:val="00196A8B"/>
    <w:rsid w:val="00196B42"/>
    <w:rsid w:val="00197073"/>
    <w:rsid w:val="0019733C"/>
    <w:rsid w:val="001974A3"/>
    <w:rsid w:val="001975D8"/>
    <w:rsid w:val="00197786"/>
    <w:rsid w:val="001978AE"/>
    <w:rsid w:val="00197C0E"/>
    <w:rsid w:val="00197C82"/>
    <w:rsid w:val="00197D48"/>
    <w:rsid w:val="00197EB3"/>
    <w:rsid w:val="00197F05"/>
    <w:rsid w:val="00197FA3"/>
    <w:rsid w:val="001A004D"/>
    <w:rsid w:val="001A02EA"/>
    <w:rsid w:val="001A0461"/>
    <w:rsid w:val="001A054A"/>
    <w:rsid w:val="001A059F"/>
    <w:rsid w:val="001A0879"/>
    <w:rsid w:val="001A1297"/>
    <w:rsid w:val="001A1722"/>
    <w:rsid w:val="001A178E"/>
    <w:rsid w:val="001A1BAE"/>
    <w:rsid w:val="001A1C82"/>
    <w:rsid w:val="001A1F17"/>
    <w:rsid w:val="001A215E"/>
    <w:rsid w:val="001A215F"/>
    <w:rsid w:val="001A2198"/>
    <w:rsid w:val="001A2407"/>
    <w:rsid w:val="001A246E"/>
    <w:rsid w:val="001A25DC"/>
    <w:rsid w:val="001A269E"/>
    <w:rsid w:val="001A295B"/>
    <w:rsid w:val="001A2A72"/>
    <w:rsid w:val="001A2CE3"/>
    <w:rsid w:val="001A2F81"/>
    <w:rsid w:val="001A3302"/>
    <w:rsid w:val="001A3341"/>
    <w:rsid w:val="001A34E0"/>
    <w:rsid w:val="001A386D"/>
    <w:rsid w:val="001A3CDE"/>
    <w:rsid w:val="001A3E4E"/>
    <w:rsid w:val="001A43FA"/>
    <w:rsid w:val="001A46D7"/>
    <w:rsid w:val="001A47C5"/>
    <w:rsid w:val="001A4869"/>
    <w:rsid w:val="001A48A4"/>
    <w:rsid w:val="001A4C6B"/>
    <w:rsid w:val="001A4EA8"/>
    <w:rsid w:val="001A5060"/>
    <w:rsid w:val="001A5255"/>
    <w:rsid w:val="001A563D"/>
    <w:rsid w:val="001A59FB"/>
    <w:rsid w:val="001A5E9E"/>
    <w:rsid w:val="001A5EEC"/>
    <w:rsid w:val="001A6151"/>
    <w:rsid w:val="001A6182"/>
    <w:rsid w:val="001A62C3"/>
    <w:rsid w:val="001A6354"/>
    <w:rsid w:val="001A6366"/>
    <w:rsid w:val="001A64A7"/>
    <w:rsid w:val="001A65EF"/>
    <w:rsid w:val="001A678F"/>
    <w:rsid w:val="001A67E6"/>
    <w:rsid w:val="001A6915"/>
    <w:rsid w:val="001A6F1C"/>
    <w:rsid w:val="001A7137"/>
    <w:rsid w:val="001A7164"/>
    <w:rsid w:val="001A729D"/>
    <w:rsid w:val="001A766A"/>
    <w:rsid w:val="001A767B"/>
    <w:rsid w:val="001A76F5"/>
    <w:rsid w:val="001A778E"/>
    <w:rsid w:val="001A7AE8"/>
    <w:rsid w:val="001A7AF3"/>
    <w:rsid w:val="001A7D86"/>
    <w:rsid w:val="001A7ED6"/>
    <w:rsid w:val="001B00A3"/>
    <w:rsid w:val="001B0371"/>
    <w:rsid w:val="001B03AC"/>
    <w:rsid w:val="001B0F8B"/>
    <w:rsid w:val="001B127F"/>
    <w:rsid w:val="001B1377"/>
    <w:rsid w:val="001B148D"/>
    <w:rsid w:val="001B1675"/>
    <w:rsid w:val="001B172B"/>
    <w:rsid w:val="001B1AE6"/>
    <w:rsid w:val="001B1BEB"/>
    <w:rsid w:val="001B1D19"/>
    <w:rsid w:val="001B1D55"/>
    <w:rsid w:val="001B1DDC"/>
    <w:rsid w:val="001B204E"/>
    <w:rsid w:val="001B2102"/>
    <w:rsid w:val="001B2372"/>
    <w:rsid w:val="001B23FE"/>
    <w:rsid w:val="001B2900"/>
    <w:rsid w:val="001B2ADA"/>
    <w:rsid w:val="001B2AE6"/>
    <w:rsid w:val="001B31D1"/>
    <w:rsid w:val="001B325F"/>
    <w:rsid w:val="001B32E2"/>
    <w:rsid w:val="001B3443"/>
    <w:rsid w:val="001B35CF"/>
    <w:rsid w:val="001B3650"/>
    <w:rsid w:val="001B3670"/>
    <w:rsid w:val="001B38EE"/>
    <w:rsid w:val="001B392F"/>
    <w:rsid w:val="001B3CC4"/>
    <w:rsid w:val="001B3E43"/>
    <w:rsid w:val="001B41EF"/>
    <w:rsid w:val="001B4327"/>
    <w:rsid w:val="001B4363"/>
    <w:rsid w:val="001B4C4E"/>
    <w:rsid w:val="001B4D1C"/>
    <w:rsid w:val="001B4D20"/>
    <w:rsid w:val="001B5067"/>
    <w:rsid w:val="001B59EC"/>
    <w:rsid w:val="001B5BD8"/>
    <w:rsid w:val="001B5C65"/>
    <w:rsid w:val="001B5CAE"/>
    <w:rsid w:val="001B5D7F"/>
    <w:rsid w:val="001B66B7"/>
    <w:rsid w:val="001B6A3E"/>
    <w:rsid w:val="001B6A46"/>
    <w:rsid w:val="001B6A99"/>
    <w:rsid w:val="001B6D6E"/>
    <w:rsid w:val="001B7194"/>
    <w:rsid w:val="001B71C7"/>
    <w:rsid w:val="001B7237"/>
    <w:rsid w:val="001B7737"/>
    <w:rsid w:val="001B7A78"/>
    <w:rsid w:val="001B7C54"/>
    <w:rsid w:val="001B7F40"/>
    <w:rsid w:val="001B7F84"/>
    <w:rsid w:val="001C0359"/>
    <w:rsid w:val="001C0C3E"/>
    <w:rsid w:val="001C0EBB"/>
    <w:rsid w:val="001C1697"/>
    <w:rsid w:val="001C1A0E"/>
    <w:rsid w:val="001C1E07"/>
    <w:rsid w:val="001C1FED"/>
    <w:rsid w:val="001C22B9"/>
    <w:rsid w:val="001C24A0"/>
    <w:rsid w:val="001C26F9"/>
    <w:rsid w:val="001C28E9"/>
    <w:rsid w:val="001C2A9B"/>
    <w:rsid w:val="001C2DA4"/>
    <w:rsid w:val="001C3B02"/>
    <w:rsid w:val="001C3D2C"/>
    <w:rsid w:val="001C3DD6"/>
    <w:rsid w:val="001C413D"/>
    <w:rsid w:val="001C421F"/>
    <w:rsid w:val="001C424B"/>
    <w:rsid w:val="001C4299"/>
    <w:rsid w:val="001C4874"/>
    <w:rsid w:val="001C48C7"/>
    <w:rsid w:val="001C4D93"/>
    <w:rsid w:val="001C4DA0"/>
    <w:rsid w:val="001C4E4B"/>
    <w:rsid w:val="001C4F9C"/>
    <w:rsid w:val="001C4F9F"/>
    <w:rsid w:val="001C539C"/>
    <w:rsid w:val="001C545C"/>
    <w:rsid w:val="001C5597"/>
    <w:rsid w:val="001C585D"/>
    <w:rsid w:val="001C58A5"/>
    <w:rsid w:val="001C5A3A"/>
    <w:rsid w:val="001C5D6F"/>
    <w:rsid w:val="001C5F94"/>
    <w:rsid w:val="001C606E"/>
    <w:rsid w:val="001C61D8"/>
    <w:rsid w:val="001C6288"/>
    <w:rsid w:val="001C6496"/>
    <w:rsid w:val="001C64D1"/>
    <w:rsid w:val="001C64DF"/>
    <w:rsid w:val="001C64ED"/>
    <w:rsid w:val="001C65FC"/>
    <w:rsid w:val="001C66AB"/>
    <w:rsid w:val="001C66BC"/>
    <w:rsid w:val="001C6892"/>
    <w:rsid w:val="001C6927"/>
    <w:rsid w:val="001C6A0C"/>
    <w:rsid w:val="001C6E66"/>
    <w:rsid w:val="001C7033"/>
    <w:rsid w:val="001C734D"/>
    <w:rsid w:val="001C73A0"/>
    <w:rsid w:val="001C7445"/>
    <w:rsid w:val="001C7868"/>
    <w:rsid w:val="001C7ABC"/>
    <w:rsid w:val="001C7B3F"/>
    <w:rsid w:val="001C7ED6"/>
    <w:rsid w:val="001D0263"/>
    <w:rsid w:val="001D06DD"/>
    <w:rsid w:val="001D07A9"/>
    <w:rsid w:val="001D09A2"/>
    <w:rsid w:val="001D0BFC"/>
    <w:rsid w:val="001D0D56"/>
    <w:rsid w:val="001D0F22"/>
    <w:rsid w:val="001D0F5B"/>
    <w:rsid w:val="001D0FD7"/>
    <w:rsid w:val="001D1018"/>
    <w:rsid w:val="001D1100"/>
    <w:rsid w:val="001D1391"/>
    <w:rsid w:val="001D1C16"/>
    <w:rsid w:val="001D20A9"/>
    <w:rsid w:val="001D228F"/>
    <w:rsid w:val="001D2308"/>
    <w:rsid w:val="001D25D7"/>
    <w:rsid w:val="001D2A8A"/>
    <w:rsid w:val="001D2FAB"/>
    <w:rsid w:val="001D2FF2"/>
    <w:rsid w:val="001D3276"/>
    <w:rsid w:val="001D32B9"/>
    <w:rsid w:val="001D331C"/>
    <w:rsid w:val="001D352A"/>
    <w:rsid w:val="001D3ABE"/>
    <w:rsid w:val="001D3ED2"/>
    <w:rsid w:val="001D448C"/>
    <w:rsid w:val="001D458F"/>
    <w:rsid w:val="001D45D8"/>
    <w:rsid w:val="001D4947"/>
    <w:rsid w:val="001D4DA0"/>
    <w:rsid w:val="001D4F2E"/>
    <w:rsid w:val="001D5028"/>
    <w:rsid w:val="001D50B2"/>
    <w:rsid w:val="001D52C4"/>
    <w:rsid w:val="001D5560"/>
    <w:rsid w:val="001D5A87"/>
    <w:rsid w:val="001D5BA1"/>
    <w:rsid w:val="001D5C68"/>
    <w:rsid w:val="001D5C8C"/>
    <w:rsid w:val="001D62A5"/>
    <w:rsid w:val="001D62F0"/>
    <w:rsid w:val="001D63E8"/>
    <w:rsid w:val="001D6410"/>
    <w:rsid w:val="001D6466"/>
    <w:rsid w:val="001D698E"/>
    <w:rsid w:val="001D6ADC"/>
    <w:rsid w:val="001D6CF3"/>
    <w:rsid w:val="001D6DD7"/>
    <w:rsid w:val="001D6ED7"/>
    <w:rsid w:val="001D6EE8"/>
    <w:rsid w:val="001D71F4"/>
    <w:rsid w:val="001D7343"/>
    <w:rsid w:val="001D73FF"/>
    <w:rsid w:val="001D748E"/>
    <w:rsid w:val="001D74A1"/>
    <w:rsid w:val="001D75A1"/>
    <w:rsid w:val="001D7645"/>
    <w:rsid w:val="001D779F"/>
    <w:rsid w:val="001D78F6"/>
    <w:rsid w:val="001D7D13"/>
    <w:rsid w:val="001D7EB0"/>
    <w:rsid w:val="001E03AC"/>
    <w:rsid w:val="001E06C9"/>
    <w:rsid w:val="001E0A72"/>
    <w:rsid w:val="001E0B56"/>
    <w:rsid w:val="001E0D68"/>
    <w:rsid w:val="001E0FAC"/>
    <w:rsid w:val="001E107D"/>
    <w:rsid w:val="001E10B9"/>
    <w:rsid w:val="001E10E7"/>
    <w:rsid w:val="001E114F"/>
    <w:rsid w:val="001E1202"/>
    <w:rsid w:val="001E14F9"/>
    <w:rsid w:val="001E14FD"/>
    <w:rsid w:val="001E1679"/>
    <w:rsid w:val="001E1E86"/>
    <w:rsid w:val="001E2192"/>
    <w:rsid w:val="001E2258"/>
    <w:rsid w:val="001E238E"/>
    <w:rsid w:val="001E2483"/>
    <w:rsid w:val="001E2A19"/>
    <w:rsid w:val="001E2A43"/>
    <w:rsid w:val="001E2B1E"/>
    <w:rsid w:val="001E2B42"/>
    <w:rsid w:val="001E2B50"/>
    <w:rsid w:val="001E2CFF"/>
    <w:rsid w:val="001E2F24"/>
    <w:rsid w:val="001E30D4"/>
    <w:rsid w:val="001E31A3"/>
    <w:rsid w:val="001E328B"/>
    <w:rsid w:val="001E32B3"/>
    <w:rsid w:val="001E33DD"/>
    <w:rsid w:val="001E34A0"/>
    <w:rsid w:val="001E34DF"/>
    <w:rsid w:val="001E3542"/>
    <w:rsid w:val="001E3ABA"/>
    <w:rsid w:val="001E3F30"/>
    <w:rsid w:val="001E4928"/>
    <w:rsid w:val="001E4ACA"/>
    <w:rsid w:val="001E4CB0"/>
    <w:rsid w:val="001E4E1C"/>
    <w:rsid w:val="001E50F3"/>
    <w:rsid w:val="001E5212"/>
    <w:rsid w:val="001E5242"/>
    <w:rsid w:val="001E52EB"/>
    <w:rsid w:val="001E55A6"/>
    <w:rsid w:val="001E584A"/>
    <w:rsid w:val="001E5B09"/>
    <w:rsid w:val="001E5C43"/>
    <w:rsid w:val="001E5CD4"/>
    <w:rsid w:val="001E5EA2"/>
    <w:rsid w:val="001E5FF3"/>
    <w:rsid w:val="001E60A1"/>
    <w:rsid w:val="001E617A"/>
    <w:rsid w:val="001E61D2"/>
    <w:rsid w:val="001E61E4"/>
    <w:rsid w:val="001E6224"/>
    <w:rsid w:val="001E639A"/>
    <w:rsid w:val="001E6536"/>
    <w:rsid w:val="001E6539"/>
    <w:rsid w:val="001E6663"/>
    <w:rsid w:val="001E68E8"/>
    <w:rsid w:val="001E6959"/>
    <w:rsid w:val="001E707C"/>
    <w:rsid w:val="001E709D"/>
    <w:rsid w:val="001E70B5"/>
    <w:rsid w:val="001E70F6"/>
    <w:rsid w:val="001E72CF"/>
    <w:rsid w:val="001E740C"/>
    <w:rsid w:val="001E7453"/>
    <w:rsid w:val="001E756B"/>
    <w:rsid w:val="001E7EAE"/>
    <w:rsid w:val="001E7F55"/>
    <w:rsid w:val="001F0038"/>
    <w:rsid w:val="001F0D45"/>
    <w:rsid w:val="001F0D7E"/>
    <w:rsid w:val="001F1235"/>
    <w:rsid w:val="001F12CF"/>
    <w:rsid w:val="001F16E5"/>
    <w:rsid w:val="001F1718"/>
    <w:rsid w:val="001F188F"/>
    <w:rsid w:val="001F1A42"/>
    <w:rsid w:val="001F1C67"/>
    <w:rsid w:val="001F1CB3"/>
    <w:rsid w:val="001F278E"/>
    <w:rsid w:val="001F280D"/>
    <w:rsid w:val="001F2982"/>
    <w:rsid w:val="001F2B6A"/>
    <w:rsid w:val="001F2D23"/>
    <w:rsid w:val="001F31A5"/>
    <w:rsid w:val="001F3285"/>
    <w:rsid w:val="001F34F0"/>
    <w:rsid w:val="001F3533"/>
    <w:rsid w:val="001F38AE"/>
    <w:rsid w:val="001F38B5"/>
    <w:rsid w:val="001F39E2"/>
    <w:rsid w:val="001F3AF5"/>
    <w:rsid w:val="001F3B1B"/>
    <w:rsid w:val="001F3CA2"/>
    <w:rsid w:val="001F3EE1"/>
    <w:rsid w:val="001F4081"/>
    <w:rsid w:val="001F4239"/>
    <w:rsid w:val="001F42E5"/>
    <w:rsid w:val="001F4441"/>
    <w:rsid w:val="001F487F"/>
    <w:rsid w:val="001F4942"/>
    <w:rsid w:val="001F4B0A"/>
    <w:rsid w:val="001F4F25"/>
    <w:rsid w:val="001F5182"/>
    <w:rsid w:val="001F5234"/>
    <w:rsid w:val="001F53CF"/>
    <w:rsid w:val="001F53D9"/>
    <w:rsid w:val="001F5500"/>
    <w:rsid w:val="001F5BFE"/>
    <w:rsid w:val="001F601C"/>
    <w:rsid w:val="001F634C"/>
    <w:rsid w:val="001F65FC"/>
    <w:rsid w:val="001F6BC1"/>
    <w:rsid w:val="001F6BD5"/>
    <w:rsid w:val="001F6F9C"/>
    <w:rsid w:val="001F7361"/>
    <w:rsid w:val="001F7394"/>
    <w:rsid w:val="001F75E0"/>
    <w:rsid w:val="001F770E"/>
    <w:rsid w:val="001F7CB8"/>
    <w:rsid w:val="001F7CBE"/>
    <w:rsid w:val="001F7ED9"/>
    <w:rsid w:val="001F7FBB"/>
    <w:rsid w:val="00200117"/>
    <w:rsid w:val="00200366"/>
    <w:rsid w:val="0020056D"/>
    <w:rsid w:val="002005B5"/>
    <w:rsid w:val="002005BC"/>
    <w:rsid w:val="002008EA"/>
    <w:rsid w:val="00200F2D"/>
    <w:rsid w:val="00201140"/>
    <w:rsid w:val="002011B0"/>
    <w:rsid w:val="0020147C"/>
    <w:rsid w:val="002016BB"/>
    <w:rsid w:val="00201923"/>
    <w:rsid w:val="00201A8C"/>
    <w:rsid w:val="00201AB3"/>
    <w:rsid w:val="00201E9B"/>
    <w:rsid w:val="00202173"/>
    <w:rsid w:val="00202410"/>
    <w:rsid w:val="00202491"/>
    <w:rsid w:val="002024B7"/>
    <w:rsid w:val="00202964"/>
    <w:rsid w:val="00203181"/>
    <w:rsid w:val="0020319B"/>
    <w:rsid w:val="002032B4"/>
    <w:rsid w:val="0020333F"/>
    <w:rsid w:val="002033A9"/>
    <w:rsid w:val="00203783"/>
    <w:rsid w:val="002037FF"/>
    <w:rsid w:val="00203817"/>
    <w:rsid w:val="0020385F"/>
    <w:rsid w:val="002039B3"/>
    <w:rsid w:val="00203A83"/>
    <w:rsid w:val="00203C71"/>
    <w:rsid w:val="00204126"/>
    <w:rsid w:val="00204164"/>
    <w:rsid w:val="002041EB"/>
    <w:rsid w:val="002043F6"/>
    <w:rsid w:val="00204446"/>
    <w:rsid w:val="00204737"/>
    <w:rsid w:val="002047F3"/>
    <w:rsid w:val="002048A1"/>
    <w:rsid w:val="00204AE3"/>
    <w:rsid w:val="00204C9C"/>
    <w:rsid w:val="002050A6"/>
    <w:rsid w:val="00205133"/>
    <w:rsid w:val="00205756"/>
    <w:rsid w:val="0020585E"/>
    <w:rsid w:val="002058EC"/>
    <w:rsid w:val="00205B9C"/>
    <w:rsid w:val="00205D86"/>
    <w:rsid w:val="00205F9F"/>
    <w:rsid w:val="00206505"/>
    <w:rsid w:val="0020664F"/>
    <w:rsid w:val="0020670A"/>
    <w:rsid w:val="002068A0"/>
    <w:rsid w:val="00206B0E"/>
    <w:rsid w:val="00207021"/>
    <w:rsid w:val="00207080"/>
    <w:rsid w:val="00207231"/>
    <w:rsid w:val="0020732F"/>
    <w:rsid w:val="002073FE"/>
    <w:rsid w:val="00207771"/>
    <w:rsid w:val="00207D00"/>
    <w:rsid w:val="00207D49"/>
    <w:rsid w:val="00207DBE"/>
    <w:rsid w:val="00207F8D"/>
    <w:rsid w:val="00207FCD"/>
    <w:rsid w:val="0021004E"/>
    <w:rsid w:val="00210368"/>
    <w:rsid w:val="0021043C"/>
    <w:rsid w:val="002104D7"/>
    <w:rsid w:val="002105C1"/>
    <w:rsid w:val="002106BF"/>
    <w:rsid w:val="002106DA"/>
    <w:rsid w:val="0021095B"/>
    <w:rsid w:val="00210A4D"/>
    <w:rsid w:val="00210AFC"/>
    <w:rsid w:val="00211034"/>
    <w:rsid w:val="002112F7"/>
    <w:rsid w:val="00211477"/>
    <w:rsid w:val="002116FD"/>
    <w:rsid w:val="00211715"/>
    <w:rsid w:val="00211AD7"/>
    <w:rsid w:val="00211B76"/>
    <w:rsid w:val="00211BBB"/>
    <w:rsid w:val="00211BF9"/>
    <w:rsid w:val="00211C24"/>
    <w:rsid w:val="00211D52"/>
    <w:rsid w:val="00211E9A"/>
    <w:rsid w:val="0021206B"/>
    <w:rsid w:val="00212139"/>
    <w:rsid w:val="002121DB"/>
    <w:rsid w:val="002124E0"/>
    <w:rsid w:val="0021268D"/>
    <w:rsid w:val="002128F8"/>
    <w:rsid w:val="0021299A"/>
    <w:rsid w:val="00212EE9"/>
    <w:rsid w:val="00212F65"/>
    <w:rsid w:val="00213181"/>
    <w:rsid w:val="002131CD"/>
    <w:rsid w:val="002134A9"/>
    <w:rsid w:val="0021379E"/>
    <w:rsid w:val="00213EF5"/>
    <w:rsid w:val="0021425D"/>
    <w:rsid w:val="00214277"/>
    <w:rsid w:val="002142D6"/>
    <w:rsid w:val="002143AE"/>
    <w:rsid w:val="0021463C"/>
    <w:rsid w:val="002147A8"/>
    <w:rsid w:val="00214A85"/>
    <w:rsid w:val="00214CB6"/>
    <w:rsid w:val="00215019"/>
    <w:rsid w:val="0021526F"/>
    <w:rsid w:val="0021528B"/>
    <w:rsid w:val="0021541F"/>
    <w:rsid w:val="0021555E"/>
    <w:rsid w:val="0021593F"/>
    <w:rsid w:val="00215DC2"/>
    <w:rsid w:val="00216043"/>
    <w:rsid w:val="00216727"/>
    <w:rsid w:val="0021675F"/>
    <w:rsid w:val="00216BF5"/>
    <w:rsid w:val="00216CCE"/>
    <w:rsid w:val="00216D02"/>
    <w:rsid w:val="00216F3B"/>
    <w:rsid w:val="0021705D"/>
    <w:rsid w:val="002170D9"/>
    <w:rsid w:val="002171D2"/>
    <w:rsid w:val="00217685"/>
    <w:rsid w:val="00217C09"/>
    <w:rsid w:val="002205A8"/>
    <w:rsid w:val="002207C1"/>
    <w:rsid w:val="002208EA"/>
    <w:rsid w:val="00220F31"/>
    <w:rsid w:val="002212B8"/>
    <w:rsid w:val="00221708"/>
    <w:rsid w:val="00221909"/>
    <w:rsid w:val="002219B2"/>
    <w:rsid w:val="00221AAF"/>
    <w:rsid w:val="00221BB0"/>
    <w:rsid w:val="00221BF1"/>
    <w:rsid w:val="00221D20"/>
    <w:rsid w:val="00221D50"/>
    <w:rsid w:val="00221F44"/>
    <w:rsid w:val="002223D9"/>
    <w:rsid w:val="00222586"/>
    <w:rsid w:val="00223236"/>
    <w:rsid w:val="002232DA"/>
    <w:rsid w:val="00223693"/>
    <w:rsid w:val="00223719"/>
    <w:rsid w:val="002238CD"/>
    <w:rsid w:val="00223B49"/>
    <w:rsid w:val="00223D5A"/>
    <w:rsid w:val="00223F70"/>
    <w:rsid w:val="00224101"/>
    <w:rsid w:val="00224751"/>
    <w:rsid w:val="00224768"/>
    <w:rsid w:val="00224989"/>
    <w:rsid w:val="002249C7"/>
    <w:rsid w:val="00224DD4"/>
    <w:rsid w:val="00224E27"/>
    <w:rsid w:val="00225218"/>
    <w:rsid w:val="00225381"/>
    <w:rsid w:val="00225587"/>
    <w:rsid w:val="002258B1"/>
    <w:rsid w:val="00225DA8"/>
    <w:rsid w:val="00225FA1"/>
    <w:rsid w:val="0022621C"/>
    <w:rsid w:val="00226314"/>
    <w:rsid w:val="00226510"/>
    <w:rsid w:val="0022653C"/>
    <w:rsid w:val="00226B78"/>
    <w:rsid w:val="00226C7D"/>
    <w:rsid w:val="00226C9B"/>
    <w:rsid w:val="00226DC2"/>
    <w:rsid w:val="00226EC7"/>
    <w:rsid w:val="0022748C"/>
    <w:rsid w:val="002275F7"/>
    <w:rsid w:val="00227652"/>
    <w:rsid w:val="002278A0"/>
    <w:rsid w:val="002279C9"/>
    <w:rsid w:val="00230361"/>
    <w:rsid w:val="00230419"/>
    <w:rsid w:val="0023043A"/>
    <w:rsid w:val="00230502"/>
    <w:rsid w:val="002309B5"/>
    <w:rsid w:val="002309CC"/>
    <w:rsid w:val="00230C3E"/>
    <w:rsid w:val="00230DD5"/>
    <w:rsid w:val="00230ECC"/>
    <w:rsid w:val="00231027"/>
    <w:rsid w:val="00231340"/>
    <w:rsid w:val="002314E7"/>
    <w:rsid w:val="00231946"/>
    <w:rsid w:val="00231BA9"/>
    <w:rsid w:val="00231F4D"/>
    <w:rsid w:val="0023209F"/>
    <w:rsid w:val="002322A3"/>
    <w:rsid w:val="0023263D"/>
    <w:rsid w:val="002327C2"/>
    <w:rsid w:val="002329DB"/>
    <w:rsid w:val="00232DFC"/>
    <w:rsid w:val="002330BC"/>
    <w:rsid w:val="00233262"/>
    <w:rsid w:val="0023327D"/>
    <w:rsid w:val="002334A0"/>
    <w:rsid w:val="0023387A"/>
    <w:rsid w:val="00233C01"/>
    <w:rsid w:val="00233C34"/>
    <w:rsid w:val="00233D99"/>
    <w:rsid w:val="00233FCB"/>
    <w:rsid w:val="0023413C"/>
    <w:rsid w:val="002344DE"/>
    <w:rsid w:val="0023465C"/>
    <w:rsid w:val="002346F0"/>
    <w:rsid w:val="002349E0"/>
    <w:rsid w:val="00234AEE"/>
    <w:rsid w:val="00234B0A"/>
    <w:rsid w:val="00234BEF"/>
    <w:rsid w:val="00234C53"/>
    <w:rsid w:val="00234CC2"/>
    <w:rsid w:val="00234D2C"/>
    <w:rsid w:val="00234D92"/>
    <w:rsid w:val="00235019"/>
    <w:rsid w:val="00235A5A"/>
    <w:rsid w:val="0023629D"/>
    <w:rsid w:val="00236747"/>
    <w:rsid w:val="00236B80"/>
    <w:rsid w:val="00237255"/>
    <w:rsid w:val="00237522"/>
    <w:rsid w:val="002376B6"/>
    <w:rsid w:val="0023788C"/>
    <w:rsid w:val="00237A25"/>
    <w:rsid w:val="00237E3E"/>
    <w:rsid w:val="00237E4C"/>
    <w:rsid w:val="0024007D"/>
    <w:rsid w:val="002404FC"/>
    <w:rsid w:val="00240502"/>
    <w:rsid w:val="00240639"/>
    <w:rsid w:val="00240681"/>
    <w:rsid w:val="00240915"/>
    <w:rsid w:val="00240F9A"/>
    <w:rsid w:val="002412B1"/>
    <w:rsid w:val="0024137F"/>
    <w:rsid w:val="0024147E"/>
    <w:rsid w:val="00241566"/>
    <w:rsid w:val="002417A2"/>
    <w:rsid w:val="00241917"/>
    <w:rsid w:val="0024198F"/>
    <w:rsid w:val="00241B6B"/>
    <w:rsid w:val="00241EDF"/>
    <w:rsid w:val="002420E3"/>
    <w:rsid w:val="002424AF"/>
    <w:rsid w:val="0024289F"/>
    <w:rsid w:val="002429C4"/>
    <w:rsid w:val="00242A90"/>
    <w:rsid w:val="00242D66"/>
    <w:rsid w:val="00242F05"/>
    <w:rsid w:val="00243462"/>
    <w:rsid w:val="0024364B"/>
    <w:rsid w:val="00243731"/>
    <w:rsid w:val="00243784"/>
    <w:rsid w:val="002439DC"/>
    <w:rsid w:val="00243A77"/>
    <w:rsid w:val="00243CCF"/>
    <w:rsid w:val="00243D08"/>
    <w:rsid w:val="002441D2"/>
    <w:rsid w:val="002445C1"/>
    <w:rsid w:val="002447D1"/>
    <w:rsid w:val="00244904"/>
    <w:rsid w:val="00244DC8"/>
    <w:rsid w:val="00244FAC"/>
    <w:rsid w:val="002455CF"/>
    <w:rsid w:val="00245615"/>
    <w:rsid w:val="0024564E"/>
    <w:rsid w:val="002456B2"/>
    <w:rsid w:val="002456C5"/>
    <w:rsid w:val="002458BA"/>
    <w:rsid w:val="00245A7B"/>
    <w:rsid w:val="00245BFB"/>
    <w:rsid w:val="00245C31"/>
    <w:rsid w:val="00245CE9"/>
    <w:rsid w:val="00245E3A"/>
    <w:rsid w:val="0024636C"/>
    <w:rsid w:val="00246E39"/>
    <w:rsid w:val="00247013"/>
    <w:rsid w:val="002471FE"/>
    <w:rsid w:val="002473C3"/>
    <w:rsid w:val="002473C6"/>
    <w:rsid w:val="002474A8"/>
    <w:rsid w:val="00247925"/>
    <w:rsid w:val="00247BA7"/>
    <w:rsid w:val="00247BE3"/>
    <w:rsid w:val="00247F62"/>
    <w:rsid w:val="002504B0"/>
    <w:rsid w:val="002504BB"/>
    <w:rsid w:val="0025056B"/>
    <w:rsid w:val="002507FC"/>
    <w:rsid w:val="00250917"/>
    <w:rsid w:val="00250B6C"/>
    <w:rsid w:val="00250B84"/>
    <w:rsid w:val="00250EEE"/>
    <w:rsid w:val="00250F95"/>
    <w:rsid w:val="00251006"/>
    <w:rsid w:val="002512A8"/>
    <w:rsid w:val="002515A4"/>
    <w:rsid w:val="0025165A"/>
    <w:rsid w:val="00251A4F"/>
    <w:rsid w:val="00251AC1"/>
    <w:rsid w:val="00251B8E"/>
    <w:rsid w:val="00251C68"/>
    <w:rsid w:val="00251CB3"/>
    <w:rsid w:val="00251D94"/>
    <w:rsid w:val="00251EF8"/>
    <w:rsid w:val="00251F0E"/>
    <w:rsid w:val="00252064"/>
    <w:rsid w:val="002521B2"/>
    <w:rsid w:val="0025243B"/>
    <w:rsid w:val="002524D5"/>
    <w:rsid w:val="002525AD"/>
    <w:rsid w:val="0025285F"/>
    <w:rsid w:val="00252FDC"/>
    <w:rsid w:val="00253071"/>
    <w:rsid w:val="002530E7"/>
    <w:rsid w:val="0025325F"/>
    <w:rsid w:val="00253276"/>
    <w:rsid w:val="00253376"/>
    <w:rsid w:val="00253834"/>
    <w:rsid w:val="002539EF"/>
    <w:rsid w:val="00253B1D"/>
    <w:rsid w:val="00253F0C"/>
    <w:rsid w:val="00254023"/>
    <w:rsid w:val="0025478A"/>
    <w:rsid w:val="00254CC6"/>
    <w:rsid w:val="00254DCF"/>
    <w:rsid w:val="00254E40"/>
    <w:rsid w:val="00254E43"/>
    <w:rsid w:val="00255079"/>
    <w:rsid w:val="0025519A"/>
    <w:rsid w:val="0025534B"/>
    <w:rsid w:val="002555A5"/>
    <w:rsid w:val="00255611"/>
    <w:rsid w:val="00255BB7"/>
    <w:rsid w:val="00255D5A"/>
    <w:rsid w:val="0025609E"/>
    <w:rsid w:val="00256941"/>
    <w:rsid w:val="0025699B"/>
    <w:rsid w:val="0025700E"/>
    <w:rsid w:val="002571A0"/>
    <w:rsid w:val="00257381"/>
    <w:rsid w:val="00257541"/>
    <w:rsid w:val="002576C1"/>
    <w:rsid w:val="00257821"/>
    <w:rsid w:val="00257A39"/>
    <w:rsid w:val="00257AC4"/>
    <w:rsid w:val="00257BBE"/>
    <w:rsid w:val="00257C2C"/>
    <w:rsid w:val="0026017B"/>
    <w:rsid w:val="0026059F"/>
    <w:rsid w:val="00260D7E"/>
    <w:rsid w:val="00260D84"/>
    <w:rsid w:val="00260FF5"/>
    <w:rsid w:val="002611EC"/>
    <w:rsid w:val="002612E3"/>
    <w:rsid w:val="00261716"/>
    <w:rsid w:val="00261EEF"/>
    <w:rsid w:val="002620CC"/>
    <w:rsid w:val="00262355"/>
    <w:rsid w:val="002625E9"/>
    <w:rsid w:val="002627F3"/>
    <w:rsid w:val="002627F4"/>
    <w:rsid w:val="00262853"/>
    <w:rsid w:val="0026290A"/>
    <w:rsid w:val="00262A1A"/>
    <w:rsid w:val="00262A87"/>
    <w:rsid w:val="00262D09"/>
    <w:rsid w:val="00262E62"/>
    <w:rsid w:val="00262E79"/>
    <w:rsid w:val="00263420"/>
    <w:rsid w:val="0026357B"/>
    <w:rsid w:val="0026365A"/>
    <w:rsid w:val="00263D81"/>
    <w:rsid w:val="00263EE9"/>
    <w:rsid w:val="00264057"/>
    <w:rsid w:val="00264076"/>
    <w:rsid w:val="0026409A"/>
    <w:rsid w:val="002645A0"/>
    <w:rsid w:val="00264BD5"/>
    <w:rsid w:val="00264D26"/>
    <w:rsid w:val="00264FBF"/>
    <w:rsid w:val="00265350"/>
    <w:rsid w:val="00265505"/>
    <w:rsid w:val="002659F4"/>
    <w:rsid w:val="00265CA3"/>
    <w:rsid w:val="00265DA4"/>
    <w:rsid w:val="00266155"/>
    <w:rsid w:val="002661ED"/>
    <w:rsid w:val="00266490"/>
    <w:rsid w:val="002665C8"/>
    <w:rsid w:val="00266B6E"/>
    <w:rsid w:val="00266B76"/>
    <w:rsid w:val="00266F24"/>
    <w:rsid w:val="00267096"/>
    <w:rsid w:val="002673A4"/>
    <w:rsid w:val="0026748B"/>
    <w:rsid w:val="00267642"/>
    <w:rsid w:val="0026768D"/>
    <w:rsid w:val="0026770E"/>
    <w:rsid w:val="00267944"/>
    <w:rsid w:val="00267A05"/>
    <w:rsid w:val="00267AEA"/>
    <w:rsid w:val="00267F25"/>
    <w:rsid w:val="002700E6"/>
    <w:rsid w:val="0027039F"/>
    <w:rsid w:val="00270544"/>
    <w:rsid w:val="0027060E"/>
    <w:rsid w:val="00270888"/>
    <w:rsid w:val="00270E8B"/>
    <w:rsid w:val="00270EE7"/>
    <w:rsid w:val="0027110F"/>
    <w:rsid w:val="002717AC"/>
    <w:rsid w:val="00271B34"/>
    <w:rsid w:val="00271C16"/>
    <w:rsid w:val="00271CBF"/>
    <w:rsid w:val="0027224E"/>
    <w:rsid w:val="002725A0"/>
    <w:rsid w:val="002725CD"/>
    <w:rsid w:val="002725EB"/>
    <w:rsid w:val="00272830"/>
    <w:rsid w:val="0027294B"/>
    <w:rsid w:val="00272CBB"/>
    <w:rsid w:val="00272EE9"/>
    <w:rsid w:val="00272FEF"/>
    <w:rsid w:val="0027337D"/>
    <w:rsid w:val="0027341B"/>
    <w:rsid w:val="00273597"/>
    <w:rsid w:val="00273720"/>
    <w:rsid w:val="0027380D"/>
    <w:rsid w:val="00273EB4"/>
    <w:rsid w:val="00273EDE"/>
    <w:rsid w:val="002743E6"/>
    <w:rsid w:val="00274682"/>
    <w:rsid w:val="00274C0C"/>
    <w:rsid w:val="00274C2A"/>
    <w:rsid w:val="00274CA7"/>
    <w:rsid w:val="00274EBE"/>
    <w:rsid w:val="00275060"/>
    <w:rsid w:val="00275158"/>
    <w:rsid w:val="00275695"/>
    <w:rsid w:val="00275C5A"/>
    <w:rsid w:val="00276004"/>
    <w:rsid w:val="00276261"/>
    <w:rsid w:val="00276405"/>
    <w:rsid w:val="0027672D"/>
    <w:rsid w:val="002767D7"/>
    <w:rsid w:val="00276D24"/>
    <w:rsid w:val="00276F28"/>
    <w:rsid w:val="00277065"/>
    <w:rsid w:val="00277142"/>
    <w:rsid w:val="00277A49"/>
    <w:rsid w:val="00277C71"/>
    <w:rsid w:val="002801CE"/>
    <w:rsid w:val="0028035C"/>
    <w:rsid w:val="0028037B"/>
    <w:rsid w:val="00280383"/>
    <w:rsid w:val="0028079A"/>
    <w:rsid w:val="002809CE"/>
    <w:rsid w:val="00281014"/>
    <w:rsid w:val="0028108E"/>
    <w:rsid w:val="002814FB"/>
    <w:rsid w:val="002815F1"/>
    <w:rsid w:val="00281801"/>
    <w:rsid w:val="002818C0"/>
    <w:rsid w:val="00282297"/>
    <w:rsid w:val="00282A43"/>
    <w:rsid w:val="00282CD6"/>
    <w:rsid w:val="00282F6E"/>
    <w:rsid w:val="0028331E"/>
    <w:rsid w:val="002833DE"/>
    <w:rsid w:val="00283403"/>
    <w:rsid w:val="00283499"/>
    <w:rsid w:val="00283634"/>
    <w:rsid w:val="0028375B"/>
    <w:rsid w:val="00283D64"/>
    <w:rsid w:val="00283E05"/>
    <w:rsid w:val="00283F5C"/>
    <w:rsid w:val="002840A6"/>
    <w:rsid w:val="002842B9"/>
    <w:rsid w:val="00284636"/>
    <w:rsid w:val="00284B0A"/>
    <w:rsid w:val="00284B27"/>
    <w:rsid w:val="00284C21"/>
    <w:rsid w:val="00284CEC"/>
    <w:rsid w:val="00284EA3"/>
    <w:rsid w:val="0028518B"/>
    <w:rsid w:val="002851F4"/>
    <w:rsid w:val="00285297"/>
    <w:rsid w:val="00285399"/>
    <w:rsid w:val="0028561F"/>
    <w:rsid w:val="002859FB"/>
    <w:rsid w:val="00285B33"/>
    <w:rsid w:val="00285BCE"/>
    <w:rsid w:val="00285E74"/>
    <w:rsid w:val="00286189"/>
    <w:rsid w:val="002862BC"/>
    <w:rsid w:val="0028637F"/>
    <w:rsid w:val="0028665D"/>
    <w:rsid w:val="00286F0C"/>
    <w:rsid w:val="00287227"/>
    <w:rsid w:val="00287758"/>
    <w:rsid w:val="002877A5"/>
    <w:rsid w:val="00287F1B"/>
    <w:rsid w:val="002900C6"/>
    <w:rsid w:val="002901AE"/>
    <w:rsid w:val="002901B4"/>
    <w:rsid w:val="002906B1"/>
    <w:rsid w:val="002906E2"/>
    <w:rsid w:val="00290AF6"/>
    <w:rsid w:val="00290E5D"/>
    <w:rsid w:val="00290EC9"/>
    <w:rsid w:val="00290FF4"/>
    <w:rsid w:val="00291035"/>
    <w:rsid w:val="00291244"/>
    <w:rsid w:val="00291429"/>
    <w:rsid w:val="00291B9E"/>
    <w:rsid w:val="00291E3F"/>
    <w:rsid w:val="002923F9"/>
    <w:rsid w:val="00292476"/>
    <w:rsid w:val="00292958"/>
    <w:rsid w:val="00292B8C"/>
    <w:rsid w:val="00292E27"/>
    <w:rsid w:val="00292F15"/>
    <w:rsid w:val="00292F78"/>
    <w:rsid w:val="002930A6"/>
    <w:rsid w:val="00293251"/>
    <w:rsid w:val="00293447"/>
    <w:rsid w:val="002938DF"/>
    <w:rsid w:val="00293C05"/>
    <w:rsid w:val="00293CB3"/>
    <w:rsid w:val="002942FC"/>
    <w:rsid w:val="002944D9"/>
    <w:rsid w:val="002945B5"/>
    <w:rsid w:val="00294784"/>
    <w:rsid w:val="0029481A"/>
    <w:rsid w:val="00294AEF"/>
    <w:rsid w:val="00294E2F"/>
    <w:rsid w:val="0029521E"/>
    <w:rsid w:val="00295255"/>
    <w:rsid w:val="00295642"/>
    <w:rsid w:val="002958C2"/>
    <w:rsid w:val="00295AC9"/>
    <w:rsid w:val="00295B66"/>
    <w:rsid w:val="00295C9A"/>
    <w:rsid w:val="00295F1B"/>
    <w:rsid w:val="002961BB"/>
    <w:rsid w:val="00296444"/>
    <w:rsid w:val="0029665B"/>
    <w:rsid w:val="00296A6E"/>
    <w:rsid w:val="00296F8D"/>
    <w:rsid w:val="002970A6"/>
    <w:rsid w:val="00297207"/>
    <w:rsid w:val="00297398"/>
    <w:rsid w:val="00297423"/>
    <w:rsid w:val="0029785E"/>
    <w:rsid w:val="00297A9B"/>
    <w:rsid w:val="00297B41"/>
    <w:rsid w:val="00297BBE"/>
    <w:rsid w:val="00297D9E"/>
    <w:rsid w:val="002A00E8"/>
    <w:rsid w:val="002A06CA"/>
    <w:rsid w:val="002A0A4B"/>
    <w:rsid w:val="002A0B7F"/>
    <w:rsid w:val="002A0BEA"/>
    <w:rsid w:val="002A12F9"/>
    <w:rsid w:val="002A14AB"/>
    <w:rsid w:val="002A14C4"/>
    <w:rsid w:val="002A160D"/>
    <w:rsid w:val="002A16B7"/>
    <w:rsid w:val="002A1748"/>
    <w:rsid w:val="002A192A"/>
    <w:rsid w:val="002A1BFC"/>
    <w:rsid w:val="002A2151"/>
    <w:rsid w:val="002A2310"/>
    <w:rsid w:val="002A264B"/>
    <w:rsid w:val="002A28E8"/>
    <w:rsid w:val="002A2ADE"/>
    <w:rsid w:val="002A2F50"/>
    <w:rsid w:val="002A3041"/>
    <w:rsid w:val="002A3305"/>
    <w:rsid w:val="002A34FE"/>
    <w:rsid w:val="002A3C6E"/>
    <w:rsid w:val="002A43E0"/>
    <w:rsid w:val="002A4B8C"/>
    <w:rsid w:val="002A5163"/>
    <w:rsid w:val="002A51F9"/>
    <w:rsid w:val="002A5208"/>
    <w:rsid w:val="002A5384"/>
    <w:rsid w:val="002A554C"/>
    <w:rsid w:val="002A5666"/>
    <w:rsid w:val="002A5895"/>
    <w:rsid w:val="002A58F9"/>
    <w:rsid w:val="002A591F"/>
    <w:rsid w:val="002A5B52"/>
    <w:rsid w:val="002A5DB0"/>
    <w:rsid w:val="002A6631"/>
    <w:rsid w:val="002A667A"/>
    <w:rsid w:val="002A66FC"/>
    <w:rsid w:val="002A6DA7"/>
    <w:rsid w:val="002A6EE3"/>
    <w:rsid w:val="002A75FB"/>
    <w:rsid w:val="002A77A6"/>
    <w:rsid w:val="002A7943"/>
    <w:rsid w:val="002A7D21"/>
    <w:rsid w:val="002A7E8C"/>
    <w:rsid w:val="002B02A4"/>
    <w:rsid w:val="002B035A"/>
    <w:rsid w:val="002B049C"/>
    <w:rsid w:val="002B04F5"/>
    <w:rsid w:val="002B05A1"/>
    <w:rsid w:val="002B07BE"/>
    <w:rsid w:val="002B0808"/>
    <w:rsid w:val="002B08B6"/>
    <w:rsid w:val="002B08C5"/>
    <w:rsid w:val="002B097A"/>
    <w:rsid w:val="002B09A4"/>
    <w:rsid w:val="002B148F"/>
    <w:rsid w:val="002B14AA"/>
    <w:rsid w:val="002B14EC"/>
    <w:rsid w:val="002B1C1F"/>
    <w:rsid w:val="002B1E94"/>
    <w:rsid w:val="002B1FD1"/>
    <w:rsid w:val="002B2419"/>
    <w:rsid w:val="002B289A"/>
    <w:rsid w:val="002B2AE9"/>
    <w:rsid w:val="002B2D1A"/>
    <w:rsid w:val="002B3157"/>
    <w:rsid w:val="002B364E"/>
    <w:rsid w:val="002B39E4"/>
    <w:rsid w:val="002B4078"/>
    <w:rsid w:val="002B42A3"/>
    <w:rsid w:val="002B432F"/>
    <w:rsid w:val="002B44E0"/>
    <w:rsid w:val="002B49ED"/>
    <w:rsid w:val="002B4E1C"/>
    <w:rsid w:val="002B5110"/>
    <w:rsid w:val="002B51D2"/>
    <w:rsid w:val="002B5340"/>
    <w:rsid w:val="002B5433"/>
    <w:rsid w:val="002B54A6"/>
    <w:rsid w:val="002B5EFF"/>
    <w:rsid w:val="002B6260"/>
    <w:rsid w:val="002B62B3"/>
    <w:rsid w:val="002B62FB"/>
    <w:rsid w:val="002B6754"/>
    <w:rsid w:val="002B6A7E"/>
    <w:rsid w:val="002B6BEA"/>
    <w:rsid w:val="002B6C0A"/>
    <w:rsid w:val="002B6C54"/>
    <w:rsid w:val="002B6CCE"/>
    <w:rsid w:val="002B6F19"/>
    <w:rsid w:val="002B75B2"/>
    <w:rsid w:val="002B7612"/>
    <w:rsid w:val="002B7B77"/>
    <w:rsid w:val="002B7D14"/>
    <w:rsid w:val="002C037B"/>
    <w:rsid w:val="002C078D"/>
    <w:rsid w:val="002C08CC"/>
    <w:rsid w:val="002C0B9E"/>
    <w:rsid w:val="002C0BAD"/>
    <w:rsid w:val="002C0C1F"/>
    <w:rsid w:val="002C0D52"/>
    <w:rsid w:val="002C135A"/>
    <w:rsid w:val="002C15B1"/>
    <w:rsid w:val="002C16F0"/>
    <w:rsid w:val="002C1767"/>
    <w:rsid w:val="002C1B07"/>
    <w:rsid w:val="002C1CAD"/>
    <w:rsid w:val="002C1D64"/>
    <w:rsid w:val="002C1F3D"/>
    <w:rsid w:val="002C1F97"/>
    <w:rsid w:val="002C2236"/>
    <w:rsid w:val="002C2252"/>
    <w:rsid w:val="002C24D8"/>
    <w:rsid w:val="002C2510"/>
    <w:rsid w:val="002C26A8"/>
    <w:rsid w:val="002C2775"/>
    <w:rsid w:val="002C27C1"/>
    <w:rsid w:val="002C2868"/>
    <w:rsid w:val="002C29C8"/>
    <w:rsid w:val="002C2E4D"/>
    <w:rsid w:val="002C2F3F"/>
    <w:rsid w:val="002C2FC3"/>
    <w:rsid w:val="002C32D5"/>
    <w:rsid w:val="002C333B"/>
    <w:rsid w:val="002C3454"/>
    <w:rsid w:val="002C3567"/>
    <w:rsid w:val="002C3666"/>
    <w:rsid w:val="002C36E3"/>
    <w:rsid w:val="002C37F6"/>
    <w:rsid w:val="002C3994"/>
    <w:rsid w:val="002C3B63"/>
    <w:rsid w:val="002C3EB3"/>
    <w:rsid w:val="002C40BE"/>
    <w:rsid w:val="002C4299"/>
    <w:rsid w:val="002C437B"/>
    <w:rsid w:val="002C46B7"/>
    <w:rsid w:val="002C4DB5"/>
    <w:rsid w:val="002C5059"/>
    <w:rsid w:val="002C506E"/>
    <w:rsid w:val="002C508B"/>
    <w:rsid w:val="002C5099"/>
    <w:rsid w:val="002C50A0"/>
    <w:rsid w:val="002C51C2"/>
    <w:rsid w:val="002C54D0"/>
    <w:rsid w:val="002C5650"/>
    <w:rsid w:val="002C5694"/>
    <w:rsid w:val="002C5889"/>
    <w:rsid w:val="002C58F0"/>
    <w:rsid w:val="002C5CC4"/>
    <w:rsid w:val="002C5E17"/>
    <w:rsid w:val="002C5EA5"/>
    <w:rsid w:val="002C61E2"/>
    <w:rsid w:val="002C665C"/>
    <w:rsid w:val="002C6851"/>
    <w:rsid w:val="002C6871"/>
    <w:rsid w:val="002C6EC7"/>
    <w:rsid w:val="002C7192"/>
    <w:rsid w:val="002C71CE"/>
    <w:rsid w:val="002C724E"/>
    <w:rsid w:val="002C75A0"/>
    <w:rsid w:val="002C7730"/>
    <w:rsid w:val="002C7D0C"/>
    <w:rsid w:val="002C7E92"/>
    <w:rsid w:val="002D01C2"/>
    <w:rsid w:val="002D028D"/>
    <w:rsid w:val="002D0595"/>
    <w:rsid w:val="002D059F"/>
    <w:rsid w:val="002D08F8"/>
    <w:rsid w:val="002D0E39"/>
    <w:rsid w:val="002D0FB5"/>
    <w:rsid w:val="002D1099"/>
    <w:rsid w:val="002D11F2"/>
    <w:rsid w:val="002D133B"/>
    <w:rsid w:val="002D14A8"/>
    <w:rsid w:val="002D14DE"/>
    <w:rsid w:val="002D1619"/>
    <w:rsid w:val="002D1815"/>
    <w:rsid w:val="002D19CB"/>
    <w:rsid w:val="002D19F2"/>
    <w:rsid w:val="002D1F34"/>
    <w:rsid w:val="002D2CDD"/>
    <w:rsid w:val="002D2E4B"/>
    <w:rsid w:val="002D320E"/>
    <w:rsid w:val="002D344E"/>
    <w:rsid w:val="002D3600"/>
    <w:rsid w:val="002D44A7"/>
    <w:rsid w:val="002D456F"/>
    <w:rsid w:val="002D4578"/>
    <w:rsid w:val="002D4A12"/>
    <w:rsid w:val="002D4AF7"/>
    <w:rsid w:val="002D4C59"/>
    <w:rsid w:val="002D4DDB"/>
    <w:rsid w:val="002D51D3"/>
    <w:rsid w:val="002D541D"/>
    <w:rsid w:val="002D577C"/>
    <w:rsid w:val="002D64C9"/>
    <w:rsid w:val="002D64D4"/>
    <w:rsid w:val="002D64F3"/>
    <w:rsid w:val="002D6857"/>
    <w:rsid w:val="002D69D6"/>
    <w:rsid w:val="002D6E0F"/>
    <w:rsid w:val="002D70A5"/>
    <w:rsid w:val="002D71F3"/>
    <w:rsid w:val="002D7328"/>
    <w:rsid w:val="002D7365"/>
    <w:rsid w:val="002D73BF"/>
    <w:rsid w:val="002D7650"/>
    <w:rsid w:val="002D76AB"/>
    <w:rsid w:val="002D7832"/>
    <w:rsid w:val="002E025E"/>
    <w:rsid w:val="002E03FC"/>
    <w:rsid w:val="002E05E5"/>
    <w:rsid w:val="002E0645"/>
    <w:rsid w:val="002E0CC4"/>
    <w:rsid w:val="002E0E6B"/>
    <w:rsid w:val="002E1071"/>
    <w:rsid w:val="002E13D0"/>
    <w:rsid w:val="002E1548"/>
    <w:rsid w:val="002E15B9"/>
    <w:rsid w:val="002E1686"/>
    <w:rsid w:val="002E1877"/>
    <w:rsid w:val="002E188D"/>
    <w:rsid w:val="002E1CE6"/>
    <w:rsid w:val="002E1D42"/>
    <w:rsid w:val="002E1E88"/>
    <w:rsid w:val="002E1ED1"/>
    <w:rsid w:val="002E1F0F"/>
    <w:rsid w:val="002E206A"/>
    <w:rsid w:val="002E2158"/>
    <w:rsid w:val="002E22EF"/>
    <w:rsid w:val="002E23B2"/>
    <w:rsid w:val="002E2A29"/>
    <w:rsid w:val="002E2C49"/>
    <w:rsid w:val="002E2CEE"/>
    <w:rsid w:val="002E2D85"/>
    <w:rsid w:val="002E39C4"/>
    <w:rsid w:val="002E3BDC"/>
    <w:rsid w:val="002E3FB9"/>
    <w:rsid w:val="002E44F3"/>
    <w:rsid w:val="002E45BB"/>
    <w:rsid w:val="002E4652"/>
    <w:rsid w:val="002E495C"/>
    <w:rsid w:val="002E4993"/>
    <w:rsid w:val="002E4EC4"/>
    <w:rsid w:val="002E4F02"/>
    <w:rsid w:val="002E5049"/>
    <w:rsid w:val="002E57C4"/>
    <w:rsid w:val="002E5B3A"/>
    <w:rsid w:val="002E60E4"/>
    <w:rsid w:val="002E631F"/>
    <w:rsid w:val="002E63A1"/>
    <w:rsid w:val="002E65B2"/>
    <w:rsid w:val="002E6643"/>
    <w:rsid w:val="002E6741"/>
    <w:rsid w:val="002E6A10"/>
    <w:rsid w:val="002E6C46"/>
    <w:rsid w:val="002E6DA5"/>
    <w:rsid w:val="002E6F24"/>
    <w:rsid w:val="002E7722"/>
    <w:rsid w:val="002E7807"/>
    <w:rsid w:val="002E7922"/>
    <w:rsid w:val="002E796D"/>
    <w:rsid w:val="002E7BA8"/>
    <w:rsid w:val="002E7DC5"/>
    <w:rsid w:val="002E7FEA"/>
    <w:rsid w:val="002F0550"/>
    <w:rsid w:val="002F07BA"/>
    <w:rsid w:val="002F0AD5"/>
    <w:rsid w:val="002F0DA9"/>
    <w:rsid w:val="002F0F2F"/>
    <w:rsid w:val="002F1014"/>
    <w:rsid w:val="002F128C"/>
    <w:rsid w:val="002F138D"/>
    <w:rsid w:val="002F1559"/>
    <w:rsid w:val="002F15EB"/>
    <w:rsid w:val="002F1729"/>
    <w:rsid w:val="002F1E3B"/>
    <w:rsid w:val="002F2133"/>
    <w:rsid w:val="002F2139"/>
    <w:rsid w:val="002F22D5"/>
    <w:rsid w:val="002F23A9"/>
    <w:rsid w:val="002F2A78"/>
    <w:rsid w:val="002F2CF8"/>
    <w:rsid w:val="002F2F20"/>
    <w:rsid w:val="002F3719"/>
    <w:rsid w:val="002F3D3F"/>
    <w:rsid w:val="002F3F27"/>
    <w:rsid w:val="002F4339"/>
    <w:rsid w:val="002F450E"/>
    <w:rsid w:val="002F4662"/>
    <w:rsid w:val="002F49B1"/>
    <w:rsid w:val="002F4E87"/>
    <w:rsid w:val="002F4ED8"/>
    <w:rsid w:val="002F543B"/>
    <w:rsid w:val="002F5464"/>
    <w:rsid w:val="002F5BB9"/>
    <w:rsid w:val="002F5C33"/>
    <w:rsid w:val="002F6274"/>
    <w:rsid w:val="002F643C"/>
    <w:rsid w:val="002F65D1"/>
    <w:rsid w:val="002F673D"/>
    <w:rsid w:val="002F6EE9"/>
    <w:rsid w:val="002F71C0"/>
    <w:rsid w:val="002F74F1"/>
    <w:rsid w:val="002F7606"/>
    <w:rsid w:val="002F78AD"/>
    <w:rsid w:val="002F79B8"/>
    <w:rsid w:val="002F7BC0"/>
    <w:rsid w:val="002F7EF7"/>
    <w:rsid w:val="0030046C"/>
    <w:rsid w:val="003004ED"/>
    <w:rsid w:val="0030050E"/>
    <w:rsid w:val="00300874"/>
    <w:rsid w:val="0030087F"/>
    <w:rsid w:val="003008D4"/>
    <w:rsid w:val="0030090A"/>
    <w:rsid w:val="00300A61"/>
    <w:rsid w:val="00300DEF"/>
    <w:rsid w:val="00300E69"/>
    <w:rsid w:val="00301017"/>
    <w:rsid w:val="0030155F"/>
    <w:rsid w:val="00301622"/>
    <w:rsid w:val="00301744"/>
    <w:rsid w:val="00301F72"/>
    <w:rsid w:val="00301FD8"/>
    <w:rsid w:val="00302033"/>
    <w:rsid w:val="003024A6"/>
    <w:rsid w:val="003027DE"/>
    <w:rsid w:val="00302E5B"/>
    <w:rsid w:val="00302E76"/>
    <w:rsid w:val="00302F95"/>
    <w:rsid w:val="00302FEE"/>
    <w:rsid w:val="003033D5"/>
    <w:rsid w:val="003034BE"/>
    <w:rsid w:val="00303974"/>
    <w:rsid w:val="00303D27"/>
    <w:rsid w:val="00303E97"/>
    <w:rsid w:val="00304032"/>
    <w:rsid w:val="0030403F"/>
    <w:rsid w:val="00304124"/>
    <w:rsid w:val="003043FB"/>
    <w:rsid w:val="00304CED"/>
    <w:rsid w:val="00304DEF"/>
    <w:rsid w:val="00304FB9"/>
    <w:rsid w:val="0030512B"/>
    <w:rsid w:val="003051F4"/>
    <w:rsid w:val="00305780"/>
    <w:rsid w:val="0030587B"/>
    <w:rsid w:val="00305E7F"/>
    <w:rsid w:val="0030650C"/>
    <w:rsid w:val="00306523"/>
    <w:rsid w:val="00306653"/>
    <w:rsid w:val="0030698A"/>
    <w:rsid w:val="00306A87"/>
    <w:rsid w:val="00306D01"/>
    <w:rsid w:val="00306D98"/>
    <w:rsid w:val="00306EEE"/>
    <w:rsid w:val="00307002"/>
    <w:rsid w:val="00307369"/>
    <w:rsid w:val="003073C0"/>
    <w:rsid w:val="0030786C"/>
    <w:rsid w:val="00307991"/>
    <w:rsid w:val="00307A80"/>
    <w:rsid w:val="00307C35"/>
    <w:rsid w:val="00310139"/>
    <w:rsid w:val="003102D9"/>
    <w:rsid w:val="0031031A"/>
    <w:rsid w:val="00310458"/>
    <w:rsid w:val="00310515"/>
    <w:rsid w:val="00310671"/>
    <w:rsid w:val="003106FB"/>
    <w:rsid w:val="00310981"/>
    <w:rsid w:val="00310B7B"/>
    <w:rsid w:val="00311502"/>
    <w:rsid w:val="003116E0"/>
    <w:rsid w:val="00311734"/>
    <w:rsid w:val="00311784"/>
    <w:rsid w:val="00311CEF"/>
    <w:rsid w:val="00311D9B"/>
    <w:rsid w:val="00312065"/>
    <w:rsid w:val="00312484"/>
    <w:rsid w:val="003124D9"/>
    <w:rsid w:val="00312594"/>
    <w:rsid w:val="003125AB"/>
    <w:rsid w:val="0031287E"/>
    <w:rsid w:val="00312CA9"/>
    <w:rsid w:val="00313139"/>
    <w:rsid w:val="003131DD"/>
    <w:rsid w:val="00313272"/>
    <w:rsid w:val="003134DE"/>
    <w:rsid w:val="00313953"/>
    <w:rsid w:val="00313C15"/>
    <w:rsid w:val="00313D30"/>
    <w:rsid w:val="00313D93"/>
    <w:rsid w:val="00314018"/>
    <w:rsid w:val="00314268"/>
    <w:rsid w:val="003142EA"/>
    <w:rsid w:val="00314595"/>
    <w:rsid w:val="003145FF"/>
    <w:rsid w:val="00314927"/>
    <w:rsid w:val="00314988"/>
    <w:rsid w:val="00314C69"/>
    <w:rsid w:val="00314E79"/>
    <w:rsid w:val="00315498"/>
    <w:rsid w:val="003154B9"/>
    <w:rsid w:val="00315AE5"/>
    <w:rsid w:val="00315C45"/>
    <w:rsid w:val="00315E14"/>
    <w:rsid w:val="00315FD8"/>
    <w:rsid w:val="0031625D"/>
    <w:rsid w:val="0031632F"/>
    <w:rsid w:val="00316474"/>
    <w:rsid w:val="00316642"/>
    <w:rsid w:val="0031690C"/>
    <w:rsid w:val="00316ABA"/>
    <w:rsid w:val="00316C2D"/>
    <w:rsid w:val="00317001"/>
    <w:rsid w:val="003171C7"/>
    <w:rsid w:val="0031770D"/>
    <w:rsid w:val="00317843"/>
    <w:rsid w:val="0031788C"/>
    <w:rsid w:val="00317912"/>
    <w:rsid w:val="00317AC9"/>
    <w:rsid w:val="00317BBF"/>
    <w:rsid w:val="00317C0F"/>
    <w:rsid w:val="003200BD"/>
    <w:rsid w:val="003201D7"/>
    <w:rsid w:val="00320499"/>
    <w:rsid w:val="003204EF"/>
    <w:rsid w:val="003205EF"/>
    <w:rsid w:val="00320689"/>
    <w:rsid w:val="00320E2B"/>
    <w:rsid w:val="00320E37"/>
    <w:rsid w:val="00321017"/>
    <w:rsid w:val="0032123F"/>
    <w:rsid w:val="0032179F"/>
    <w:rsid w:val="00321901"/>
    <w:rsid w:val="00321A7F"/>
    <w:rsid w:val="00321A80"/>
    <w:rsid w:val="00321C56"/>
    <w:rsid w:val="00321CCF"/>
    <w:rsid w:val="00321F89"/>
    <w:rsid w:val="00322107"/>
    <w:rsid w:val="003221E3"/>
    <w:rsid w:val="00322259"/>
    <w:rsid w:val="00322355"/>
    <w:rsid w:val="00322846"/>
    <w:rsid w:val="00322868"/>
    <w:rsid w:val="003228CA"/>
    <w:rsid w:val="00322CEB"/>
    <w:rsid w:val="00322CEE"/>
    <w:rsid w:val="00322FD6"/>
    <w:rsid w:val="0032301F"/>
    <w:rsid w:val="0032304A"/>
    <w:rsid w:val="003232F4"/>
    <w:rsid w:val="0032367E"/>
    <w:rsid w:val="00323718"/>
    <w:rsid w:val="00323922"/>
    <w:rsid w:val="00323C77"/>
    <w:rsid w:val="0032405F"/>
    <w:rsid w:val="0032412B"/>
    <w:rsid w:val="00324343"/>
    <w:rsid w:val="00324471"/>
    <w:rsid w:val="00324490"/>
    <w:rsid w:val="00324856"/>
    <w:rsid w:val="003249A7"/>
    <w:rsid w:val="00324A5B"/>
    <w:rsid w:val="00324AEF"/>
    <w:rsid w:val="00324B5B"/>
    <w:rsid w:val="00324C3A"/>
    <w:rsid w:val="00324D4D"/>
    <w:rsid w:val="00324D5B"/>
    <w:rsid w:val="003251DA"/>
    <w:rsid w:val="003251F2"/>
    <w:rsid w:val="003254F1"/>
    <w:rsid w:val="00325700"/>
    <w:rsid w:val="003257D8"/>
    <w:rsid w:val="003259A9"/>
    <w:rsid w:val="003259AD"/>
    <w:rsid w:val="00325B2F"/>
    <w:rsid w:val="00325D05"/>
    <w:rsid w:val="00325D90"/>
    <w:rsid w:val="0032694B"/>
    <w:rsid w:val="00326B2A"/>
    <w:rsid w:val="00326DA7"/>
    <w:rsid w:val="00326EDF"/>
    <w:rsid w:val="003270E4"/>
    <w:rsid w:val="003270E9"/>
    <w:rsid w:val="0032711D"/>
    <w:rsid w:val="003272BB"/>
    <w:rsid w:val="00327762"/>
    <w:rsid w:val="0032791B"/>
    <w:rsid w:val="00327B21"/>
    <w:rsid w:val="00327BCC"/>
    <w:rsid w:val="003302E6"/>
    <w:rsid w:val="00330931"/>
    <w:rsid w:val="003309B6"/>
    <w:rsid w:val="00330A8A"/>
    <w:rsid w:val="00330B6D"/>
    <w:rsid w:val="00330CD7"/>
    <w:rsid w:val="00330DAA"/>
    <w:rsid w:val="00330F5C"/>
    <w:rsid w:val="0033113E"/>
    <w:rsid w:val="00331715"/>
    <w:rsid w:val="00331872"/>
    <w:rsid w:val="003318F5"/>
    <w:rsid w:val="00331EB6"/>
    <w:rsid w:val="0033234A"/>
    <w:rsid w:val="003323D0"/>
    <w:rsid w:val="00332402"/>
    <w:rsid w:val="00332577"/>
    <w:rsid w:val="00332787"/>
    <w:rsid w:val="00332798"/>
    <w:rsid w:val="00332A9C"/>
    <w:rsid w:val="00332AAB"/>
    <w:rsid w:val="00332ABD"/>
    <w:rsid w:val="00332D72"/>
    <w:rsid w:val="00332E2F"/>
    <w:rsid w:val="00332EDC"/>
    <w:rsid w:val="00332FD9"/>
    <w:rsid w:val="0033314F"/>
    <w:rsid w:val="0033349A"/>
    <w:rsid w:val="00333500"/>
    <w:rsid w:val="003336E3"/>
    <w:rsid w:val="003337C9"/>
    <w:rsid w:val="00333E73"/>
    <w:rsid w:val="00333F90"/>
    <w:rsid w:val="00333F94"/>
    <w:rsid w:val="00333FAF"/>
    <w:rsid w:val="0033411A"/>
    <w:rsid w:val="003344F8"/>
    <w:rsid w:val="00334721"/>
    <w:rsid w:val="00334BEB"/>
    <w:rsid w:val="00334E66"/>
    <w:rsid w:val="00334E99"/>
    <w:rsid w:val="00334EA0"/>
    <w:rsid w:val="00334ED9"/>
    <w:rsid w:val="0033505B"/>
    <w:rsid w:val="00335327"/>
    <w:rsid w:val="0033555C"/>
    <w:rsid w:val="0033562E"/>
    <w:rsid w:val="003357A8"/>
    <w:rsid w:val="00335ECF"/>
    <w:rsid w:val="00335FB9"/>
    <w:rsid w:val="00336336"/>
    <w:rsid w:val="003365B8"/>
    <w:rsid w:val="003366B7"/>
    <w:rsid w:val="003366C9"/>
    <w:rsid w:val="00336D8A"/>
    <w:rsid w:val="00336E90"/>
    <w:rsid w:val="003371B0"/>
    <w:rsid w:val="003374BB"/>
    <w:rsid w:val="003377FE"/>
    <w:rsid w:val="00337EC1"/>
    <w:rsid w:val="00340155"/>
    <w:rsid w:val="00340231"/>
    <w:rsid w:val="0034051B"/>
    <w:rsid w:val="0034061B"/>
    <w:rsid w:val="003406E2"/>
    <w:rsid w:val="00340704"/>
    <w:rsid w:val="0034095B"/>
    <w:rsid w:val="00340AC7"/>
    <w:rsid w:val="00340DF1"/>
    <w:rsid w:val="00340E5C"/>
    <w:rsid w:val="003410D1"/>
    <w:rsid w:val="0034149D"/>
    <w:rsid w:val="00341596"/>
    <w:rsid w:val="00341696"/>
    <w:rsid w:val="00341878"/>
    <w:rsid w:val="00341E13"/>
    <w:rsid w:val="00341E24"/>
    <w:rsid w:val="00341E96"/>
    <w:rsid w:val="00342040"/>
    <w:rsid w:val="0034240C"/>
    <w:rsid w:val="00342606"/>
    <w:rsid w:val="0034260A"/>
    <w:rsid w:val="00342685"/>
    <w:rsid w:val="003429C9"/>
    <w:rsid w:val="00342B65"/>
    <w:rsid w:val="00342CC5"/>
    <w:rsid w:val="0034330D"/>
    <w:rsid w:val="003433B6"/>
    <w:rsid w:val="00343825"/>
    <w:rsid w:val="003438D9"/>
    <w:rsid w:val="00343917"/>
    <w:rsid w:val="00343B70"/>
    <w:rsid w:val="00343D3E"/>
    <w:rsid w:val="00343D96"/>
    <w:rsid w:val="00344081"/>
    <w:rsid w:val="00344848"/>
    <w:rsid w:val="00344883"/>
    <w:rsid w:val="00344AFB"/>
    <w:rsid w:val="00344D0F"/>
    <w:rsid w:val="00344D1D"/>
    <w:rsid w:val="00344FA2"/>
    <w:rsid w:val="0034530F"/>
    <w:rsid w:val="003455A4"/>
    <w:rsid w:val="00345BE3"/>
    <w:rsid w:val="00345D56"/>
    <w:rsid w:val="00345D6B"/>
    <w:rsid w:val="0034675F"/>
    <w:rsid w:val="0034687B"/>
    <w:rsid w:val="00346A7F"/>
    <w:rsid w:val="00346B23"/>
    <w:rsid w:val="00346DBB"/>
    <w:rsid w:val="00346E71"/>
    <w:rsid w:val="00346EB4"/>
    <w:rsid w:val="00346F87"/>
    <w:rsid w:val="003471C4"/>
    <w:rsid w:val="00347740"/>
    <w:rsid w:val="003477BC"/>
    <w:rsid w:val="00347964"/>
    <w:rsid w:val="00347A8F"/>
    <w:rsid w:val="00347B2A"/>
    <w:rsid w:val="00347F54"/>
    <w:rsid w:val="0035008E"/>
    <w:rsid w:val="0035013F"/>
    <w:rsid w:val="003513B1"/>
    <w:rsid w:val="00351464"/>
    <w:rsid w:val="003516FA"/>
    <w:rsid w:val="0035179F"/>
    <w:rsid w:val="003517F9"/>
    <w:rsid w:val="00351A5F"/>
    <w:rsid w:val="00351BA9"/>
    <w:rsid w:val="00351F7B"/>
    <w:rsid w:val="0035208D"/>
    <w:rsid w:val="00352134"/>
    <w:rsid w:val="00352209"/>
    <w:rsid w:val="003522EF"/>
    <w:rsid w:val="003522F7"/>
    <w:rsid w:val="003523A2"/>
    <w:rsid w:val="0035241C"/>
    <w:rsid w:val="00352731"/>
    <w:rsid w:val="0035273E"/>
    <w:rsid w:val="00353367"/>
    <w:rsid w:val="00353437"/>
    <w:rsid w:val="00353570"/>
    <w:rsid w:val="003539D0"/>
    <w:rsid w:val="00353A72"/>
    <w:rsid w:val="00353AA6"/>
    <w:rsid w:val="00353C13"/>
    <w:rsid w:val="00353EA2"/>
    <w:rsid w:val="0035403C"/>
    <w:rsid w:val="00354753"/>
    <w:rsid w:val="00354B0C"/>
    <w:rsid w:val="00354E3B"/>
    <w:rsid w:val="00354F64"/>
    <w:rsid w:val="00354F9A"/>
    <w:rsid w:val="00355028"/>
    <w:rsid w:val="0035502B"/>
    <w:rsid w:val="00355193"/>
    <w:rsid w:val="003551B8"/>
    <w:rsid w:val="00355280"/>
    <w:rsid w:val="0035528E"/>
    <w:rsid w:val="00355294"/>
    <w:rsid w:val="0035548E"/>
    <w:rsid w:val="003556D4"/>
    <w:rsid w:val="003557FB"/>
    <w:rsid w:val="00355898"/>
    <w:rsid w:val="00355A9B"/>
    <w:rsid w:val="00355E30"/>
    <w:rsid w:val="00355E7C"/>
    <w:rsid w:val="0035620E"/>
    <w:rsid w:val="00356453"/>
    <w:rsid w:val="00356726"/>
    <w:rsid w:val="00356753"/>
    <w:rsid w:val="00356787"/>
    <w:rsid w:val="003567B1"/>
    <w:rsid w:val="003568EA"/>
    <w:rsid w:val="003569BC"/>
    <w:rsid w:val="00356AA3"/>
    <w:rsid w:val="00357422"/>
    <w:rsid w:val="003575BE"/>
    <w:rsid w:val="0035762E"/>
    <w:rsid w:val="00357B19"/>
    <w:rsid w:val="00357D14"/>
    <w:rsid w:val="00357D34"/>
    <w:rsid w:val="00357E2A"/>
    <w:rsid w:val="00360092"/>
    <w:rsid w:val="00360345"/>
    <w:rsid w:val="0036037A"/>
    <w:rsid w:val="00360BC9"/>
    <w:rsid w:val="00360C5C"/>
    <w:rsid w:val="00360C93"/>
    <w:rsid w:val="00360D7A"/>
    <w:rsid w:val="00360F8E"/>
    <w:rsid w:val="003615B5"/>
    <w:rsid w:val="00361963"/>
    <w:rsid w:val="00361A05"/>
    <w:rsid w:val="00361A39"/>
    <w:rsid w:val="00361B97"/>
    <w:rsid w:val="00361D19"/>
    <w:rsid w:val="00361F3D"/>
    <w:rsid w:val="003620A8"/>
    <w:rsid w:val="003623EE"/>
    <w:rsid w:val="003624C4"/>
    <w:rsid w:val="00362553"/>
    <w:rsid w:val="00362779"/>
    <w:rsid w:val="00362781"/>
    <w:rsid w:val="003627D3"/>
    <w:rsid w:val="00362B5F"/>
    <w:rsid w:val="00362C1B"/>
    <w:rsid w:val="00362D55"/>
    <w:rsid w:val="00362E29"/>
    <w:rsid w:val="00363510"/>
    <w:rsid w:val="003636D1"/>
    <w:rsid w:val="003637F3"/>
    <w:rsid w:val="00363986"/>
    <w:rsid w:val="00363B00"/>
    <w:rsid w:val="00363E97"/>
    <w:rsid w:val="003644EB"/>
    <w:rsid w:val="00364779"/>
    <w:rsid w:val="00364A41"/>
    <w:rsid w:val="00364B12"/>
    <w:rsid w:val="00364D45"/>
    <w:rsid w:val="00364E2A"/>
    <w:rsid w:val="00365277"/>
    <w:rsid w:val="00365440"/>
    <w:rsid w:val="003654AC"/>
    <w:rsid w:val="003654BB"/>
    <w:rsid w:val="0036574E"/>
    <w:rsid w:val="00365776"/>
    <w:rsid w:val="00365AC6"/>
    <w:rsid w:val="00365BF9"/>
    <w:rsid w:val="00365CF5"/>
    <w:rsid w:val="003661AA"/>
    <w:rsid w:val="003666D9"/>
    <w:rsid w:val="00366896"/>
    <w:rsid w:val="00366C53"/>
    <w:rsid w:val="00366D01"/>
    <w:rsid w:val="0036736D"/>
    <w:rsid w:val="00367406"/>
    <w:rsid w:val="00370393"/>
    <w:rsid w:val="00370A06"/>
    <w:rsid w:val="00370BE1"/>
    <w:rsid w:val="00370D32"/>
    <w:rsid w:val="00370D7C"/>
    <w:rsid w:val="003710CF"/>
    <w:rsid w:val="00371467"/>
    <w:rsid w:val="0037147D"/>
    <w:rsid w:val="003714B4"/>
    <w:rsid w:val="00371602"/>
    <w:rsid w:val="00371638"/>
    <w:rsid w:val="0037191C"/>
    <w:rsid w:val="003719EF"/>
    <w:rsid w:val="00371B72"/>
    <w:rsid w:val="00371D55"/>
    <w:rsid w:val="00371DAF"/>
    <w:rsid w:val="00372181"/>
    <w:rsid w:val="0037234C"/>
    <w:rsid w:val="00372496"/>
    <w:rsid w:val="0037264F"/>
    <w:rsid w:val="003728B6"/>
    <w:rsid w:val="003728D9"/>
    <w:rsid w:val="00372ACA"/>
    <w:rsid w:val="00372AE9"/>
    <w:rsid w:val="00373011"/>
    <w:rsid w:val="003732BA"/>
    <w:rsid w:val="0037355D"/>
    <w:rsid w:val="0037358A"/>
    <w:rsid w:val="003738D7"/>
    <w:rsid w:val="003739B4"/>
    <w:rsid w:val="00373A82"/>
    <w:rsid w:val="00373BF8"/>
    <w:rsid w:val="00373CC7"/>
    <w:rsid w:val="00374323"/>
    <w:rsid w:val="0037439E"/>
    <w:rsid w:val="00374ACA"/>
    <w:rsid w:val="00374C5D"/>
    <w:rsid w:val="003750F6"/>
    <w:rsid w:val="003751F1"/>
    <w:rsid w:val="00375302"/>
    <w:rsid w:val="003753EB"/>
    <w:rsid w:val="00375850"/>
    <w:rsid w:val="00375BB8"/>
    <w:rsid w:val="003760FC"/>
    <w:rsid w:val="003761A9"/>
    <w:rsid w:val="0037698D"/>
    <w:rsid w:val="00376EE0"/>
    <w:rsid w:val="003772EE"/>
    <w:rsid w:val="00377328"/>
    <w:rsid w:val="00377463"/>
    <w:rsid w:val="003775A4"/>
    <w:rsid w:val="0037766E"/>
    <w:rsid w:val="0037778C"/>
    <w:rsid w:val="0037780D"/>
    <w:rsid w:val="003778C3"/>
    <w:rsid w:val="00380083"/>
    <w:rsid w:val="00380089"/>
    <w:rsid w:val="00380376"/>
    <w:rsid w:val="003804FE"/>
    <w:rsid w:val="003807CC"/>
    <w:rsid w:val="00380813"/>
    <w:rsid w:val="003808AA"/>
    <w:rsid w:val="003809DD"/>
    <w:rsid w:val="00380B6B"/>
    <w:rsid w:val="00380F00"/>
    <w:rsid w:val="0038197E"/>
    <w:rsid w:val="00381BE5"/>
    <w:rsid w:val="00381D0D"/>
    <w:rsid w:val="00381E6C"/>
    <w:rsid w:val="00381FDF"/>
    <w:rsid w:val="003824D7"/>
    <w:rsid w:val="0038327E"/>
    <w:rsid w:val="0038365C"/>
    <w:rsid w:val="0038369B"/>
    <w:rsid w:val="00383B78"/>
    <w:rsid w:val="00383C3A"/>
    <w:rsid w:val="0038426D"/>
    <w:rsid w:val="00384536"/>
    <w:rsid w:val="00384606"/>
    <w:rsid w:val="00384667"/>
    <w:rsid w:val="003848B3"/>
    <w:rsid w:val="00384B6A"/>
    <w:rsid w:val="00384D3E"/>
    <w:rsid w:val="0038539D"/>
    <w:rsid w:val="003858BF"/>
    <w:rsid w:val="003858DC"/>
    <w:rsid w:val="00385A62"/>
    <w:rsid w:val="00385A9D"/>
    <w:rsid w:val="00385FDD"/>
    <w:rsid w:val="003862BB"/>
    <w:rsid w:val="00386638"/>
    <w:rsid w:val="00386C03"/>
    <w:rsid w:val="00387121"/>
    <w:rsid w:val="003873F1"/>
    <w:rsid w:val="00387697"/>
    <w:rsid w:val="003878AE"/>
    <w:rsid w:val="003878FB"/>
    <w:rsid w:val="0038793D"/>
    <w:rsid w:val="00387CFF"/>
    <w:rsid w:val="00387E4C"/>
    <w:rsid w:val="00387EBD"/>
    <w:rsid w:val="0039006F"/>
    <w:rsid w:val="003901AC"/>
    <w:rsid w:val="003902B1"/>
    <w:rsid w:val="00390323"/>
    <w:rsid w:val="003904FC"/>
    <w:rsid w:val="00390DC9"/>
    <w:rsid w:val="0039128B"/>
    <w:rsid w:val="003914CC"/>
    <w:rsid w:val="0039179C"/>
    <w:rsid w:val="003917DF"/>
    <w:rsid w:val="00391DFD"/>
    <w:rsid w:val="00391FA6"/>
    <w:rsid w:val="00392342"/>
    <w:rsid w:val="0039293D"/>
    <w:rsid w:val="0039298F"/>
    <w:rsid w:val="00392F9B"/>
    <w:rsid w:val="00393078"/>
    <w:rsid w:val="00393189"/>
    <w:rsid w:val="003931D6"/>
    <w:rsid w:val="0039321B"/>
    <w:rsid w:val="00393402"/>
    <w:rsid w:val="003934EE"/>
    <w:rsid w:val="00393E77"/>
    <w:rsid w:val="0039419E"/>
    <w:rsid w:val="0039473B"/>
    <w:rsid w:val="00394A3A"/>
    <w:rsid w:val="00394BA5"/>
    <w:rsid w:val="00394C1A"/>
    <w:rsid w:val="00394C98"/>
    <w:rsid w:val="00394F88"/>
    <w:rsid w:val="00395124"/>
    <w:rsid w:val="003951E7"/>
    <w:rsid w:val="00395290"/>
    <w:rsid w:val="003954E9"/>
    <w:rsid w:val="003958B3"/>
    <w:rsid w:val="003959D1"/>
    <w:rsid w:val="00395C9A"/>
    <w:rsid w:val="00396170"/>
    <w:rsid w:val="003962F5"/>
    <w:rsid w:val="003964B9"/>
    <w:rsid w:val="00396896"/>
    <w:rsid w:val="00396FD0"/>
    <w:rsid w:val="0039760C"/>
    <w:rsid w:val="00397946"/>
    <w:rsid w:val="00397A86"/>
    <w:rsid w:val="00397C22"/>
    <w:rsid w:val="003A093A"/>
    <w:rsid w:val="003A0BB1"/>
    <w:rsid w:val="003A0FB7"/>
    <w:rsid w:val="003A1388"/>
    <w:rsid w:val="003A1A7A"/>
    <w:rsid w:val="003A1C73"/>
    <w:rsid w:val="003A2392"/>
    <w:rsid w:val="003A265C"/>
    <w:rsid w:val="003A2831"/>
    <w:rsid w:val="003A2F73"/>
    <w:rsid w:val="003A33C5"/>
    <w:rsid w:val="003A3454"/>
    <w:rsid w:val="003A3605"/>
    <w:rsid w:val="003A3626"/>
    <w:rsid w:val="003A36A8"/>
    <w:rsid w:val="003A3AA5"/>
    <w:rsid w:val="003A3CB6"/>
    <w:rsid w:val="003A3E09"/>
    <w:rsid w:val="003A3ED1"/>
    <w:rsid w:val="003A3EE7"/>
    <w:rsid w:val="003A44DB"/>
    <w:rsid w:val="003A4561"/>
    <w:rsid w:val="003A4593"/>
    <w:rsid w:val="003A45FE"/>
    <w:rsid w:val="003A48BC"/>
    <w:rsid w:val="003A49CB"/>
    <w:rsid w:val="003A4AD8"/>
    <w:rsid w:val="003A4C14"/>
    <w:rsid w:val="003A4CE8"/>
    <w:rsid w:val="003A5063"/>
    <w:rsid w:val="003A51DE"/>
    <w:rsid w:val="003A566E"/>
    <w:rsid w:val="003A5761"/>
    <w:rsid w:val="003A5A32"/>
    <w:rsid w:val="003A5BA9"/>
    <w:rsid w:val="003A5E6D"/>
    <w:rsid w:val="003A612A"/>
    <w:rsid w:val="003A6270"/>
    <w:rsid w:val="003A63B9"/>
    <w:rsid w:val="003A681B"/>
    <w:rsid w:val="003A6948"/>
    <w:rsid w:val="003A69B8"/>
    <w:rsid w:val="003A70BC"/>
    <w:rsid w:val="003A719A"/>
    <w:rsid w:val="003A7251"/>
    <w:rsid w:val="003A73C5"/>
    <w:rsid w:val="003A755D"/>
    <w:rsid w:val="003A7751"/>
    <w:rsid w:val="003A7758"/>
    <w:rsid w:val="003A784C"/>
    <w:rsid w:val="003B00FB"/>
    <w:rsid w:val="003B0707"/>
    <w:rsid w:val="003B0B73"/>
    <w:rsid w:val="003B0C64"/>
    <w:rsid w:val="003B0E06"/>
    <w:rsid w:val="003B0E2D"/>
    <w:rsid w:val="003B1288"/>
    <w:rsid w:val="003B12E9"/>
    <w:rsid w:val="003B142A"/>
    <w:rsid w:val="003B1691"/>
    <w:rsid w:val="003B1CCB"/>
    <w:rsid w:val="003B1DA1"/>
    <w:rsid w:val="003B220E"/>
    <w:rsid w:val="003B243E"/>
    <w:rsid w:val="003B2C76"/>
    <w:rsid w:val="003B32DA"/>
    <w:rsid w:val="003B3713"/>
    <w:rsid w:val="003B3971"/>
    <w:rsid w:val="003B4327"/>
    <w:rsid w:val="003B46A3"/>
    <w:rsid w:val="003B4776"/>
    <w:rsid w:val="003B4FC5"/>
    <w:rsid w:val="003B55D1"/>
    <w:rsid w:val="003B55F8"/>
    <w:rsid w:val="003B58AF"/>
    <w:rsid w:val="003B5B61"/>
    <w:rsid w:val="003B5B94"/>
    <w:rsid w:val="003B5C8F"/>
    <w:rsid w:val="003B5E0F"/>
    <w:rsid w:val="003B62C1"/>
    <w:rsid w:val="003B6986"/>
    <w:rsid w:val="003B69E9"/>
    <w:rsid w:val="003B6D9E"/>
    <w:rsid w:val="003B6EB6"/>
    <w:rsid w:val="003B7154"/>
    <w:rsid w:val="003B7584"/>
    <w:rsid w:val="003B7626"/>
    <w:rsid w:val="003B7B79"/>
    <w:rsid w:val="003B7D4B"/>
    <w:rsid w:val="003B7E8F"/>
    <w:rsid w:val="003C0021"/>
    <w:rsid w:val="003C068D"/>
    <w:rsid w:val="003C0692"/>
    <w:rsid w:val="003C1171"/>
    <w:rsid w:val="003C1203"/>
    <w:rsid w:val="003C1654"/>
    <w:rsid w:val="003C1A58"/>
    <w:rsid w:val="003C1AE2"/>
    <w:rsid w:val="003C1CCA"/>
    <w:rsid w:val="003C1E0D"/>
    <w:rsid w:val="003C1FB7"/>
    <w:rsid w:val="003C2106"/>
    <w:rsid w:val="003C2184"/>
    <w:rsid w:val="003C2622"/>
    <w:rsid w:val="003C27D5"/>
    <w:rsid w:val="003C2C2C"/>
    <w:rsid w:val="003C2F74"/>
    <w:rsid w:val="003C313C"/>
    <w:rsid w:val="003C3476"/>
    <w:rsid w:val="003C36A0"/>
    <w:rsid w:val="003C372B"/>
    <w:rsid w:val="003C374A"/>
    <w:rsid w:val="003C3FEF"/>
    <w:rsid w:val="003C433E"/>
    <w:rsid w:val="003C4900"/>
    <w:rsid w:val="003C4929"/>
    <w:rsid w:val="003C4C44"/>
    <w:rsid w:val="003C4DA9"/>
    <w:rsid w:val="003C50B3"/>
    <w:rsid w:val="003C53A5"/>
    <w:rsid w:val="003C5542"/>
    <w:rsid w:val="003C57D1"/>
    <w:rsid w:val="003C5826"/>
    <w:rsid w:val="003C59D5"/>
    <w:rsid w:val="003C5E0B"/>
    <w:rsid w:val="003C6228"/>
    <w:rsid w:val="003C62FA"/>
    <w:rsid w:val="003C6D41"/>
    <w:rsid w:val="003C6EB7"/>
    <w:rsid w:val="003C7AA6"/>
    <w:rsid w:val="003C7C15"/>
    <w:rsid w:val="003C7D19"/>
    <w:rsid w:val="003C7D2F"/>
    <w:rsid w:val="003C7E8B"/>
    <w:rsid w:val="003C7F35"/>
    <w:rsid w:val="003D036C"/>
    <w:rsid w:val="003D054B"/>
    <w:rsid w:val="003D0C32"/>
    <w:rsid w:val="003D0C5A"/>
    <w:rsid w:val="003D0E3D"/>
    <w:rsid w:val="003D1091"/>
    <w:rsid w:val="003D11AB"/>
    <w:rsid w:val="003D124B"/>
    <w:rsid w:val="003D1269"/>
    <w:rsid w:val="003D1432"/>
    <w:rsid w:val="003D1447"/>
    <w:rsid w:val="003D14B4"/>
    <w:rsid w:val="003D14E6"/>
    <w:rsid w:val="003D17AE"/>
    <w:rsid w:val="003D1828"/>
    <w:rsid w:val="003D19EB"/>
    <w:rsid w:val="003D1AAD"/>
    <w:rsid w:val="003D1DD3"/>
    <w:rsid w:val="003D1DE4"/>
    <w:rsid w:val="003D1E9A"/>
    <w:rsid w:val="003D207E"/>
    <w:rsid w:val="003D2126"/>
    <w:rsid w:val="003D2182"/>
    <w:rsid w:val="003D2422"/>
    <w:rsid w:val="003D2CEF"/>
    <w:rsid w:val="003D2DA1"/>
    <w:rsid w:val="003D312A"/>
    <w:rsid w:val="003D31CB"/>
    <w:rsid w:val="003D3565"/>
    <w:rsid w:val="003D38A6"/>
    <w:rsid w:val="003D39A1"/>
    <w:rsid w:val="003D39F0"/>
    <w:rsid w:val="003D3BA7"/>
    <w:rsid w:val="003D3FBF"/>
    <w:rsid w:val="003D400F"/>
    <w:rsid w:val="003D43E4"/>
    <w:rsid w:val="003D448E"/>
    <w:rsid w:val="003D4819"/>
    <w:rsid w:val="003D48B5"/>
    <w:rsid w:val="003D4A30"/>
    <w:rsid w:val="003D4D11"/>
    <w:rsid w:val="003D4FEF"/>
    <w:rsid w:val="003D5A38"/>
    <w:rsid w:val="003D5AFB"/>
    <w:rsid w:val="003D5FAD"/>
    <w:rsid w:val="003D6318"/>
    <w:rsid w:val="003D63CE"/>
    <w:rsid w:val="003D657A"/>
    <w:rsid w:val="003D6B70"/>
    <w:rsid w:val="003D6BDB"/>
    <w:rsid w:val="003D7187"/>
    <w:rsid w:val="003D7397"/>
    <w:rsid w:val="003D7452"/>
    <w:rsid w:val="003D79BB"/>
    <w:rsid w:val="003D7BFC"/>
    <w:rsid w:val="003D7C98"/>
    <w:rsid w:val="003D7D9D"/>
    <w:rsid w:val="003E029F"/>
    <w:rsid w:val="003E02AF"/>
    <w:rsid w:val="003E0543"/>
    <w:rsid w:val="003E06CA"/>
    <w:rsid w:val="003E0931"/>
    <w:rsid w:val="003E0A53"/>
    <w:rsid w:val="003E0A57"/>
    <w:rsid w:val="003E0AC0"/>
    <w:rsid w:val="003E15BB"/>
    <w:rsid w:val="003E1654"/>
    <w:rsid w:val="003E20D9"/>
    <w:rsid w:val="003E26D6"/>
    <w:rsid w:val="003E283F"/>
    <w:rsid w:val="003E2A0D"/>
    <w:rsid w:val="003E2A79"/>
    <w:rsid w:val="003E2B45"/>
    <w:rsid w:val="003E2BC5"/>
    <w:rsid w:val="003E2BEE"/>
    <w:rsid w:val="003E2C33"/>
    <w:rsid w:val="003E2E7F"/>
    <w:rsid w:val="003E323A"/>
    <w:rsid w:val="003E33ED"/>
    <w:rsid w:val="003E33F0"/>
    <w:rsid w:val="003E3696"/>
    <w:rsid w:val="003E392C"/>
    <w:rsid w:val="003E3C64"/>
    <w:rsid w:val="003E3D4B"/>
    <w:rsid w:val="003E3DFD"/>
    <w:rsid w:val="003E3E2F"/>
    <w:rsid w:val="003E3F4D"/>
    <w:rsid w:val="003E42D8"/>
    <w:rsid w:val="003E4884"/>
    <w:rsid w:val="003E4B97"/>
    <w:rsid w:val="003E4DD8"/>
    <w:rsid w:val="003E559F"/>
    <w:rsid w:val="003E5603"/>
    <w:rsid w:val="003E5824"/>
    <w:rsid w:val="003E5B49"/>
    <w:rsid w:val="003E5C67"/>
    <w:rsid w:val="003E5C6C"/>
    <w:rsid w:val="003E5CD6"/>
    <w:rsid w:val="003E5F8E"/>
    <w:rsid w:val="003E61B4"/>
    <w:rsid w:val="003E61F3"/>
    <w:rsid w:val="003E6481"/>
    <w:rsid w:val="003E6AA7"/>
    <w:rsid w:val="003E6D34"/>
    <w:rsid w:val="003E6EEB"/>
    <w:rsid w:val="003E71C5"/>
    <w:rsid w:val="003E7314"/>
    <w:rsid w:val="003E7380"/>
    <w:rsid w:val="003E73EA"/>
    <w:rsid w:val="003E749E"/>
    <w:rsid w:val="003E75AB"/>
    <w:rsid w:val="003E79FA"/>
    <w:rsid w:val="003E7AF8"/>
    <w:rsid w:val="003E7E4D"/>
    <w:rsid w:val="003E7F3D"/>
    <w:rsid w:val="003E7FEB"/>
    <w:rsid w:val="003F070D"/>
    <w:rsid w:val="003F081E"/>
    <w:rsid w:val="003F125E"/>
    <w:rsid w:val="003F1311"/>
    <w:rsid w:val="003F13C8"/>
    <w:rsid w:val="003F18B0"/>
    <w:rsid w:val="003F1938"/>
    <w:rsid w:val="003F1980"/>
    <w:rsid w:val="003F1F2B"/>
    <w:rsid w:val="003F2147"/>
    <w:rsid w:val="003F244E"/>
    <w:rsid w:val="003F2567"/>
    <w:rsid w:val="003F2737"/>
    <w:rsid w:val="003F281D"/>
    <w:rsid w:val="003F2844"/>
    <w:rsid w:val="003F2902"/>
    <w:rsid w:val="003F297B"/>
    <w:rsid w:val="003F2AEA"/>
    <w:rsid w:val="003F2AF4"/>
    <w:rsid w:val="003F2C98"/>
    <w:rsid w:val="003F31A2"/>
    <w:rsid w:val="003F353A"/>
    <w:rsid w:val="003F3668"/>
    <w:rsid w:val="003F3804"/>
    <w:rsid w:val="003F3D4E"/>
    <w:rsid w:val="003F3FA5"/>
    <w:rsid w:val="003F4156"/>
    <w:rsid w:val="003F41D5"/>
    <w:rsid w:val="003F4529"/>
    <w:rsid w:val="003F4605"/>
    <w:rsid w:val="003F47FF"/>
    <w:rsid w:val="003F48E4"/>
    <w:rsid w:val="003F4C44"/>
    <w:rsid w:val="003F4CF2"/>
    <w:rsid w:val="003F4D90"/>
    <w:rsid w:val="003F527F"/>
    <w:rsid w:val="003F5418"/>
    <w:rsid w:val="003F54F4"/>
    <w:rsid w:val="003F5670"/>
    <w:rsid w:val="003F569E"/>
    <w:rsid w:val="003F57A5"/>
    <w:rsid w:val="003F5804"/>
    <w:rsid w:val="003F5A51"/>
    <w:rsid w:val="003F5ADF"/>
    <w:rsid w:val="003F5B8B"/>
    <w:rsid w:val="003F6356"/>
    <w:rsid w:val="003F65B2"/>
    <w:rsid w:val="003F66CB"/>
    <w:rsid w:val="003F678D"/>
    <w:rsid w:val="003F693F"/>
    <w:rsid w:val="003F69DC"/>
    <w:rsid w:val="003F6AE8"/>
    <w:rsid w:val="003F6DB2"/>
    <w:rsid w:val="003F7094"/>
    <w:rsid w:val="003F71B1"/>
    <w:rsid w:val="003F7469"/>
    <w:rsid w:val="003F7896"/>
    <w:rsid w:val="003F78BA"/>
    <w:rsid w:val="003F79B2"/>
    <w:rsid w:val="003F7D5A"/>
    <w:rsid w:val="004000A5"/>
    <w:rsid w:val="004000FA"/>
    <w:rsid w:val="0040056D"/>
    <w:rsid w:val="004009C4"/>
    <w:rsid w:val="00400B29"/>
    <w:rsid w:val="00400E1D"/>
    <w:rsid w:val="00400E36"/>
    <w:rsid w:val="00400EC3"/>
    <w:rsid w:val="00401584"/>
    <w:rsid w:val="0040160E"/>
    <w:rsid w:val="00401C4D"/>
    <w:rsid w:val="00401CFA"/>
    <w:rsid w:val="00401D17"/>
    <w:rsid w:val="00401E74"/>
    <w:rsid w:val="00402547"/>
    <w:rsid w:val="00402812"/>
    <w:rsid w:val="00402F5F"/>
    <w:rsid w:val="004038C9"/>
    <w:rsid w:val="00404028"/>
    <w:rsid w:val="0040409C"/>
    <w:rsid w:val="0040446B"/>
    <w:rsid w:val="004048DD"/>
    <w:rsid w:val="00404BEC"/>
    <w:rsid w:val="00404D9C"/>
    <w:rsid w:val="0040504B"/>
    <w:rsid w:val="00405601"/>
    <w:rsid w:val="00405620"/>
    <w:rsid w:val="00405905"/>
    <w:rsid w:val="004059F4"/>
    <w:rsid w:val="00405BA7"/>
    <w:rsid w:val="00405BC5"/>
    <w:rsid w:val="00405D59"/>
    <w:rsid w:val="00405D73"/>
    <w:rsid w:val="00405DDF"/>
    <w:rsid w:val="00406104"/>
    <w:rsid w:val="00406527"/>
    <w:rsid w:val="00406798"/>
    <w:rsid w:val="00406874"/>
    <w:rsid w:val="00406C42"/>
    <w:rsid w:val="00406CCE"/>
    <w:rsid w:val="00406E8E"/>
    <w:rsid w:val="00406FE1"/>
    <w:rsid w:val="00406FF1"/>
    <w:rsid w:val="00407032"/>
    <w:rsid w:val="00407826"/>
    <w:rsid w:val="00407983"/>
    <w:rsid w:val="0040798F"/>
    <w:rsid w:val="00407D4E"/>
    <w:rsid w:val="00407FE5"/>
    <w:rsid w:val="00410027"/>
    <w:rsid w:val="004101B0"/>
    <w:rsid w:val="00410326"/>
    <w:rsid w:val="00410708"/>
    <w:rsid w:val="00410EC7"/>
    <w:rsid w:val="00411263"/>
    <w:rsid w:val="004119C8"/>
    <w:rsid w:val="00411A04"/>
    <w:rsid w:val="00411B39"/>
    <w:rsid w:val="00411E7B"/>
    <w:rsid w:val="004122BB"/>
    <w:rsid w:val="004122F9"/>
    <w:rsid w:val="004127A7"/>
    <w:rsid w:val="004129B4"/>
    <w:rsid w:val="00412AFF"/>
    <w:rsid w:val="00412B27"/>
    <w:rsid w:val="00412BA3"/>
    <w:rsid w:val="00412BC4"/>
    <w:rsid w:val="004130C9"/>
    <w:rsid w:val="004138FC"/>
    <w:rsid w:val="00413A1E"/>
    <w:rsid w:val="00413B50"/>
    <w:rsid w:val="00413C06"/>
    <w:rsid w:val="00413E52"/>
    <w:rsid w:val="00413EF2"/>
    <w:rsid w:val="00414053"/>
    <w:rsid w:val="004142A1"/>
    <w:rsid w:val="00414476"/>
    <w:rsid w:val="00414927"/>
    <w:rsid w:val="00414C2E"/>
    <w:rsid w:val="00414DE0"/>
    <w:rsid w:val="0041512E"/>
    <w:rsid w:val="004151CF"/>
    <w:rsid w:val="00415941"/>
    <w:rsid w:val="00415C8E"/>
    <w:rsid w:val="00415CB0"/>
    <w:rsid w:val="00416364"/>
    <w:rsid w:val="00416811"/>
    <w:rsid w:val="00416852"/>
    <w:rsid w:val="00416AAD"/>
    <w:rsid w:val="004171C8"/>
    <w:rsid w:val="004172BE"/>
    <w:rsid w:val="00417A02"/>
    <w:rsid w:val="00417D87"/>
    <w:rsid w:val="004200AB"/>
    <w:rsid w:val="00420176"/>
    <w:rsid w:val="004201BF"/>
    <w:rsid w:val="0042022E"/>
    <w:rsid w:val="00420327"/>
    <w:rsid w:val="0042047F"/>
    <w:rsid w:val="00420AA6"/>
    <w:rsid w:val="00420B22"/>
    <w:rsid w:val="00420B9F"/>
    <w:rsid w:val="00420BEC"/>
    <w:rsid w:val="0042110B"/>
    <w:rsid w:val="004212C3"/>
    <w:rsid w:val="00421488"/>
    <w:rsid w:val="004214E6"/>
    <w:rsid w:val="0042192C"/>
    <w:rsid w:val="00421C29"/>
    <w:rsid w:val="00421C54"/>
    <w:rsid w:val="00422260"/>
    <w:rsid w:val="0042234B"/>
    <w:rsid w:val="004223A1"/>
    <w:rsid w:val="00422AE5"/>
    <w:rsid w:val="00422C63"/>
    <w:rsid w:val="004230AC"/>
    <w:rsid w:val="00423152"/>
    <w:rsid w:val="004234A4"/>
    <w:rsid w:val="00423828"/>
    <w:rsid w:val="004238BB"/>
    <w:rsid w:val="00423A71"/>
    <w:rsid w:val="00423A7F"/>
    <w:rsid w:val="00423DCC"/>
    <w:rsid w:val="00423FBB"/>
    <w:rsid w:val="00424035"/>
    <w:rsid w:val="0042413F"/>
    <w:rsid w:val="0042418B"/>
    <w:rsid w:val="00424456"/>
    <w:rsid w:val="00424716"/>
    <w:rsid w:val="0042482A"/>
    <w:rsid w:val="004248C0"/>
    <w:rsid w:val="0042490F"/>
    <w:rsid w:val="00424C0D"/>
    <w:rsid w:val="00424C55"/>
    <w:rsid w:val="00424DC4"/>
    <w:rsid w:val="00424EAC"/>
    <w:rsid w:val="00425000"/>
    <w:rsid w:val="00425033"/>
    <w:rsid w:val="00425169"/>
    <w:rsid w:val="0042538E"/>
    <w:rsid w:val="00425785"/>
    <w:rsid w:val="004258DC"/>
    <w:rsid w:val="00425CB0"/>
    <w:rsid w:val="00425E54"/>
    <w:rsid w:val="00425F7F"/>
    <w:rsid w:val="0042631E"/>
    <w:rsid w:val="00426665"/>
    <w:rsid w:val="0042674D"/>
    <w:rsid w:val="0042685C"/>
    <w:rsid w:val="00426912"/>
    <w:rsid w:val="00426B1E"/>
    <w:rsid w:val="00427227"/>
    <w:rsid w:val="00427396"/>
    <w:rsid w:val="00427451"/>
    <w:rsid w:val="004275E3"/>
    <w:rsid w:val="00427C49"/>
    <w:rsid w:val="00427E35"/>
    <w:rsid w:val="00427EE3"/>
    <w:rsid w:val="00427F2B"/>
    <w:rsid w:val="0043008B"/>
    <w:rsid w:val="00430579"/>
    <w:rsid w:val="004308BF"/>
    <w:rsid w:val="00430E98"/>
    <w:rsid w:val="00430F60"/>
    <w:rsid w:val="00431034"/>
    <w:rsid w:val="0043130F"/>
    <w:rsid w:val="0043141E"/>
    <w:rsid w:val="004315A6"/>
    <w:rsid w:val="0043198B"/>
    <w:rsid w:val="004319F8"/>
    <w:rsid w:val="00431A5A"/>
    <w:rsid w:val="00431E55"/>
    <w:rsid w:val="00431F6E"/>
    <w:rsid w:val="00432127"/>
    <w:rsid w:val="004321F6"/>
    <w:rsid w:val="004322BB"/>
    <w:rsid w:val="00432446"/>
    <w:rsid w:val="00432796"/>
    <w:rsid w:val="004327D1"/>
    <w:rsid w:val="00432A0B"/>
    <w:rsid w:val="00432B3A"/>
    <w:rsid w:val="00432E18"/>
    <w:rsid w:val="00432E52"/>
    <w:rsid w:val="00433044"/>
    <w:rsid w:val="0043309C"/>
    <w:rsid w:val="00433139"/>
    <w:rsid w:val="00433555"/>
    <w:rsid w:val="00433764"/>
    <w:rsid w:val="00433ACC"/>
    <w:rsid w:val="00433B93"/>
    <w:rsid w:val="00433BEF"/>
    <w:rsid w:val="00433F60"/>
    <w:rsid w:val="00434088"/>
    <w:rsid w:val="004340AC"/>
    <w:rsid w:val="00434129"/>
    <w:rsid w:val="00434688"/>
    <w:rsid w:val="00434C18"/>
    <w:rsid w:val="00434E9D"/>
    <w:rsid w:val="0043505D"/>
    <w:rsid w:val="0043508A"/>
    <w:rsid w:val="00435256"/>
    <w:rsid w:val="004352A7"/>
    <w:rsid w:val="004353BE"/>
    <w:rsid w:val="004354DD"/>
    <w:rsid w:val="004355BD"/>
    <w:rsid w:val="0043579A"/>
    <w:rsid w:val="004358B4"/>
    <w:rsid w:val="00435D7E"/>
    <w:rsid w:val="00436089"/>
    <w:rsid w:val="0043658C"/>
    <w:rsid w:val="0043667B"/>
    <w:rsid w:val="00436766"/>
    <w:rsid w:val="004368C1"/>
    <w:rsid w:val="00436BFA"/>
    <w:rsid w:val="00436EAD"/>
    <w:rsid w:val="004375B9"/>
    <w:rsid w:val="004375C5"/>
    <w:rsid w:val="004378C6"/>
    <w:rsid w:val="00437B9F"/>
    <w:rsid w:val="0044003A"/>
    <w:rsid w:val="0044032A"/>
    <w:rsid w:val="0044038A"/>
    <w:rsid w:val="004403D0"/>
    <w:rsid w:val="004404D7"/>
    <w:rsid w:val="0044061F"/>
    <w:rsid w:val="0044075D"/>
    <w:rsid w:val="004407C2"/>
    <w:rsid w:val="00440811"/>
    <w:rsid w:val="00440DB5"/>
    <w:rsid w:val="00441008"/>
    <w:rsid w:val="004413C0"/>
    <w:rsid w:val="004413D8"/>
    <w:rsid w:val="0044182B"/>
    <w:rsid w:val="0044186C"/>
    <w:rsid w:val="0044216B"/>
    <w:rsid w:val="004422CD"/>
    <w:rsid w:val="004422FF"/>
    <w:rsid w:val="0044264A"/>
    <w:rsid w:val="00442673"/>
    <w:rsid w:val="004427D2"/>
    <w:rsid w:val="004428D0"/>
    <w:rsid w:val="00442BF9"/>
    <w:rsid w:val="00443556"/>
    <w:rsid w:val="00443961"/>
    <w:rsid w:val="00443A05"/>
    <w:rsid w:val="00443AC7"/>
    <w:rsid w:val="00443E6D"/>
    <w:rsid w:val="00443EAB"/>
    <w:rsid w:val="00443EDD"/>
    <w:rsid w:val="00444140"/>
    <w:rsid w:val="00444178"/>
    <w:rsid w:val="00444185"/>
    <w:rsid w:val="00444363"/>
    <w:rsid w:val="004443A7"/>
    <w:rsid w:val="0044442C"/>
    <w:rsid w:val="004448D8"/>
    <w:rsid w:val="00444B3A"/>
    <w:rsid w:val="00444D10"/>
    <w:rsid w:val="00445172"/>
    <w:rsid w:val="0044527C"/>
    <w:rsid w:val="0044561B"/>
    <w:rsid w:val="00445666"/>
    <w:rsid w:val="004456DB"/>
    <w:rsid w:val="004458D2"/>
    <w:rsid w:val="00445941"/>
    <w:rsid w:val="00445BEC"/>
    <w:rsid w:val="00446113"/>
    <w:rsid w:val="004462C5"/>
    <w:rsid w:val="004464EB"/>
    <w:rsid w:val="00446652"/>
    <w:rsid w:val="00446741"/>
    <w:rsid w:val="00446A34"/>
    <w:rsid w:val="00446BF0"/>
    <w:rsid w:val="00446FCC"/>
    <w:rsid w:val="004472C0"/>
    <w:rsid w:val="004472E0"/>
    <w:rsid w:val="0044770F"/>
    <w:rsid w:val="00447A75"/>
    <w:rsid w:val="00447D26"/>
    <w:rsid w:val="00447DFC"/>
    <w:rsid w:val="00447EF6"/>
    <w:rsid w:val="0045078E"/>
    <w:rsid w:val="00450969"/>
    <w:rsid w:val="00450AB0"/>
    <w:rsid w:val="00450FA8"/>
    <w:rsid w:val="004513AF"/>
    <w:rsid w:val="0045147F"/>
    <w:rsid w:val="004518BF"/>
    <w:rsid w:val="00451B29"/>
    <w:rsid w:val="00451C38"/>
    <w:rsid w:val="00451D06"/>
    <w:rsid w:val="00452005"/>
    <w:rsid w:val="00452122"/>
    <w:rsid w:val="004521B9"/>
    <w:rsid w:val="004521DF"/>
    <w:rsid w:val="0045268D"/>
    <w:rsid w:val="00452EC9"/>
    <w:rsid w:val="00452F30"/>
    <w:rsid w:val="004531AE"/>
    <w:rsid w:val="0045325B"/>
    <w:rsid w:val="0045364A"/>
    <w:rsid w:val="00453A7B"/>
    <w:rsid w:val="00453E4F"/>
    <w:rsid w:val="00454013"/>
    <w:rsid w:val="00454358"/>
    <w:rsid w:val="00454436"/>
    <w:rsid w:val="00454486"/>
    <w:rsid w:val="004545E9"/>
    <w:rsid w:val="004545FE"/>
    <w:rsid w:val="0045466C"/>
    <w:rsid w:val="00454913"/>
    <w:rsid w:val="00454CAB"/>
    <w:rsid w:val="00454D92"/>
    <w:rsid w:val="00454DD3"/>
    <w:rsid w:val="00454E19"/>
    <w:rsid w:val="00454E34"/>
    <w:rsid w:val="00454EBD"/>
    <w:rsid w:val="004555E6"/>
    <w:rsid w:val="004556D6"/>
    <w:rsid w:val="00455768"/>
    <w:rsid w:val="004558D1"/>
    <w:rsid w:val="004559C8"/>
    <w:rsid w:val="00455B5B"/>
    <w:rsid w:val="00455D45"/>
    <w:rsid w:val="00455E22"/>
    <w:rsid w:val="00455E5F"/>
    <w:rsid w:val="00456299"/>
    <w:rsid w:val="00456470"/>
    <w:rsid w:val="0045652B"/>
    <w:rsid w:val="00456C72"/>
    <w:rsid w:val="00456D40"/>
    <w:rsid w:val="00456DB4"/>
    <w:rsid w:val="00457309"/>
    <w:rsid w:val="004573F8"/>
    <w:rsid w:val="0045765D"/>
    <w:rsid w:val="00457851"/>
    <w:rsid w:val="00457D50"/>
    <w:rsid w:val="00457DA2"/>
    <w:rsid w:val="0046011F"/>
    <w:rsid w:val="00460848"/>
    <w:rsid w:val="00460B49"/>
    <w:rsid w:val="00460BEC"/>
    <w:rsid w:val="00460D0C"/>
    <w:rsid w:val="00460F7A"/>
    <w:rsid w:val="004612ED"/>
    <w:rsid w:val="00461507"/>
    <w:rsid w:val="004615C2"/>
    <w:rsid w:val="004616F1"/>
    <w:rsid w:val="004617FC"/>
    <w:rsid w:val="00461977"/>
    <w:rsid w:val="00461BFF"/>
    <w:rsid w:val="00461D5F"/>
    <w:rsid w:val="0046206D"/>
    <w:rsid w:val="00462145"/>
    <w:rsid w:val="00462193"/>
    <w:rsid w:val="004622EC"/>
    <w:rsid w:val="0046267A"/>
    <w:rsid w:val="0046269A"/>
    <w:rsid w:val="00462AE3"/>
    <w:rsid w:val="00462BCF"/>
    <w:rsid w:val="00462BF9"/>
    <w:rsid w:val="00463116"/>
    <w:rsid w:val="004632DE"/>
    <w:rsid w:val="0046338F"/>
    <w:rsid w:val="004633CA"/>
    <w:rsid w:val="004633E6"/>
    <w:rsid w:val="0046352F"/>
    <w:rsid w:val="00463993"/>
    <w:rsid w:val="00463B21"/>
    <w:rsid w:val="00463C95"/>
    <w:rsid w:val="00463E40"/>
    <w:rsid w:val="00464142"/>
    <w:rsid w:val="00464158"/>
    <w:rsid w:val="004642B8"/>
    <w:rsid w:val="00464595"/>
    <w:rsid w:val="00464A4C"/>
    <w:rsid w:val="00464BA7"/>
    <w:rsid w:val="00464C79"/>
    <w:rsid w:val="00464FAA"/>
    <w:rsid w:val="004655AB"/>
    <w:rsid w:val="00465746"/>
    <w:rsid w:val="004658B5"/>
    <w:rsid w:val="00465990"/>
    <w:rsid w:val="00465B62"/>
    <w:rsid w:val="0046624F"/>
    <w:rsid w:val="00466561"/>
    <w:rsid w:val="00466A76"/>
    <w:rsid w:val="00466CFC"/>
    <w:rsid w:val="00466F01"/>
    <w:rsid w:val="00467260"/>
    <w:rsid w:val="0046757B"/>
    <w:rsid w:val="0046785A"/>
    <w:rsid w:val="00467C4C"/>
    <w:rsid w:val="00467F2F"/>
    <w:rsid w:val="004700A0"/>
    <w:rsid w:val="004700B1"/>
    <w:rsid w:val="00470160"/>
    <w:rsid w:val="00470229"/>
    <w:rsid w:val="0047062E"/>
    <w:rsid w:val="004707F3"/>
    <w:rsid w:val="00470CCE"/>
    <w:rsid w:val="00470D3E"/>
    <w:rsid w:val="00470D7E"/>
    <w:rsid w:val="0047118B"/>
    <w:rsid w:val="00471196"/>
    <w:rsid w:val="00471264"/>
    <w:rsid w:val="004715F7"/>
    <w:rsid w:val="0047168A"/>
    <w:rsid w:val="0047180D"/>
    <w:rsid w:val="00471823"/>
    <w:rsid w:val="004718DE"/>
    <w:rsid w:val="00471B62"/>
    <w:rsid w:val="00471EA5"/>
    <w:rsid w:val="004720D5"/>
    <w:rsid w:val="00472449"/>
    <w:rsid w:val="00472904"/>
    <w:rsid w:val="00472A79"/>
    <w:rsid w:val="00472B58"/>
    <w:rsid w:val="00472F9A"/>
    <w:rsid w:val="00473158"/>
    <w:rsid w:val="004731B3"/>
    <w:rsid w:val="00473456"/>
    <w:rsid w:val="0047366D"/>
    <w:rsid w:val="0047367D"/>
    <w:rsid w:val="00473766"/>
    <w:rsid w:val="00473B29"/>
    <w:rsid w:val="00473BA1"/>
    <w:rsid w:val="00473E46"/>
    <w:rsid w:val="00473F19"/>
    <w:rsid w:val="00474185"/>
    <w:rsid w:val="004743A6"/>
    <w:rsid w:val="00474AEF"/>
    <w:rsid w:val="00474E39"/>
    <w:rsid w:val="00474E44"/>
    <w:rsid w:val="00474F97"/>
    <w:rsid w:val="00475037"/>
    <w:rsid w:val="004750D4"/>
    <w:rsid w:val="00475102"/>
    <w:rsid w:val="0047520B"/>
    <w:rsid w:val="0047556C"/>
    <w:rsid w:val="0047581E"/>
    <w:rsid w:val="0047581F"/>
    <w:rsid w:val="00475A03"/>
    <w:rsid w:val="00475E22"/>
    <w:rsid w:val="00475F13"/>
    <w:rsid w:val="00475F23"/>
    <w:rsid w:val="00475FC0"/>
    <w:rsid w:val="0047620E"/>
    <w:rsid w:val="00476286"/>
    <w:rsid w:val="00476560"/>
    <w:rsid w:val="0047665B"/>
    <w:rsid w:val="00476AB9"/>
    <w:rsid w:val="00476C16"/>
    <w:rsid w:val="00476C19"/>
    <w:rsid w:val="00476D75"/>
    <w:rsid w:val="00476D7C"/>
    <w:rsid w:val="004776AE"/>
    <w:rsid w:val="00477D11"/>
    <w:rsid w:val="004802F4"/>
    <w:rsid w:val="004803FA"/>
    <w:rsid w:val="00480468"/>
    <w:rsid w:val="00480670"/>
    <w:rsid w:val="0048088E"/>
    <w:rsid w:val="004808D8"/>
    <w:rsid w:val="004809CB"/>
    <w:rsid w:val="00480B4A"/>
    <w:rsid w:val="00480BA5"/>
    <w:rsid w:val="00480EB3"/>
    <w:rsid w:val="00480F2B"/>
    <w:rsid w:val="00481273"/>
    <w:rsid w:val="0048155A"/>
    <w:rsid w:val="00481874"/>
    <w:rsid w:val="00481D8F"/>
    <w:rsid w:val="00482169"/>
    <w:rsid w:val="0048248F"/>
    <w:rsid w:val="0048249B"/>
    <w:rsid w:val="0048259F"/>
    <w:rsid w:val="00482720"/>
    <w:rsid w:val="004835E6"/>
    <w:rsid w:val="004835E7"/>
    <w:rsid w:val="004837F4"/>
    <w:rsid w:val="0048397C"/>
    <w:rsid w:val="00483BE3"/>
    <w:rsid w:val="00483C89"/>
    <w:rsid w:val="00484227"/>
    <w:rsid w:val="004844F9"/>
    <w:rsid w:val="004846CD"/>
    <w:rsid w:val="004848D8"/>
    <w:rsid w:val="00484BB6"/>
    <w:rsid w:val="00484C74"/>
    <w:rsid w:val="00484D60"/>
    <w:rsid w:val="00484FB3"/>
    <w:rsid w:val="004850CD"/>
    <w:rsid w:val="00485169"/>
    <w:rsid w:val="004853DD"/>
    <w:rsid w:val="0048555C"/>
    <w:rsid w:val="004859E1"/>
    <w:rsid w:val="00485AAE"/>
    <w:rsid w:val="00485ACD"/>
    <w:rsid w:val="00485B12"/>
    <w:rsid w:val="00485C0D"/>
    <w:rsid w:val="00485E6F"/>
    <w:rsid w:val="004862CC"/>
    <w:rsid w:val="004862E0"/>
    <w:rsid w:val="00486593"/>
    <w:rsid w:val="004865D5"/>
    <w:rsid w:val="00486620"/>
    <w:rsid w:val="004867E2"/>
    <w:rsid w:val="00486813"/>
    <w:rsid w:val="00486AD2"/>
    <w:rsid w:val="00486CBB"/>
    <w:rsid w:val="00486EF4"/>
    <w:rsid w:val="00486F8D"/>
    <w:rsid w:val="004877E8"/>
    <w:rsid w:val="00487D7B"/>
    <w:rsid w:val="004903B3"/>
    <w:rsid w:val="0049046B"/>
    <w:rsid w:val="004905A1"/>
    <w:rsid w:val="0049087F"/>
    <w:rsid w:val="00490B17"/>
    <w:rsid w:val="00490BDD"/>
    <w:rsid w:val="00490CDC"/>
    <w:rsid w:val="00490E86"/>
    <w:rsid w:val="00491388"/>
    <w:rsid w:val="004914CC"/>
    <w:rsid w:val="004919CD"/>
    <w:rsid w:val="00491B3A"/>
    <w:rsid w:val="00491F86"/>
    <w:rsid w:val="0049207E"/>
    <w:rsid w:val="00492555"/>
    <w:rsid w:val="00492667"/>
    <w:rsid w:val="0049294F"/>
    <w:rsid w:val="00492CCA"/>
    <w:rsid w:val="00492CFD"/>
    <w:rsid w:val="00492F29"/>
    <w:rsid w:val="00492F47"/>
    <w:rsid w:val="004932EB"/>
    <w:rsid w:val="0049336D"/>
    <w:rsid w:val="0049343A"/>
    <w:rsid w:val="0049388F"/>
    <w:rsid w:val="004938F3"/>
    <w:rsid w:val="00493936"/>
    <w:rsid w:val="00493A08"/>
    <w:rsid w:val="00493C52"/>
    <w:rsid w:val="00493D73"/>
    <w:rsid w:val="0049404C"/>
    <w:rsid w:val="00494207"/>
    <w:rsid w:val="00494263"/>
    <w:rsid w:val="004945B2"/>
    <w:rsid w:val="004945DB"/>
    <w:rsid w:val="00494B7B"/>
    <w:rsid w:val="00494BDD"/>
    <w:rsid w:val="00494C82"/>
    <w:rsid w:val="00494DD5"/>
    <w:rsid w:val="00495042"/>
    <w:rsid w:val="00495188"/>
    <w:rsid w:val="004951B0"/>
    <w:rsid w:val="0049582A"/>
    <w:rsid w:val="00495885"/>
    <w:rsid w:val="00495CB5"/>
    <w:rsid w:val="00495DB6"/>
    <w:rsid w:val="0049608B"/>
    <w:rsid w:val="0049623B"/>
    <w:rsid w:val="004962D2"/>
    <w:rsid w:val="004963A8"/>
    <w:rsid w:val="004963D4"/>
    <w:rsid w:val="004963E3"/>
    <w:rsid w:val="00496584"/>
    <w:rsid w:val="004965AF"/>
    <w:rsid w:val="00496929"/>
    <w:rsid w:val="00496B75"/>
    <w:rsid w:val="00496F8D"/>
    <w:rsid w:val="0049704C"/>
    <w:rsid w:val="004971A4"/>
    <w:rsid w:val="00497395"/>
    <w:rsid w:val="00497553"/>
    <w:rsid w:val="00497590"/>
    <w:rsid w:val="0049770A"/>
    <w:rsid w:val="00497732"/>
    <w:rsid w:val="00497B2E"/>
    <w:rsid w:val="004A0210"/>
    <w:rsid w:val="004A06BB"/>
    <w:rsid w:val="004A0A21"/>
    <w:rsid w:val="004A0BF4"/>
    <w:rsid w:val="004A0C15"/>
    <w:rsid w:val="004A0DA1"/>
    <w:rsid w:val="004A1112"/>
    <w:rsid w:val="004A13D6"/>
    <w:rsid w:val="004A1404"/>
    <w:rsid w:val="004A14BF"/>
    <w:rsid w:val="004A172F"/>
    <w:rsid w:val="004A188E"/>
    <w:rsid w:val="004A1CE2"/>
    <w:rsid w:val="004A1F89"/>
    <w:rsid w:val="004A24B5"/>
    <w:rsid w:val="004A259F"/>
    <w:rsid w:val="004A2600"/>
    <w:rsid w:val="004A2802"/>
    <w:rsid w:val="004A296E"/>
    <w:rsid w:val="004A2C74"/>
    <w:rsid w:val="004A2CD1"/>
    <w:rsid w:val="004A2E23"/>
    <w:rsid w:val="004A2E5D"/>
    <w:rsid w:val="004A325F"/>
    <w:rsid w:val="004A33ED"/>
    <w:rsid w:val="004A3551"/>
    <w:rsid w:val="004A3A8E"/>
    <w:rsid w:val="004A416B"/>
    <w:rsid w:val="004A4215"/>
    <w:rsid w:val="004A425D"/>
    <w:rsid w:val="004A427D"/>
    <w:rsid w:val="004A43E7"/>
    <w:rsid w:val="004A4749"/>
    <w:rsid w:val="004A4AD8"/>
    <w:rsid w:val="004A4ADD"/>
    <w:rsid w:val="004A4E21"/>
    <w:rsid w:val="004A4FED"/>
    <w:rsid w:val="004A50D4"/>
    <w:rsid w:val="004A50F2"/>
    <w:rsid w:val="004A5229"/>
    <w:rsid w:val="004A52E9"/>
    <w:rsid w:val="004A5B91"/>
    <w:rsid w:val="004A6040"/>
    <w:rsid w:val="004A60C8"/>
    <w:rsid w:val="004A6310"/>
    <w:rsid w:val="004A6369"/>
    <w:rsid w:val="004A6570"/>
    <w:rsid w:val="004A6597"/>
    <w:rsid w:val="004A65A3"/>
    <w:rsid w:val="004A671B"/>
    <w:rsid w:val="004A682E"/>
    <w:rsid w:val="004A6B4C"/>
    <w:rsid w:val="004A71B4"/>
    <w:rsid w:val="004A7244"/>
    <w:rsid w:val="004A7326"/>
    <w:rsid w:val="004A73F6"/>
    <w:rsid w:val="004A7848"/>
    <w:rsid w:val="004A793B"/>
    <w:rsid w:val="004B0039"/>
    <w:rsid w:val="004B00A0"/>
    <w:rsid w:val="004B0237"/>
    <w:rsid w:val="004B03CD"/>
    <w:rsid w:val="004B0499"/>
    <w:rsid w:val="004B04B1"/>
    <w:rsid w:val="004B0978"/>
    <w:rsid w:val="004B0A17"/>
    <w:rsid w:val="004B0A1E"/>
    <w:rsid w:val="004B0E23"/>
    <w:rsid w:val="004B0EE7"/>
    <w:rsid w:val="004B0F55"/>
    <w:rsid w:val="004B12DF"/>
    <w:rsid w:val="004B190F"/>
    <w:rsid w:val="004B1C30"/>
    <w:rsid w:val="004B1CB4"/>
    <w:rsid w:val="004B220A"/>
    <w:rsid w:val="004B2438"/>
    <w:rsid w:val="004B29CF"/>
    <w:rsid w:val="004B2A7A"/>
    <w:rsid w:val="004B2E5E"/>
    <w:rsid w:val="004B2F18"/>
    <w:rsid w:val="004B33B9"/>
    <w:rsid w:val="004B352C"/>
    <w:rsid w:val="004B3555"/>
    <w:rsid w:val="004B3794"/>
    <w:rsid w:val="004B3826"/>
    <w:rsid w:val="004B38D2"/>
    <w:rsid w:val="004B3A98"/>
    <w:rsid w:val="004B3DDB"/>
    <w:rsid w:val="004B3FC6"/>
    <w:rsid w:val="004B406A"/>
    <w:rsid w:val="004B40D0"/>
    <w:rsid w:val="004B4341"/>
    <w:rsid w:val="004B44FD"/>
    <w:rsid w:val="004B4586"/>
    <w:rsid w:val="004B466A"/>
    <w:rsid w:val="004B4A2E"/>
    <w:rsid w:val="004B4E91"/>
    <w:rsid w:val="004B4F57"/>
    <w:rsid w:val="004B4F67"/>
    <w:rsid w:val="004B5299"/>
    <w:rsid w:val="004B54B8"/>
    <w:rsid w:val="004B5731"/>
    <w:rsid w:val="004B590C"/>
    <w:rsid w:val="004B5CFC"/>
    <w:rsid w:val="004B5FC4"/>
    <w:rsid w:val="004B626E"/>
    <w:rsid w:val="004B681A"/>
    <w:rsid w:val="004B69BB"/>
    <w:rsid w:val="004B6F79"/>
    <w:rsid w:val="004B6F9E"/>
    <w:rsid w:val="004B726F"/>
    <w:rsid w:val="004B73D3"/>
    <w:rsid w:val="004B774D"/>
    <w:rsid w:val="004B79D1"/>
    <w:rsid w:val="004B7A24"/>
    <w:rsid w:val="004B7A97"/>
    <w:rsid w:val="004B7B4F"/>
    <w:rsid w:val="004B7D02"/>
    <w:rsid w:val="004C0013"/>
    <w:rsid w:val="004C0198"/>
    <w:rsid w:val="004C0314"/>
    <w:rsid w:val="004C05B2"/>
    <w:rsid w:val="004C0653"/>
    <w:rsid w:val="004C0DD8"/>
    <w:rsid w:val="004C0EE0"/>
    <w:rsid w:val="004C194C"/>
    <w:rsid w:val="004C1A05"/>
    <w:rsid w:val="004C1E00"/>
    <w:rsid w:val="004C1ECB"/>
    <w:rsid w:val="004C2228"/>
    <w:rsid w:val="004C228A"/>
    <w:rsid w:val="004C293F"/>
    <w:rsid w:val="004C2AC2"/>
    <w:rsid w:val="004C2B04"/>
    <w:rsid w:val="004C2BC1"/>
    <w:rsid w:val="004C2E16"/>
    <w:rsid w:val="004C2F45"/>
    <w:rsid w:val="004C3053"/>
    <w:rsid w:val="004C30D3"/>
    <w:rsid w:val="004C3419"/>
    <w:rsid w:val="004C34E0"/>
    <w:rsid w:val="004C3528"/>
    <w:rsid w:val="004C3563"/>
    <w:rsid w:val="004C3921"/>
    <w:rsid w:val="004C3B02"/>
    <w:rsid w:val="004C3B6F"/>
    <w:rsid w:val="004C3DA2"/>
    <w:rsid w:val="004C3EFF"/>
    <w:rsid w:val="004C4394"/>
    <w:rsid w:val="004C4589"/>
    <w:rsid w:val="004C463A"/>
    <w:rsid w:val="004C47C7"/>
    <w:rsid w:val="004C4921"/>
    <w:rsid w:val="004C49A3"/>
    <w:rsid w:val="004C4AED"/>
    <w:rsid w:val="004C4F94"/>
    <w:rsid w:val="004C53DE"/>
    <w:rsid w:val="004C565C"/>
    <w:rsid w:val="004C5881"/>
    <w:rsid w:val="004C59C6"/>
    <w:rsid w:val="004C5A2F"/>
    <w:rsid w:val="004C5CCB"/>
    <w:rsid w:val="004C5F01"/>
    <w:rsid w:val="004C609D"/>
    <w:rsid w:val="004C6362"/>
    <w:rsid w:val="004C63E9"/>
    <w:rsid w:val="004C6462"/>
    <w:rsid w:val="004C662D"/>
    <w:rsid w:val="004C66CE"/>
    <w:rsid w:val="004C6753"/>
    <w:rsid w:val="004C68BB"/>
    <w:rsid w:val="004C6AE8"/>
    <w:rsid w:val="004C6C19"/>
    <w:rsid w:val="004C6F9F"/>
    <w:rsid w:val="004C6FF7"/>
    <w:rsid w:val="004C7057"/>
    <w:rsid w:val="004C76CF"/>
    <w:rsid w:val="004C79BB"/>
    <w:rsid w:val="004C79ED"/>
    <w:rsid w:val="004C7A04"/>
    <w:rsid w:val="004C7AE1"/>
    <w:rsid w:val="004C7DC5"/>
    <w:rsid w:val="004D0384"/>
    <w:rsid w:val="004D04D1"/>
    <w:rsid w:val="004D064A"/>
    <w:rsid w:val="004D0828"/>
    <w:rsid w:val="004D0AAD"/>
    <w:rsid w:val="004D0CE5"/>
    <w:rsid w:val="004D0CEF"/>
    <w:rsid w:val="004D0FA7"/>
    <w:rsid w:val="004D151B"/>
    <w:rsid w:val="004D1582"/>
    <w:rsid w:val="004D171E"/>
    <w:rsid w:val="004D1DB1"/>
    <w:rsid w:val="004D1FA4"/>
    <w:rsid w:val="004D228B"/>
    <w:rsid w:val="004D254A"/>
    <w:rsid w:val="004D2575"/>
    <w:rsid w:val="004D2A67"/>
    <w:rsid w:val="004D2AC1"/>
    <w:rsid w:val="004D2C2D"/>
    <w:rsid w:val="004D312B"/>
    <w:rsid w:val="004D3213"/>
    <w:rsid w:val="004D321D"/>
    <w:rsid w:val="004D36C6"/>
    <w:rsid w:val="004D38E0"/>
    <w:rsid w:val="004D3A63"/>
    <w:rsid w:val="004D3D24"/>
    <w:rsid w:val="004D3E41"/>
    <w:rsid w:val="004D3E65"/>
    <w:rsid w:val="004D4152"/>
    <w:rsid w:val="004D41B5"/>
    <w:rsid w:val="004D44C2"/>
    <w:rsid w:val="004D48F6"/>
    <w:rsid w:val="004D4B10"/>
    <w:rsid w:val="004D4E99"/>
    <w:rsid w:val="004D5228"/>
    <w:rsid w:val="004D54F3"/>
    <w:rsid w:val="004D554A"/>
    <w:rsid w:val="004D5789"/>
    <w:rsid w:val="004D57DE"/>
    <w:rsid w:val="004D57E4"/>
    <w:rsid w:val="004D5BD3"/>
    <w:rsid w:val="004D5C96"/>
    <w:rsid w:val="004D5D54"/>
    <w:rsid w:val="004D5FAA"/>
    <w:rsid w:val="004D60CF"/>
    <w:rsid w:val="004D670F"/>
    <w:rsid w:val="004D69AD"/>
    <w:rsid w:val="004D69B5"/>
    <w:rsid w:val="004D6ABE"/>
    <w:rsid w:val="004D6C9E"/>
    <w:rsid w:val="004D6CF4"/>
    <w:rsid w:val="004D6E11"/>
    <w:rsid w:val="004D6FB9"/>
    <w:rsid w:val="004D7055"/>
    <w:rsid w:val="004D7227"/>
    <w:rsid w:val="004D746F"/>
    <w:rsid w:val="004D7935"/>
    <w:rsid w:val="004D7980"/>
    <w:rsid w:val="004D79C5"/>
    <w:rsid w:val="004D7B5E"/>
    <w:rsid w:val="004D7DA3"/>
    <w:rsid w:val="004E03E8"/>
    <w:rsid w:val="004E05EF"/>
    <w:rsid w:val="004E060B"/>
    <w:rsid w:val="004E07B0"/>
    <w:rsid w:val="004E08C7"/>
    <w:rsid w:val="004E0D25"/>
    <w:rsid w:val="004E0DE2"/>
    <w:rsid w:val="004E0DE7"/>
    <w:rsid w:val="004E0E7F"/>
    <w:rsid w:val="004E0EB8"/>
    <w:rsid w:val="004E1097"/>
    <w:rsid w:val="004E1163"/>
    <w:rsid w:val="004E1319"/>
    <w:rsid w:val="004E14E2"/>
    <w:rsid w:val="004E189A"/>
    <w:rsid w:val="004E18E9"/>
    <w:rsid w:val="004E1A8F"/>
    <w:rsid w:val="004E210F"/>
    <w:rsid w:val="004E24FF"/>
    <w:rsid w:val="004E26F0"/>
    <w:rsid w:val="004E2ADC"/>
    <w:rsid w:val="004E2D1F"/>
    <w:rsid w:val="004E2EB2"/>
    <w:rsid w:val="004E3332"/>
    <w:rsid w:val="004E36A6"/>
    <w:rsid w:val="004E36E7"/>
    <w:rsid w:val="004E40D9"/>
    <w:rsid w:val="004E43B2"/>
    <w:rsid w:val="004E44E5"/>
    <w:rsid w:val="004E470D"/>
    <w:rsid w:val="004E4803"/>
    <w:rsid w:val="004E4FB9"/>
    <w:rsid w:val="004E4FCB"/>
    <w:rsid w:val="004E55C4"/>
    <w:rsid w:val="004E5979"/>
    <w:rsid w:val="004E5AD2"/>
    <w:rsid w:val="004E5C76"/>
    <w:rsid w:val="004E5D14"/>
    <w:rsid w:val="004E5F5A"/>
    <w:rsid w:val="004E6194"/>
    <w:rsid w:val="004E6218"/>
    <w:rsid w:val="004E63D5"/>
    <w:rsid w:val="004E6A75"/>
    <w:rsid w:val="004E6A7F"/>
    <w:rsid w:val="004E6F5E"/>
    <w:rsid w:val="004E743D"/>
    <w:rsid w:val="004E7874"/>
    <w:rsid w:val="004E7A88"/>
    <w:rsid w:val="004E7B31"/>
    <w:rsid w:val="004E7FA7"/>
    <w:rsid w:val="004F0037"/>
    <w:rsid w:val="004F0077"/>
    <w:rsid w:val="004F02BA"/>
    <w:rsid w:val="004F0532"/>
    <w:rsid w:val="004F0C12"/>
    <w:rsid w:val="004F1274"/>
    <w:rsid w:val="004F16A3"/>
    <w:rsid w:val="004F16D7"/>
    <w:rsid w:val="004F1723"/>
    <w:rsid w:val="004F174C"/>
    <w:rsid w:val="004F1A10"/>
    <w:rsid w:val="004F1C44"/>
    <w:rsid w:val="004F1D02"/>
    <w:rsid w:val="004F20A4"/>
    <w:rsid w:val="004F23A5"/>
    <w:rsid w:val="004F2439"/>
    <w:rsid w:val="004F257C"/>
    <w:rsid w:val="004F2679"/>
    <w:rsid w:val="004F27E7"/>
    <w:rsid w:val="004F28E7"/>
    <w:rsid w:val="004F29E0"/>
    <w:rsid w:val="004F2A15"/>
    <w:rsid w:val="004F2F21"/>
    <w:rsid w:val="004F30BC"/>
    <w:rsid w:val="004F36E5"/>
    <w:rsid w:val="004F38F7"/>
    <w:rsid w:val="004F3A0C"/>
    <w:rsid w:val="004F3B95"/>
    <w:rsid w:val="004F3C82"/>
    <w:rsid w:val="004F3D4F"/>
    <w:rsid w:val="004F3DE5"/>
    <w:rsid w:val="004F3E05"/>
    <w:rsid w:val="004F412C"/>
    <w:rsid w:val="004F44A7"/>
    <w:rsid w:val="004F4649"/>
    <w:rsid w:val="004F46C3"/>
    <w:rsid w:val="004F4715"/>
    <w:rsid w:val="004F474C"/>
    <w:rsid w:val="004F4807"/>
    <w:rsid w:val="004F48F5"/>
    <w:rsid w:val="004F49F5"/>
    <w:rsid w:val="004F4EDB"/>
    <w:rsid w:val="004F543F"/>
    <w:rsid w:val="004F5538"/>
    <w:rsid w:val="004F559F"/>
    <w:rsid w:val="004F5727"/>
    <w:rsid w:val="004F5769"/>
    <w:rsid w:val="004F5851"/>
    <w:rsid w:val="004F5D2F"/>
    <w:rsid w:val="004F5F40"/>
    <w:rsid w:val="004F616D"/>
    <w:rsid w:val="004F6253"/>
    <w:rsid w:val="004F643B"/>
    <w:rsid w:val="004F6913"/>
    <w:rsid w:val="004F6AF2"/>
    <w:rsid w:val="004F6BD6"/>
    <w:rsid w:val="004F7268"/>
    <w:rsid w:val="004F7335"/>
    <w:rsid w:val="004F73D6"/>
    <w:rsid w:val="004F74DD"/>
    <w:rsid w:val="004F75E2"/>
    <w:rsid w:val="004F7865"/>
    <w:rsid w:val="004F7C68"/>
    <w:rsid w:val="004F7DC9"/>
    <w:rsid w:val="00500640"/>
    <w:rsid w:val="00500D04"/>
    <w:rsid w:val="00500E02"/>
    <w:rsid w:val="00500E8E"/>
    <w:rsid w:val="005010B4"/>
    <w:rsid w:val="005013D9"/>
    <w:rsid w:val="0050174E"/>
    <w:rsid w:val="00501854"/>
    <w:rsid w:val="00501F32"/>
    <w:rsid w:val="00501F41"/>
    <w:rsid w:val="00502102"/>
    <w:rsid w:val="0050219B"/>
    <w:rsid w:val="005023C5"/>
    <w:rsid w:val="00502539"/>
    <w:rsid w:val="0050279D"/>
    <w:rsid w:val="00502A82"/>
    <w:rsid w:val="00502E06"/>
    <w:rsid w:val="0050336C"/>
    <w:rsid w:val="00503510"/>
    <w:rsid w:val="005036C9"/>
    <w:rsid w:val="00503B04"/>
    <w:rsid w:val="00503C80"/>
    <w:rsid w:val="00503F17"/>
    <w:rsid w:val="00503F3A"/>
    <w:rsid w:val="005041F9"/>
    <w:rsid w:val="00504467"/>
    <w:rsid w:val="005044FA"/>
    <w:rsid w:val="00504C59"/>
    <w:rsid w:val="00504E74"/>
    <w:rsid w:val="00504F1B"/>
    <w:rsid w:val="00505383"/>
    <w:rsid w:val="00505440"/>
    <w:rsid w:val="005059F4"/>
    <w:rsid w:val="00505A5F"/>
    <w:rsid w:val="00505D96"/>
    <w:rsid w:val="00505F1D"/>
    <w:rsid w:val="00505F68"/>
    <w:rsid w:val="00505FC8"/>
    <w:rsid w:val="00506928"/>
    <w:rsid w:val="00506B7D"/>
    <w:rsid w:val="00506C79"/>
    <w:rsid w:val="00506DC9"/>
    <w:rsid w:val="00507119"/>
    <w:rsid w:val="0050718E"/>
    <w:rsid w:val="005074EE"/>
    <w:rsid w:val="0050752E"/>
    <w:rsid w:val="005075ED"/>
    <w:rsid w:val="005077EF"/>
    <w:rsid w:val="00510043"/>
    <w:rsid w:val="0051014C"/>
    <w:rsid w:val="00510ABF"/>
    <w:rsid w:val="00510F9B"/>
    <w:rsid w:val="00510FD6"/>
    <w:rsid w:val="00511020"/>
    <w:rsid w:val="005112D5"/>
    <w:rsid w:val="005112ED"/>
    <w:rsid w:val="00511344"/>
    <w:rsid w:val="005115E4"/>
    <w:rsid w:val="00511AD5"/>
    <w:rsid w:val="00511D56"/>
    <w:rsid w:val="00511D93"/>
    <w:rsid w:val="00511DC7"/>
    <w:rsid w:val="00511DF2"/>
    <w:rsid w:val="00511E5A"/>
    <w:rsid w:val="00512252"/>
    <w:rsid w:val="0051246D"/>
    <w:rsid w:val="005124F2"/>
    <w:rsid w:val="005128BB"/>
    <w:rsid w:val="00512924"/>
    <w:rsid w:val="00512E1F"/>
    <w:rsid w:val="00512F7F"/>
    <w:rsid w:val="0051335C"/>
    <w:rsid w:val="005138C4"/>
    <w:rsid w:val="005138EE"/>
    <w:rsid w:val="0051391E"/>
    <w:rsid w:val="00513B21"/>
    <w:rsid w:val="005141A6"/>
    <w:rsid w:val="005142C5"/>
    <w:rsid w:val="005143AE"/>
    <w:rsid w:val="005146EB"/>
    <w:rsid w:val="00514EEE"/>
    <w:rsid w:val="0051501B"/>
    <w:rsid w:val="005152B5"/>
    <w:rsid w:val="0051558F"/>
    <w:rsid w:val="005156C2"/>
    <w:rsid w:val="00515772"/>
    <w:rsid w:val="00515886"/>
    <w:rsid w:val="00515BA6"/>
    <w:rsid w:val="00515EB3"/>
    <w:rsid w:val="00515EC5"/>
    <w:rsid w:val="005162BE"/>
    <w:rsid w:val="00516354"/>
    <w:rsid w:val="0051668F"/>
    <w:rsid w:val="00516D9F"/>
    <w:rsid w:val="005172BA"/>
    <w:rsid w:val="00517322"/>
    <w:rsid w:val="0051760F"/>
    <w:rsid w:val="00517714"/>
    <w:rsid w:val="0051776B"/>
    <w:rsid w:val="005179C2"/>
    <w:rsid w:val="00517C71"/>
    <w:rsid w:val="0052058F"/>
    <w:rsid w:val="00520616"/>
    <w:rsid w:val="00520A78"/>
    <w:rsid w:val="00520A7E"/>
    <w:rsid w:val="00520A85"/>
    <w:rsid w:val="00520D65"/>
    <w:rsid w:val="00520F9F"/>
    <w:rsid w:val="0052123C"/>
    <w:rsid w:val="00521240"/>
    <w:rsid w:val="00521319"/>
    <w:rsid w:val="005214D7"/>
    <w:rsid w:val="00521FF0"/>
    <w:rsid w:val="005224DF"/>
    <w:rsid w:val="00522622"/>
    <w:rsid w:val="00522BC8"/>
    <w:rsid w:val="00522BF0"/>
    <w:rsid w:val="00522E79"/>
    <w:rsid w:val="0052342B"/>
    <w:rsid w:val="00523760"/>
    <w:rsid w:val="00523A1D"/>
    <w:rsid w:val="00523C28"/>
    <w:rsid w:val="00523C67"/>
    <w:rsid w:val="00523EB2"/>
    <w:rsid w:val="005241DB"/>
    <w:rsid w:val="005246EC"/>
    <w:rsid w:val="0052490A"/>
    <w:rsid w:val="005249BB"/>
    <w:rsid w:val="00524DA2"/>
    <w:rsid w:val="00525736"/>
    <w:rsid w:val="00525DE4"/>
    <w:rsid w:val="00525E85"/>
    <w:rsid w:val="00525EDD"/>
    <w:rsid w:val="005260B5"/>
    <w:rsid w:val="00526655"/>
    <w:rsid w:val="00526751"/>
    <w:rsid w:val="00526958"/>
    <w:rsid w:val="005269C4"/>
    <w:rsid w:val="005269F5"/>
    <w:rsid w:val="00526B36"/>
    <w:rsid w:val="005273C5"/>
    <w:rsid w:val="005274A0"/>
    <w:rsid w:val="005274CB"/>
    <w:rsid w:val="0053053A"/>
    <w:rsid w:val="00530AD0"/>
    <w:rsid w:val="00530AE7"/>
    <w:rsid w:val="00530B0A"/>
    <w:rsid w:val="00530B88"/>
    <w:rsid w:val="00530BEE"/>
    <w:rsid w:val="00531321"/>
    <w:rsid w:val="00531337"/>
    <w:rsid w:val="0053137A"/>
    <w:rsid w:val="005314D0"/>
    <w:rsid w:val="0053176B"/>
    <w:rsid w:val="005317C1"/>
    <w:rsid w:val="005319F4"/>
    <w:rsid w:val="005323CA"/>
    <w:rsid w:val="00532877"/>
    <w:rsid w:val="005328D1"/>
    <w:rsid w:val="00532D63"/>
    <w:rsid w:val="00532E45"/>
    <w:rsid w:val="00532F60"/>
    <w:rsid w:val="005330F2"/>
    <w:rsid w:val="005332F2"/>
    <w:rsid w:val="00533499"/>
    <w:rsid w:val="00533574"/>
    <w:rsid w:val="00533888"/>
    <w:rsid w:val="00533B67"/>
    <w:rsid w:val="00533DE5"/>
    <w:rsid w:val="00533E3B"/>
    <w:rsid w:val="00534102"/>
    <w:rsid w:val="005341B3"/>
    <w:rsid w:val="005342CA"/>
    <w:rsid w:val="00534614"/>
    <w:rsid w:val="00534D98"/>
    <w:rsid w:val="0053509A"/>
    <w:rsid w:val="00535A4E"/>
    <w:rsid w:val="00535AEE"/>
    <w:rsid w:val="00535AF4"/>
    <w:rsid w:val="00535BBC"/>
    <w:rsid w:val="00535E39"/>
    <w:rsid w:val="00535EDC"/>
    <w:rsid w:val="00535F9E"/>
    <w:rsid w:val="005361FC"/>
    <w:rsid w:val="00536360"/>
    <w:rsid w:val="00536412"/>
    <w:rsid w:val="00536610"/>
    <w:rsid w:val="005367CF"/>
    <w:rsid w:val="00536889"/>
    <w:rsid w:val="00536A07"/>
    <w:rsid w:val="00536D23"/>
    <w:rsid w:val="00536E04"/>
    <w:rsid w:val="00536F42"/>
    <w:rsid w:val="00537063"/>
    <w:rsid w:val="00537182"/>
    <w:rsid w:val="00537533"/>
    <w:rsid w:val="0053759E"/>
    <w:rsid w:val="0053769B"/>
    <w:rsid w:val="005376BF"/>
    <w:rsid w:val="00537CA9"/>
    <w:rsid w:val="00537E13"/>
    <w:rsid w:val="00537FE2"/>
    <w:rsid w:val="005400F3"/>
    <w:rsid w:val="005405C3"/>
    <w:rsid w:val="0054096A"/>
    <w:rsid w:val="005409C0"/>
    <w:rsid w:val="005416E3"/>
    <w:rsid w:val="00541B0A"/>
    <w:rsid w:val="00541B99"/>
    <w:rsid w:val="00541D2E"/>
    <w:rsid w:val="00541EA8"/>
    <w:rsid w:val="00541EDD"/>
    <w:rsid w:val="0054249B"/>
    <w:rsid w:val="005425AA"/>
    <w:rsid w:val="0054268C"/>
    <w:rsid w:val="00542743"/>
    <w:rsid w:val="00542836"/>
    <w:rsid w:val="00542AC9"/>
    <w:rsid w:val="00542AD9"/>
    <w:rsid w:val="00542BDC"/>
    <w:rsid w:val="00542C2D"/>
    <w:rsid w:val="00542CF2"/>
    <w:rsid w:val="00542EB0"/>
    <w:rsid w:val="00543027"/>
    <w:rsid w:val="0054303A"/>
    <w:rsid w:val="0054312D"/>
    <w:rsid w:val="00543249"/>
    <w:rsid w:val="0054346F"/>
    <w:rsid w:val="00543630"/>
    <w:rsid w:val="005437F7"/>
    <w:rsid w:val="00543870"/>
    <w:rsid w:val="0054391A"/>
    <w:rsid w:val="00543FAF"/>
    <w:rsid w:val="00544031"/>
    <w:rsid w:val="005446B4"/>
    <w:rsid w:val="00544C00"/>
    <w:rsid w:val="005451DE"/>
    <w:rsid w:val="005451E5"/>
    <w:rsid w:val="00545503"/>
    <w:rsid w:val="00545717"/>
    <w:rsid w:val="0054577D"/>
    <w:rsid w:val="00545D60"/>
    <w:rsid w:val="00545E40"/>
    <w:rsid w:val="005461A2"/>
    <w:rsid w:val="0054644D"/>
    <w:rsid w:val="00546494"/>
    <w:rsid w:val="005466F5"/>
    <w:rsid w:val="0054691E"/>
    <w:rsid w:val="00546AF0"/>
    <w:rsid w:val="00546C53"/>
    <w:rsid w:val="00546CD0"/>
    <w:rsid w:val="00546DDA"/>
    <w:rsid w:val="005478BD"/>
    <w:rsid w:val="005479E3"/>
    <w:rsid w:val="005501FF"/>
    <w:rsid w:val="00550373"/>
    <w:rsid w:val="005506A1"/>
    <w:rsid w:val="00550954"/>
    <w:rsid w:val="00550EBF"/>
    <w:rsid w:val="00550F13"/>
    <w:rsid w:val="005514ED"/>
    <w:rsid w:val="005515AA"/>
    <w:rsid w:val="005516A0"/>
    <w:rsid w:val="00551743"/>
    <w:rsid w:val="00551814"/>
    <w:rsid w:val="00551985"/>
    <w:rsid w:val="00551A4A"/>
    <w:rsid w:val="00551A4B"/>
    <w:rsid w:val="00551AF7"/>
    <w:rsid w:val="00551EF5"/>
    <w:rsid w:val="005525CA"/>
    <w:rsid w:val="005526DE"/>
    <w:rsid w:val="00552760"/>
    <w:rsid w:val="00552B14"/>
    <w:rsid w:val="00552B37"/>
    <w:rsid w:val="00552BD3"/>
    <w:rsid w:val="00553058"/>
    <w:rsid w:val="005532A0"/>
    <w:rsid w:val="00553CB6"/>
    <w:rsid w:val="00553D1A"/>
    <w:rsid w:val="00553DB3"/>
    <w:rsid w:val="00553F03"/>
    <w:rsid w:val="00553F2E"/>
    <w:rsid w:val="00553F74"/>
    <w:rsid w:val="0055407E"/>
    <w:rsid w:val="0055415B"/>
    <w:rsid w:val="00554271"/>
    <w:rsid w:val="005543DD"/>
    <w:rsid w:val="00554461"/>
    <w:rsid w:val="005544DC"/>
    <w:rsid w:val="005545A5"/>
    <w:rsid w:val="00555089"/>
    <w:rsid w:val="00555109"/>
    <w:rsid w:val="005553BF"/>
    <w:rsid w:val="0055563F"/>
    <w:rsid w:val="005558A0"/>
    <w:rsid w:val="005559B1"/>
    <w:rsid w:val="00555D87"/>
    <w:rsid w:val="0055639C"/>
    <w:rsid w:val="0055670E"/>
    <w:rsid w:val="00556964"/>
    <w:rsid w:val="00556B35"/>
    <w:rsid w:val="00556B4E"/>
    <w:rsid w:val="0055741A"/>
    <w:rsid w:val="00557A43"/>
    <w:rsid w:val="00560003"/>
    <w:rsid w:val="0056007A"/>
    <w:rsid w:val="0056009C"/>
    <w:rsid w:val="0056070E"/>
    <w:rsid w:val="00560B01"/>
    <w:rsid w:val="00560BF7"/>
    <w:rsid w:val="005611B7"/>
    <w:rsid w:val="0056147B"/>
    <w:rsid w:val="005614D8"/>
    <w:rsid w:val="005614F9"/>
    <w:rsid w:val="005618D4"/>
    <w:rsid w:val="00561ACA"/>
    <w:rsid w:val="00561C65"/>
    <w:rsid w:val="00562149"/>
    <w:rsid w:val="005622AA"/>
    <w:rsid w:val="005623D3"/>
    <w:rsid w:val="00562964"/>
    <w:rsid w:val="00562DE2"/>
    <w:rsid w:val="00562E18"/>
    <w:rsid w:val="00563233"/>
    <w:rsid w:val="00563240"/>
    <w:rsid w:val="005634C1"/>
    <w:rsid w:val="00563638"/>
    <w:rsid w:val="005639D2"/>
    <w:rsid w:val="00563D2C"/>
    <w:rsid w:val="00563ED6"/>
    <w:rsid w:val="005642D9"/>
    <w:rsid w:val="005647B8"/>
    <w:rsid w:val="00564867"/>
    <w:rsid w:val="00564967"/>
    <w:rsid w:val="00564B1D"/>
    <w:rsid w:val="00564BBD"/>
    <w:rsid w:val="00565174"/>
    <w:rsid w:val="00565410"/>
    <w:rsid w:val="00565660"/>
    <w:rsid w:val="00565683"/>
    <w:rsid w:val="00565747"/>
    <w:rsid w:val="005659B3"/>
    <w:rsid w:val="005659D0"/>
    <w:rsid w:val="00565BDB"/>
    <w:rsid w:val="00565C79"/>
    <w:rsid w:val="00565D50"/>
    <w:rsid w:val="00565D61"/>
    <w:rsid w:val="00565DAA"/>
    <w:rsid w:val="00565DC4"/>
    <w:rsid w:val="00565DEF"/>
    <w:rsid w:val="00565DF0"/>
    <w:rsid w:val="00566148"/>
    <w:rsid w:val="00566208"/>
    <w:rsid w:val="00566303"/>
    <w:rsid w:val="005663EF"/>
    <w:rsid w:val="005668F4"/>
    <w:rsid w:val="0056696F"/>
    <w:rsid w:val="00566AC1"/>
    <w:rsid w:val="00566B32"/>
    <w:rsid w:val="00566B97"/>
    <w:rsid w:val="00566BD1"/>
    <w:rsid w:val="00566C11"/>
    <w:rsid w:val="00566CD3"/>
    <w:rsid w:val="00566D79"/>
    <w:rsid w:val="00566D9E"/>
    <w:rsid w:val="00567422"/>
    <w:rsid w:val="00567662"/>
    <w:rsid w:val="005677D3"/>
    <w:rsid w:val="00567B25"/>
    <w:rsid w:val="00567C39"/>
    <w:rsid w:val="00567DE4"/>
    <w:rsid w:val="00567FC1"/>
    <w:rsid w:val="00567FC7"/>
    <w:rsid w:val="00570465"/>
    <w:rsid w:val="00570815"/>
    <w:rsid w:val="00570950"/>
    <w:rsid w:val="005709D9"/>
    <w:rsid w:val="00570B41"/>
    <w:rsid w:val="00570B6F"/>
    <w:rsid w:val="00571457"/>
    <w:rsid w:val="00571B50"/>
    <w:rsid w:val="00571CA8"/>
    <w:rsid w:val="00572269"/>
    <w:rsid w:val="0057244A"/>
    <w:rsid w:val="00572528"/>
    <w:rsid w:val="00572A65"/>
    <w:rsid w:val="00572AE8"/>
    <w:rsid w:val="00572B3F"/>
    <w:rsid w:val="00572BC5"/>
    <w:rsid w:val="00572C00"/>
    <w:rsid w:val="00572F26"/>
    <w:rsid w:val="00572FAA"/>
    <w:rsid w:val="0057313B"/>
    <w:rsid w:val="0057348C"/>
    <w:rsid w:val="005737AE"/>
    <w:rsid w:val="00573A89"/>
    <w:rsid w:val="00573AEB"/>
    <w:rsid w:val="00573C35"/>
    <w:rsid w:val="00573CF6"/>
    <w:rsid w:val="00574604"/>
    <w:rsid w:val="005748C3"/>
    <w:rsid w:val="00574A89"/>
    <w:rsid w:val="00574AE4"/>
    <w:rsid w:val="00574D28"/>
    <w:rsid w:val="00574F75"/>
    <w:rsid w:val="005750C5"/>
    <w:rsid w:val="005752DE"/>
    <w:rsid w:val="0057538C"/>
    <w:rsid w:val="0057546D"/>
    <w:rsid w:val="00575560"/>
    <w:rsid w:val="005757C5"/>
    <w:rsid w:val="0057588E"/>
    <w:rsid w:val="00575959"/>
    <w:rsid w:val="00575B4E"/>
    <w:rsid w:val="00575D60"/>
    <w:rsid w:val="00575D8D"/>
    <w:rsid w:val="00576867"/>
    <w:rsid w:val="00576972"/>
    <w:rsid w:val="00576FF5"/>
    <w:rsid w:val="00577080"/>
    <w:rsid w:val="00577248"/>
    <w:rsid w:val="005774D6"/>
    <w:rsid w:val="00577611"/>
    <w:rsid w:val="00577637"/>
    <w:rsid w:val="005776EC"/>
    <w:rsid w:val="0058075A"/>
    <w:rsid w:val="00580BEE"/>
    <w:rsid w:val="005815AF"/>
    <w:rsid w:val="005815BF"/>
    <w:rsid w:val="005817EC"/>
    <w:rsid w:val="00581AC1"/>
    <w:rsid w:val="00581C5D"/>
    <w:rsid w:val="005820D8"/>
    <w:rsid w:val="005820FB"/>
    <w:rsid w:val="00582460"/>
    <w:rsid w:val="00582658"/>
    <w:rsid w:val="00582872"/>
    <w:rsid w:val="00582B3F"/>
    <w:rsid w:val="00583068"/>
    <w:rsid w:val="005834E6"/>
    <w:rsid w:val="005835D5"/>
    <w:rsid w:val="00583699"/>
    <w:rsid w:val="00583AF0"/>
    <w:rsid w:val="00583E4E"/>
    <w:rsid w:val="00583EDA"/>
    <w:rsid w:val="00584620"/>
    <w:rsid w:val="00584A16"/>
    <w:rsid w:val="00584C8B"/>
    <w:rsid w:val="00584EA4"/>
    <w:rsid w:val="00584F1F"/>
    <w:rsid w:val="005850B5"/>
    <w:rsid w:val="00585260"/>
    <w:rsid w:val="005855A8"/>
    <w:rsid w:val="005856AD"/>
    <w:rsid w:val="005857C6"/>
    <w:rsid w:val="0058596D"/>
    <w:rsid w:val="00585CDD"/>
    <w:rsid w:val="00585F23"/>
    <w:rsid w:val="005860F5"/>
    <w:rsid w:val="005861A5"/>
    <w:rsid w:val="005866D9"/>
    <w:rsid w:val="00586755"/>
    <w:rsid w:val="00586A1F"/>
    <w:rsid w:val="00586FBD"/>
    <w:rsid w:val="00587058"/>
    <w:rsid w:val="00587534"/>
    <w:rsid w:val="005875C3"/>
    <w:rsid w:val="005875DF"/>
    <w:rsid w:val="00587D6E"/>
    <w:rsid w:val="00587E43"/>
    <w:rsid w:val="005907F8"/>
    <w:rsid w:val="00590A21"/>
    <w:rsid w:val="00590BE8"/>
    <w:rsid w:val="005910F7"/>
    <w:rsid w:val="005912BF"/>
    <w:rsid w:val="005913EB"/>
    <w:rsid w:val="00591532"/>
    <w:rsid w:val="00591957"/>
    <w:rsid w:val="00591FBB"/>
    <w:rsid w:val="005920A8"/>
    <w:rsid w:val="00592220"/>
    <w:rsid w:val="00592778"/>
    <w:rsid w:val="005928E6"/>
    <w:rsid w:val="00592A02"/>
    <w:rsid w:val="00592C30"/>
    <w:rsid w:val="00593117"/>
    <w:rsid w:val="005933A8"/>
    <w:rsid w:val="0059346D"/>
    <w:rsid w:val="00593B5B"/>
    <w:rsid w:val="00593DC0"/>
    <w:rsid w:val="005943CE"/>
    <w:rsid w:val="00594506"/>
    <w:rsid w:val="005945D7"/>
    <w:rsid w:val="005948CC"/>
    <w:rsid w:val="00594AB9"/>
    <w:rsid w:val="00594C97"/>
    <w:rsid w:val="00594C9B"/>
    <w:rsid w:val="00595111"/>
    <w:rsid w:val="00595256"/>
    <w:rsid w:val="00595573"/>
    <w:rsid w:val="00595843"/>
    <w:rsid w:val="0059590D"/>
    <w:rsid w:val="00595A08"/>
    <w:rsid w:val="005962FF"/>
    <w:rsid w:val="005964A1"/>
    <w:rsid w:val="00596A1F"/>
    <w:rsid w:val="00596B1A"/>
    <w:rsid w:val="00596BF5"/>
    <w:rsid w:val="00596E00"/>
    <w:rsid w:val="0059703F"/>
    <w:rsid w:val="0059794E"/>
    <w:rsid w:val="00597BF9"/>
    <w:rsid w:val="005A008E"/>
    <w:rsid w:val="005A01F9"/>
    <w:rsid w:val="005A03D6"/>
    <w:rsid w:val="005A05B2"/>
    <w:rsid w:val="005A082B"/>
    <w:rsid w:val="005A0B34"/>
    <w:rsid w:val="005A0C11"/>
    <w:rsid w:val="005A0F73"/>
    <w:rsid w:val="005A138A"/>
    <w:rsid w:val="005A1550"/>
    <w:rsid w:val="005A1979"/>
    <w:rsid w:val="005A1A4D"/>
    <w:rsid w:val="005A1B77"/>
    <w:rsid w:val="005A206B"/>
    <w:rsid w:val="005A2127"/>
    <w:rsid w:val="005A22D9"/>
    <w:rsid w:val="005A24CC"/>
    <w:rsid w:val="005A26BD"/>
    <w:rsid w:val="005A28B4"/>
    <w:rsid w:val="005A2A42"/>
    <w:rsid w:val="005A2AD4"/>
    <w:rsid w:val="005A2B07"/>
    <w:rsid w:val="005A2B69"/>
    <w:rsid w:val="005A2E99"/>
    <w:rsid w:val="005A309A"/>
    <w:rsid w:val="005A3226"/>
    <w:rsid w:val="005A373D"/>
    <w:rsid w:val="005A3787"/>
    <w:rsid w:val="005A4048"/>
    <w:rsid w:val="005A437B"/>
    <w:rsid w:val="005A481B"/>
    <w:rsid w:val="005A48D8"/>
    <w:rsid w:val="005A4B04"/>
    <w:rsid w:val="005A4BBC"/>
    <w:rsid w:val="005A4E48"/>
    <w:rsid w:val="005A4F05"/>
    <w:rsid w:val="005A55A4"/>
    <w:rsid w:val="005A560C"/>
    <w:rsid w:val="005A58D5"/>
    <w:rsid w:val="005A595B"/>
    <w:rsid w:val="005A5E5B"/>
    <w:rsid w:val="005A65FA"/>
    <w:rsid w:val="005A6687"/>
    <w:rsid w:val="005A68D6"/>
    <w:rsid w:val="005A69BD"/>
    <w:rsid w:val="005A69FE"/>
    <w:rsid w:val="005A6C74"/>
    <w:rsid w:val="005A6FC1"/>
    <w:rsid w:val="005A71FA"/>
    <w:rsid w:val="005A771F"/>
    <w:rsid w:val="005A7762"/>
    <w:rsid w:val="005A7D70"/>
    <w:rsid w:val="005A7F16"/>
    <w:rsid w:val="005A7FB0"/>
    <w:rsid w:val="005B0350"/>
    <w:rsid w:val="005B0371"/>
    <w:rsid w:val="005B0B58"/>
    <w:rsid w:val="005B0B8F"/>
    <w:rsid w:val="005B0D5E"/>
    <w:rsid w:val="005B0D7A"/>
    <w:rsid w:val="005B0DD6"/>
    <w:rsid w:val="005B0EAD"/>
    <w:rsid w:val="005B0EE1"/>
    <w:rsid w:val="005B1282"/>
    <w:rsid w:val="005B1343"/>
    <w:rsid w:val="005B1A43"/>
    <w:rsid w:val="005B226C"/>
    <w:rsid w:val="005B2407"/>
    <w:rsid w:val="005B26AB"/>
    <w:rsid w:val="005B28C9"/>
    <w:rsid w:val="005B28D7"/>
    <w:rsid w:val="005B2A21"/>
    <w:rsid w:val="005B32E3"/>
    <w:rsid w:val="005B33E9"/>
    <w:rsid w:val="005B3404"/>
    <w:rsid w:val="005B3445"/>
    <w:rsid w:val="005B3539"/>
    <w:rsid w:val="005B36A7"/>
    <w:rsid w:val="005B3C75"/>
    <w:rsid w:val="005B3CE1"/>
    <w:rsid w:val="005B3D89"/>
    <w:rsid w:val="005B4184"/>
    <w:rsid w:val="005B49B0"/>
    <w:rsid w:val="005B49D8"/>
    <w:rsid w:val="005B4B1E"/>
    <w:rsid w:val="005B4E53"/>
    <w:rsid w:val="005B4F6C"/>
    <w:rsid w:val="005B5033"/>
    <w:rsid w:val="005B50C0"/>
    <w:rsid w:val="005B52E1"/>
    <w:rsid w:val="005B5457"/>
    <w:rsid w:val="005B5566"/>
    <w:rsid w:val="005B5687"/>
    <w:rsid w:val="005B56B6"/>
    <w:rsid w:val="005B5836"/>
    <w:rsid w:val="005B5857"/>
    <w:rsid w:val="005B5E85"/>
    <w:rsid w:val="005B5ED7"/>
    <w:rsid w:val="005B6130"/>
    <w:rsid w:val="005B63FF"/>
    <w:rsid w:val="005B649E"/>
    <w:rsid w:val="005B685E"/>
    <w:rsid w:val="005B686F"/>
    <w:rsid w:val="005B6B7D"/>
    <w:rsid w:val="005B6BA0"/>
    <w:rsid w:val="005B6FB1"/>
    <w:rsid w:val="005B7202"/>
    <w:rsid w:val="005B76A2"/>
    <w:rsid w:val="005C0012"/>
    <w:rsid w:val="005C01A8"/>
    <w:rsid w:val="005C061D"/>
    <w:rsid w:val="005C0682"/>
    <w:rsid w:val="005C08C4"/>
    <w:rsid w:val="005C0A7B"/>
    <w:rsid w:val="005C0BE9"/>
    <w:rsid w:val="005C0C02"/>
    <w:rsid w:val="005C0F31"/>
    <w:rsid w:val="005C115E"/>
    <w:rsid w:val="005C1675"/>
    <w:rsid w:val="005C1721"/>
    <w:rsid w:val="005C19C4"/>
    <w:rsid w:val="005C1B83"/>
    <w:rsid w:val="005C1C91"/>
    <w:rsid w:val="005C1E7B"/>
    <w:rsid w:val="005C204A"/>
    <w:rsid w:val="005C232A"/>
    <w:rsid w:val="005C2474"/>
    <w:rsid w:val="005C25FF"/>
    <w:rsid w:val="005C289B"/>
    <w:rsid w:val="005C2A8C"/>
    <w:rsid w:val="005C2B96"/>
    <w:rsid w:val="005C2D55"/>
    <w:rsid w:val="005C2DED"/>
    <w:rsid w:val="005C2EA4"/>
    <w:rsid w:val="005C33DE"/>
    <w:rsid w:val="005C346B"/>
    <w:rsid w:val="005C398D"/>
    <w:rsid w:val="005C3DE8"/>
    <w:rsid w:val="005C3F59"/>
    <w:rsid w:val="005C4243"/>
    <w:rsid w:val="005C42E7"/>
    <w:rsid w:val="005C467F"/>
    <w:rsid w:val="005C4944"/>
    <w:rsid w:val="005C4F81"/>
    <w:rsid w:val="005C51E2"/>
    <w:rsid w:val="005C5489"/>
    <w:rsid w:val="005C5561"/>
    <w:rsid w:val="005C5757"/>
    <w:rsid w:val="005C5ABC"/>
    <w:rsid w:val="005C5C23"/>
    <w:rsid w:val="005C5DDB"/>
    <w:rsid w:val="005C604D"/>
    <w:rsid w:val="005C64F8"/>
    <w:rsid w:val="005C6543"/>
    <w:rsid w:val="005C654C"/>
    <w:rsid w:val="005C67D7"/>
    <w:rsid w:val="005C6914"/>
    <w:rsid w:val="005C6E92"/>
    <w:rsid w:val="005C71E5"/>
    <w:rsid w:val="005C71F5"/>
    <w:rsid w:val="005C747F"/>
    <w:rsid w:val="005C75FF"/>
    <w:rsid w:val="005C7922"/>
    <w:rsid w:val="005C7944"/>
    <w:rsid w:val="005C7959"/>
    <w:rsid w:val="005C7BC5"/>
    <w:rsid w:val="005C7D79"/>
    <w:rsid w:val="005C7D81"/>
    <w:rsid w:val="005C7DAA"/>
    <w:rsid w:val="005D018D"/>
    <w:rsid w:val="005D03FD"/>
    <w:rsid w:val="005D044D"/>
    <w:rsid w:val="005D05A2"/>
    <w:rsid w:val="005D060F"/>
    <w:rsid w:val="005D0ABD"/>
    <w:rsid w:val="005D0EFB"/>
    <w:rsid w:val="005D10F6"/>
    <w:rsid w:val="005D13A9"/>
    <w:rsid w:val="005D14B4"/>
    <w:rsid w:val="005D1571"/>
    <w:rsid w:val="005D1643"/>
    <w:rsid w:val="005D18AD"/>
    <w:rsid w:val="005D1D4F"/>
    <w:rsid w:val="005D1D83"/>
    <w:rsid w:val="005D200F"/>
    <w:rsid w:val="005D2209"/>
    <w:rsid w:val="005D220D"/>
    <w:rsid w:val="005D2476"/>
    <w:rsid w:val="005D25C4"/>
    <w:rsid w:val="005D26B4"/>
    <w:rsid w:val="005D2E7C"/>
    <w:rsid w:val="005D2EA8"/>
    <w:rsid w:val="005D33B2"/>
    <w:rsid w:val="005D3421"/>
    <w:rsid w:val="005D35E5"/>
    <w:rsid w:val="005D36D5"/>
    <w:rsid w:val="005D3795"/>
    <w:rsid w:val="005D384D"/>
    <w:rsid w:val="005D3D62"/>
    <w:rsid w:val="005D444E"/>
    <w:rsid w:val="005D492D"/>
    <w:rsid w:val="005D521C"/>
    <w:rsid w:val="005D5381"/>
    <w:rsid w:val="005D56C0"/>
    <w:rsid w:val="005D56D2"/>
    <w:rsid w:val="005D5728"/>
    <w:rsid w:val="005D5850"/>
    <w:rsid w:val="005D585A"/>
    <w:rsid w:val="005D5907"/>
    <w:rsid w:val="005D5A39"/>
    <w:rsid w:val="005D5F8E"/>
    <w:rsid w:val="005D614B"/>
    <w:rsid w:val="005D685F"/>
    <w:rsid w:val="005D6944"/>
    <w:rsid w:val="005D6C9D"/>
    <w:rsid w:val="005D6D57"/>
    <w:rsid w:val="005D7198"/>
    <w:rsid w:val="005D72DD"/>
    <w:rsid w:val="005D7A34"/>
    <w:rsid w:val="005D7B81"/>
    <w:rsid w:val="005D7C7E"/>
    <w:rsid w:val="005E0ABB"/>
    <w:rsid w:val="005E0CCF"/>
    <w:rsid w:val="005E1016"/>
    <w:rsid w:val="005E11C4"/>
    <w:rsid w:val="005E1995"/>
    <w:rsid w:val="005E1C17"/>
    <w:rsid w:val="005E20D9"/>
    <w:rsid w:val="005E2280"/>
    <w:rsid w:val="005E23A2"/>
    <w:rsid w:val="005E2AFC"/>
    <w:rsid w:val="005E2B55"/>
    <w:rsid w:val="005E2E5D"/>
    <w:rsid w:val="005E2F80"/>
    <w:rsid w:val="005E2FE5"/>
    <w:rsid w:val="005E307D"/>
    <w:rsid w:val="005E3819"/>
    <w:rsid w:val="005E392C"/>
    <w:rsid w:val="005E3B6B"/>
    <w:rsid w:val="005E425E"/>
    <w:rsid w:val="005E428B"/>
    <w:rsid w:val="005E42A7"/>
    <w:rsid w:val="005E454E"/>
    <w:rsid w:val="005E4870"/>
    <w:rsid w:val="005E48E7"/>
    <w:rsid w:val="005E4B16"/>
    <w:rsid w:val="005E4B1C"/>
    <w:rsid w:val="005E4DCF"/>
    <w:rsid w:val="005E56B8"/>
    <w:rsid w:val="005E5BBF"/>
    <w:rsid w:val="005E5BCF"/>
    <w:rsid w:val="005E5DE6"/>
    <w:rsid w:val="005E5EB5"/>
    <w:rsid w:val="005E62D8"/>
    <w:rsid w:val="005E636B"/>
    <w:rsid w:val="005E64B2"/>
    <w:rsid w:val="005E6726"/>
    <w:rsid w:val="005E6CBC"/>
    <w:rsid w:val="005E72FF"/>
    <w:rsid w:val="005E73C0"/>
    <w:rsid w:val="005E75CE"/>
    <w:rsid w:val="005E7677"/>
    <w:rsid w:val="005E7CD8"/>
    <w:rsid w:val="005E7FDB"/>
    <w:rsid w:val="005F041E"/>
    <w:rsid w:val="005F07ED"/>
    <w:rsid w:val="005F08DD"/>
    <w:rsid w:val="005F0AD0"/>
    <w:rsid w:val="005F0BF7"/>
    <w:rsid w:val="005F0C4E"/>
    <w:rsid w:val="005F0CEC"/>
    <w:rsid w:val="005F0E32"/>
    <w:rsid w:val="005F0FCF"/>
    <w:rsid w:val="005F1141"/>
    <w:rsid w:val="005F1288"/>
    <w:rsid w:val="005F139A"/>
    <w:rsid w:val="005F179D"/>
    <w:rsid w:val="005F207F"/>
    <w:rsid w:val="005F241B"/>
    <w:rsid w:val="005F2639"/>
    <w:rsid w:val="005F2682"/>
    <w:rsid w:val="005F2706"/>
    <w:rsid w:val="005F285A"/>
    <w:rsid w:val="005F29A0"/>
    <w:rsid w:val="005F2CF8"/>
    <w:rsid w:val="005F2E38"/>
    <w:rsid w:val="005F352B"/>
    <w:rsid w:val="005F3BB3"/>
    <w:rsid w:val="005F3BC3"/>
    <w:rsid w:val="005F3E49"/>
    <w:rsid w:val="005F41B3"/>
    <w:rsid w:val="005F4B23"/>
    <w:rsid w:val="005F4B4F"/>
    <w:rsid w:val="005F55F4"/>
    <w:rsid w:val="005F59BB"/>
    <w:rsid w:val="005F5ABE"/>
    <w:rsid w:val="005F5F85"/>
    <w:rsid w:val="005F5FD3"/>
    <w:rsid w:val="005F6398"/>
    <w:rsid w:val="005F63E4"/>
    <w:rsid w:val="005F66F6"/>
    <w:rsid w:val="005F6705"/>
    <w:rsid w:val="005F6940"/>
    <w:rsid w:val="005F6A8F"/>
    <w:rsid w:val="005F6BB7"/>
    <w:rsid w:val="005F6EAC"/>
    <w:rsid w:val="005F7054"/>
    <w:rsid w:val="005F74D1"/>
    <w:rsid w:val="005F74D4"/>
    <w:rsid w:val="005F7588"/>
    <w:rsid w:val="005F7AAC"/>
    <w:rsid w:val="005F7AD9"/>
    <w:rsid w:val="006000AA"/>
    <w:rsid w:val="006001AD"/>
    <w:rsid w:val="00600496"/>
    <w:rsid w:val="00600690"/>
    <w:rsid w:val="00600D8B"/>
    <w:rsid w:val="00600DCF"/>
    <w:rsid w:val="00601160"/>
    <w:rsid w:val="0060123A"/>
    <w:rsid w:val="00601460"/>
    <w:rsid w:val="00601553"/>
    <w:rsid w:val="00601812"/>
    <w:rsid w:val="00601B34"/>
    <w:rsid w:val="00601BAF"/>
    <w:rsid w:val="00601C93"/>
    <w:rsid w:val="00601EEC"/>
    <w:rsid w:val="00601F1D"/>
    <w:rsid w:val="00602180"/>
    <w:rsid w:val="006021BD"/>
    <w:rsid w:val="00602217"/>
    <w:rsid w:val="006028D3"/>
    <w:rsid w:val="00602B1C"/>
    <w:rsid w:val="00602B90"/>
    <w:rsid w:val="00602CCB"/>
    <w:rsid w:val="00602ED2"/>
    <w:rsid w:val="0060317A"/>
    <w:rsid w:val="006037CE"/>
    <w:rsid w:val="006037E3"/>
    <w:rsid w:val="00603890"/>
    <w:rsid w:val="006038C7"/>
    <w:rsid w:val="00603AB7"/>
    <w:rsid w:val="00603CDB"/>
    <w:rsid w:val="00603DB9"/>
    <w:rsid w:val="00603DF9"/>
    <w:rsid w:val="006040BD"/>
    <w:rsid w:val="00604519"/>
    <w:rsid w:val="00604DC3"/>
    <w:rsid w:val="00604E2C"/>
    <w:rsid w:val="0060544D"/>
    <w:rsid w:val="0060552F"/>
    <w:rsid w:val="00605651"/>
    <w:rsid w:val="00605B76"/>
    <w:rsid w:val="00605E72"/>
    <w:rsid w:val="00606185"/>
    <w:rsid w:val="006068B3"/>
    <w:rsid w:val="00606F4D"/>
    <w:rsid w:val="00606FBA"/>
    <w:rsid w:val="006070B8"/>
    <w:rsid w:val="00607160"/>
    <w:rsid w:val="006071D1"/>
    <w:rsid w:val="0060737F"/>
    <w:rsid w:val="006073F9"/>
    <w:rsid w:val="00607669"/>
    <w:rsid w:val="0060768E"/>
    <w:rsid w:val="006076F4"/>
    <w:rsid w:val="006078EB"/>
    <w:rsid w:val="00607AFD"/>
    <w:rsid w:val="00607C3E"/>
    <w:rsid w:val="00607DFD"/>
    <w:rsid w:val="00607E70"/>
    <w:rsid w:val="006102FF"/>
    <w:rsid w:val="00610467"/>
    <w:rsid w:val="0061061E"/>
    <w:rsid w:val="00610C80"/>
    <w:rsid w:val="00610D04"/>
    <w:rsid w:val="00610D5E"/>
    <w:rsid w:val="006115F6"/>
    <w:rsid w:val="006119E9"/>
    <w:rsid w:val="00611A7C"/>
    <w:rsid w:val="00611B12"/>
    <w:rsid w:val="00611B18"/>
    <w:rsid w:val="00611C77"/>
    <w:rsid w:val="006121C5"/>
    <w:rsid w:val="00612228"/>
    <w:rsid w:val="00612456"/>
    <w:rsid w:val="00612459"/>
    <w:rsid w:val="00612C92"/>
    <w:rsid w:val="00612F69"/>
    <w:rsid w:val="00612F97"/>
    <w:rsid w:val="00613058"/>
    <w:rsid w:val="00613084"/>
    <w:rsid w:val="00613234"/>
    <w:rsid w:val="0061345D"/>
    <w:rsid w:val="00613598"/>
    <w:rsid w:val="006135F7"/>
    <w:rsid w:val="00613762"/>
    <w:rsid w:val="0061380D"/>
    <w:rsid w:val="0061380F"/>
    <w:rsid w:val="00613CEE"/>
    <w:rsid w:val="00614093"/>
    <w:rsid w:val="00614508"/>
    <w:rsid w:val="006146BB"/>
    <w:rsid w:val="006146C4"/>
    <w:rsid w:val="006147F1"/>
    <w:rsid w:val="00614A7F"/>
    <w:rsid w:val="00614BD5"/>
    <w:rsid w:val="00614E18"/>
    <w:rsid w:val="00614EDE"/>
    <w:rsid w:val="00614F90"/>
    <w:rsid w:val="00615011"/>
    <w:rsid w:val="0061508F"/>
    <w:rsid w:val="0061549B"/>
    <w:rsid w:val="006154AA"/>
    <w:rsid w:val="00615864"/>
    <w:rsid w:val="006159CF"/>
    <w:rsid w:val="006159FC"/>
    <w:rsid w:val="00615C2E"/>
    <w:rsid w:val="00615EF3"/>
    <w:rsid w:val="00616044"/>
    <w:rsid w:val="006161AB"/>
    <w:rsid w:val="0061633D"/>
    <w:rsid w:val="006164A6"/>
    <w:rsid w:val="0061677E"/>
    <w:rsid w:val="00616788"/>
    <w:rsid w:val="00616802"/>
    <w:rsid w:val="00616B02"/>
    <w:rsid w:val="00616D51"/>
    <w:rsid w:val="0061743D"/>
    <w:rsid w:val="00617661"/>
    <w:rsid w:val="00617816"/>
    <w:rsid w:val="00617A9E"/>
    <w:rsid w:val="00617B75"/>
    <w:rsid w:val="00617BD1"/>
    <w:rsid w:val="00617D08"/>
    <w:rsid w:val="00617E12"/>
    <w:rsid w:val="00620003"/>
    <w:rsid w:val="0062016D"/>
    <w:rsid w:val="006202BF"/>
    <w:rsid w:val="00620314"/>
    <w:rsid w:val="006204D2"/>
    <w:rsid w:val="0062055F"/>
    <w:rsid w:val="006205B8"/>
    <w:rsid w:val="006205DE"/>
    <w:rsid w:val="006206C5"/>
    <w:rsid w:val="0062078F"/>
    <w:rsid w:val="00620978"/>
    <w:rsid w:val="00620B6E"/>
    <w:rsid w:val="00620C25"/>
    <w:rsid w:val="00620CED"/>
    <w:rsid w:val="00620D36"/>
    <w:rsid w:val="00620EA3"/>
    <w:rsid w:val="006213E1"/>
    <w:rsid w:val="00621477"/>
    <w:rsid w:val="0062147F"/>
    <w:rsid w:val="006214E0"/>
    <w:rsid w:val="00621748"/>
    <w:rsid w:val="006217F6"/>
    <w:rsid w:val="00621ADA"/>
    <w:rsid w:val="00621DD1"/>
    <w:rsid w:val="00621F10"/>
    <w:rsid w:val="00622149"/>
    <w:rsid w:val="00622364"/>
    <w:rsid w:val="00622452"/>
    <w:rsid w:val="0062246B"/>
    <w:rsid w:val="0062248B"/>
    <w:rsid w:val="006224A7"/>
    <w:rsid w:val="0062252A"/>
    <w:rsid w:val="0062292E"/>
    <w:rsid w:val="00622AAB"/>
    <w:rsid w:val="00622EBC"/>
    <w:rsid w:val="00622EFB"/>
    <w:rsid w:val="00622F8B"/>
    <w:rsid w:val="00623104"/>
    <w:rsid w:val="0062326D"/>
    <w:rsid w:val="006233F5"/>
    <w:rsid w:val="00623415"/>
    <w:rsid w:val="00623477"/>
    <w:rsid w:val="006237B7"/>
    <w:rsid w:val="00623884"/>
    <w:rsid w:val="0062394F"/>
    <w:rsid w:val="00623AC5"/>
    <w:rsid w:val="00623DF9"/>
    <w:rsid w:val="00623F7B"/>
    <w:rsid w:val="00624BD4"/>
    <w:rsid w:val="00625136"/>
    <w:rsid w:val="00625291"/>
    <w:rsid w:val="0062532A"/>
    <w:rsid w:val="00625605"/>
    <w:rsid w:val="00625BAB"/>
    <w:rsid w:val="00626217"/>
    <w:rsid w:val="0062624F"/>
    <w:rsid w:val="00626746"/>
    <w:rsid w:val="00626C41"/>
    <w:rsid w:val="00626EDF"/>
    <w:rsid w:val="0062733B"/>
    <w:rsid w:val="006273AF"/>
    <w:rsid w:val="0062778B"/>
    <w:rsid w:val="00627814"/>
    <w:rsid w:val="0062791C"/>
    <w:rsid w:val="00627D22"/>
    <w:rsid w:val="00627DA8"/>
    <w:rsid w:val="006302D7"/>
    <w:rsid w:val="0063080A"/>
    <w:rsid w:val="00630EDE"/>
    <w:rsid w:val="00630FCE"/>
    <w:rsid w:val="006310EF"/>
    <w:rsid w:val="006314DC"/>
    <w:rsid w:val="0063158F"/>
    <w:rsid w:val="0063159C"/>
    <w:rsid w:val="006315C1"/>
    <w:rsid w:val="0063188C"/>
    <w:rsid w:val="006319BA"/>
    <w:rsid w:val="00631D6B"/>
    <w:rsid w:val="00631F82"/>
    <w:rsid w:val="00632183"/>
    <w:rsid w:val="00632317"/>
    <w:rsid w:val="0063239B"/>
    <w:rsid w:val="0063245A"/>
    <w:rsid w:val="006324F1"/>
    <w:rsid w:val="0063255B"/>
    <w:rsid w:val="006327BE"/>
    <w:rsid w:val="00632847"/>
    <w:rsid w:val="006328AD"/>
    <w:rsid w:val="006328B2"/>
    <w:rsid w:val="00632EBC"/>
    <w:rsid w:val="006330A1"/>
    <w:rsid w:val="00634044"/>
    <w:rsid w:val="006344DC"/>
    <w:rsid w:val="00634580"/>
    <w:rsid w:val="0063458C"/>
    <w:rsid w:val="0063479F"/>
    <w:rsid w:val="00634983"/>
    <w:rsid w:val="00634B08"/>
    <w:rsid w:val="00634E86"/>
    <w:rsid w:val="00634EAA"/>
    <w:rsid w:val="0063501C"/>
    <w:rsid w:val="006353F0"/>
    <w:rsid w:val="006357B5"/>
    <w:rsid w:val="006358A9"/>
    <w:rsid w:val="00635F77"/>
    <w:rsid w:val="006364A1"/>
    <w:rsid w:val="006365DF"/>
    <w:rsid w:val="0063678E"/>
    <w:rsid w:val="006369D5"/>
    <w:rsid w:val="00636BC2"/>
    <w:rsid w:val="00636D39"/>
    <w:rsid w:val="00636ED1"/>
    <w:rsid w:val="0063702E"/>
    <w:rsid w:val="0063706E"/>
    <w:rsid w:val="00637465"/>
    <w:rsid w:val="0063775D"/>
    <w:rsid w:val="006377A9"/>
    <w:rsid w:val="006379D3"/>
    <w:rsid w:val="00637B13"/>
    <w:rsid w:val="00637BFD"/>
    <w:rsid w:val="00637C5C"/>
    <w:rsid w:val="00637DB5"/>
    <w:rsid w:val="00637DF9"/>
    <w:rsid w:val="006401F2"/>
    <w:rsid w:val="00640239"/>
    <w:rsid w:val="006402C9"/>
    <w:rsid w:val="0064040A"/>
    <w:rsid w:val="006405BF"/>
    <w:rsid w:val="006407A3"/>
    <w:rsid w:val="00640882"/>
    <w:rsid w:val="006409C9"/>
    <w:rsid w:val="00640D4A"/>
    <w:rsid w:val="0064110C"/>
    <w:rsid w:val="00641354"/>
    <w:rsid w:val="0064140F"/>
    <w:rsid w:val="0064159F"/>
    <w:rsid w:val="00641800"/>
    <w:rsid w:val="00641AA1"/>
    <w:rsid w:val="00641C18"/>
    <w:rsid w:val="00641C4E"/>
    <w:rsid w:val="00641FB3"/>
    <w:rsid w:val="00641FB7"/>
    <w:rsid w:val="006427BB"/>
    <w:rsid w:val="00642A9D"/>
    <w:rsid w:val="006431C9"/>
    <w:rsid w:val="00643264"/>
    <w:rsid w:val="006435B9"/>
    <w:rsid w:val="0064360A"/>
    <w:rsid w:val="006437E9"/>
    <w:rsid w:val="00643FC1"/>
    <w:rsid w:val="00643FFA"/>
    <w:rsid w:val="0064434C"/>
    <w:rsid w:val="00644429"/>
    <w:rsid w:val="006448B4"/>
    <w:rsid w:val="00644A6A"/>
    <w:rsid w:val="00644AA0"/>
    <w:rsid w:val="00644BF0"/>
    <w:rsid w:val="00644DC1"/>
    <w:rsid w:val="00644EBF"/>
    <w:rsid w:val="006456B7"/>
    <w:rsid w:val="006456BA"/>
    <w:rsid w:val="00645814"/>
    <w:rsid w:val="0064590E"/>
    <w:rsid w:val="006459DC"/>
    <w:rsid w:val="00645EFE"/>
    <w:rsid w:val="0064632E"/>
    <w:rsid w:val="0064656D"/>
    <w:rsid w:val="00646646"/>
    <w:rsid w:val="0064688D"/>
    <w:rsid w:val="00646ABA"/>
    <w:rsid w:val="00646D32"/>
    <w:rsid w:val="006471CC"/>
    <w:rsid w:val="00647281"/>
    <w:rsid w:val="006472FE"/>
    <w:rsid w:val="006476C1"/>
    <w:rsid w:val="006478E7"/>
    <w:rsid w:val="00647A29"/>
    <w:rsid w:val="00647B91"/>
    <w:rsid w:val="00647CE2"/>
    <w:rsid w:val="00647D71"/>
    <w:rsid w:val="0065032C"/>
    <w:rsid w:val="00650386"/>
    <w:rsid w:val="0065079F"/>
    <w:rsid w:val="00650991"/>
    <w:rsid w:val="00650E09"/>
    <w:rsid w:val="00650F16"/>
    <w:rsid w:val="0065191A"/>
    <w:rsid w:val="00651A2D"/>
    <w:rsid w:val="00651B98"/>
    <w:rsid w:val="00651BB6"/>
    <w:rsid w:val="00651D35"/>
    <w:rsid w:val="0065236A"/>
    <w:rsid w:val="00652675"/>
    <w:rsid w:val="00652A28"/>
    <w:rsid w:val="00652C25"/>
    <w:rsid w:val="00652E8D"/>
    <w:rsid w:val="00652F7A"/>
    <w:rsid w:val="006532E5"/>
    <w:rsid w:val="0065379F"/>
    <w:rsid w:val="00653A12"/>
    <w:rsid w:val="00653CC4"/>
    <w:rsid w:val="00653DFF"/>
    <w:rsid w:val="0065411F"/>
    <w:rsid w:val="006546C2"/>
    <w:rsid w:val="006546F4"/>
    <w:rsid w:val="0065475C"/>
    <w:rsid w:val="006548FF"/>
    <w:rsid w:val="00654AA5"/>
    <w:rsid w:val="00654D95"/>
    <w:rsid w:val="00655097"/>
    <w:rsid w:val="0065510B"/>
    <w:rsid w:val="0065510E"/>
    <w:rsid w:val="00655D1C"/>
    <w:rsid w:val="00655E8C"/>
    <w:rsid w:val="00656180"/>
    <w:rsid w:val="00656188"/>
    <w:rsid w:val="0065630B"/>
    <w:rsid w:val="0065667B"/>
    <w:rsid w:val="00656BFF"/>
    <w:rsid w:val="00656ECC"/>
    <w:rsid w:val="00656F1F"/>
    <w:rsid w:val="00656FF1"/>
    <w:rsid w:val="0065715A"/>
    <w:rsid w:val="006572CA"/>
    <w:rsid w:val="0065741C"/>
    <w:rsid w:val="006574CD"/>
    <w:rsid w:val="0065772E"/>
    <w:rsid w:val="006579EB"/>
    <w:rsid w:val="00657A62"/>
    <w:rsid w:val="00657D4B"/>
    <w:rsid w:val="00657EED"/>
    <w:rsid w:val="0066002B"/>
    <w:rsid w:val="006601FF"/>
    <w:rsid w:val="0066052E"/>
    <w:rsid w:val="00660A27"/>
    <w:rsid w:val="00660B55"/>
    <w:rsid w:val="006610F1"/>
    <w:rsid w:val="00661162"/>
    <w:rsid w:val="00661729"/>
    <w:rsid w:val="006617A4"/>
    <w:rsid w:val="006618C6"/>
    <w:rsid w:val="00661B4F"/>
    <w:rsid w:val="00661B89"/>
    <w:rsid w:val="00661C28"/>
    <w:rsid w:val="00661C6B"/>
    <w:rsid w:val="006620F2"/>
    <w:rsid w:val="006621D3"/>
    <w:rsid w:val="00662255"/>
    <w:rsid w:val="0066268B"/>
    <w:rsid w:val="00662793"/>
    <w:rsid w:val="006628C5"/>
    <w:rsid w:val="006629C2"/>
    <w:rsid w:val="00662A18"/>
    <w:rsid w:val="00662D3E"/>
    <w:rsid w:val="00663531"/>
    <w:rsid w:val="00663714"/>
    <w:rsid w:val="006638A4"/>
    <w:rsid w:val="00663B56"/>
    <w:rsid w:val="00663BDF"/>
    <w:rsid w:val="00663DE7"/>
    <w:rsid w:val="0066406C"/>
    <w:rsid w:val="00664344"/>
    <w:rsid w:val="0066447A"/>
    <w:rsid w:val="00664836"/>
    <w:rsid w:val="006649D4"/>
    <w:rsid w:val="00664A29"/>
    <w:rsid w:val="00664AB5"/>
    <w:rsid w:val="00664B94"/>
    <w:rsid w:val="00664F91"/>
    <w:rsid w:val="006654EB"/>
    <w:rsid w:val="00665D69"/>
    <w:rsid w:val="00665E1A"/>
    <w:rsid w:val="006660D3"/>
    <w:rsid w:val="0066666E"/>
    <w:rsid w:val="00666798"/>
    <w:rsid w:val="006667D6"/>
    <w:rsid w:val="00666ACB"/>
    <w:rsid w:val="00666B86"/>
    <w:rsid w:val="006676C7"/>
    <w:rsid w:val="00667A07"/>
    <w:rsid w:val="00667BE3"/>
    <w:rsid w:val="00667DAD"/>
    <w:rsid w:val="00667F14"/>
    <w:rsid w:val="00667FDE"/>
    <w:rsid w:val="006705FA"/>
    <w:rsid w:val="006709E9"/>
    <w:rsid w:val="00670A55"/>
    <w:rsid w:val="00670C5B"/>
    <w:rsid w:val="00670FF6"/>
    <w:rsid w:val="00671004"/>
    <w:rsid w:val="0067123E"/>
    <w:rsid w:val="00671453"/>
    <w:rsid w:val="00671917"/>
    <w:rsid w:val="00671BA9"/>
    <w:rsid w:val="00671D5B"/>
    <w:rsid w:val="00671E68"/>
    <w:rsid w:val="0067207F"/>
    <w:rsid w:val="0067208C"/>
    <w:rsid w:val="0067227A"/>
    <w:rsid w:val="006724BA"/>
    <w:rsid w:val="0067257D"/>
    <w:rsid w:val="006725E2"/>
    <w:rsid w:val="00672646"/>
    <w:rsid w:val="006727A8"/>
    <w:rsid w:val="00672BBB"/>
    <w:rsid w:val="0067323B"/>
    <w:rsid w:val="00673249"/>
    <w:rsid w:val="0067324B"/>
    <w:rsid w:val="006732C8"/>
    <w:rsid w:val="006732DC"/>
    <w:rsid w:val="006736ED"/>
    <w:rsid w:val="00673FFF"/>
    <w:rsid w:val="0067467F"/>
    <w:rsid w:val="00674771"/>
    <w:rsid w:val="00674A3A"/>
    <w:rsid w:val="00674BCB"/>
    <w:rsid w:val="00674CE7"/>
    <w:rsid w:val="00674D04"/>
    <w:rsid w:val="00674E42"/>
    <w:rsid w:val="00675141"/>
    <w:rsid w:val="00675975"/>
    <w:rsid w:val="00675EBE"/>
    <w:rsid w:val="00675FFF"/>
    <w:rsid w:val="00676563"/>
    <w:rsid w:val="0067656C"/>
    <w:rsid w:val="006768FF"/>
    <w:rsid w:val="00676B46"/>
    <w:rsid w:val="00676C36"/>
    <w:rsid w:val="00676D77"/>
    <w:rsid w:val="00677135"/>
    <w:rsid w:val="00677280"/>
    <w:rsid w:val="0067730B"/>
    <w:rsid w:val="00677CAD"/>
    <w:rsid w:val="00677D2C"/>
    <w:rsid w:val="0068062A"/>
    <w:rsid w:val="00680A14"/>
    <w:rsid w:val="00680A2F"/>
    <w:rsid w:val="00680A79"/>
    <w:rsid w:val="00680F44"/>
    <w:rsid w:val="006813F8"/>
    <w:rsid w:val="0068148F"/>
    <w:rsid w:val="006817CA"/>
    <w:rsid w:val="006818BE"/>
    <w:rsid w:val="00681C92"/>
    <w:rsid w:val="00682112"/>
    <w:rsid w:val="006823D8"/>
    <w:rsid w:val="0068265F"/>
    <w:rsid w:val="0068270B"/>
    <w:rsid w:val="006827F3"/>
    <w:rsid w:val="006829E2"/>
    <w:rsid w:val="00682B91"/>
    <w:rsid w:val="00682BA6"/>
    <w:rsid w:val="006833B8"/>
    <w:rsid w:val="00683672"/>
    <w:rsid w:val="006838A0"/>
    <w:rsid w:val="006838FA"/>
    <w:rsid w:val="00683A03"/>
    <w:rsid w:val="00683EDB"/>
    <w:rsid w:val="00684124"/>
    <w:rsid w:val="00684152"/>
    <w:rsid w:val="006845FC"/>
    <w:rsid w:val="00684610"/>
    <w:rsid w:val="00684DF4"/>
    <w:rsid w:val="00684DF8"/>
    <w:rsid w:val="00684FC7"/>
    <w:rsid w:val="0068524C"/>
    <w:rsid w:val="006852E2"/>
    <w:rsid w:val="00685A02"/>
    <w:rsid w:val="00685F64"/>
    <w:rsid w:val="0068615F"/>
    <w:rsid w:val="006861AC"/>
    <w:rsid w:val="006864D0"/>
    <w:rsid w:val="006864FF"/>
    <w:rsid w:val="0068661C"/>
    <w:rsid w:val="00686957"/>
    <w:rsid w:val="00687199"/>
    <w:rsid w:val="006871AF"/>
    <w:rsid w:val="006872BA"/>
    <w:rsid w:val="006872CD"/>
    <w:rsid w:val="0068772A"/>
    <w:rsid w:val="00690101"/>
    <w:rsid w:val="0069015F"/>
    <w:rsid w:val="0069028B"/>
    <w:rsid w:val="00690312"/>
    <w:rsid w:val="0069050B"/>
    <w:rsid w:val="006906BE"/>
    <w:rsid w:val="006906C2"/>
    <w:rsid w:val="00690795"/>
    <w:rsid w:val="00690996"/>
    <w:rsid w:val="00690D24"/>
    <w:rsid w:val="00690F02"/>
    <w:rsid w:val="00690FAB"/>
    <w:rsid w:val="0069106A"/>
    <w:rsid w:val="00691447"/>
    <w:rsid w:val="00691648"/>
    <w:rsid w:val="006917D7"/>
    <w:rsid w:val="0069181D"/>
    <w:rsid w:val="00691D8D"/>
    <w:rsid w:val="006924C3"/>
    <w:rsid w:val="00692A4D"/>
    <w:rsid w:val="00692EFE"/>
    <w:rsid w:val="0069329B"/>
    <w:rsid w:val="00693589"/>
    <w:rsid w:val="006937CE"/>
    <w:rsid w:val="00693850"/>
    <w:rsid w:val="00693893"/>
    <w:rsid w:val="006938FD"/>
    <w:rsid w:val="0069434C"/>
    <w:rsid w:val="00694670"/>
    <w:rsid w:val="00694707"/>
    <w:rsid w:val="006947FC"/>
    <w:rsid w:val="006948E8"/>
    <w:rsid w:val="00694EBD"/>
    <w:rsid w:val="00694F44"/>
    <w:rsid w:val="006953F7"/>
    <w:rsid w:val="0069560A"/>
    <w:rsid w:val="006959D1"/>
    <w:rsid w:val="00695A09"/>
    <w:rsid w:val="00695E15"/>
    <w:rsid w:val="00696306"/>
    <w:rsid w:val="0069655F"/>
    <w:rsid w:val="00696673"/>
    <w:rsid w:val="00696782"/>
    <w:rsid w:val="00696882"/>
    <w:rsid w:val="00696EF9"/>
    <w:rsid w:val="00696F51"/>
    <w:rsid w:val="00697191"/>
    <w:rsid w:val="006974EF"/>
    <w:rsid w:val="0069762C"/>
    <w:rsid w:val="006979A5"/>
    <w:rsid w:val="00697D5E"/>
    <w:rsid w:val="00697EAD"/>
    <w:rsid w:val="00697F5B"/>
    <w:rsid w:val="006A0061"/>
    <w:rsid w:val="006A016F"/>
    <w:rsid w:val="006A01CD"/>
    <w:rsid w:val="006A04D4"/>
    <w:rsid w:val="006A09E3"/>
    <w:rsid w:val="006A0B50"/>
    <w:rsid w:val="006A0B5E"/>
    <w:rsid w:val="006A0BB0"/>
    <w:rsid w:val="006A0CB4"/>
    <w:rsid w:val="006A0DF7"/>
    <w:rsid w:val="006A0EB0"/>
    <w:rsid w:val="006A137D"/>
    <w:rsid w:val="006A142A"/>
    <w:rsid w:val="006A2182"/>
    <w:rsid w:val="006A243B"/>
    <w:rsid w:val="006A2647"/>
    <w:rsid w:val="006A2783"/>
    <w:rsid w:val="006A2EBF"/>
    <w:rsid w:val="006A32C2"/>
    <w:rsid w:val="006A3701"/>
    <w:rsid w:val="006A370D"/>
    <w:rsid w:val="006A3D9B"/>
    <w:rsid w:val="006A4321"/>
    <w:rsid w:val="006A43D9"/>
    <w:rsid w:val="006A4A1C"/>
    <w:rsid w:val="006A4A2C"/>
    <w:rsid w:val="006A4A7D"/>
    <w:rsid w:val="006A4E9C"/>
    <w:rsid w:val="006A4FF3"/>
    <w:rsid w:val="006A50D9"/>
    <w:rsid w:val="006A5329"/>
    <w:rsid w:val="006A537B"/>
    <w:rsid w:val="006A57EE"/>
    <w:rsid w:val="006A58F3"/>
    <w:rsid w:val="006A5C01"/>
    <w:rsid w:val="006A5C48"/>
    <w:rsid w:val="006A6314"/>
    <w:rsid w:val="006A6332"/>
    <w:rsid w:val="006A6549"/>
    <w:rsid w:val="006A68CE"/>
    <w:rsid w:val="006A69DD"/>
    <w:rsid w:val="006A6AD0"/>
    <w:rsid w:val="006A6B21"/>
    <w:rsid w:val="006A6B99"/>
    <w:rsid w:val="006A6D53"/>
    <w:rsid w:val="006A778A"/>
    <w:rsid w:val="006A7827"/>
    <w:rsid w:val="006A793C"/>
    <w:rsid w:val="006A7D9C"/>
    <w:rsid w:val="006A7E5F"/>
    <w:rsid w:val="006B026F"/>
    <w:rsid w:val="006B02DF"/>
    <w:rsid w:val="006B0619"/>
    <w:rsid w:val="006B0A4F"/>
    <w:rsid w:val="006B0D67"/>
    <w:rsid w:val="006B0F73"/>
    <w:rsid w:val="006B111B"/>
    <w:rsid w:val="006B1521"/>
    <w:rsid w:val="006B155E"/>
    <w:rsid w:val="006B161B"/>
    <w:rsid w:val="006B1764"/>
    <w:rsid w:val="006B1FD3"/>
    <w:rsid w:val="006B2415"/>
    <w:rsid w:val="006B261B"/>
    <w:rsid w:val="006B2656"/>
    <w:rsid w:val="006B267E"/>
    <w:rsid w:val="006B26C8"/>
    <w:rsid w:val="006B2703"/>
    <w:rsid w:val="006B276A"/>
    <w:rsid w:val="006B27AF"/>
    <w:rsid w:val="006B2AA9"/>
    <w:rsid w:val="006B2C90"/>
    <w:rsid w:val="006B2E93"/>
    <w:rsid w:val="006B2F91"/>
    <w:rsid w:val="006B3029"/>
    <w:rsid w:val="006B3072"/>
    <w:rsid w:val="006B30DB"/>
    <w:rsid w:val="006B32F1"/>
    <w:rsid w:val="006B35E6"/>
    <w:rsid w:val="006B36FF"/>
    <w:rsid w:val="006B3A13"/>
    <w:rsid w:val="006B3B4B"/>
    <w:rsid w:val="006B3CFB"/>
    <w:rsid w:val="006B3E8C"/>
    <w:rsid w:val="006B4374"/>
    <w:rsid w:val="006B45B7"/>
    <w:rsid w:val="006B465A"/>
    <w:rsid w:val="006B4740"/>
    <w:rsid w:val="006B4900"/>
    <w:rsid w:val="006B4A56"/>
    <w:rsid w:val="006B4F46"/>
    <w:rsid w:val="006B50EA"/>
    <w:rsid w:val="006B5152"/>
    <w:rsid w:val="006B5389"/>
    <w:rsid w:val="006B546F"/>
    <w:rsid w:val="006B5C4B"/>
    <w:rsid w:val="006B6706"/>
    <w:rsid w:val="006B6D61"/>
    <w:rsid w:val="006B6DAA"/>
    <w:rsid w:val="006B6DD0"/>
    <w:rsid w:val="006B6F07"/>
    <w:rsid w:val="006B71EA"/>
    <w:rsid w:val="006B7259"/>
    <w:rsid w:val="006B73A2"/>
    <w:rsid w:val="006B7613"/>
    <w:rsid w:val="006B77A4"/>
    <w:rsid w:val="006B7B87"/>
    <w:rsid w:val="006B7DA0"/>
    <w:rsid w:val="006C002F"/>
    <w:rsid w:val="006C0399"/>
    <w:rsid w:val="006C0701"/>
    <w:rsid w:val="006C0D1C"/>
    <w:rsid w:val="006C108E"/>
    <w:rsid w:val="006C1109"/>
    <w:rsid w:val="006C1217"/>
    <w:rsid w:val="006C124E"/>
    <w:rsid w:val="006C17F4"/>
    <w:rsid w:val="006C196E"/>
    <w:rsid w:val="006C19B5"/>
    <w:rsid w:val="006C1A59"/>
    <w:rsid w:val="006C1BDA"/>
    <w:rsid w:val="006C1DB5"/>
    <w:rsid w:val="006C2017"/>
    <w:rsid w:val="006C2309"/>
    <w:rsid w:val="006C236B"/>
    <w:rsid w:val="006C258D"/>
    <w:rsid w:val="006C2A71"/>
    <w:rsid w:val="006C2A8E"/>
    <w:rsid w:val="006C2DB3"/>
    <w:rsid w:val="006C2DFC"/>
    <w:rsid w:val="006C3255"/>
    <w:rsid w:val="006C3275"/>
    <w:rsid w:val="006C32AC"/>
    <w:rsid w:val="006C345A"/>
    <w:rsid w:val="006C351D"/>
    <w:rsid w:val="006C353F"/>
    <w:rsid w:val="006C3F26"/>
    <w:rsid w:val="006C43DD"/>
    <w:rsid w:val="006C452D"/>
    <w:rsid w:val="006C475B"/>
    <w:rsid w:val="006C4B3E"/>
    <w:rsid w:val="006C4BD2"/>
    <w:rsid w:val="006C4CF4"/>
    <w:rsid w:val="006C4DD9"/>
    <w:rsid w:val="006C4EE3"/>
    <w:rsid w:val="006C51D5"/>
    <w:rsid w:val="006C52DD"/>
    <w:rsid w:val="006C55C9"/>
    <w:rsid w:val="006C58B2"/>
    <w:rsid w:val="006C5BD3"/>
    <w:rsid w:val="006C5BFA"/>
    <w:rsid w:val="006C5D9C"/>
    <w:rsid w:val="006C5E13"/>
    <w:rsid w:val="006C60D4"/>
    <w:rsid w:val="006C62D0"/>
    <w:rsid w:val="006C636F"/>
    <w:rsid w:val="006C66D4"/>
    <w:rsid w:val="006C69BB"/>
    <w:rsid w:val="006C6AD6"/>
    <w:rsid w:val="006C6B29"/>
    <w:rsid w:val="006C6C77"/>
    <w:rsid w:val="006C7667"/>
    <w:rsid w:val="006C7C44"/>
    <w:rsid w:val="006D00F6"/>
    <w:rsid w:val="006D0300"/>
    <w:rsid w:val="006D0B7E"/>
    <w:rsid w:val="006D0C27"/>
    <w:rsid w:val="006D0D17"/>
    <w:rsid w:val="006D0EF9"/>
    <w:rsid w:val="006D0F99"/>
    <w:rsid w:val="006D172C"/>
    <w:rsid w:val="006D18D6"/>
    <w:rsid w:val="006D1AD3"/>
    <w:rsid w:val="006D1C12"/>
    <w:rsid w:val="006D1C39"/>
    <w:rsid w:val="006D1CEF"/>
    <w:rsid w:val="006D1D0C"/>
    <w:rsid w:val="006D1FCC"/>
    <w:rsid w:val="006D20AF"/>
    <w:rsid w:val="006D2382"/>
    <w:rsid w:val="006D2577"/>
    <w:rsid w:val="006D26CB"/>
    <w:rsid w:val="006D2710"/>
    <w:rsid w:val="006D2893"/>
    <w:rsid w:val="006D2A2A"/>
    <w:rsid w:val="006D2A7A"/>
    <w:rsid w:val="006D2B8C"/>
    <w:rsid w:val="006D2D9D"/>
    <w:rsid w:val="006D2DB8"/>
    <w:rsid w:val="006D30B9"/>
    <w:rsid w:val="006D318C"/>
    <w:rsid w:val="006D3A1B"/>
    <w:rsid w:val="006D3C2E"/>
    <w:rsid w:val="006D3C7D"/>
    <w:rsid w:val="006D3DC1"/>
    <w:rsid w:val="006D4041"/>
    <w:rsid w:val="006D409E"/>
    <w:rsid w:val="006D4182"/>
    <w:rsid w:val="006D4422"/>
    <w:rsid w:val="006D447C"/>
    <w:rsid w:val="006D45D7"/>
    <w:rsid w:val="006D4659"/>
    <w:rsid w:val="006D4AAE"/>
    <w:rsid w:val="006D4D82"/>
    <w:rsid w:val="006D4DF6"/>
    <w:rsid w:val="006D5206"/>
    <w:rsid w:val="006D54AC"/>
    <w:rsid w:val="006D54D2"/>
    <w:rsid w:val="006D5B4D"/>
    <w:rsid w:val="006D5D5F"/>
    <w:rsid w:val="006D6109"/>
    <w:rsid w:val="006D663A"/>
    <w:rsid w:val="006D686B"/>
    <w:rsid w:val="006D68FB"/>
    <w:rsid w:val="006D6BC3"/>
    <w:rsid w:val="006D6E41"/>
    <w:rsid w:val="006D6FE2"/>
    <w:rsid w:val="006D724E"/>
    <w:rsid w:val="006D74D8"/>
    <w:rsid w:val="006D761D"/>
    <w:rsid w:val="006D7978"/>
    <w:rsid w:val="006D79D7"/>
    <w:rsid w:val="006D7C34"/>
    <w:rsid w:val="006D7C6B"/>
    <w:rsid w:val="006D7CED"/>
    <w:rsid w:val="006D7D0A"/>
    <w:rsid w:val="006D7DA3"/>
    <w:rsid w:val="006D7DE7"/>
    <w:rsid w:val="006E0114"/>
    <w:rsid w:val="006E080A"/>
    <w:rsid w:val="006E09F1"/>
    <w:rsid w:val="006E0CB0"/>
    <w:rsid w:val="006E0CD4"/>
    <w:rsid w:val="006E0EC8"/>
    <w:rsid w:val="006E110C"/>
    <w:rsid w:val="006E1490"/>
    <w:rsid w:val="006E1D0B"/>
    <w:rsid w:val="006E1E9D"/>
    <w:rsid w:val="006E20B4"/>
    <w:rsid w:val="006E274A"/>
    <w:rsid w:val="006E2868"/>
    <w:rsid w:val="006E28DB"/>
    <w:rsid w:val="006E2913"/>
    <w:rsid w:val="006E2A15"/>
    <w:rsid w:val="006E2DED"/>
    <w:rsid w:val="006E321D"/>
    <w:rsid w:val="006E38D2"/>
    <w:rsid w:val="006E3D74"/>
    <w:rsid w:val="006E3E7D"/>
    <w:rsid w:val="006E3E8F"/>
    <w:rsid w:val="006E3FF7"/>
    <w:rsid w:val="006E430E"/>
    <w:rsid w:val="006E476E"/>
    <w:rsid w:val="006E48B6"/>
    <w:rsid w:val="006E4BD4"/>
    <w:rsid w:val="006E4CC7"/>
    <w:rsid w:val="006E4D87"/>
    <w:rsid w:val="006E4DAB"/>
    <w:rsid w:val="006E56B2"/>
    <w:rsid w:val="006E57B3"/>
    <w:rsid w:val="006E58B1"/>
    <w:rsid w:val="006E5A20"/>
    <w:rsid w:val="006E5C92"/>
    <w:rsid w:val="006E5CBF"/>
    <w:rsid w:val="006E5E70"/>
    <w:rsid w:val="006E64B9"/>
    <w:rsid w:val="006E6631"/>
    <w:rsid w:val="006E66E3"/>
    <w:rsid w:val="006E67EE"/>
    <w:rsid w:val="006E6958"/>
    <w:rsid w:val="006E6D0E"/>
    <w:rsid w:val="006E6D79"/>
    <w:rsid w:val="006E6EF2"/>
    <w:rsid w:val="006E7126"/>
    <w:rsid w:val="006E722E"/>
    <w:rsid w:val="006E73E7"/>
    <w:rsid w:val="006E74DA"/>
    <w:rsid w:val="006E75C2"/>
    <w:rsid w:val="006E7762"/>
    <w:rsid w:val="006E782A"/>
    <w:rsid w:val="006E7AB4"/>
    <w:rsid w:val="006E7EA8"/>
    <w:rsid w:val="006E7F29"/>
    <w:rsid w:val="006F000D"/>
    <w:rsid w:val="006F007E"/>
    <w:rsid w:val="006F03CB"/>
    <w:rsid w:val="006F0A83"/>
    <w:rsid w:val="006F0B0C"/>
    <w:rsid w:val="006F0E4D"/>
    <w:rsid w:val="006F0F57"/>
    <w:rsid w:val="006F0F98"/>
    <w:rsid w:val="006F0FB3"/>
    <w:rsid w:val="006F1108"/>
    <w:rsid w:val="006F1687"/>
    <w:rsid w:val="006F1708"/>
    <w:rsid w:val="006F1B16"/>
    <w:rsid w:val="006F1D20"/>
    <w:rsid w:val="006F2067"/>
    <w:rsid w:val="006F2137"/>
    <w:rsid w:val="006F2204"/>
    <w:rsid w:val="006F24B6"/>
    <w:rsid w:val="006F29A9"/>
    <w:rsid w:val="006F2CEB"/>
    <w:rsid w:val="006F2F97"/>
    <w:rsid w:val="006F2FA1"/>
    <w:rsid w:val="006F306C"/>
    <w:rsid w:val="006F3172"/>
    <w:rsid w:val="006F3992"/>
    <w:rsid w:val="006F3F01"/>
    <w:rsid w:val="006F4297"/>
    <w:rsid w:val="006F4429"/>
    <w:rsid w:val="006F490E"/>
    <w:rsid w:val="006F499F"/>
    <w:rsid w:val="006F4B58"/>
    <w:rsid w:val="006F4EF6"/>
    <w:rsid w:val="006F4F26"/>
    <w:rsid w:val="006F5367"/>
    <w:rsid w:val="006F544E"/>
    <w:rsid w:val="006F5476"/>
    <w:rsid w:val="006F574D"/>
    <w:rsid w:val="006F580A"/>
    <w:rsid w:val="006F5D32"/>
    <w:rsid w:val="006F5DC3"/>
    <w:rsid w:val="006F62F2"/>
    <w:rsid w:val="006F63A5"/>
    <w:rsid w:val="006F63D6"/>
    <w:rsid w:val="006F65E2"/>
    <w:rsid w:val="006F6720"/>
    <w:rsid w:val="006F67F3"/>
    <w:rsid w:val="006F691F"/>
    <w:rsid w:val="006F6AEF"/>
    <w:rsid w:val="006F6D2E"/>
    <w:rsid w:val="006F6E98"/>
    <w:rsid w:val="006F7068"/>
    <w:rsid w:val="006F7E61"/>
    <w:rsid w:val="006F7FB9"/>
    <w:rsid w:val="0070008E"/>
    <w:rsid w:val="007000FB"/>
    <w:rsid w:val="00700803"/>
    <w:rsid w:val="007009EF"/>
    <w:rsid w:val="00700CE8"/>
    <w:rsid w:val="00700D80"/>
    <w:rsid w:val="00700E16"/>
    <w:rsid w:val="00700EAD"/>
    <w:rsid w:val="00700EC0"/>
    <w:rsid w:val="00701028"/>
    <w:rsid w:val="007010B9"/>
    <w:rsid w:val="00701206"/>
    <w:rsid w:val="007012F6"/>
    <w:rsid w:val="0070142B"/>
    <w:rsid w:val="00701EB7"/>
    <w:rsid w:val="00702258"/>
    <w:rsid w:val="007023D3"/>
    <w:rsid w:val="0070276E"/>
    <w:rsid w:val="00702893"/>
    <w:rsid w:val="007028ED"/>
    <w:rsid w:val="00702994"/>
    <w:rsid w:val="00702C44"/>
    <w:rsid w:val="00702F8F"/>
    <w:rsid w:val="0070326C"/>
    <w:rsid w:val="007035DE"/>
    <w:rsid w:val="0070394E"/>
    <w:rsid w:val="007039D9"/>
    <w:rsid w:val="00703CFE"/>
    <w:rsid w:val="00703FDD"/>
    <w:rsid w:val="0070445C"/>
    <w:rsid w:val="0070445D"/>
    <w:rsid w:val="0070446D"/>
    <w:rsid w:val="007045D2"/>
    <w:rsid w:val="007046AE"/>
    <w:rsid w:val="00704B74"/>
    <w:rsid w:val="00704CAC"/>
    <w:rsid w:val="00704CF5"/>
    <w:rsid w:val="00704DDD"/>
    <w:rsid w:val="007052EC"/>
    <w:rsid w:val="0070538A"/>
    <w:rsid w:val="00705426"/>
    <w:rsid w:val="007057E2"/>
    <w:rsid w:val="00705DAA"/>
    <w:rsid w:val="00705EED"/>
    <w:rsid w:val="00706145"/>
    <w:rsid w:val="00706425"/>
    <w:rsid w:val="00706449"/>
    <w:rsid w:val="00706704"/>
    <w:rsid w:val="0070689A"/>
    <w:rsid w:val="00706CA0"/>
    <w:rsid w:val="00706E91"/>
    <w:rsid w:val="00706EEE"/>
    <w:rsid w:val="00707176"/>
    <w:rsid w:val="00707227"/>
    <w:rsid w:val="007079FC"/>
    <w:rsid w:val="00707A54"/>
    <w:rsid w:val="00710360"/>
    <w:rsid w:val="0071041D"/>
    <w:rsid w:val="00710E0B"/>
    <w:rsid w:val="007114C9"/>
    <w:rsid w:val="00711710"/>
    <w:rsid w:val="00711804"/>
    <w:rsid w:val="0071182B"/>
    <w:rsid w:val="00711851"/>
    <w:rsid w:val="00711A36"/>
    <w:rsid w:val="00711A4E"/>
    <w:rsid w:val="00711EB0"/>
    <w:rsid w:val="00711FED"/>
    <w:rsid w:val="00712057"/>
    <w:rsid w:val="007120C2"/>
    <w:rsid w:val="00712114"/>
    <w:rsid w:val="007125D3"/>
    <w:rsid w:val="007127C2"/>
    <w:rsid w:val="007127DA"/>
    <w:rsid w:val="007128AE"/>
    <w:rsid w:val="00712BB4"/>
    <w:rsid w:val="00712EA4"/>
    <w:rsid w:val="0071310E"/>
    <w:rsid w:val="00713142"/>
    <w:rsid w:val="007131C2"/>
    <w:rsid w:val="00713671"/>
    <w:rsid w:val="00713861"/>
    <w:rsid w:val="00713967"/>
    <w:rsid w:val="00713A8B"/>
    <w:rsid w:val="00713AA5"/>
    <w:rsid w:val="00714150"/>
    <w:rsid w:val="0071457A"/>
    <w:rsid w:val="00714B00"/>
    <w:rsid w:val="00714BEB"/>
    <w:rsid w:val="00714C24"/>
    <w:rsid w:val="00714C26"/>
    <w:rsid w:val="00714CD5"/>
    <w:rsid w:val="007150A6"/>
    <w:rsid w:val="00715123"/>
    <w:rsid w:val="00715243"/>
    <w:rsid w:val="0071529C"/>
    <w:rsid w:val="00715324"/>
    <w:rsid w:val="007154E0"/>
    <w:rsid w:val="0071553E"/>
    <w:rsid w:val="007156DA"/>
    <w:rsid w:val="00715BD8"/>
    <w:rsid w:val="00715ED7"/>
    <w:rsid w:val="007162EA"/>
    <w:rsid w:val="007164BB"/>
    <w:rsid w:val="007165E6"/>
    <w:rsid w:val="007167CF"/>
    <w:rsid w:val="00716856"/>
    <w:rsid w:val="007168DF"/>
    <w:rsid w:val="00716BA7"/>
    <w:rsid w:val="00716D90"/>
    <w:rsid w:val="00716E2F"/>
    <w:rsid w:val="007170DA"/>
    <w:rsid w:val="007171B9"/>
    <w:rsid w:val="00717240"/>
    <w:rsid w:val="007172AD"/>
    <w:rsid w:val="00717388"/>
    <w:rsid w:val="00717546"/>
    <w:rsid w:val="00717561"/>
    <w:rsid w:val="00717581"/>
    <w:rsid w:val="00717A13"/>
    <w:rsid w:val="00717BEC"/>
    <w:rsid w:val="00717F2F"/>
    <w:rsid w:val="00720042"/>
    <w:rsid w:val="00720801"/>
    <w:rsid w:val="00720885"/>
    <w:rsid w:val="0072091D"/>
    <w:rsid w:val="00720D17"/>
    <w:rsid w:val="00720E3E"/>
    <w:rsid w:val="00721072"/>
    <w:rsid w:val="007210C7"/>
    <w:rsid w:val="007211CD"/>
    <w:rsid w:val="007213B2"/>
    <w:rsid w:val="0072140A"/>
    <w:rsid w:val="007215A8"/>
    <w:rsid w:val="00721A38"/>
    <w:rsid w:val="00721A4F"/>
    <w:rsid w:val="00721A83"/>
    <w:rsid w:val="00722320"/>
    <w:rsid w:val="00722B1B"/>
    <w:rsid w:val="00722C4C"/>
    <w:rsid w:val="00722D39"/>
    <w:rsid w:val="007234D4"/>
    <w:rsid w:val="007235A7"/>
    <w:rsid w:val="00723A57"/>
    <w:rsid w:val="00723ADE"/>
    <w:rsid w:val="00723F02"/>
    <w:rsid w:val="0072416F"/>
    <w:rsid w:val="0072420B"/>
    <w:rsid w:val="007244CF"/>
    <w:rsid w:val="007248BE"/>
    <w:rsid w:val="00724C22"/>
    <w:rsid w:val="00724C2B"/>
    <w:rsid w:val="00724C6C"/>
    <w:rsid w:val="00724D79"/>
    <w:rsid w:val="00724E90"/>
    <w:rsid w:val="007252A4"/>
    <w:rsid w:val="0072558F"/>
    <w:rsid w:val="0072565A"/>
    <w:rsid w:val="00725A9B"/>
    <w:rsid w:val="00725EB7"/>
    <w:rsid w:val="00726028"/>
    <w:rsid w:val="007264FA"/>
    <w:rsid w:val="0072664D"/>
    <w:rsid w:val="007268CF"/>
    <w:rsid w:val="00726C1A"/>
    <w:rsid w:val="00726D79"/>
    <w:rsid w:val="007271D6"/>
    <w:rsid w:val="007276B0"/>
    <w:rsid w:val="00727864"/>
    <w:rsid w:val="007278F8"/>
    <w:rsid w:val="007279E3"/>
    <w:rsid w:val="00727A68"/>
    <w:rsid w:val="00727C94"/>
    <w:rsid w:val="00727CD4"/>
    <w:rsid w:val="00727E36"/>
    <w:rsid w:val="00727FD0"/>
    <w:rsid w:val="00730079"/>
    <w:rsid w:val="007302D2"/>
    <w:rsid w:val="007308E6"/>
    <w:rsid w:val="00730D97"/>
    <w:rsid w:val="0073105F"/>
    <w:rsid w:val="007310F6"/>
    <w:rsid w:val="007312DE"/>
    <w:rsid w:val="00731361"/>
    <w:rsid w:val="0073153C"/>
    <w:rsid w:val="00731B0A"/>
    <w:rsid w:val="00731CD0"/>
    <w:rsid w:val="00731EAE"/>
    <w:rsid w:val="007321E4"/>
    <w:rsid w:val="00732254"/>
    <w:rsid w:val="007324DC"/>
    <w:rsid w:val="007327FE"/>
    <w:rsid w:val="0073280B"/>
    <w:rsid w:val="00732965"/>
    <w:rsid w:val="00732ADD"/>
    <w:rsid w:val="00732EC2"/>
    <w:rsid w:val="00733073"/>
    <w:rsid w:val="0073378D"/>
    <w:rsid w:val="00733959"/>
    <w:rsid w:val="00733D05"/>
    <w:rsid w:val="00733E81"/>
    <w:rsid w:val="00734131"/>
    <w:rsid w:val="0073439A"/>
    <w:rsid w:val="007343E4"/>
    <w:rsid w:val="0073484F"/>
    <w:rsid w:val="00734B2E"/>
    <w:rsid w:val="00734B51"/>
    <w:rsid w:val="00734F84"/>
    <w:rsid w:val="00734FBB"/>
    <w:rsid w:val="00735033"/>
    <w:rsid w:val="00735328"/>
    <w:rsid w:val="007357AD"/>
    <w:rsid w:val="00735850"/>
    <w:rsid w:val="00735873"/>
    <w:rsid w:val="00735A24"/>
    <w:rsid w:val="00735A33"/>
    <w:rsid w:val="00735E29"/>
    <w:rsid w:val="00735EC6"/>
    <w:rsid w:val="00735F52"/>
    <w:rsid w:val="00736083"/>
    <w:rsid w:val="00736332"/>
    <w:rsid w:val="00736378"/>
    <w:rsid w:val="007363E2"/>
    <w:rsid w:val="00736548"/>
    <w:rsid w:val="007365E4"/>
    <w:rsid w:val="0073685B"/>
    <w:rsid w:val="00736D35"/>
    <w:rsid w:val="00736E92"/>
    <w:rsid w:val="0073721D"/>
    <w:rsid w:val="0073778A"/>
    <w:rsid w:val="007377D2"/>
    <w:rsid w:val="0073784E"/>
    <w:rsid w:val="00737A71"/>
    <w:rsid w:val="00737BAE"/>
    <w:rsid w:val="00737C33"/>
    <w:rsid w:val="00737F10"/>
    <w:rsid w:val="0074022B"/>
    <w:rsid w:val="00740423"/>
    <w:rsid w:val="00740AD2"/>
    <w:rsid w:val="00740B6A"/>
    <w:rsid w:val="00741168"/>
    <w:rsid w:val="0074162C"/>
    <w:rsid w:val="00741A29"/>
    <w:rsid w:val="00741AC2"/>
    <w:rsid w:val="00741B55"/>
    <w:rsid w:val="00741C2D"/>
    <w:rsid w:val="00741C63"/>
    <w:rsid w:val="00741F5B"/>
    <w:rsid w:val="007420B6"/>
    <w:rsid w:val="0074222A"/>
    <w:rsid w:val="0074245F"/>
    <w:rsid w:val="00742608"/>
    <w:rsid w:val="00742D4C"/>
    <w:rsid w:val="00743046"/>
    <w:rsid w:val="0074327C"/>
    <w:rsid w:val="007435B6"/>
    <w:rsid w:val="00743777"/>
    <w:rsid w:val="00743B01"/>
    <w:rsid w:val="00743CFA"/>
    <w:rsid w:val="00743D60"/>
    <w:rsid w:val="00743DFE"/>
    <w:rsid w:val="00743EA0"/>
    <w:rsid w:val="00744316"/>
    <w:rsid w:val="00744323"/>
    <w:rsid w:val="007444A6"/>
    <w:rsid w:val="007444B5"/>
    <w:rsid w:val="007449BF"/>
    <w:rsid w:val="00744B49"/>
    <w:rsid w:val="00744EDD"/>
    <w:rsid w:val="007450A8"/>
    <w:rsid w:val="007453D1"/>
    <w:rsid w:val="0074585D"/>
    <w:rsid w:val="00745A44"/>
    <w:rsid w:val="00745D9F"/>
    <w:rsid w:val="00745F79"/>
    <w:rsid w:val="00746181"/>
    <w:rsid w:val="007462C7"/>
    <w:rsid w:val="007463FE"/>
    <w:rsid w:val="007467E4"/>
    <w:rsid w:val="0074690D"/>
    <w:rsid w:val="00746AC4"/>
    <w:rsid w:val="00746BC0"/>
    <w:rsid w:val="00746FB9"/>
    <w:rsid w:val="007470CF"/>
    <w:rsid w:val="00747106"/>
    <w:rsid w:val="007471B0"/>
    <w:rsid w:val="00747209"/>
    <w:rsid w:val="007472C9"/>
    <w:rsid w:val="0074735E"/>
    <w:rsid w:val="007476E8"/>
    <w:rsid w:val="0074775A"/>
    <w:rsid w:val="00747AF3"/>
    <w:rsid w:val="00747C9F"/>
    <w:rsid w:val="00747E4A"/>
    <w:rsid w:val="00747ED4"/>
    <w:rsid w:val="00750311"/>
    <w:rsid w:val="00750690"/>
    <w:rsid w:val="00750B72"/>
    <w:rsid w:val="00750D64"/>
    <w:rsid w:val="007510B4"/>
    <w:rsid w:val="0075115D"/>
    <w:rsid w:val="00751498"/>
    <w:rsid w:val="00751509"/>
    <w:rsid w:val="0075150A"/>
    <w:rsid w:val="0075161E"/>
    <w:rsid w:val="00751628"/>
    <w:rsid w:val="00751646"/>
    <w:rsid w:val="00751947"/>
    <w:rsid w:val="00751A5D"/>
    <w:rsid w:val="00751B93"/>
    <w:rsid w:val="00751C83"/>
    <w:rsid w:val="00752058"/>
    <w:rsid w:val="007520A5"/>
    <w:rsid w:val="00752142"/>
    <w:rsid w:val="00752187"/>
    <w:rsid w:val="007523C5"/>
    <w:rsid w:val="007523F9"/>
    <w:rsid w:val="0075255B"/>
    <w:rsid w:val="007527CE"/>
    <w:rsid w:val="00752945"/>
    <w:rsid w:val="00752B0A"/>
    <w:rsid w:val="00752D18"/>
    <w:rsid w:val="00752DE4"/>
    <w:rsid w:val="00752EB2"/>
    <w:rsid w:val="00752FA8"/>
    <w:rsid w:val="007530DF"/>
    <w:rsid w:val="00753204"/>
    <w:rsid w:val="00753284"/>
    <w:rsid w:val="007533E4"/>
    <w:rsid w:val="00753545"/>
    <w:rsid w:val="0075357E"/>
    <w:rsid w:val="00753896"/>
    <w:rsid w:val="00753B29"/>
    <w:rsid w:val="00753C83"/>
    <w:rsid w:val="00754240"/>
    <w:rsid w:val="007542D0"/>
    <w:rsid w:val="007543A1"/>
    <w:rsid w:val="007545BA"/>
    <w:rsid w:val="00754820"/>
    <w:rsid w:val="00754A14"/>
    <w:rsid w:val="00754A4B"/>
    <w:rsid w:val="00754F76"/>
    <w:rsid w:val="0075508E"/>
    <w:rsid w:val="00755203"/>
    <w:rsid w:val="007554A9"/>
    <w:rsid w:val="0075552E"/>
    <w:rsid w:val="00755542"/>
    <w:rsid w:val="007556EE"/>
    <w:rsid w:val="00755A3A"/>
    <w:rsid w:val="00755AB0"/>
    <w:rsid w:val="00756604"/>
    <w:rsid w:val="007569DB"/>
    <w:rsid w:val="007569E5"/>
    <w:rsid w:val="00756C48"/>
    <w:rsid w:val="007570A9"/>
    <w:rsid w:val="0075714D"/>
    <w:rsid w:val="007573E8"/>
    <w:rsid w:val="00757570"/>
    <w:rsid w:val="0075767B"/>
    <w:rsid w:val="00757CFD"/>
    <w:rsid w:val="00757F88"/>
    <w:rsid w:val="007602BB"/>
    <w:rsid w:val="0076059B"/>
    <w:rsid w:val="00760643"/>
    <w:rsid w:val="007609C9"/>
    <w:rsid w:val="007609E1"/>
    <w:rsid w:val="00760C4E"/>
    <w:rsid w:val="00760DE3"/>
    <w:rsid w:val="00760F9E"/>
    <w:rsid w:val="00760FED"/>
    <w:rsid w:val="007610B5"/>
    <w:rsid w:val="00761441"/>
    <w:rsid w:val="007615AD"/>
    <w:rsid w:val="007616E6"/>
    <w:rsid w:val="00761BD9"/>
    <w:rsid w:val="00761CEA"/>
    <w:rsid w:val="007624A5"/>
    <w:rsid w:val="0076251D"/>
    <w:rsid w:val="007626E0"/>
    <w:rsid w:val="00762770"/>
    <w:rsid w:val="007627BE"/>
    <w:rsid w:val="007628C3"/>
    <w:rsid w:val="007628C7"/>
    <w:rsid w:val="00762AEE"/>
    <w:rsid w:val="00762B8D"/>
    <w:rsid w:val="00762EB6"/>
    <w:rsid w:val="007631FB"/>
    <w:rsid w:val="00763473"/>
    <w:rsid w:val="007638CE"/>
    <w:rsid w:val="007638F1"/>
    <w:rsid w:val="00763A43"/>
    <w:rsid w:val="00763A48"/>
    <w:rsid w:val="00763B10"/>
    <w:rsid w:val="00763B8A"/>
    <w:rsid w:val="00764058"/>
    <w:rsid w:val="007640B5"/>
    <w:rsid w:val="00764282"/>
    <w:rsid w:val="00764431"/>
    <w:rsid w:val="007645E0"/>
    <w:rsid w:val="0076468D"/>
    <w:rsid w:val="00764771"/>
    <w:rsid w:val="00764986"/>
    <w:rsid w:val="007649C7"/>
    <w:rsid w:val="00764F03"/>
    <w:rsid w:val="0076514C"/>
    <w:rsid w:val="007652BB"/>
    <w:rsid w:val="00765515"/>
    <w:rsid w:val="00765784"/>
    <w:rsid w:val="00765B1A"/>
    <w:rsid w:val="00765BC8"/>
    <w:rsid w:val="00765DC1"/>
    <w:rsid w:val="00766140"/>
    <w:rsid w:val="00766556"/>
    <w:rsid w:val="00766606"/>
    <w:rsid w:val="0076660B"/>
    <w:rsid w:val="007667A8"/>
    <w:rsid w:val="00766B24"/>
    <w:rsid w:val="00766F71"/>
    <w:rsid w:val="007671D9"/>
    <w:rsid w:val="007676FD"/>
    <w:rsid w:val="00767AC4"/>
    <w:rsid w:val="00767B90"/>
    <w:rsid w:val="007700D0"/>
    <w:rsid w:val="00770290"/>
    <w:rsid w:val="007704B6"/>
    <w:rsid w:val="00770751"/>
    <w:rsid w:val="00770A86"/>
    <w:rsid w:val="00770B16"/>
    <w:rsid w:val="00771005"/>
    <w:rsid w:val="00771028"/>
    <w:rsid w:val="007710D7"/>
    <w:rsid w:val="00771184"/>
    <w:rsid w:val="007717BC"/>
    <w:rsid w:val="007718EC"/>
    <w:rsid w:val="00771B42"/>
    <w:rsid w:val="00771F19"/>
    <w:rsid w:val="0077217C"/>
    <w:rsid w:val="0077221C"/>
    <w:rsid w:val="0077261A"/>
    <w:rsid w:val="00772A6D"/>
    <w:rsid w:val="00772E12"/>
    <w:rsid w:val="00773158"/>
    <w:rsid w:val="00773D13"/>
    <w:rsid w:val="00773EEB"/>
    <w:rsid w:val="00773F6C"/>
    <w:rsid w:val="007742D9"/>
    <w:rsid w:val="007744FF"/>
    <w:rsid w:val="0077491E"/>
    <w:rsid w:val="007749D1"/>
    <w:rsid w:val="00774A08"/>
    <w:rsid w:val="00774A6B"/>
    <w:rsid w:val="00774B5E"/>
    <w:rsid w:val="00774BA5"/>
    <w:rsid w:val="00774BC9"/>
    <w:rsid w:val="00774C31"/>
    <w:rsid w:val="00774C79"/>
    <w:rsid w:val="00774CDC"/>
    <w:rsid w:val="00774EA8"/>
    <w:rsid w:val="007751F6"/>
    <w:rsid w:val="0077540A"/>
    <w:rsid w:val="007759F7"/>
    <w:rsid w:val="00776026"/>
    <w:rsid w:val="0077617E"/>
    <w:rsid w:val="007763B3"/>
    <w:rsid w:val="00776744"/>
    <w:rsid w:val="007768C4"/>
    <w:rsid w:val="007768D8"/>
    <w:rsid w:val="00776994"/>
    <w:rsid w:val="00776A29"/>
    <w:rsid w:val="00776DE8"/>
    <w:rsid w:val="00776E4A"/>
    <w:rsid w:val="00777021"/>
    <w:rsid w:val="00777335"/>
    <w:rsid w:val="00777A41"/>
    <w:rsid w:val="00777AC3"/>
    <w:rsid w:val="00777CB1"/>
    <w:rsid w:val="0078062A"/>
    <w:rsid w:val="0078084C"/>
    <w:rsid w:val="00780A67"/>
    <w:rsid w:val="00780B94"/>
    <w:rsid w:val="00780BAE"/>
    <w:rsid w:val="00780D08"/>
    <w:rsid w:val="00780D1C"/>
    <w:rsid w:val="0078100A"/>
    <w:rsid w:val="00781214"/>
    <w:rsid w:val="0078134B"/>
    <w:rsid w:val="007814A8"/>
    <w:rsid w:val="007816C7"/>
    <w:rsid w:val="007817CC"/>
    <w:rsid w:val="007818B8"/>
    <w:rsid w:val="00781933"/>
    <w:rsid w:val="00781D61"/>
    <w:rsid w:val="00781EDD"/>
    <w:rsid w:val="00781EFF"/>
    <w:rsid w:val="00782044"/>
    <w:rsid w:val="00782076"/>
    <w:rsid w:val="007821C1"/>
    <w:rsid w:val="007821EB"/>
    <w:rsid w:val="0078252B"/>
    <w:rsid w:val="00782876"/>
    <w:rsid w:val="007828A1"/>
    <w:rsid w:val="00782B74"/>
    <w:rsid w:val="00782BBC"/>
    <w:rsid w:val="00782C7E"/>
    <w:rsid w:val="00782D88"/>
    <w:rsid w:val="00782EE8"/>
    <w:rsid w:val="00782FB0"/>
    <w:rsid w:val="0078308D"/>
    <w:rsid w:val="0078310C"/>
    <w:rsid w:val="00783137"/>
    <w:rsid w:val="007831E0"/>
    <w:rsid w:val="007832F4"/>
    <w:rsid w:val="0078341D"/>
    <w:rsid w:val="00783A7B"/>
    <w:rsid w:val="00783C02"/>
    <w:rsid w:val="00783DCB"/>
    <w:rsid w:val="00783F04"/>
    <w:rsid w:val="0078406E"/>
    <w:rsid w:val="007843F2"/>
    <w:rsid w:val="007845D4"/>
    <w:rsid w:val="007846FA"/>
    <w:rsid w:val="0078495B"/>
    <w:rsid w:val="00784E03"/>
    <w:rsid w:val="00784E9D"/>
    <w:rsid w:val="007855F6"/>
    <w:rsid w:val="007857D0"/>
    <w:rsid w:val="007859D2"/>
    <w:rsid w:val="00785A9F"/>
    <w:rsid w:val="00785BA1"/>
    <w:rsid w:val="0078623C"/>
    <w:rsid w:val="007862C1"/>
    <w:rsid w:val="007865C4"/>
    <w:rsid w:val="0078668B"/>
    <w:rsid w:val="007866BF"/>
    <w:rsid w:val="00786841"/>
    <w:rsid w:val="00786F2D"/>
    <w:rsid w:val="0078747D"/>
    <w:rsid w:val="007877AC"/>
    <w:rsid w:val="00787B52"/>
    <w:rsid w:val="00787B81"/>
    <w:rsid w:val="00787C22"/>
    <w:rsid w:val="00787D5C"/>
    <w:rsid w:val="00787D83"/>
    <w:rsid w:val="00787F26"/>
    <w:rsid w:val="007900A4"/>
    <w:rsid w:val="00790391"/>
    <w:rsid w:val="007903E7"/>
    <w:rsid w:val="007906B8"/>
    <w:rsid w:val="00790852"/>
    <w:rsid w:val="00790B56"/>
    <w:rsid w:val="00790CDD"/>
    <w:rsid w:val="00790DC2"/>
    <w:rsid w:val="00791014"/>
    <w:rsid w:val="00791138"/>
    <w:rsid w:val="007913DD"/>
    <w:rsid w:val="007916BB"/>
    <w:rsid w:val="00791B67"/>
    <w:rsid w:val="00791C64"/>
    <w:rsid w:val="00791FD4"/>
    <w:rsid w:val="0079226C"/>
    <w:rsid w:val="007924B8"/>
    <w:rsid w:val="007925DF"/>
    <w:rsid w:val="00792CC7"/>
    <w:rsid w:val="007931B1"/>
    <w:rsid w:val="00793524"/>
    <w:rsid w:val="007936EA"/>
    <w:rsid w:val="007938A6"/>
    <w:rsid w:val="007938BA"/>
    <w:rsid w:val="00793967"/>
    <w:rsid w:val="00793AC2"/>
    <w:rsid w:val="00793B57"/>
    <w:rsid w:val="0079432C"/>
    <w:rsid w:val="007945A6"/>
    <w:rsid w:val="00794911"/>
    <w:rsid w:val="00794C25"/>
    <w:rsid w:val="00794DA7"/>
    <w:rsid w:val="00794E5A"/>
    <w:rsid w:val="00795492"/>
    <w:rsid w:val="007956FD"/>
    <w:rsid w:val="00795A1A"/>
    <w:rsid w:val="00796109"/>
    <w:rsid w:val="007962CD"/>
    <w:rsid w:val="00796776"/>
    <w:rsid w:val="007967F9"/>
    <w:rsid w:val="00796AE0"/>
    <w:rsid w:val="00796BAE"/>
    <w:rsid w:val="00796D56"/>
    <w:rsid w:val="0079776D"/>
    <w:rsid w:val="00797973"/>
    <w:rsid w:val="00797B9E"/>
    <w:rsid w:val="007A01C5"/>
    <w:rsid w:val="007A04B4"/>
    <w:rsid w:val="007A08AA"/>
    <w:rsid w:val="007A0A12"/>
    <w:rsid w:val="007A0B32"/>
    <w:rsid w:val="007A0B3C"/>
    <w:rsid w:val="007A1160"/>
    <w:rsid w:val="007A132D"/>
    <w:rsid w:val="007A1345"/>
    <w:rsid w:val="007A135E"/>
    <w:rsid w:val="007A1541"/>
    <w:rsid w:val="007A17E5"/>
    <w:rsid w:val="007A1A31"/>
    <w:rsid w:val="007A1A7B"/>
    <w:rsid w:val="007A1AF0"/>
    <w:rsid w:val="007A1CD1"/>
    <w:rsid w:val="007A1FCA"/>
    <w:rsid w:val="007A201E"/>
    <w:rsid w:val="007A206C"/>
    <w:rsid w:val="007A24D9"/>
    <w:rsid w:val="007A25D0"/>
    <w:rsid w:val="007A27C5"/>
    <w:rsid w:val="007A2DDB"/>
    <w:rsid w:val="007A2E4B"/>
    <w:rsid w:val="007A3015"/>
    <w:rsid w:val="007A31C7"/>
    <w:rsid w:val="007A31E8"/>
    <w:rsid w:val="007A35FB"/>
    <w:rsid w:val="007A361F"/>
    <w:rsid w:val="007A3957"/>
    <w:rsid w:val="007A3963"/>
    <w:rsid w:val="007A406F"/>
    <w:rsid w:val="007A4074"/>
    <w:rsid w:val="007A41AF"/>
    <w:rsid w:val="007A4225"/>
    <w:rsid w:val="007A436F"/>
    <w:rsid w:val="007A4602"/>
    <w:rsid w:val="007A4DC3"/>
    <w:rsid w:val="007A4F0A"/>
    <w:rsid w:val="007A5396"/>
    <w:rsid w:val="007A5629"/>
    <w:rsid w:val="007A5EC8"/>
    <w:rsid w:val="007A5F6A"/>
    <w:rsid w:val="007A5FEB"/>
    <w:rsid w:val="007A6015"/>
    <w:rsid w:val="007A630D"/>
    <w:rsid w:val="007A66D9"/>
    <w:rsid w:val="007A6910"/>
    <w:rsid w:val="007A6D22"/>
    <w:rsid w:val="007A6F61"/>
    <w:rsid w:val="007A7066"/>
    <w:rsid w:val="007A70BA"/>
    <w:rsid w:val="007A7143"/>
    <w:rsid w:val="007A7200"/>
    <w:rsid w:val="007A72F0"/>
    <w:rsid w:val="007A72FC"/>
    <w:rsid w:val="007A7359"/>
    <w:rsid w:val="007A7560"/>
    <w:rsid w:val="007A75CA"/>
    <w:rsid w:val="007A7780"/>
    <w:rsid w:val="007A7843"/>
    <w:rsid w:val="007A7DD7"/>
    <w:rsid w:val="007B0287"/>
    <w:rsid w:val="007B0408"/>
    <w:rsid w:val="007B0438"/>
    <w:rsid w:val="007B05C3"/>
    <w:rsid w:val="007B0612"/>
    <w:rsid w:val="007B0C85"/>
    <w:rsid w:val="007B0D28"/>
    <w:rsid w:val="007B0D65"/>
    <w:rsid w:val="007B0D68"/>
    <w:rsid w:val="007B0FBF"/>
    <w:rsid w:val="007B1196"/>
    <w:rsid w:val="007B1275"/>
    <w:rsid w:val="007B1470"/>
    <w:rsid w:val="007B1644"/>
    <w:rsid w:val="007B1BE7"/>
    <w:rsid w:val="007B214B"/>
    <w:rsid w:val="007B214C"/>
    <w:rsid w:val="007B2187"/>
    <w:rsid w:val="007B2255"/>
    <w:rsid w:val="007B2420"/>
    <w:rsid w:val="007B251D"/>
    <w:rsid w:val="007B2647"/>
    <w:rsid w:val="007B283C"/>
    <w:rsid w:val="007B2916"/>
    <w:rsid w:val="007B31D6"/>
    <w:rsid w:val="007B33A1"/>
    <w:rsid w:val="007B3533"/>
    <w:rsid w:val="007B3A98"/>
    <w:rsid w:val="007B3BF0"/>
    <w:rsid w:val="007B3F46"/>
    <w:rsid w:val="007B47BA"/>
    <w:rsid w:val="007B4847"/>
    <w:rsid w:val="007B4F58"/>
    <w:rsid w:val="007B519C"/>
    <w:rsid w:val="007B528D"/>
    <w:rsid w:val="007B52AE"/>
    <w:rsid w:val="007B5464"/>
    <w:rsid w:val="007B55F0"/>
    <w:rsid w:val="007B5748"/>
    <w:rsid w:val="007B5751"/>
    <w:rsid w:val="007B5994"/>
    <w:rsid w:val="007B5D05"/>
    <w:rsid w:val="007B5D1F"/>
    <w:rsid w:val="007B5D44"/>
    <w:rsid w:val="007B5D96"/>
    <w:rsid w:val="007B5EF8"/>
    <w:rsid w:val="007B5F40"/>
    <w:rsid w:val="007B63A6"/>
    <w:rsid w:val="007B63CA"/>
    <w:rsid w:val="007B6721"/>
    <w:rsid w:val="007B67AD"/>
    <w:rsid w:val="007B688B"/>
    <w:rsid w:val="007B6C9F"/>
    <w:rsid w:val="007B730B"/>
    <w:rsid w:val="007B75C7"/>
    <w:rsid w:val="007B762F"/>
    <w:rsid w:val="007B778D"/>
    <w:rsid w:val="007B77D1"/>
    <w:rsid w:val="007B7AE0"/>
    <w:rsid w:val="007B7C9A"/>
    <w:rsid w:val="007B7DD0"/>
    <w:rsid w:val="007C01AE"/>
    <w:rsid w:val="007C0445"/>
    <w:rsid w:val="007C0470"/>
    <w:rsid w:val="007C0548"/>
    <w:rsid w:val="007C07C7"/>
    <w:rsid w:val="007C0816"/>
    <w:rsid w:val="007C0D1C"/>
    <w:rsid w:val="007C0F7F"/>
    <w:rsid w:val="007C1737"/>
    <w:rsid w:val="007C18BC"/>
    <w:rsid w:val="007C1A82"/>
    <w:rsid w:val="007C1B27"/>
    <w:rsid w:val="007C1C83"/>
    <w:rsid w:val="007C1CD9"/>
    <w:rsid w:val="007C1D1D"/>
    <w:rsid w:val="007C1DEA"/>
    <w:rsid w:val="007C1E91"/>
    <w:rsid w:val="007C20CC"/>
    <w:rsid w:val="007C23CB"/>
    <w:rsid w:val="007C241B"/>
    <w:rsid w:val="007C2732"/>
    <w:rsid w:val="007C29BE"/>
    <w:rsid w:val="007C2BC3"/>
    <w:rsid w:val="007C2C6A"/>
    <w:rsid w:val="007C328F"/>
    <w:rsid w:val="007C32EF"/>
    <w:rsid w:val="007C361D"/>
    <w:rsid w:val="007C3698"/>
    <w:rsid w:val="007C3712"/>
    <w:rsid w:val="007C3C32"/>
    <w:rsid w:val="007C3E1F"/>
    <w:rsid w:val="007C3F69"/>
    <w:rsid w:val="007C41C7"/>
    <w:rsid w:val="007C41F2"/>
    <w:rsid w:val="007C42F6"/>
    <w:rsid w:val="007C4467"/>
    <w:rsid w:val="007C45DC"/>
    <w:rsid w:val="007C4B84"/>
    <w:rsid w:val="007C4DD0"/>
    <w:rsid w:val="007C4E97"/>
    <w:rsid w:val="007C5014"/>
    <w:rsid w:val="007C5058"/>
    <w:rsid w:val="007C574C"/>
    <w:rsid w:val="007C5870"/>
    <w:rsid w:val="007C58AD"/>
    <w:rsid w:val="007C58EA"/>
    <w:rsid w:val="007C5FEA"/>
    <w:rsid w:val="007C607D"/>
    <w:rsid w:val="007C6103"/>
    <w:rsid w:val="007C6BB6"/>
    <w:rsid w:val="007C6CCD"/>
    <w:rsid w:val="007C6E14"/>
    <w:rsid w:val="007C6ECC"/>
    <w:rsid w:val="007C70AC"/>
    <w:rsid w:val="007C70D9"/>
    <w:rsid w:val="007C70FF"/>
    <w:rsid w:val="007C7273"/>
    <w:rsid w:val="007C7475"/>
    <w:rsid w:val="007C755D"/>
    <w:rsid w:val="007C7619"/>
    <w:rsid w:val="007C7792"/>
    <w:rsid w:val="007C789F"/>
    <w:rsid w:val="007C7A5D"/>
    <w:rsid w:val="007C7AFF"/>
    <w:rsid w:val="007C7C0E"/>
    <w:rsid w:val="007C7C25"/>
    <w:rsid w:val="007C7E32"/>
    <w:rsid w:val="007C7E42"/>
    <w:rsid w:val="007D004F"/>
    <w:rsid w:val="007D0253"/>
    <w:rsid w:val="007D035F"/>
    <w:rsid w:val="007D06B2"/>
    <w:rsid w:val="007D07C8"/>
    <w:rsid w:val="007D0B38"/>
    <w:rsid w:val="007D0CA6"/>
    <w:rsid w:val="007D0FEB"/>
    <w:rsid w:val="007D104C"/>
    <w:rsid w:val="007D11FF"/>
    <w:rsid w:val="007D1455"/>
    <w:rsid w:val="007D191B"/>
    <w:rsid w:val="007D1A86"/>
    <w:rsid w:val="007D1AF4"/>
    <w:rsid w:val="007D1B7D"/>
    <w:rsid w:val="007D1B85"/>
    <w:rsid w:val="007D1BF6"/>
    <w:rsid w:val="007D1C90"/>
    <w:rsid w:val="007D1C9F"/>
    <w:rsid w:val="007D1CCF"/>
    <w:rsid w:val="007D1F3B"/>
    <w:rsid w:val="007D2445"/>
    <w:rsid w:val="007D2589"/>
    <w:rsid w:val="007D2AB5"/>
    <w:rsid w:val="007D2B97"/>
    <w:rsid w:val="007D2E6A"/>
    <w:rsid w:val="007D30EA"/>
    <w:rsid w:val="007D3A5A"/>
    <w:rsid w:val="007D3B86"/>
    <w:rsid w:val="007D4041"/>
    <w:rsid w:val="007D456C"/>
    <w:rsid w:val="007D4A76"/>
    <w:rsid w:val="007D4B25"/>
    <w:rsid w:val="007D4B83"/>
    <w:rsid w:val="007D4DB7"/>
    <w:rsid w:val="007D4F63"/>
    <w:rsid w:val="007D5133"/>
    <w:rsid w:val="007D51D9"/>
    <w:rsid w:val="007D5440"/>
    <w:rsid w:val="007D54E4"/>
    <w:rsid w:val="007D5530"/>
    <w:rsid w:val="007D569D"/>
    <w:rsid w:val="007D58E0"/>
    <w:rsid w:val="007D5F49"/>
    <w:rsid w:val="007D61AF"/>
    <w:rsid w:val="007D620C"/>
    <w:rsid w:val="007D631D"/>
    <w:rsid w:val="007D649B"/>
    <w:rsid w:val="007D656C"/>
    <w:rsid w:val="007D672E"/>
    <w:rsid w:val="007D69EB"/>
    <w:rsid w:val="007D6B88"/>
    <w:rsid w:val="007D6D5C"/>
    <w:rsid w:val="007D6E34"/>
    <w:rsid w:val="007D717D"/>
    <w:rsid w:val="007D74EB"/>
    <w:rsid w:val="007D7775"/>
    <w:rsid w:val="007D787F"/>
    <w:rsid w:val="007D7972"/>
    <w:rsid w:val="007D79E8"/>
    <w:rsid w:val="007D7A04"/>
    <w:rsid w:val="007D7B35"/>
    <w:rsid w:val="007D7BA3"/>
    <w:rsid w:val="007D7E99"/>
    <w:rsid w:val="007E02AC"/>
    <w:rsid w:val="007E04BB"/>
    <w:rsid w:val="007E0525"/>
    <w:rsid w:val="007E0D0E"/>
    <w:rsid w:val="007E0F89"/>
    <w:rsid w:val="007E116A"/>
    <w:rsid w:val="007E128F"/>
    <w:rsid w:val="007E143D"/>
    <w:rsid w:val="007E15C4"/>
    <w:rsid w:val="007E1681"/>
    <w:rsid w:val="007E1852"/>
    <w:rsid w:val="007E1894"/>
    <w:rsid w:val="007E1B66"/>
    <w:rsid w:val="007E1E65"/>
    <w:rsid w:val="007E1E90"/>
    <w:rsid w:val="007E1F25"/>
    <w:rsid w:val="007E2009"/>
    <w:rsid w:val="007E233A"/>
    <w:rsid w:val="007E24F1"/>
    <w:rsid w:val="007E26A4"/>
    <w:rsid w:val="007E26D2"/>
    <w:rsid w:val="007E29F2"/>
    <w:rsid w:val="007E2A13"/>
    <w:rsid w:val="007E2A8B"/>
    <w:rsid w:val="007E2AD6"/>
    <w:rsid w:val="007E2C68"/>
    <w:rsid w:val="007E2CD1"/>
    <w:rsid w:val="007E302A"/>
    <w:rsid w:val="007E3279"/>
    <w:rsid w:val="007E3705"/>
    <w:rsid w:val="007E3BD8"/>
    <w:rsid w:val="007E3D2E"/>
    <w:rsid w:val="007E4021"/>
    <w:rsid w:val="007E4481"/>
    <w:rsid w:val="007E4BB3"/>
    <w:rsid w:val="007E4C63"/>
    <w:rsid w:val="007E4D76"/>
    <w:rsid w:val="007E4DB6"/>
    <w:rsid w:val="007E4EBA"/>
    <w:rsid w:val="007E511E"/>
    <w:rsid w:val="007E5244"/>
    <w:rsid w:val="007E539C"/>
    <w:rsid w:val="007E558D"/>
    <w:rsid w:val="007E5AE8"/>
    <w:rsid w:val="007E5D18"/>
    <w:rsid w:val="007E5EA7"/>
    <w:rsid w:val="007E6114"/>
    <w:rsid w:val="007E61E4"/>
    <w:rsid w:val="007E6690"/>
    <w:rsid w:val="007E6A49"/>
    <w:rsid w:val="007E6C0B"/>
    <w:rsid w:val="007E6F9B"/>
    <w:rsid w:val="007E6FDE"/>
    <w:rsid w:val="007E7284"/>
    <w:rsid w:val="007E7348"/>
    <w:rsid w:val="007E744F"/>
    <w:rsid w:val="007E760D"/>
    <w:rsid w:val="007E76C9"/>
    <w:rsid w:val="007E7C28"/>
    <w:rsid w:val="007E7DAD"/>
    <w:rsid w:val="007E7EEE"/>
    <w:rsid w:val="007F0032"/>
    <w:rsid w:val="007F03AC"/>
    <w:rsid w:val="007F049E"/>
    <w:rsid w:val="007F06A9"/>
    <w:rsid w:val="007F06CA"/>
    <w:rsid w:val="007F07FB"/>
    <w:rsid w:val="007F0BBD"/>
    <w:rsid w:val="007F0CE5"/>
    <w:rsid w:val="007F1017"/>
    <w:rsid w:val="007F1277"/>
    <w:rsid w:val="007F149F"/>
    <w:rsid w:val="007F159D"/>
    <w:rsid w:val="007F185C"/>
    <w:rsid w:val="007F19BE"/>
    <w:rsid w:val="007F19E4"/>
    <w:rsid w:val="007F1B8E"/>
    <w:rsid w:val="007F1D2D"/>
    <w:rsid w:val="007F1E53"/>
    <w:rsid w:val="007F1EE0"/>
    <w:rsid w:val="007F1EFA"/>
    <w:rsid w:val="007F206B"/>
    <w:rsid w:val="007F20B4"/>
    <w:rsid w:val="007F257D"/>
    <w:rsid w:val="007F25F7"/>
    <w:rsid w:val="007F2868"/>
    <w:rsid w:val="007F2CA3"/>
    <w:rsid w:val="007F2E07"/>
    <w:rsid w:val="007F2E94"/>
    <w:rsid w:val="007F30EA"/>
    <w:rsid w:val="007F336F"/>
    <w:rsid w:val="007F3AA2"/>
    <w:rsid w:val="007F3C2A"/>
    <w:rsid w:val="007F4002"/>
    <w:rsid w:val="007F40FD"/>
    <w:rsid w:val="007F4340"/>
    <w:rsid w:val="007F44F0"/>
    <w:rsid w:val="007F4980"/>
    <w:rsid w:val="007F4A3F"/>
    <w:rsid w:val="007F4A61"/>
    <w:rsid w:val="007F4B2E"/>
    <w:rsid w:val="007F4BD0"/>
    <w:rsid w:val="007F4D26"/>
    <w:rsid w:val="007F4E64"/>
    <w:rsid w:val="007F4ED7"/>
    <w:rsid w:val="007F4F93"/>
    <w:rsid w:val="007F5255"/>
    <w:rsid w:val="007F55FC"/>
    <w:rsid w:val="007F56CC"/>
    <w:rsid w:val="007F5859"/>
    <w:rsid w:val="007F5C09"/>
    <w:rsid w:val="007F5C44"/>
    <w:rsid w:val="007F5C6F"/>
    <w:rsid w:val="007F5F76"/>
    <w:rsid w:val="007F61C2"/>
    <w:rsid w:val="007F64C0"/>
    <w:rsid w:val="007F6A37"/>
    <w:rsid w:val="007F6BF1"/>
    <w:rsid w:val="007F6D3D"/>
    <w:rsid w:val="007F72EE"/>
    <w:rsid w:val="007F7536"/>
    <w:rsid w:val="007F7543"/>
    <w:rsid w:val="007F7835"/>
    <w:rsid w:val="007F793C"/>
    <w:rsid w:val="007F7B31"/>
    <w:rsid w:val="007F7C75"/>
    <w:rsid w:val="007F7D77"/>
    <w:rsid w:val="007F7E9D"/>
    <w:rsid w:val="00800659"/>
    <w:rsid w:val="0080108B"/>
    <w:rsid w:val="00801186"/>
    <w:rsid w:val="0080122E"/>
    <w:rsid w:val="00801276"/>
    <w:rsid w:val="00801368"/>
    <w:rsid w:val="008015CE"/>
    <w:rsid w:val="00801E4B"/>
    <w:rsid w:val="0080211D"/>
    <w:rsid w:val="008022CC"/>
    <w:rsid w:val="0080239B"/>
    <w:rsid w:val="008025CF"/>
    <w:rsid w:val="00802781"/>
    <w:rsid w:val="0080291B"/>
    <w:rsid w:val="00802C22"/>
    <w:rsid w:val="00802CB9"/>
    <w:rsid w:val="00802D50"/>
    <w:rsid w:val="00803089"/>
    <w:rsid w:val="0080309B"/>
    <w:rsid w:val="00803364"/>
    <w:rsid w:val="0080361A"/>
    <w:rsid w:val="00803962"/>
    <w:rsid w:val="00803D4F"/>
    <w:rsid w:val="00803E45"/>
    <w:rsid w:val="0080417C"/>
    <w:rsid w:val="0080443B"/>
    <w:rsid w:val="0080458E"/>
    <w:rsid w:val="008045F1"/>
    <w:rsid w:val="008047D1"/>
    <w:rsid w:val="00805142"/>
    <w:rsid w:val="0080515C"/>
    <w:rsid w:val="00805262"/>
    <w:rsid w:val="0080566B"/>
    <w:rsid w:val="00805678"/>
    <w:rsid w:val="00805809"/>
    <w:rsid w:val="00805838"/>
    <w:rsid w:val="00805A2E"/>
    <w:rsid w:val="00805A63"/>
    <w:rsid w:val="00805E11"/>
    <w:rsid w:val="00805FCE"/>
    <w:rsid w:val="008063E3"/>
    <w:rsid w:val="00806412"/>
    <w:rsid w:val="008066FA"/>
    <w:rsid w:val="00806D5B"/>
    <w:rsid w:val="00806DD8"/>
    <w:rsid w:val="00806F81"/>
    <w:rsid w:val="00807303"/>
    <w:rsid w:val="008074DE"/>
    <w:rsid w:val="008077B8"/>
    <w:rsid w:val="00807A8B"/>
    <w:rsid w:val="00807F54"/>
    <w:rsid w:val="00810097"/>
    <w:rsid w:val="008100A0"/>
    <w:rsid w:val="0081050F"/>
    <w:rsid w:val="0081079E"/>
    <w:rsid w:val="00810928"/>
    <w:rsid w:val="00810AF3"/>
    <w:rsid w:val="00810D78"/>
    <w:rsid w:val="008111CF"/>
    <w:rsid w:val="00811383"/>
    <w:rsid w:val="00811CC0"/>
    <w:rsid w:val="0081210B"/>
    <w:rsid w:val="00812149"/>
    <w:rsid w:val="00812A80"/>
    <w:rsid w:val="00812CAC"/>
    <w:rsid w:val="00812FCF"/>
    <w:rsid w:val="00813103"/>
    <w:rsid w:val="00813414"/>
    <w:rsid w:val="00813893"/>
    <w:rsid w:val="00813B84"/>
    <w:rsid w:val="00813E44"/>
    <w:rsid w:val="00813E90"/>
    <w:rsid w:val="00814379"/>
    <w:rsid w:val="008145E9"/>
    <w:rsid w:val="008146D2"/>
    <w:rsid w:val="00814BBD"/>
    <w:rsid w:val="00814F3C"/>
    <w:rsid w:val="008150D5"/>
    <w:rsid w:val="008151F4"/>
    <w:rsid w:val="00815449"/>
    <w:rsid w:val="0081544F"/>
    <w:rsid w:val="00815471"/>
    <w:rsid w:val="00815544"/>
    <w:rsid w:val="00815631"/>
    <w:rsid w:val="008159A8"/>
    <w:rsid w:val="00815ACD"/>
    <w:rsid w:val="00815D22"/>
    <w:rsid w:val="00815E98"/>
    <w:rsid w:val="00816206"/>
    <w:rsid w:val="00816343"/>
    <w:rsid w:val="00816361"/>
    <w:rsid w:val="008164B4"/>
    <w:rsid w:val="008166EF"/>
    <w:rsid w:val="008168D4"/>
    <w:rsid w:val="00816B18"/>
    <w:rsid w:val="00816DE5"/>
    <w:rsid w:val="00816FEF"/>
    <w:rsid w:val="0081715D"/>
    <w:rsid w:val="0081739A"/>
    <w:rsid w:val="0081741C"/>
    <w:rsid w:val="008174BA"/>
    <w:rsid w:val="0081759D"/>
    <w:rsid w:val="008175A0"/>
    <w:rsid w:val="008177CB"/>
    <w:rsid w:val="00817876"/>
    <w:rsid w:val="00817B0E"/>
    <w:rsid w:val="00817B9E"/>
    <w:rsid w:val="00817F2E"/>
    <w:rsid w:val="00817F49"/>
    <w:rsid w:val="008202B9"/>
    <w:rsid w:val="0082036B"/>
    <w:rsid w:val="008209A8"/>
    <w:rsid w:val="00820A8C"/>
    <w:rsid w:val="00820B71"/>
    <w:rsid w:val="00820D67"/>
    <w:rsid w:val="00820D7D"/>
    <w:rsid w:val="00820E10"/>
    <w:rsid w:val="00820E7F"/>
    <w:rsid w:val="00820F25"/>
    <w:rsid w:val="00821074"/>
    <w:rsid w:val="00821292"/>
    <w:rsid w:val="008215FB"/>
    <w:rsid w:val="0082163E"/>
    <w:rsid w:val="0082194B"/>
    <w:rsid w:val="0082195B"/>
    <w:rsid w:val="00821CB4"/>
    <w:rsid w:val="00821E26"/>
    <w:rsid w:val="00821F4C"/>
    <w:rsid w:val="008220CC"/>
    <w:rsid w:val="008221D1"/>
    <w:rsid w:val="008222E7"/>
    <w:rsid w:val="0082251B"/>
    <w:rsid w:val="00822795"/>
    <w:rsid w:val="008227E9"/>
    <w:rsid w:val="00822877"/>
    <w:rsid w:val="0082292B"/>
    <w:rsid w:val="00822A88"/>
    <w:rsid w:val="00822C7D"/>
    <w:rsid w:val="00823174"/>
    <w:rsid w:val="008231C8"/>
    <w:rsid w:val="00823393"/>
    <w:rsid w:val="008235D4"/>
    <w:rsid w:val="00823753"/>
    <w:rsid w:val="00823762"/>
    <w:rsid w:val="00823AEC"/>
    <w:rsid w:val="00823B0B"/>
    <w:rsid w:val="00823B96"/>
    <w:rsid w:val="00823C4F"/>
    <w:rsid w:val="00823C91"/>
    <w:rsid w:val="00824355"/>
    <w:rsid w:val="0082438F"/>
    <w:rsid w:val="00824495"/>
    <w:rsid w:val="00824A28"/>
    <w:rsid w:val="00824C5B"/>
    <w:rsid w:val="00824C5C"/>
    <w:rsid w:val="00825232"/>
    <w:rsid w:val="00825751"/>
    <w:rsid w:val="0082594C"/>
    <w:rsid w:val="00825B4C"/>
    <w:rsid w:val="00825FDA"/>
    <w:rsid w:val="0082647A"/>
    <w:rsid w:val="008264EB"/>
    <w:rsid w:val="0082669C"/>
    <w:rsid w:val="008266F5"/>
    <w:rsid w:val="0082681C"/>
    <w:rsid w:val="00826880"/>
    <w:rsid w:val="008268B6"/>
    <w:rsid w:val="008268BD"/>
    <w:rsid w:val="008268CE"/>
    <w:rsid w:val="00826997"/>
    <w:rsid w:val="00826B60"/>
    <w:rsid w:val="00826C68"/>
    <w:rsid w:val="00826FBD"/>
    <w:rsid w:val="00827056"/>
    <w:rsid w:val="008273AA"/>
    <w:rsid w:val="00827541"/>
    <w:rsid w:val="008277A8"/>
    <w:rsid w:val="008278B8"/>
    <w:rsid w:val="00827AD9"/>
    <w:rsid w:val="00827C23"/>
    <w:rsid w:val="00830122"/>
    <w:rsid w:val="00830204"/>
    <w:rsid w:val="00830271"/>
    <w:rsid w:val="00830287"/>
    <w:rsid w:val="0083055B"/>
    <w:rsid w:val="008307C9"/>
    <w:rsid w:val="00830839"/>
    <w:rsid w:val="008309C2"/>
    <w:rsid w:val="008309EC"/>
    <w:rsid w:val="00830B57"/>
    <w:rsid w:val="00830C8B"/>
    <w:rsid w:val="00830CC2"/>
    <w:rsid w:val="008313E2"/>
    <w:rsid w:val="008313F1"/>
    <w:rsid w:val="008315C0"/>
    <w:rsid w:val="00831EF5"/>
    <w:rsid w:val="00832082"/>
    <w:rsid w:val="00832341"/>
    <w:rsid w:val="008324DF"/>
    <w:rsid w:val="00832DE2"/>
    <w:rsid w:val="00833065"/>
    <w:rsid w:val="008333A6"/>
    <w:rsid w:val="00833406"/>
    <w:rsid w:val="008335A2"/>
    <w:rsid w:val="0083399B"/>
    <w:rsid w:val="0083399F"/>
    <w:rsid w:val="00833B05"/>
    <w:rsid w:val="00833D6E"/>
    <w:rsid w:val="00834837"/>
    <w:rsid w:val="00834905"/>
    <w:rsid w:val="00834F6C"/>
    <w:rsid w:val="00835250"/>
    <w:rsid w:val="00835408"/>
    <w:rsid w:val="00835507"/>
    <w:rsid w:val="00835B01"/>
    <w:rsid w:val="00835E4F"/>
    <w:rsid w:val="00835EF1"/>
    <w:rsid w:val="008362B4"/>
    <w:rsid w:val="00836689"/>
    <w:rsid w:val="008366DD"/>
    <w:rsid w:val="00836836"/>
    <w:rsid w:val="008369EF"/>
    <w:rsid w:val="00836A34"/>
    <w:rsid w:val="00836DDB"/>
    <w:rsid w:val="00836EAD"/>
    <w:rsid w:val="00837219"/>
    <w:rsid w:val="008372D8"/>
    <w:rsid w:val="0083733F"/>
    <w:rsid w:val="008376E3"/>
    <w:rsid w:val="00837872"/>
    <w:rsid w:val="0083795F"/>
    <w:rsid w:val="008402B0"/>
    <w:rsid w:val="00840372"/>
    <w:rsid w:val="00840CA2"/>
    <w:rsid w:val="00841674"/>
    <w:rsid w:val="008416EB"/>
    <w:rsid w:val="00841BDF"/>
    <w:rsid w:val="00841C9A"/>
    <w:rsid w:val="00841D01"/>
    <w:rsid w:val="00841DE5"/>
    <w:rsid w:val="008420EA"/>
    <w:rsid w:val="0084211F"/>
    <w:rsid w:val="008424C5"/>
    <w:rsid w:val="0084264D"/>
    <w:rsid w:val="008426FD"/>
    <w:rsid w:val="0084273D"/>
    <w:rsid w:val="008427F6"/>
    <w:rsid w:val="00842B9C"/>
    <w:rsid w:val="00842BE7"/>
    <w:rsid w:val="00842E07"/>
    <w:rsid w:val="00843192"/>
    <w:rsid w:val="0084374F"/>
    <w:rsid w:val="00843764"/>
    <w:rsid w:val="00843B4B"/>
    <w:rsid w:val="00843D82"/>
    <w:rsid w:val="00843E85"/>
    <w:rsid w:val="0084428E"/>
    <w:rsid w:val="00844977"/>
    <w:rsid w:val="00844A22"/>
    <w:rsid w:val="00844C56"/>
    <w:rsid w:val="00844C59"/>
    <w:rsid w:val="00844CE3"/>
    <w:rsid w:val="00844E40"/>
    <w:rsid w:val="00844F99"/>
    <w:rsid w:val="00844FEA"/>
    <w:rsid w:val="008451D9"/>
    <w:rsid w:val="008456CB"/>
    <w:rsid w:val="008457E7"/>
    <w:rsid w:val="00845864"/>
    <w:rsid w:val="008459DE"/>
    <w:rsid w:val="00845A33"/>
    <w:rsid w:val="00845ECA"/>
    <w:rsid w:val="0084622F"/>
    <w:rsid w:val="008465C6"/>
    <w:rsid w:val="008465ED"/>
    <w:rsid w:val="008467CF"/>
    <w:rsid w:val="00846B51"/>
    <w:rsid w:val="00846C75"/>
    <w:rsid w:val="00846D07"/>
    <w:rsid w:val="00847165"/>
    <w:rsid w:val="008471E9"/>
    <w:rsid w:val="00847375"/>
    <w:rsid w:val="008475A4"/>
    <w:rsid w:val="008475AE"/>
    <w:rsid w:val="00847703"/>
    <w:rsid w:val="00847A1B"/>
    <w:rsid w:val="00847DF5"/>
    <w:rsid w:val="008500BE"/>
    <w:rsid w:val="0085065E"/>
    <w:rsid w:val="00850C81"/>
    <w:rsid w:val="00850DDB"/>
    <w:rsid w:val="008512BB"/>
    <w:rsid w:val="00851478"/>
    <w:rsid w:val="0085154B"/>
    <w:rsid w:val="008517F0"/>
    <w:rsid w:val="00851808"/>
    <w:rsid w:val="008519AA"/>
    <w:rsid w:val="00851AFA"/>
    <w:rsid w:val="00851ECC"/>
    <w:rsid w:val="00852106"/>
    <w:rsid w:val="0085221C"/>
    <w:rsid w:val="00852356"/>
    <w:rsid w:val="0085246F"/>
    <w:rsid w:val="00852774"/>
    <w:rsid w:val="008529F5"/>
    <w:rsid w:val="00852BD5"/>
    <w:rsid w:val="00852C8E"/>
    <w:rsid w:val="00852CFA"/>
    <w:rsid w:val="00852D7E"/>
    <w:rsid w:val="00852E1F"/>
    <w:rsid w:val="0085300D"/>
    <w:rsid w:val="00853092"/>
    <w:rsid w:val="0085309D"/>
    <w:rsid w:val="0085311E"/>
    <w:rsid w:val="00853374"/>
    <w:rsid w:val="008534FD"/>
    <w:rsid w:val="00853596"/>
    <w:rsid w:val="00853C73"/>
    <w:rsid w:val="00853C74"/>
    <w:rsid w:val="00853D13"/>
    <w:rsid w:val="00853D81"/>
    <w:rsid w:val="008541C1"/>
    <w:rsid w:val="008543B3"/>
    <w:rsid w:val="0085454D"/>
    <w:rsid w:val="008545BD"/>
    <w:rsid w:val="0085469E"/>
    <w:rsid w:val="008546BF"/>
    <w:rsid w:val="0085476A"/>
    <w:rsid w:val="00854922"/>
    <w:rsid w:val="00854ACD"/>
    <w:rsid w:val="00854E8E"/>
    <w:rsid w:val="00855361"/>
    <w:rsid w:val="00855A4C"/>
    <w:rsid w:val="00855A6E"/>
    <w:rsid w:val="00855CFF"/>
    <w:rsid w:val="00856027"/>
    <w:rsid w:val="008565D8"/>
    <w:rsid w:val="008567DA"/>
    <w:rsid w:val="00856897"/>
    <w:rsid w:val="00856B9E"/>
    <w:rsid w:val="00856E23"/>
    <w:rsid w:val="00856E9A"/>
    <w:rsid w:val="00857133"/>
    <w:rsid w:val="008571BE"/>
    <w:rsid w:val="00857857"/>
    <w:rsid w:val="008578DB"/>
    <w:rsid w:val="00857908"/>
    <w:rsid w:val="00857B60"/>
    <w:rsid w:val="00857C5B"/>
    <w:rsid w:val="0086075D"/>
    <w:rsid w:val="00860A45"/>
    <w:rsid w:val="00860A73"/>
    <w:rsid w:val="00860AEE"/>
    <w:rsid w:val="0086108D"/>
    <w:rsid w:val="008614A3"/>
    <w:rsid w:val="008616A3"/>
    <w:rsid w:val="00861E3C"/>
    <w:rsid w:val="00861F79"/>
    <w:rsid w:val="008622B6"/>
    <w:rsid w:val="00862502"/>
    <w:rsid w:val="008627AA"/>
    <w:rsid w:val="00862CC1"/>
    <w:rsid w:val="00862F81"/>
    <w:rsid w:val="0086324C"/>
    <w:rsid w:val="008633FD"/>
    <w:rsid w:val="0086347C"/>
    <w:rsid w:val="00863938"/>
    <w:rsid w:val="00863B92"/>
    <w:rsid w:val="00863B9F"/>
    <w:rsid w:val="00863C38"/>
    <w:rsid w:val="00863C42"/>
    <w:rsid w:val="00863D6F"/>
    <w:rsid w:val="0086420E"/>
    <w:rsid w:val="0086429F"/>
    <w:rsid w:val="008642A7"/>
    <w:rsid w:val="00864381"/>
    <w:rsid w:val="0086446D"/>
    <w:rsid w:val="00864507"/>
    <w:rsid w:val="0086466D"/>
    <w:rsid w:val="00864863"/>
    <w:rsid w:val="00864888"/>
    <w:rsid w:val="00864B11"/>
    <w:rsid w:val="00864C53"/>
    <w:rsid w:val="00864E64"/>
    <w:rsid w:val="00864EE5"/>
    <w:rsid w:val="00864F36"/>
    <w:rsid w:val="008658CF"/>
    <w:rsid w:val="008659F1"/>
    <w:rsid w:val="00865D48"/>
    <w:rsid w:val="008660D4"/>
    <w:rsid w:val="008664DC"/>
    <w:rsid w:val="00866679"/>
    <w:rsid w:val="008667D7"/>
    <w:rsid w:val="008669DA"/>
    <w:rsid w:val="00866A84"/>
    <w:rsid w:val="00866F4A"/>
    <w:rsid w:val="00866FB6"/>
    <w:rsid w:val="0086769F"/>
    <w:rsid w:val="00867A93"/>
    <w:rsid w:val="00867B1B"/>
    <w:rsid w:val="00867DBF"/>
    <w:rsid w:val="00867F44"/>
    <w:rsid w:val="008702EB"/>
    <w:rsid w:val="008707AE"/>
    <w:rsid w:val="00870B47"/>
    <w:rsid w:val="00870BF7"/>
    <w:rsid w:val="00870D2E"/>
    <w:rsid w:val="00870D41"/>
    <w:rsid w:val="00870D54"/>
    <w:rsid w:val="00870DA3"/>
    <w:rsid w:val="00870EFC"/>
    <w:rsid w:val="0087106B"/>
    <w:rsid w:val="0087156E"/>
    <w:rsid w:val="00871943"/>
    <w:rsid w:val="00871BF0"/>
    <w:rsid w:val="00871CE2"/>
    <w:rsid w:val="00871CF3"/>
    <w:rsid w:val="00871F6B"/>
    <w:rsid w:val="00871FA9"/>
    <w:rsid w:val="008721B0"/>
    <w:rsid w:val="00872403"/>
    <w:rsid w:val="0087254A"/>
    <w:rsid w:val="008728E9"/>
    <w:rsid w:val="00872D3D"/>
    <w:rsid w:val="00873A0F"/>
    <w:rsid w:val="00873CA5"/>
    <w:rsid w:val="00873E18"/>
    <w:rsid w:val="00873E58"/>
    <w:rsid w:val="00873EAF"/>
    <w:rsid w:val="00873F15"/>
    <w:rsid w:val="00873F87"/>
    <w:rsid w:val="00873FCB"/>
    <w:rsid w:val="008740F9"/>
    <w:rsid w:val="00874555"/>
    <w:rsid w:val="008745B8"/>
    <w:rsid w:val="0087483C"/>
    <w:rsid w:val="008749A8"/>
    <w:rsid w:val="00874EC8"/>
    <w:rsid w:val="008752A3"/>
    <w:rsid w:val="008753C4"/>
    <w:rsid w:val="008756AA"/>
    <w:rsid w:val="008759A6"/>
    <w:rsid w:val="00875A19"/>
    <w:rsid w:val="00875A1D"/>
    <w:rsid w:val="00875B8A"/>
    <w:rsid w:val="00875D8A"/>
    <w:rsid w:val="00875EAB"/>
    <w:rsid w:val="00875FDF"/>
    <w:rsid w:val="00876059"/>
    <w:rsid w:val="0087609B"/>
    <w:rsid w:val="00876228"/>
    <w:rsid w:val="00876272"/>
    <w:rsid w:val="008766CB"/>
    <w:rsid w:val="00876C7D"/>
    <w:rsid w:val="00876CBF"/>
    <w:rsid w:val="00876CF9"/>
    <w:rsid w:val="008771F8"/>
    <w:rsid w:val="008772D4"/>
    <w:rsid w:val="0087732A"/>
    <w:rsid w:val="00877331"/>
    <w:rsid w:val="0087740A"/>
    <w:rsid w:val="00877597"/>
    <w:rsid w:val="008775AB"/>
    <w:rsid w:val="008775E5"/>
    <w:rsid w:val="00877AD2"/>
    <w:rsid w:val="00877CDD"/>
    <w:rsid w:val="0088007F"/>
    <w:rsid w:val="008802C4"/>
    <w:rsid w:val="00880303"/>
    <w:rsid w:val="00880BC7"/>
    <w:rsid w:val="00880C1C"/>
    <w:rsid w:val="00881084"/>
    <w:rsid w:val="008811D2"/>
    <w:rsid w:val="0088170D"/>
    <w:rsid w:val="00881776"/>
    <w:rsid w:val="0088192A"/>
    <w:rsid w:val="00881CCA"/>
    <w:rsid w:val="00881DC7"/>
    <w:rsid w:val="0088232A"/>
    <w:rsid w:val="00882616"/>
    <w:rsid w:val="00882874"/>
    <w:rsid w:val="008828D8"/>
    <w:rsid w:val="00882988"/>
    <w:rsid w:val="008829E2"/>
    <w:rsid w:val="00882E3C"/>
    <w:rsid w:val="0088308A"/>
    <w:rsid w:val="00883528"/>
    <w:rsid w:val="008835CB"/>
    <w:rsid w:val="0088360D"/>
    <w:rsid w:val="00883787"/>
    <w:rsid w:val="00883880"/>
    <w:rsid w:val="00883A28"/>
    <w:rsid w:val="00883DEE"/>
    <w:rsid w:val="008841B0"/>
    <w:rsid w:val="00884365"/>
    <w:rsid w:val="0088443D"/>
    <w:rsid w:val="008844A5"/>
    <w:rsid w:val="00884814"/>
    <w:rsid w:val="00884C5A"/>
    <w:rsid w:val="00884C6D"/>
    <w:rsid w:val="00884DBB"/>
    <w:rsid w:val="008850B7"/>
    <w:rsid w:val="0088512F"/>
    <w:rsid w:val="00885252"/>
    <w:rsid w:val="008855E4"/>
    <w:rsid w:val="008855E6"/>
    <w:rsid w:val="008858C4"/>
    <w:rsid w:val="0088592E"/>
    <w:rsid w:val="00885A6D"/>
    <w:rsid w:val="00885EDC"/>
    <w:rsid w:val="00885F35"/>
    <w:rsid w:val="008862C8"/>
    <w:rsid w:val="008863AC"/>
    <w:rsid w:val="008866A2"/>
    <w:rsid w:val="00886840"/>
    <w:rsid w:val="008869EA"/>
    <w:rsid w:val="00886CD2"/>
    <w:rsid w:val="00886E0E"/>
    <w:rsid w:val="0088759B"/>
    <w:rsid w:val="00887663"/>
    <w:rsid w:val="0088793B"/>
    <w:rsid w:val="00887C12"/>
    <w:rsid w:val="00887C70"/>
    <w:rsid w:val="00887DFF"/>
    <w:rsid w:val="00887F82"/>
    <w:rsid w:val="00890332"/>
    <w:rsid w:val="0089033A"/>
    <w:rsid w:val="00890AF4"/>
    <w:rsid w:val="00890F68"/>
    <w:rsid w:val="00890FB3"/>
    <w:rsid w:val="00891040"/>
    <w:rsid w:val="0089109F"/>
    <w:rsid w:val="00891222"/>
    <w:rsid w:val="008917DF"/>
    <w:rsid w:val="008919D3"/>
    <w:rsid w:val="00891B0C"/>
    <w:rsid w:val="00891C49"/>
    <w:rsid w:val="00891C86"/>
    <w:rsid w:val="00891E6F"/>
    <w:rsid w:val="00891F78"/>
    <w:rsid w:val="0089219B"/>
    <w:rsid w:val="0089223C"/>
    <w:rsid w:val="0089262B"/>
    <w:rsid w:val="0089275D"/>
    <w:rsid w:val="00892952"/>
    <w:rsid w:val="00892A36"/>
    <w:rsid w:val="00892AE7"/>
    <w:rsid w:val="00892BFB"/>
    <w:rsid w:val="00892C3A"/>
    <w:rsid w:val="008931AD"/>
    <w:rsid w:val="00893239"/>
    <w:rsid w:val="00893294"/>
    <w:rsid w:val="008932B7"/>
    <w:rsid w:val="0089337C"/>
    <w:rsid w:val="00893479"/>
    <w:rsid w:val="0089387D"/>
    <w:rsid w:val="00893DD3"/>
    <w:rsid w:val="00893E6B"/>
    <w:rsid w:val="0089420E"/>
    <w:rsid w:val="00894489"/>
    <w:rsid w:val="00894670"/>
    <w:rsid w:val="00894983"/>
    <w:rsid w:val="00894CD6"/>
    <w:rsid w:val="00895251"/>
    <w:rsid w:val="0089575E"/>
    <w:rsid w:val="00895833"/>
    <w:rsid w:val="00895928"/>
    <w:rsid w:val="00895D38"/>
    <w:rsid w:val="00895D7C"/>
    <w:rsid w:val="008963A5"/>
    <w:rsid w:val="0089681E"/>
    <w:rsid w:val="00896CEE"/>
    <w:rsid w:val="00896D5D"/>
    <w:rsid w:val="008971B9"/>
    <w:rsid w:val="00897249"/>
    <w:rsid w:val="0089729E"/>
    <w:rsid w:val="00897301"/>
    <w:rsid w:val="00897325"/>
    <w:rsid w:val="0089742A"/>
    <w:rsid w:val="00897507"/>
    <w:rsid w:val="0089760C"/>
    <w:rsid w:val="008978FE"/>
    <w:rsid w:val="00897A15"/>
    <w:rsid w:val="00897AD8"/>
    <w:rsid w:val="00897AE9"/>
    <w:rsid w:val="00897B87"/>
    <w:rsid w:val="008A04E9"/>
    <w:rsid w:val="008A061E"/>
    <w:rsid w:val="008A1558"/>
    <w:rsid w:val="008A1ACF"/>
    <w:rsid w:val="008A1AF7"/>
    <w:rsid w:val="008A1D98"/>
    <w:rsid w:val="008A1DFC"/>
    <w:rsid w:val="008A1E99"/>
    <w:rsid w:val="008A231A"/>
    <w:rsid w:val="008A27B8"/>
    <w:rsid w:val="008A2CDD"/>
    <w:rsid w:val="008A2F11"/>
    <w:rsid w:val="008A3158"/>
    <w:rsid w:val="008A3363"/>
    <w:rsid w:val="008A3371"/>
    <w:rsid w:val="008A3463"/>
    <w:rsid w:val="008A3483"/>
    <w:rsid w:val="008A34C8"/>
    <w:rsid w:val="008A3B35"/>
    <w:rsid w:val="008A3C3E"/>
    <w:rsid w:val="008A3DF7"/>
    <w:rsid w:val="008A4159"/>
    <w:rsid w:val="008A4178"/>
    <w:rsid w:val="008A4321"/>
    <w:rsid w:val="008A4582"/>
    <w:rsid w:val="008A4619"/>
    <w:rsid w:val="008A4803"/>
    <w:rsid w:val="008A4EA8"/>
    <w:rsid w:val="008A5133"/>
    <w:rsid w:val="008A5175"/>
    <w:rsid w:val="008A51C5"/>
    <w:rsid w:val="008A5228"/>
    <w:rsid w:val="008A5599"/>
    <w:rsid w:val="008A57E6"/>
    <w:rsid w:val="008A58CD"/>
    <w:rsid w:val="008A626B"/>
    <w:rsid w:val="008A6B46"/>
    <w:rsid w:val="008A6D2D"/>
    <w:rsid w:val="008A6F76"/>
    <w:rsid w:val="008A7065"/>
    <w:rsid w:val="008A78EF"/>
    <w:rsid w:val="008A79DE"/>
    <w:rsid w:val="008A7AA8"/>
    <w:rsid w:val="008A7FB3"/>
    <w:rsid w:val="008B01D8"/>
    <w:rsid w:val="008B03D8"/>
    <w:rsid w:val="008B0417"/>
    <w:rsid w:val="008B04B1"/>
    <w:rsid w:val="008B05E5"/>
    <w:rsid w:val="008B0877"/>
    <w:rsid w:val="008B0BB1"/>
    <w:rsid w:val="008B0DF3"/>
    <w:rsid w:val="008B0E7A"/>
    <w:rsid w:val="008B1757"/>
    <w:rsid w:val="008B1C33"/>
    <w:rsid w:val="008B1C6D"/>
    <w:rsid w:val="008B1DD1"/>
    <w:rsid w:val="008B1F1E"/>
    <w:rsid w:val="008B21BC"/>
    <w:rsid w:val="008B225F"/>
    <w:rsid w:val="008B22E3"/>
    <w:rsid w:val="008B2608"/>
    <w:rsid w:val="008B27AF"/>
    <w:rsid w:val="008B27CD"/>
    <w:rsid w:val="008B27FD"/>
    <w:rsid w:val="008B28B4"/>
    <w:rsid w:val="008B29EE"/>
    <w:rsid w:val="008B2B0C"/>
    <w:rsid w:val="008B2B2A"/>
    <w:rsid w:val="008B2C7E"/>
    <w:rsid w:val="008B2DF5"/>
    <w:rsid w:val="008B2E23"/>
    <w:rsid w:val="008B2F37"/>
    <w:rsid w:val="008B311C"/>
    <w:rsid w:val="008B320E"/>
    <w:rsid w:val="008B3827"/>
    <w:rsid w:val="008B3BF1"/>
    <w:rsid w:val="008B3EA1"/>
    <w:rsid w:val="008B3F1B"/>
    <w:rsid w:val="008B3FB1"/>
    <w:rsid w:val="008B41A1"/>
    <w:rsid w:val="008B430F"/>
    <w:rsid w:val="008B4455"/>
    <w:rsid w:val="008B4B6F"/>
    <w:rsid w:val="008B4E00"/>
    <w:rsid w:val="008B4FE7"/>
    <w:rsid w:val="008B54F5"/>
    <w:rsid w:val="008B5537"/>
    <w:rsid w:val="008B5F26"/>
    <w:rsid w:val="008B5FE5"/>
    <w:rsid w:val="008B6364"/>
    <w:rsid w:val="008B64E0"/>
    <w:rsid w:val="008B65CC"/>
    <w:rsid w:val="008B6AC5"/>
    <w:rsid w:val="008B6B10"/>
    <w:rsid w:val="008B6B2E"/>
    <w:rsid w:val="008B6C7F"/>
    <w:rsid w:val="008B6E00"/>
    <w:rsid w:val="008B7859"/>
    <w:rsid w:val="008B7992"/>
    <w:rsid w:val="008B7D7E"/>
    <w:rsid w:val="008B7F0E"/>
    <w:rsid w:val="008C00E5"/>
    <w:rsid w:val="008C023D"/>
    <w:rsid w:val="008C0534"/>
    <w:rsid w:val="008C0F0F"/>
    <w:rsid w:val="008C13EA"/>
    <w:rsid w:val="008C147D"/>
    <w:rsid w:val="008C154E"/>
    <w:rsid w:val="008C15A2"/>
    <w:rsid w:val="008C1846"/>
    <w:rsid w:val="008C1948"/>
    <w:rsid w:val="008C1AA2"/>
    <w:rsid w:val="008C1B8D"/>
    <w:rsid w:val="008C22C3"/>
    <w:rsid w:val="008C2324"/>
    <w:rsid w:val="008C2355"/>
    <w:rsid w:val="008C26D1"/>
    <w:rsid w:val="008C26FC"/>
    <w:rsid w:val="008C2943"/>
    <w:rsid w:val="008C2ABB"/>
    <w:rsid w:val="008C2D1D"/>
    <w:rsid w:val="008C2D3D"/>
    <w:rsid w:val="008C313B"/>
    <w:rsid w:val="008C3490"/>
    <w:rsid w:val="008C3679"/>
    <w:rsid w:val="008C37AE"/>
    <w:rsid w:val="008C3958"/>
    <w:rsid w:val="008C3CBA"/>
    <w:rsid w:val="008C3CC6"/>
    <w:rsid w:val="008C3CDD"/>
    <w:rsid w:val="008C3D01"/>
    <w:rsid w:val="008C3D3C"/>
    <w:rsid w:val="008C400A"/>
    <w:rsid w:val="008C40DF"/>
    <w:rsid w:val="008C43DD"/>
    <w:rsid w:val="008C4792"/>
    <w:rsid w:val="008C47DB"/>
    <w:rsid w:val="008C48DF"/>
    <w:rsid w:val="008C494B"/>
    <w:rsid w:val="008C4BE9"/>
    <w:rsid w:val="008C4D98"/>
    <w:rsid w:val="008C4DCD"/>
    <w:rsid w:val="008C5183"/>
    <w:rsid w:val="008C53E8"/>
    <w:rsid w:val="008C5568"/>
    <w:rsid w:val="008C5610"/>
    <w:rsid w:val="008C5739"/>
    <w:rsid w:val="008C57F6"/>
    <w:rsid w:val="008C5C2A"/>
    <w:rsid w:val="008C5C72"/>
    <w:rsid w:val="008C5D0B"/>
    <w:rsid w:val="008C6674"/>
    <w:rsid w:val="008C710C"/>
    <w:rsid w:val="008C718A"/>
    <w:rsid w:val="008C7282"/>
    <w:rsid w:val="008C72D8"/>
    <w:rsid w:val="008C764E"/>
    <w:rsid w:val="008C76EF"/>
    <w:rsid w:val="008C789B"/>
    <w:rsid w:val="008C7ECB"/>
    <w:rsid w:val="008C7F5E"/>
    <w:rsid w:val="008C7FE1"/>
    <w:rsid w:val="008D00AF"/>
    <w:rsid w:val="008D0430"/>
    <w:rsid w:val="008D097A"/>
    <w:rsid w:val="008D0BBE"/>
    <w:rsid w:val="008D0E37"/>
    <w:rsid w:val="008D12F0"/>
    <w:rsid w:val="008D1769"/>
    <w:rsid w:val="008D1D9D"/>
    <w:rsid w:val="008D1F42"/>
    <w:rsid w:val="008D2048"/>
    <w:rsid w:val="008D27EC"/>
    <w:rsid w:val="008D294C"/>
    <w:rsid w:val="008D2DBE"/>
    <w:rsid w:val="008D2E99"/>
    <w:rsid w:val="008D3340"/>
    <w:rsid w:val="008D3374"/>
    <w:rsid w:val="008D388D"/>
    <w:rsid w:val="008D3B86"/>
    <w:rsid w:val="008D3D10"/>
    <w:rsid w:val="008D40BB"/>
    <w:rsid w:val="008D43FD"/>
    <w:rsid w:val="008D4414"/>
    <w:rsid w:val="008D4755"/>
    <w:rsid w:val="008D4AA2"/>
    <w:rsid w:val="008D4AEC"/>
    <w:rsid w:val="008D4C3D"/>
    <w:rsid w:val="008D4CEE"/>
    <w:rsid w:val="008D4E71"/>
    <w:rsid w:val="008D5D02"/>
    <w:rsid w:val="008D5EDE"/>
    <w:rsid w:val="008D6241"/>
    <w:rsid w:val="008D62E0"/>
    <w:rsid w:val="008D644E"/>
    <w:rsid w:val="008D6B99"/>
    <w:rsid w:val="008D6C13"/>
    <w:rsid w:val="008D6E98"/>
    <w:rsid w:val="008D70A2"/>
    <w:rsid w:val="008D743C"/>
    <w:rsid w:val="008D744D"/>
    <w:rsid w:val="008D7602"/>
    <w:rsid w:val="008D7CA1"/>
    <w:rsid w:val="008E04E9"/>
    <w:rsid w:val="008E05C7"/>
    <w:rsid w:val="008E073D"/>
    <w:rsid w:val="008E079E"/>
    <w:rsid w:val="008E0A48"/>
    <w:rsid w:val="008E0C7A"/>
    <w:rsid w:val="008E0D3C"/>
    <w:rsid w:val="008E0D99"/>
    <w:rsid w:val="008E0E12"/>
    <w:rsid w:val="008E0F4E"/>
    <w:rsid w:val="008E10C9"/>
    <w:rsid w:val="008E1190"/>
    <w:rsid w:val="008E1304"/>
    <w:rsid w:val="008E14A2"/>
    <w:rsid w:val="008E1602"/>
    <w:rsid w:val="008E1B9E"/>
    <w:rsid w:val="008E1C92"/>
    <w:rsid w:val="008E1DA0"/>
    <w:rsid w:val="008E1E45"/>
    <w:rsid w:val="008E2357"/>
    <w:rsid w:val="008E27AA"/>
    <w:rsid w:val="008E2807"/>
    <w:rsid w:val="008E2A97"/>
    <w:rsid w:val="008E2EE5"/>
    <w:rsid w:val="008E300D"/>
    <w:rsid w:val="008E382C"/>
    <w:rsid w:val="008E3974"/>
    <w:rsid w:val="008E3EE3"/>
    <w:rsid w:val="008E3F20"/>
    <w:rsid w:val="008E4656"/>
    <w:rsid w:val="008E4816"/>
    <w:rsid w:val="008E496D"/>
    <w:rsid w:val="008E4BFB"/>
    <w:rsid w:val="008E4FDE"/>
    <w:rsid w:val="008E5033"/>
    <w:rsid w:val="008E52ED"/>
    <w:rsid w:val="008E553A"/>
    <w:rsid w:val="008E55AB"/>
    <w:rsid w:val="008E565A"/>
    <w:rsid w:val="008E57B3"/>
    <w:rsid w:val="008E5915"/>
    <w:rsid w:val="008E5A68"/>
    <w:rsid w:val="008E5CAE"/>
    <w:rsid w:val="008E5CBA"/>
    <w:rsid w:val="008E5F20"/>
    <w:rsid w:val="008E60DC"/>
    <w:rsid w:val="008E67A8"/>
    <w:rsid w:val="008E6811"/>
    <w:rsid w:val="008E69C3"/>
    <w:rsid w:val="008E69E8"/>
    <w:rsid w:val="008E6C08"/>
    <w:rsid w:val="008E6C9A"/>
    <w:rsid w:val="008E727A"/>
    <w:rsid w:val="008E73AE"/>
    <w:rsid w:val="008E7429"/>
    <w:rsid w:val="008E78C2"/>
    <w:rsid w:val="008E7BA3"/>
    <w:rsid w:val="008F00EE"/>
    <w:rsid w:val="008F010D"/>
    <w:rsid w:val="008F0552"/>
    <w:rsid w:val="008F08C6"/>
    <w:rsid w:val="008F0C6C"/>
    <w:rsid w:val="008F0C97"/>
    <w:rsid w:val="008F0E9F"/>
    <w:rsid w:val="008F11E2"/>
    <w:rsid w:val="008F120A"/>
    <w:rsid w:val="008F14F6"/>
    <w:rsid w:val="008F16A4"/>
    <w:rsid w:val="008F1846"/>
    <w:rsid w:val="008F193E"/>
    <w:rsid w:val="008F1E02"/>
    <w:rsid w:val="008F2308"/>
    <w:rsid w:val="008F264C"/>
    <w:rsid w:val="008F27E0"/>
    <w:rsid w:val="008F2CF9"/>
    <w:rsid w:val="008F2DEA"/>
    <w:rsid w:val="008F3043"/>
    <w:rsid w:val="008F3D7F"/>
    <w:rsid w:val="008F3D9E"/>
    <w:rsid w:val="008F3E8E"/>
    <w:rsid w:val="008F3EB2"/>
    <w:rsid w:val="008F48EB"/>
    <w:rsid w:val="008F4B0E"/>
    <w:rsid w:val="008F4BC7"/>
    <w:rsid w:val="008F4BCF"/>
    <w:rsid w:val="008F4F0B"/>
    <w:rsid w:val="008F4FF1"/>
    <w:rsid w:val="008F53B7"/>
    <w:rsid w:val="008F591B"/>
    <w:rsid w:val="008F592A"/>
    <w:rsid w:val="008F59BE"/>
    <w:rsid w:val="008F5EA9"/>
    <w:rsid w:val="008F637A"/>
    <w:rsid w:val="008F646C"/>
    <w:rsid w:val="008F6804"/>
    <w:rsid w:val="008F72C4"/>
    <w:rsid w:val="008F751C"/>
    <w:rsid w:val="008F7522"/>
    <w:rsid w:val="008F772E"/>
    <w:rsid w:val="008F782C"/>
    <w:rsid w:val="008F7ABC"/>
    <w:rsid w:val="00900066"/>
    <w:rsid w:val="009002BD"/>
    <w:rsid w:val="0090090D"/>
    <w:rsid w:val="00900C98"/>
    <w:rsid w:val="00900DB3"/>
    <w:rsid w:val="00900EF2"/>
    <w:rsid w:val="00900F4B"/>
    <w:rsid w:val="00901040"/>
    <w:rsid w:val="00901047"/>
    <w:rsid w:val="0090124C"/>
    <w:rsid w:val="009013FC"/>
    <w:rsid w:val="00901A2D"/>
    <w:rsid w:val="00901CCD"/>
    <w:rsid w:val="00901E1D"/>
    <w:rsid w:val="00902192"/>
    <w:rsid w:val="00902521"/>
    <w:rsid w:val="009029F0"/>
    <w:rsid w:val="00902BDE"/>
    <w:rsid w:val="009030DB"/>
    <w:rsid w:val="009031C7"/>
    <w:rsid w:val="0090363B"/>
    <w:rsid w:val="009038A0"/>
    <w:rsid w:val="009039FE"/>
    <w:rsid w:val="00903D1A"/>
    <w:rsid w:val="00903DD2"/>
    <w:rsid w:val="00904110"/>
    <w:rsid w:val="0090416D"/>
    <w:rsid w:val="00904338"/>
    <w:rsid w:val="009046C4"/>
    <w:rsid w:val="00904949"/>
    <w:rsid w:val="00904A09"/>
    <w:rsid w:val="00904A7F"/>
    <w:rsid w:val="00904DE1"/>
    <w:rsid w:val="00904EEC"/>
    <w:rsid w:val="009051E8"/>
    <w:rsid w:val="00905D3B"/>
    <w:rsid w:val="00905FA1"/>
    <w:rsid w:val="00905FB9"/>
    <w:rsid w:val="0090614F"/>
    <w:rsid w:val="009061F8"/>
    <w:rsid w:val="0090628D"/>
    <w:rsid w:val="009062A5"/>
    <w:rsid w:val="009063FB"/>
    <w:rsid w:val="00906A0F"/>
    <w:rsid w:val="00906AA6"/>
    <w:rsid w:val="00906D6E"/>
    <w:rsid w:val="0090722C"/>
    <w:rsid w:val="0090725C"/>
    <w:rsid w:val="00907699"/>
    <w:rsid w:val="00907765"/>
    <w:rsid w:val="00907BD8"/>
    <w:rsid w:val="00907FE8"/>
    <w:rsid w:val="009101C9"/>
    <w:rsid w:val="009101F9"/>
    <w:rsid w:val="00910373"/>
    <w:rsid w:val="00910897"/>
    <w:rsid w:val="0091094B"/>
    <w:rsid w:val="00910984"/>
    <w:rsid w:val="00910CB7"/>
    <w:rsid w:val="00910D46"/>
    <w:rsid w:val="00910EE7"/>
    <w:rsid w:val="00910FA7"/>
    <w:rsid w:val="00911272"/>
    <w:rsid w:val="00911339"/>
    <w:rsid w:val="0091171C"/>
    <w:rsid w:val="009119DE"/>
    <w:rsid w:val="009119E0"/>
    <w:rsid w:val="00911E97"/>
    <w:rsid w:val="00912047"/>
    <w:rsid w:val="0091266B"/>
    <w:rsid w:val="00912728"/>
    <w:rsid w:val="0091280F"/>
    <w:rsid w:val="00912893"/>
    <w:rsid w:val="009128F7"/>
    <w:rsid w:val="00912A61"/>
    <w:rsid w:val="00912B37"/>
    <w:rsid w:val="00912BEC"/>
    <w:rsid w:val="00912E09"/>
    <w:rsid w:val="009135D6"/>
    <w:rsid w:val="009138A7"/>
    <w:rsid w:val="009139DD"/>
    <w:rsid w:val="0091444C"/>
    <w:rsid w:val="00914732"/>
    <w:rsid w:val="00914A6E"/>
    <w:rsid w:val="00914B04"/>
    <w:rsid w:val="00914BD1"/>
    <w:rsid w:val="00914C77"/>
    <w:rsid w:val="00914CE4"/>
    <w:rsid w:val="00914F0A"/>
    <w:rsid w:val="00914FEA"/>
    <w:rsid w:val="00915262"/>
    <w:rsid w:val="00915458"/>
    <w:rsid w:val="0091573B"/>
    <w:rsid w:val="009157F0"/>
    <w:rsid w:val="00915927"/>
    <w:rsid w:val="00915E6B"/>
    <w:rsid w:val="00915EAF"/>
    <w:rsid w:val="00916092"/>
    <w:rsid w:val="009160DC"/>
    <w:rsid w:val="0091652A"/>
    <w:rsid w:val="00916719"/>
    <w:rsid w:val="00916816"/>
    <w:rsid w:val="00916FD2"/>
    <w:rsid w:val="00917015"/>
    <w:rsid w:val="00917111"/>
    <w:rsid w:val="00917596"/>
    <w:rsid w:val="00917711"/>
    <w:rsid w:val="00917A52"/>
    <w:rsid w:val="00917AA9"/>
    <w:rsid w:val="00917B83"/>
    <w:rsid w:val="00917F6C"/>
    <w:rsid w:val="009203AF"/>
    <w:rsid w:val="009204F8"/>
    <w:rsid w:val="0092074C"/>
    <w:rsid w:val="00920851"/>
    <w:rsid w:val="009209E6"/>
    <w:rsid w:val="00920B2C"/>
    <w:rsid w:val="00920C99"/>
    <w:rsid w:val="00920D12"/>
    <w:rsid w:val="00921082"/>
    <w:rsid w:val="009213DE"/>
    <w:rsid w:val="0092154F"/>
    <w:rsid w:val="0092190F"/>
    <w:rsid w:val="00921ACB"/>
    <w:rsid w:val="00921B04"/>
    <w:rsid w:val="00922299"/>
    <w:rsid w:val="009222F8"/>
    <w:rsid w:val="00922660"/>
    <w:rsid w:val="009226BC"/>
    <w:rsid w:val="009226FB"/>
    <w:rsid w:val="00922CE2"/>
    <w:rsid w:val="00923073"/>
    <w:rsid w:val="009231FB"/>
    <w:rsid w:val="0092331F"/>
    <w:rsid w:val="00923384"/>
    <w:rsid w:val="0092369B"/>
    <w:rsid w:val="0092395E"/>
    <w:rsid w:val="00923CA6"/>
    <w:rsid w:val="00923D36"/>
    <w:rsid w:val="00923E02"/>
    <w:rsid w:val="00923E52"/>
    <w:rsid w:val="00923E68"/>
    <w:rsid w:val="009240A1"/>
    <w:rsid w:val="009245D2"/>
    <w:rsid w:val="00924E64"/>
    <w:rsid w:val="00925415"/>
    <w:rsid w:val="00925586"/>
    <w:rsid w:val="00925873"/>
    <w:rsid w:val="0092593D"/>
    <w:rsid w:val="0092597B"/>
    <w:rsid w:val="00925C1D"/>
    <w:rsid w:val="009261DE"/>
    <w:rsid w:val="00926288"/>
    <w:rsid w:val="0092637C"/>
    <w:rsid w:val="009267C5"/>
    <w:rsid w:val="009267DB"/>
    <w:rsid w:val="009268AC"/>
    <w:rsid w:val="00926946"/>
    <w:rsid w:val="00926ADF"/>
    <w:rsid w:val="00927176"/>
    <w:rsid w:val="009272D8"/>
    <w:rsid w:val="0092784B"/>
    <w:rsid w:val="00927AE1"/>
    <w:rsid w:val="00927B53"/>
    <w:rsid w:val="00927C94"/>
    <w:rsid w:val="00927EF8"/>
    <w:rsid w:val="009301FB"/>
    <w:rsid w:val="00930305"/>
    <w:rsid w:val="009304AF"/>
    <w:rsid w:val="00930822"/>
    <w:rsid w:val="00930A2E"/>
    <w:rsid w:val="00930B2B"/>
    <w:rsid w:val="00930F16"/>
    <w:rsid w:val="00931049"/>
    <w:rsid w:val="0093124F"/>
    <w:rsid w:val="00931745"/>
    <w:rsid w:val="009318D8"/>
    <w:rsid w:val="00931B4C"/>
    <w:rsid w:val="00931B7F"/>
    <w:rsid w:val="00931C71"/>
    <w:rsid w:val="00932071"/>
    <w:rsid w:val="0093245F"/>
    <w:rsid w:val="00932523"/>
    <w:rsid w:val="0093278A"/>
    <w:rsid w:val="00932861"/>
    <w:rsid w:val="00932B3C"/>
    <w:rsid w:val="00932BC3"/>
    <w:rsid w:val="00932D9B"/>
    <w:rsid w:val="00932F74"/>
    <w:rsid w:val="00933056"/>
    <w:rsid w:val="00933062"/>
    <w:rsid w:val="0093320C"/>
    <w:rsid w:val="00933315"/>
    <w:rsid w:val="0093354B"/>
    <w:rsid w:val="0093372B"/>
    <w:rsid w:val="00933768"/>
    <w:rsid w:val="00933D73"/>
    <w:rsid w:val="00933F6D"/>
    <w:rsid w:val="00934211"/>
    <w:rsid w:val="00934369"/>
    <w:rsid w:val="009343DC"/>
    <w:rsid w:val="009345D4"/>
    <w:rsid w:val="00934988"/>
    <w:rsid w:val="00934D06"/>
    <w:rsid w:val="00934FB0"/>
    <w:rsid w:val="00935062"/>
    <w:rsid w:val="009352EB"/>
    <w:rsid w:val="00935403"/>
    <w:rsid w:val="0093570C"/>
    <w:rsid w:val="00935750"/>
    <w:rsid w:val="00935F04"/>
    <w:rsid w:val="00936235"/>
    <w:rsid w:val="009363C6"/>
    <w:rsid w:val="009363C8"/>
    <w:rsid w:val="00936980"/>
    <w:rsid w:val="00936AEC"/>
    <w:rsid w:val="00936C52"/>
    <w:rsid w:val="00936D56"/>
    <w:rsid w:val="00937089"/>
    <w:rsid w:val="009370FB"/>
    <w:rsid w:val="00937226"/>
    <w:rsid w:val="009372F0"/>
    <w:rsid w:val="0093755A"/>
    <w:rsid w:val="009376FC"/>
    <w:rsid w:val="00937717"/>
    <w:rsid w:val="0093773F"/>
    <w:rsid w:val="00937A6F"/>
    <w:rsid w:val="00937B50"/>
    <w:rsid w:val="00937C7D"/>
    <w:rsid w:val="00937F62"/>
    <w:rsid w:val="00940011"/>
    <w:rsid w:val="009408B4"/>
    <w:rsid w:val="0094098B"/>
    <w:rsid w:val="00940AA2"/>
    <w:rsid w:val="00941465"/>
    <w:rsid w:val="00941C82"/>
    <w:rsid w:val="009420E4"/>
    <w:rsid w:val="0094273A"/>
    <w:rsid w:val="009429A7"/>
    <w:rsid w:val="009429CC"/>
    <w:rsid w:val="00943097"/>
    <w:rsid w:val="009430ED"/>
    <w:rsid w:val="009436C6"/>
    <w:rsid w:val="00943714"/>
    <w:rsid w:val="009438A0"/>
    <w:rsid w:val="00943A94"/>
    <w:rsid w:val="00943CBF"/>
    <w:rsid w:val="00943DB6"/>
    <w:rsid w:val="00943FB4"/>
    <w:rsid w:val="0094407A"/>
    <w:rsid w:val="009444F8"/>
    <w:rsid w:val="0094456E"/>
    <w:rsid w:val="00944707"/>
    <w:rsid w:val="009447A6"/>
    <w:rsid w:val="009447CD"/>
    <w:rsid w:val="00944C0A"/>
    <w:rsid w:val="00944D4C"/>
    <w:rsid w:val="00944DD7"/>
    <w:rsid w:val="00944F8A"/>
    <w:rsid w:val="00945173"/>
    <w:rsid w:val="009452CE"/>
    <w:rsid w:val="0094595B"/>
    <w:rsid w:val="00945C66"/>
    <w:rsid w:val="00945CE0"/>
    <w:rsid w:val="0094625B"/>
    <w:rsid w:val="0094652E"/>
    <w:rsid w:val="00946690"/>
    <w:rsid w:val="00946982"/>
    <w:rsid w:val="00946A57"/>
    <w:rsid w:val="00946DB7"/>
    <w:rsid w:val="00946F2D"/>
    <w:rsid w:val="00947125"/>
    <w:rsid w:val="00947198"/>
    <w:rsid w:val="009472B8"/>
    <w:rsid w:val="009473AC"/>
    <w:rsid w:val="009476DF"/>
    <w:rsid w:val="00947BDB"/>
    <w:rsid w:val="00947D42"/>
    <w:rsid w:val="00947FD5"/>
    <w:rsid w:val="009500A8"/>
    <w:rsid w:val="0095022D"/>
    <w:rsid w:val="0095038D"/>
    <w:rsid w:val="009505E5"/>
    <w:rsid w:val="009506C3"/>
    <w:rsid w:val="009509A7"/>
    <w:rsid w:val="00950A29"/>
    <w:rsid w:val="009510A2"/>
    <w:rsid w:val="009519B1"/>
    <w:rsid w:val="009519D5"/>
    <w:rsid w:val="00951C83"/>
    <w:rsid w:val="00951E64"/>
    <w:rsid w:val="0095214F"/>
    <w:rsid w:val="009522C5"/>
    <w:rsid w:val="009523B0"/>
    <w:rsid w:val="00952827"/>
    <w:rsid w:val="009528BF"/>
    <w:rsid w:val="009528CE"/>
    <w:rsid w:val="00952A60"/>
    <w:rsid w:val="00952AF3"/>
    <w:rsid w:val="00952B64"/>
    <w:rsid w:val="00952C50"/>
    <w:rsid w:val="00952F1B"/>
    <w:rsid w:val="00953257"/>
    <w:rsid w:val="00953696"/>
    <w:rsid w:val="00953948"/>
    <w:rsid w:val="00953CF7"/>
    <w:rsid w:val="00953DFB"/>
    <w:rsid w:val="0095435E"/>
    <w:rsid w:val="00954584"/>
    <w:rsid w:val="009546FA"/>
    <w:rsid w:val="0095474C"/>
    <w:rsid w:val="009547EC"/>
    <w:rsid w:val="0095495E"/>
    <w:rsid w:val="00954979"/>
    <w:rsid w:val="00954A73"/>
    <w:rsid w:val="00954AAC"/>
    <w:rsid w:val="00954F12"/>
    <w:rsid w:val="00954F86"/>
    <w:rsid w:val="00955283"/>
    <w:rsid w:val="009552C1"/>
    <w:rsid w:val="009552C5"/>
    <w:rsid w:val="0095557B"/>
    <w:rsid w:val="0095597D"/>
    <w:rsid w:val="00955BCE"/>
    <w:rsid w:val="00955D48"/>
    <w:rsid w:val="00955D5F"/>
    <w:rsid w:val="00955FD5"/>
    <w:rsid w:val="009563BA"/>
    <w:rsid w:val="00956435"/>
    <w:rsid w:val="00957A27"/>
    <w:rsid w:val="00957A58"/>
    <w:rsid w:val="00957D92"/>
    <w:rsid w:val="00960306"/>
    <w:rsid w:val="0096062C"/>
    <w:rsid w:val="00960C20"/>
    <w:rsid w:val="00960C37"/>
    <w:rsid w:val="00960C5B"/>
    <w:rsid w:val="00960E32"/>
    <w:rsid w:val="00960E6E"/>
    <w:rsid w:val="00960EC4"/>
    <w:rsid w:val="009610A5"/>
    <w:rsid w:val="009610B0"/>
    <w:rsid w:val="009616AE"/>
    <w:rsid w:val="00961809"/>
    <w:rsid w:val="00961A86"/>
    <w:rsid w:val="00961B68"/>
    <w:rsid w:val="00961D0A"/>
    <w:rsid w:val="00961D68"/>
    <w:rsid w:val="009624B8"/>
    <w:rsid w:val="00962733"/>
    <w:rsid w:val="0096274B"/>
    <w:rsid w:val="00962A11"/>
    <w:rsid w:val="00962CB9"/>
    <w:rsid w:val="00962CFB"/>
    <w:rsid w:val="00962FFB"/>
    <w:rsid w:val="00963048"/>
    <w:rsid w:val="009630B7"/>
    <w:rsid w:val="00963160"/>
    <w:rsid w:val="0096317B"/>
    <w:rsid w:val="00963339"/>
    <w:rsid w:val="0096355F"/>
    <w:rsid w:val="0096390D"/>
    <w:rsid w:val="009639CC"/>
    <w:rsid w:val="00963DB0"/>
    <w:rsid w:val="00963DB6"/>
    <w:rsid w:val="00963F8C"/>
    <w:rsid w:val="009640E8"/>
    <w:rsid w:val="00964312"/>
    <w:rsid w:val="009644AD"/>
    <w:rsid w:val="0096478C"/>
    <w:rsid w:val="0096478E"/>
    <w:rsid w:val="00964974"/>
    <w:rsid w:val="009649D8"/>
    <w:rsid w:val="00964B07"/>
    <w:rsid w:val="00964ED4"/>
    <w:rsid w:val="009650AD"/>
    <w:rsid w:val="0096511F"/>
    <w:rsid w:val="00965524"/>
    <w:rsid w:val="00965585"/>
    <w:rsid w:val="009655E0"/>
    <w:rsid w:val="00965988"/>
    <w:rsid w:val="00965A78"/>
    <w:rsid w:val="00965AFD"/>
    <w:rsid w:val="00965B54"/>
    <w:rsid w:val="00965B8A"/>
    <w:rsid w:val="00965CD9"/>
    <w:rsid w:val="0096603E"/>
    <w:rsid w:val="009663FE"/>
    <w:rsid w:val="00966458"/>
    <w:rsid w:val="009667E0"/>
    <w:rsid w:val="00966F04"/>
    <w:rsid w:val="00967099"/>
    <w:rsid w:val="00967453"/>
    <w:rsid w:val="009675EB"/>
    <w:rsid w:val="009675F9"/>
    <w:rsid w:val="00967951"/>
    <w:rsid w:val="00967A48"/>
    <w:rsid w:val="00967B3F"/>
    <w:rsid w:val="00967C18"/>
    <w:rsid w:val="009700B0"/>
    <w:rsid w:val="009704E4"/>
    <w:rsid w:val="0097071F"/>
    <w:rsid w:val="009708E4"/>
    <w:rsid w:val="009708F7"/>
    <w:rsid w:val="00970D31"/>
    <w:rsid w:val="00970E9C"/>
    <w:rsid w:val="00970F02"/>
    <w:rsid w:val="009710F6"/>
    <w:rsid w:val="0097120E"/>
    <w:rsid w:val="00971353"/>
    <w:rsid w:val="00971609"/>
    <w:rsid w:val="009717AC"/>
    <w:rsid w:val="009717E7"/>
    <w:rsid w:val="00971AD9"/>
    <w:rsid w:val="00971B10"/>
    <w:rsid w:val="00971DED"/>
    <w:rsid w:val="009720B8"/>
    <w:rsid w:val="0097228B"/>
    <w:rsid w:val="009723DF"/>
    <w:rsid w:val="00972BF9"/>
    <w:rsid w:val="00972C53"/>
    <w:rsid w:val="00972F41"/>
    <w:rsid w:val="009730C3"/>
    <w:rsid w:val="009733A5"/>
    <w:rsid w:val="00973445"/>
    <w:rsid w:val="00973987"/>
    <w:rsid w:val="00973B52"/>
    <w:rsid w:val="00973C9F"/>
    <w:rsid w:val="00973CB5"/>
    <w:rsid w:val="00973DD8"/>
    <w:rsid w:val="009742AD"/>
    <w:rsid w:val="0097432B"/>
    <w:rsid w:val="00974CF7"/>
    <w:rsid w:val="00974D89"/>
    <w:rsid w:val="009751C1"/>
    <w:rsid w:val="00975302"/>
    <w:rsid w:val="009757CE"/>
    <w:rsid w:val="00975ADD"/>
    <w:rsid w:val="00975CC1"/>
    <w:rsid w:val="00975CC7"/>
    <w:rsid w:val="00975E00"/>
    <w:rsid w:val="0097628F"/>
    <w:rsid w:val="009764BE"/>
    <w:rsid w:val="00976A51"/>
    <w:rsid w:val="00976A87"/>
    <w:rsid w:val="00976BDB"/>
    <w:rsid w:val="00976C19"/>
    <w:rsid w:val="00976E01"/>
    <w:rsid w:val="00976F60"/>
    <w:rsid w:val="00976F8D"/>
    <w:rsid w:val="0097702D"/>
    <w:rsid w:val="009774D7"/>
    <w:rsid w:val="00977734"/>
    <w:rsid w:val="009777C4"/>
    <w:rsid w:val="00977DCE"/>
    <w:rsid w:val="00977E8C"/>
    <w:rsid w:val="00977ED3"/>
    <w:rsid w:val="00977F33"/>
    <w:rsid w:val="00977F63"/>
    <w:rsid w:val="00977F93"/>
    <w:rsid w:val="00977FE9"/>
    <w:rsid w:val="0098017D"/>
    <w:rsid w:val="009802F2"/>
    <w:rsid w:val="009803F7"/>
    <w:rsid w:val="009804EE"/>
    <w:rsid w:val="00980B79"/>
    <w:rsid w:val="009811F1"/>
    <w:rsid w:val="00981737"/>
    <w:rsid w:val="00981A20"/>
    <w:rsid w:val="00981D74"/>
    <w:rsid w:val="00981E7C"/>
    <w:rsid w:val="00982059"/>
    <w:rsid w:val="0098250A"/>
    <w:rsid w:val="0098262F"/>
    <w:rsid w:val="00982748"/>
    <w:rsid w:val="00982844"/>
    <w:rsid w:val="0098289D"/>
    <w:rsid w:val="00982C0D"/>
    <w:rsid w:val="00982C90"/>
    <w:rsid w:val="00982E0A"/>
    <w:rsid w:val="00982F2C"/>
    <w:rsid w:val="009832C1"/>
    <w:rsid w:val="0098375C"/>
    <w:rsid w:val="00983C84"/>
    <w:rsid w:val="00983E57"/>
    <w:rsid w:val="0098480A"/>
    <w:rsid w:val="0098496E"/>
    <w:rsid w:val="00984CCE"/>
    <w:rsid w:val="009851C8"/>
    <w:rsid w:val="00985220"/>
    <w:rsid w:val="00985760"/>
    <w:rsid w:val="009857CD"/>
    <w:rsid w:val="00985932"/>
    <w:rsid w:val="00985964"/>
    <w:rsid w:val="00985AE4"/>
    <w:rsid w:val="00985DE2"/>
    <w:rsid w:val="00985E51"/>
    <w:rsid w:val="00985FED"/>
    <w:rsid w:val="0098611C"/>
    <w:rsid w:val="009863B6"/>
    <w:rsid w:val="0098675D"/>
    <w:rsid w:val="00986783"/>
    <w:rsid w:val="009867CD"/>
    <w:rsid w:val="00986CC1"/>
    <w:rsid w:val="00986DB7"/>
    <w:rsid w:val="0098728C"/>
    <w:rsid w:val="00987633"/>
    <w:rsid w:val="00987787"/>
    <w:rsid w:val="0098791A"/>
    <w:rsid w:val="00987ABE"/>
    <w:rsid w:val="00987AE5"/>
    <w:rsid w:val="00987BA4"/>
    <w:rsid w:val="0099025C"/>
    <w:rsid w:val="00990275"/>
    <w:rsid w:val="00990760"/>
    <w:rsid w:val="00990817"/>
    <w:rsid w:val="00990AFD"/>
    <w:rsid w:val="00990C19"/>
    <w:rsid w:val="00990C4F"/>
    <w:rsid w:val="00990C83"/>
    <w:rsid w:val="00990EEA"/>
    <w:rsid w:val="0099139E"/>
    <w:rsid w:val="0099146A"/>
    <w:rsid w:val="00991910"/>
    <w:rsid w:val="00991A03"/>
    <w:rsid w:val="00991A51"/>
    <w:rsid w:val="00991E05"/>
    <w:rsid w:val="009920A1"/>
    <w:rsid w:val="009920EC"/>
    <w:rsid w:val="009926E0"/>
    <w:rsid w:val="00992856"/>
    <w:rsid w:val="00992A28"/>
    <w:rsid w:val="00992B3C"/>
    <w:rsid w:val="00992DF5"/>
    <w:rsid w:val="00992F03"/>
    <w:rsid w:val="00992F06"/>
    <w:rsid w:val="00992F8C"/>
    <w:rsid w:val="009933FA"/>
    <w:rsid w:val="00993437"/>
    <w:rsid w:val="00993524"/>
    <w:rsid w:val="0099355A"/>
    <w:rsid w:val="00993920"/>
    <w:rsid w:val="00993A64"/>
    <w:rsid w:val="00993C35"/>
    <w:rsid w:val="00993CB4"/>
    <w:rsid w:val="00994348"/>
    <w:rsid w:val="009944BD"/>
    <w:rsid w:val="0099451E"/>
    <w:rsid w:val="009945AB"/>
    <w:rsid w:val="009946C3"/>
    <w:rsid w:val="0099478B"/>
    <w:rsid w:val="0099511C"/>
    <w:rsid w:val="00995203"/>
    <w:rsid w:val="00995490"/>
    <w:rsid w:val="0099558E"/>
    <w:rsid w:val="0099570B"/>
    <w:rsid w:val="0099593F"/>
    <w:rsid w:val="00995A66"/>
    <w:rsid w:val="00995B66"/>
    <w:rsid w:val="00995C98"/>
    <w:rsid w:val="00995D22"/>
    <w:rsid w:val="00995D5D"/>
    <w:rsid w:val="00995E1D"/>
    <w:rsid w:val="009963F1"/>
    <w:rsid w:val="00996730"/>
    <w:rsid w:val="0099676F"/>
    <w:rsid w:val="009967AE"/>
    <w:rsid w:val="009969B2"/>
    <w:rsid w:val="00996AA5"/>
    <w:rsid w:val="00996B1A"/>
    <w:rsid w:val="00996FF5"/>
    <w:rsid w:val="00997056"/>
    <w:rsid w:val="0099714F"/>
    <w:rsid w:val="00997205"/>
    <w:rsid w:val="0099752A"/>
    <w:rsid w:val="00997912"/>
    <w:rsid w:val="009979EA"/>
    <w:rsid w:val="00997CAA"/>
    <w:rsid w:val="00997DBD"/>
    <w:rsid w:val="00997EE0"/>
    <w:rsid w:val="009A0357"/>
    <w:rsid w:val="009A0486"/>
    <w:rsid w:val="009A086B"/>
    <w:rsid w:val="009A0EFF"/>
    <w:rsid w:val="009A0F9F"/>
    <w:rsid w:val="009A0FD5"/>
    <w:rsid w:val="009A1357"/>
    <w:rsid w:val="009A1376"/>
    <w:rsid w:val="009A1409"/>
    <w:rsid w:val="009A18F6"/>
    <w:rsid w:val="009A2141"/>
    <w:rsid w:val="009A232D"/>
    <w:rsid w:val="009A24C5"/>
    <w:rsid w:val="009A2798"/>
    <w:rsid w:val="009A2946"/>
    <w:rsid w:val="009A2AEA"/>
    <w:rsid w:val="009A2C97"/>
    <w:rsid w:val="009A2DCC"/>
    <w:rsid w:val="009A3707"/>
    <w:rsid w:val="009A3BC4"/>
    <w:rsid w:val="009A3C19"/>
    <w:rsid w:val="009A4004"/>
    <w:rsid w:val="009A44DA"/>
    <w:rsid w:val="009A4677"/>
    <w:rsid w:val="009A47E4"/>
    <w:rsid w:val="009A483E"/>
    <w:rsid w:val="009A487D"/>
    <w:rsid w:val="009A4BAD"/>
    <w:rsid w:val="009A4BD1"/>
    <w:rsid w:val="009A4D88"/>
    <w:rsid w:val="009A5031"/>
    <w:rsid w:val="009A5246"/>
    <w:rsid w:val="009A529B"/>
    <w:rsid w:val="009A5652"/>
    <w:rsid w:val="009A57B6"/>
    <w:rsid w:val="009A57B9"/>
    <w:rsid w:val="009A5812"/>
    <w:rsid w:val="009A5A05"/>
    <w:rsid w:val="009A5ABC"/>
    <w:rsid w:val="009A5ACF"/>
    <w:rsid w:val="009A5CA6"/>
    <w:rsid w:val="009A637F"/>
    <w:rsid w:val="009A657E"/>
    <w:rsid w:val="009A69EE"/>
    <w:rsid w:val="009A6C38"/>
    <w:rsid w:val="009A6CC8"/>
    <w:rsid w:val="009A6FDB"/>
    <w:rsid w:val="009A706F"/>
    <w:rsid w:val="009A70D2"/>
    <w:rsid w:val="009A7641"/>
    <w:rsid w:val="009A7A09"/>
    <w:rsid w:val="009A7A7D"/>
    <w:rsid w:val="009A7B4F"/>
    <w:rsid w:val="009A7F10"/>
    <w:rsid w:val="009B038E"/>
    <w:rsid w:val="009B05A4"/>
    <w:rsid w:val="009B0636"/>
    <w:rsid w:val="009B066C"/>
    <w:rsid w:val="009B06A8"/>
    <w:rsid w:val="009B081B"/>
    <w:rsid w:val="009B083A"/>
    <w:rsid w:val="009B0885"/>
    <w:rsid w:val="009B0953"/>
    <w:rsid w:val="009B09EC"/>
    <w:rsid w:val="009B0A5C"/>
    <w:rsid w:val="009B0C1C"/>
    <w:rsid w:val="009B0C25"/>
    <w:rsid w:val="009B0D91"/>
    <w:rsid w:val="009B11AD"/>
    <w:rsid w:val="009B12AE"/>
    <w:rsid w:val="009B15B6"/>
    <w:rsid w:val="009B171C"/>
    <w:rsid w:val="009B1AF2"/>
    <w:rsid w:val="009B1C25"/>
    <w:rsid w:val="009B1E56"/>
    <w:rsid w:val="009B21D2"/>
    <w:rsid w:val="009B27F2"/>
    <w:rsid w:val="009B2868"/>
    <w:rsid w:val="009B2A2B"/>
    <w:rsid w:val="009B2C58"/>
    <w:rsid w:val="009B2E9E"/>
    <w:rsid w:val="009B3228"/>
    <w:rsid w:val="009B330D"/>
    <w:rsid w:val="009B36C3"/>
    <w:rsid w:val="009B3A39"/>
    <w:rsid w:val="009B3B4D"/>
    <w:rsid w:val="009B3E26"/>
    <w:rsid w:val="009B3F1B"/>
    <w:rsid w:val="009B3F80"/>
    <w:rsid w:val="009B4124"/>
    <w:rsid w:val="009B41CE"/>
    <w:rsid w:val="009B42FC"/>
    <w:rsid w:val="009B46AA"/>
    <w:rsid w:val="009B4728"/>
    <w:rsid w:val="009B4781"/>
    <w:rsid w:val="009B4906"/>
    <w:rsid w:val="009B495A"/>
    <w:rsid w:val="009B4ABA"/>
    <w:rsid w:val="009B4B0C"/>
    <w:rsid w:val="009B4BD3"/>
    <w:rsid w:val="009B4DEC"/>
    <w:rsid w:val="009B50CD"/>
    <w:rsid w:val="009B5210"/>
    <w:rsid w:val="009B5318"/>
    <w:rsid w:val="009B53FC"/>
    <w:rsid w:val="009B5BC7"/>
    <w:rsid w:val="009B6399"/>
    <w:rsid w:val="009B6524"/>
    <w:rsid w:val="009B658F"/>
    <w:rsid w:val="009B66DE"/>
    <w:rsid w:val="009B675C"/>
    <w:rsid w:val="009B6912"/>
    <w:rsid w:val="009B69D6"/>
    <w:rsid w:val="009B6B92"/>
    <w:rsid w:val="009B6BF5"/>
    <w:rsid w:val="009B6C18"/>
    <w:rsid w:val="009B6DA9"/>
    <w:rsid w:val="009B6DBF"/>
    <w:rsid w:val="009B7025"/>
    <w:rsid w:val="009B739F"/>
    <w:rsid w:val="009B7795"/>
    <w:rsid w:val="009B7B1B"/>
    <w:rsid w:val="009B7BBD"/>
    <w:rsid w:val="009C0613"/>
    <w:rsid w:val="009C0BDE"/>
    <w:rsid w:val="009C0EA0"/>
    <w:rsid w:val="009C1271"/>
    <w:rsid w:val="009C140E"/>
    <w:rsid w:val="009C185A"/>
    <w:rsid w:val="009C199D"/>
    <w:rsid w:val="009C1CE6"/>
    <w:rsid w:val="009C1CF1"/>
    <w:rsid w:val="009C1CF8"/>
    <w:rsid w:val="009C1FE9"/>
    <w:rsid w:val="009C1FF6"/>
    <w:rsid w:val="009C2127"/>
    <w:rsid w:val="009C2193"/>
    <w:rsid w:val="009C23FE"/>
    <w:rsid w:val="009C26FF"/>
    <w:rsid w:val="009C368D"/>
    <w:rsid w:val="009C3706"/>
    <w:rsid w:val="009C387F"/>
    <w:rsid w:val="009C3A3A"/>
    <w:rsid w:val="009C3CD5"/>
    <w:rsid w:val="009C426B"/>
    <w:rsid w:val="009C46D0"/>
    <w:rsid w:val="009C4844"/>
    <w:rsid w:val="009C4A1C"/>
    <w:rsid w:val="009C4AFC"/>
    <w:rsid w:val="009C4B27"/>
    <w:rsid w:val="009C4BDD"/>
    <w:rsid w:val="009C4C89"/>
    <w:rsid w:val="009C4CF5"/>
    <w:rsid w:val="009C4DB5"/>
    <w:rsid w:val="009C4DD2"/>
    <w:rsid w:val="009C4E6C"/>
    <w:rsid w:val="009C50A1"/>
    <w:rsid w:val="009C50C4"/>
    <w:rsid w:val="009C5369"/>
    <w:rsid w:val="009C5C33"/>
    <w:rsid w:val="009C5CC9"/>
    <w:rsid w:val="009C5DC8"/>
    <w:rsid w:val="009C695B"/>
    <w:rsid w:val="009C6A2A"/>
    <w:rsid w:val="009C6B89"/>
    <w:rsid w:val="009C6CEA"/>
    <w:rsid w:val="009C6DD1"/>
    <w:rsid w:val="009C7177"/>
    <w:rsid w:val="009C746B"/>
    <w:rsid w:val="009C7600"/>
    <w:rsid w:val="009C7A0C"/>
    <w:rsid w:val="009C7A33"/>
    <w:rsid w:val="009C7AC7"/>
    <w:rsid w:val="009C7B85"/>
    <w:rsid w:val="009C7FD2"/>
    <w:rsid w:val="009C7FEB"/>
    <w:rsid w:val="009D0254"/>
    <w:rsid w:val="009D0366"/>
    <w:rsid w:val="009D0442"/>
    <w:rsid w:val="009D048B"/>
    <w:rsid w:val="009D06C5"/>
    <w:rsid w:val="009D0A69"/>
    <w:rsid w:val="009D0AEB"/>
    <w:rsid w:val="009D0E22"/>
    <w:rsid w:val="009D0F70"/>
    <w:rsid w:val="009D10A3"/>
    <w:rsid w:val="009D10A4"/>
    <w:rsid w:val="009D1226"/>
    <w:rsid w:val="009D13A8"/>
    <w:rsid w:val="009D1653"/>
    <w:rsid w:val="009D175B"/>
    <w:rsid w:val="009D1A64"/>
    <w:rsid w:val="009D20AB"/>
    <w:rsid w:val="009D26F7"/>
    <w:rsid w:val="009D2744"/>
    <w:rsid w:val="009D281F"/>
    <w:rsid w:val="009D28BC"/>
    <w:rsid w:val="009D28D4"/>
    <w:rsid w:val="009D3138"/>
    <w:rsid w:val="009D31F9"/>
    <w:rsid w:val="009D33DB"/>
    <w:rsid w:val="009D34E6"/>
    <w:rsid w:val="009D3739"/>
    <w:rsid w:val="009D37C1"/>
    <w:rsid w:val="009D3AD2"/>
    <w:rsid w:val="009D3D3B"/>
    <w:rsid w:val="009D3DB4"/>
    <w:rsid w:val="009D3F26"/>
    <w:rsid w:val="009D419F"/>
    <w:rsid w:val="009D433A"/>
    <w:rsid w:val="009D46EC"/>
    <w:rsid w:val="009D4722"/>
    <w:rsid w:val="009D4902"/>
    <w:rsid w:val="009D495A"/>
    <w:rsid w:val="009D4FF3"/>
    <w:rsid w:val="009D51F8"/>
    <w:rsid w:val="009D5284"/>
    <w:rsid w:val="009D5430"/>
    <w:rsid w:val="009D544F"/>
    <w:rsid w:val="009D5A59"/>
    <w:rsid w:val="009D5B04"/>
    <w:rsid w:val="009D5B87"/>
    <w:rsid w:val="009D5B91"/>
    <w:rsid w:val="009D5B9C"/>
    <w:rsid w:val="009D5C2E"/>
    <w:rsid w:val="009D5DEC"/>
    <w:rsid w:val="009D5EBE"/>
    <w:rsid w:val="009D5ED7"/>
    <w:rsid w:val="009D62DF"/>
    <w:rsid w:val="009D64E6"/>
    <w:rsid w:val="009D68C7"/>
    <w:rsid w:val="009D6C83"/>
    <w:rsid w:val="009D6D9C"/>
    <w:rsid w:val="009D6DAE"/>
    <w:rsid w:val="009D6F47"/>
    <w:rsid w:val="009D6F96"/>
    <w:rsid w:val="009D7166"/>
    <w:rsid w:val="009D71B6"/>
    <w:rsid w:val="009D7293"/>
    <w:rsid w:val="009D72F7"/>
    <w:rsid w:val="009D7320"/>
    <w:rsid w:val="009D7569"/>
    <w:rsid w:val="009D757B"/>
    <w:rsid w:val="009D792E"/>
    <w:rsid w:val="009D7DBF"/>
    <w:rsid w:val="009D7DDA"/>
    <w:rsid w:val="009D7E9E"/>
    <w:rsid w:val="009E0072"/>
    <w:rsid w:val="009E023F"/>
    <w:rsid w:val="009E09D7"/>
    <w:rsid w:val="009E0B3B"/>
    <w:rsid w:val="009E0D6A"/>
    <w:rsid w:val="009E0DFE"/>
    <w:rsid w:val="009E1090"/>
    <w:rsid w:val="009E129B"/>
    <w:rsid w:val="009E1638"/>
    <w:rsid w:val="009E19D7"/>
    <w:rsid w:val="009E1A2D"/>
    <w:rsid w:val="009E1B69"/>
    <w:rsid w:val="009E1B72"/>
    <w:rsid w:val="009E1CD1"/>
    <w:rsid w:val="009E1E89"/>
    <w:rsid w:val="009E20B7"/>
    <w:rsid w:val="009E260D"/>
    <w:rsid w:val="009E2C62"/>
    <w:rsid w:val="009E2D43"/>
    <w:rsid w:val="009E2FA3"/>
    <w:rsid w:val="009E3086"/>
    <w:rsid w:val="009E31F6"/>
    <w:rsid w:val="009E334F"/>
    <w:rsid w:val="009E336C"/>
    <w:rsid w:val="009E3451"/>
    <w:rsid w:val="009E3691"/>
    <w:rsid w:val="009E380A"/>
    <w:rsid w:val="009E38E7"/>
    <w:rsid w:val="009E39D6"/>
    <w:rsid w:val="009E3C13"/>
    <w:rsid w:val="009E3C84"/>
    <w:rsid w:val="009E3D87"/>
    <w:rsid w:val="009E40DD"/>
    <w:rsid w:val="009E40E5"/>
    <w:rsid w:val="009E426C"/>
    <w:rsid w:val="009E44D5"/>
    <w:rsid w:val="009E44F6"/>
    <w:rsid w:val="009E470A"/>
    <w:rsid w:val="009E4C07"/>
    <w:rsid w:val="009E4EC5"/>
    <w:rsid w:val="009E52BE"/>
    <w:rsid w:val="009E5343"/>
    <w:rsid w:val="009E59C3"/>
    <w:rsid w:val="009E5CC2"/>
    <w:rsid w:val="009E5CD4"/>
    <w:rsid w:val="009E62D3"/>
    <w:rsid w:val="009E63A2"/>
    <w:rsid w:val="009E6533"/>
    <w:rsid w:val="009E668C"/>
    <w:rsid w:val="009E6C08"/>
    <w:rsid w:val="009E6C9A"/>
    <w:rsid w:val="009E6EDF"/>
    <w:rsid w:val="009E6EF6"/>
    <w:rsid w:val="009E6F41"/>
    <w:rsid w:val="009E6FEE"/>
    <w:rsid w:val="009E7118"/>
    <w:rsid w:val="009E777F"/>
    <w:rsid w:val="009E7BC3"/>
    <w:rsid w:val="009F038E"/>
    <w:rsid w:val="009F0454"/>
    <w:rsid w:val="009F063E"/>
    <w:rsid w:val="009F08A7"/>
    <w:rsid w:val="009F0A66"/>
    <w:rsid w:val="009F0DB6"/>
    <w:rsid w:val="009F0DDB"/>
    <w:rsid w:val="009F0E15"/>
    <w:rsid w:val="009F1033"/>
    <w:rsid w:val="009F15D0"/>
    <w:rsid w:val="009F1AAE"/>
    <w:rsid w:val="009F1D47"/>
    <w:rsid w:val="009F1F6B"/>
    <w:rsid w:val="009F2871"/>
    <w:rsid w:val="009F2928"/>
    <w:rsid w:val="009F3025"/>
    <w:rsid w:val="009F317E"/>
    <w:rsid w:val="009F341D"/>
    <w:rsid w:val="009F3736"/>
    <w:rsid w:val="009F38AB"/>
    <w:rsid w:val="009F3A9C"/>
    <w:rsid w:val="009F3D56"/>
    <w:rsid w:val="009F41DC"/>
    <w:rsid w:val="009F429E"/>
    <w:rsid w:val="009F4E1B"/>
    <w:rsid w:val="009F548D"/>
    <w:rsid w:val="009F564A"/>
    <w:rsid w:val="009F59F4"/>
    <w:rsid w:val="009F5C05"/>
    <w:rsid w:val="009F6120"/>
    <w:rsid w:val="009F63CE"/>
    <w:rsid w:val="009F6702"/>
    <w:rsid w:val="009F682E"/>
    <w:rsid w:val="009F6B3C"/>
    <w:rsid w:val="009F6BA7"/>
    <w:rsid w:val="009F6BB8"/>
    <w:rsid w:val="009F6DCC"/>
    <w:rsid w:val="009F6EEA"/>
    <w:rsid w:val="009F6FDA"/>
    <w:rsid w:val="009F72B4"/>
    <w:rsid w:val="009F74D0"/>
    <w:rsid w:val="009F77CF"/>
    <w:rsid w:val="009F793E"/>
    <w:rsid w:val="009F7A73"/>
    <w:rsid w:val="009F7F07"/>
    <w:rsid w:val="009F7F67"/>
    <w:rsid w:val="009F7F7E"/>
    <w:rsid w:val="00A0004D"/>
    <w:rsid w:val="00A001E4"/>
    <w:rsid w:val="00A001FB"/>
    <w:rsid w:val="00A00207"/>
    <w:rsid w:val="00A006A4"/>
    <w:rsid w:val="00A008DF"/>
    <w:rsid w:val="00A00D76"/>
    <w:rsid w:val="00A00E54"/>
    <w:rsid w:val="00A01080"/>
    <w:rsid w:val="00A01181"/>
    <w:rsid w:val="00A01184"/>
    <w:rsid w:val="00A01449"/>
    <w:rsid w:val="00A0181B"/>
    <w:rsid w:val="00A01961"/>
    <w:rsid w:val="00A01E40"/>
    <w:rsid w:val="00A02086"/>
    <w:rsid w:val="00A0214D"/>
    <w:rsid w:val="00A0239F"/>
    <w:rsid w:val="00A02471"/>
    <w:rsid w:val="00A02A5E"/>
    <w:rsid w:val="00A02B91"/>
    <w:rsid w:val="00A02F1A"/>
    <w:rsid w:val="00A03009"/>
    <w:rsid w:val="00A037BB"/>
    <w:rsid w:val="00A037C2"/>
    <w:rsid w:val="00A039BB"/>
    <w:rsid w:val="00A03B92"/>
    <w:rsid w:val="00A03C44"/>
    <w:rsid w:val="00A03D43"/>
    <w:rsid w:val="00A04029"/>
    <w:rsid w:val="00A0434D"/>
    <w:rsid w:val="00A04380"/>
    <w:rsid w:val="00A04786"/>
    <w:rsid w:val="00A047F0"/>
    <w:rsid w:val="00A04A14"/>
    <w:rsid w:val="00A04F45"/>
    <w:rsid w:val="00A05170"/>
    <w:rsid w:val="00A052CA"/>
    <w:rsid w:val="00A053B5"/>
    <w:rsid w:val="00A05472"/>
    <w:rsid w:val="00A057F5"/>
    <w:rsid w:val="00A0593C"/>
    <w:rsid w:val="00A059FF"/>
    <w:rsid w:val="00A05A57"/>
    <w:rsid w:val="00A05C32"/>
    <w:rsid w:val="00A05C84"/>
    <w:rsid w:val="00A05DFF"/>
    <w:rsid w:val="00A060BD"/>
    <w:rsid w:val="00A061B8"/>
    <w:rsid w:val="00A06221"/>
    <w:rsid w:val="00A0624A"/>
    <w:rsid w:val="00A064EF"/>
    <w:rsid w:val="00A0653F"/>
    <w:rsid w:val="00A065B7"/>
    <w:rsid w:val="00A065D3"/>
    <w:rsid w:val="00A06806"/>
    <w:rsid w:val="00A06A07"/>
    <w:rsid w:val="00A06E79"/>
    <w:rsid w:val="00A07301"/>
    <w:rsid w:val="00A076A9"/>
    <w:rsid w:val="00A07BE9"/>
    <w:rsid w:val="00A1038B"/>
    <w:rsid w:val="00A10688"/>
    <w:rsid w:val="00A108DB"/>
    <w:rsid w:val="00A108E5"/>
    <w:rsid w:val="00A10AA4"/>
    <w:rsid w:val="00A10AB5"/>
    <w:rsid w:val="00A10B2E"/>
    <w:rsid w:val="00A116F4"/>
    <w:rsid w:val="00A11BDD"/>
    <w:rsid w:val="00A11CD0"/>
    <w:rsid w:val="00A11D91"/>
    <w:rsid w:val="00A11F1B"/>
    <w:rsid w:val="00A121E9"/>
    <w:rsid w:val="00A1245D"/>
    <w:rsid w:val="00A124C6"/>
    <w:rsid w:val="00A12B61"/>
    <w:rsid w:val="00A12D98"/>
    <w:rsid w:val="00A13057"/>
    <w:rsid w:val="00A1327D"/>
    <w:rsid w:val="00A13948"/>
    <w:rsid w:val="00A13EBB"/>
    <w:rsid w:val="00A14001"/>
    <w:rsid w:val="00A1408C"/>
    <w:rsid w:val="00A142E6"/>
    <w:rsid w:val="00A144F7"/>
    <w:rsid w:val="00A14C89"/>
    <w:rsid w:val="00A14F2A"/>
    <w:rsid w:val="00A1555B"/>
    <w:rsid w:val="00A155C5"/>
    <w:rsid w:val="00A15CB0"/>
    <w:rsid w:val="00A16971"/>
    <w:rsid w:val="00A16AD8"/>
    <w:rsid w:val="00A16B5E"/>
    <w:rsid w:val="00A16EC3"/>
    <w:rsid w:val="00A16EFC"/>
    <w:rsid w:val="00A16F8F"/>
    <w:rsid w:val="00A17283"/>
    <w:rsid w:val="00A17400"/>
    <w:rsid w:val="00A17414"/>
    <w:rsid w:val="00A17751"/>
    <w:rsid w:val="00A17B17"/>
    <w:rsid w:val="00A2021E"/>
    <w:rsid w:val="00A2028D"/>
    <w:rsid w:val="00A2042B"/>
    <w:rsid w:val="00A2064D"/>
    <w:rsid w:val="00A20837"/>
    <w:rsid w:val="00A20ED0"/>
    <w:rsid w:val="00A21095"/>
    <w:rsid w:val="00A21165"/>
    <w:rsid w:val="00A21198"/>
    <w:rsid w:val="00A21265"/>
    <w:rsid w:val="00A214AB"/>
    <w:rsid w:val="00A216F4"/>
    <w:rsid w:val="00A21739"/>
    <w:rsid w:val="00A21B79"/>
    <w:rsid w:val="00A21C25"/>
    <w:rsid w:val="00A21C95"/>
    <w:rsid w:val="00A21CF3"/>
    <w:rsid w:val="00A21D99"/>
    <w:rsid w:val="00A2220F"/>
    <w:rsid w:val="00A22A56"/>
    <w:rsid w:val="00A22F4B"/>
    <w:rsid w:val="00A23128"/>
    <w:rsid w:val="00A23A32"/>
    <w:rsid w:val="00A23C1A"/>
    <w:rsid w:val="00A23C98"/>
    <w:rsid w:val="00A23F45"/>
    <w:rsid w:val="00A241E2"/>
    <w:rsid w:val="00A24329"/>
    <w:rsid w:val="00A2434C"/>
    <w:rsid w:val="00A24498"/>
    <w:rsid w:val="00A244D2"/>
    <w:rsid w:val="00A24813"/>
    <w:rsid w:val="00A24A9C"/>
    <w:rsid w:val="00A24FC3"/>
    <w:rsid w:val="00A25399"/>
    <w:rsid w:val="00A2576F"/>
    <w:rsid w:val="00A2596A"/>
    <w:rsid w:val="00A25B55"/>
    <w:rsid w:val="00A25E19"/>
    <w:rsid w:val="00A2600E"/>
    <w:rsid w:val="00A26021"/>
    <w:rsid w:val="00A26027"/>
    <w:rsid w:val="00A26029"/>
    <w:rsid w:val="00A2623E"/>
    <w:rsid w:val="00A2662F"/>
    <w:rsid w:val="00A26775"/>
    <w:rsid w:val="00A26990"/>
    <w:rsid w:val="00A26C16"/>
    <w:rsid w:val="00A26D9F"/>
    <w:rsid w:val="00A2705D"/>
    <w:rsid w:val="00A270FA"/>
    <w:rsid w:val="00A273A9"/>
    <w:rsid w:val="00A27AEC"/>
    <w:rsid w:val="00A27B38"/>
    <w:rsid w:val="00A27B67"/>
    <w:rsid w:val="00A300AA"/>
    <w:rsid w:val="00A302C2"/>
    <w:rsid w:val="00A30B50"/>
    <w:rsid w:val="00A30C40"/>
    <w:rsid w:val="00A31038"/>
    <w:rsid w:val="00A31376"/>
    <w:rsid w:val="00A31833"/>
    <w:rsid w:val="00A31A7F"/>
    <w:rsid w:val="00A31B9C"/>
    <w:rsid w:val="00A31BEC"/>
    <w:rsid w:val="00A31D35"/>
    <w:rsid w:val="00A320DB"/>
    <w:rsid w:val="00A32314"/>
    <w:rsid w:val="00A3251C"/>
    <w:rsid w:val="00A325D7"/>
    <w:rsid w:val="00A327DD"/>
    <w:rsid w:val="00A328A5"/>
    <w:rsid w:val="00A32B14"/>
    <w:rsid w:val="00A33452"/>
    <w:rsid w:val="00A334C0"/>
    <w:rsid w:val="00A335B9"/>
    <w:rsid w:val="00A338CB"/>
    <w:rsid w:val="00A33A5D"/>
    <w:rsid w:val="00A33C43"/>
    <w:rsid w:val="00A33CDC"/>
    <w:rsid w:val="00A33FDB"/>
    <w:rsid w:val="00A3412A"/>
    <w:rsid w:val="00A342CE"/>
    <w:rsid w:val="00A343E0"/>
    <w:rsid w:val="00A345A2"/>
    <w:rsid w:val="00A34605"/>
    <w:rsid w:val="00A347CD"/>
    <w:rsid w:val="00A34C6E"/>
    <w:rsid w:val="00A35160"/>
    <w:rsid w:val="00A35222"/>
    <w:rsid w:val="00A35272"/>
    <w:rsid w:val="00A35408"/>
    <w:rsid w:val="00A35494"/>
    <w:rsid w:val="00A35589"/>
    <w:rsid w:val="00A3573C"/>
    <w:rsid w:val="00A3581B"/>
    <w:rsid w:val="00A35C1E"/>
    <w:rsid w:val="00A35CF7"/>
    <w:rsid w:val="00A35D16"/>
    <w:rsid w:val="00A35EDE"/>
    <w:rsid w:val="00A35EFE"/>
    <w:rsid w:val="00A3613F"/>
    <w:rsid w:val="00A36306"/>
    <w:rsid w:val="00A3631F"/>
    <w:rsid w:val="00A36336"/>
    <w:rsid w:val="00A36372"/>
    <w:rsid w:val="00A36550"/>
    <w:rsid w:val="00A36939"/>
    <w:rsid w:val="00A36981"/>
    <w:rsid w:val="00A36A3C"/>
    <w:rsid w:val="00A36ACC"/>
    <w:rsid w:val="00A36B38"/>
    <w:rsid w:val="00A36F3A"/>
    <w:rsid w:val="00A37038"/>
    <w:rsid w:val="00A37368"/>
    <w:rsid w:val="00A374A0"/>
    <w:rsid w:val="00A37545"/>
    <w:rsid w:val="00A376BD"/>
    <w:rsid w:val="00A376CE"/>
    <w:rsid w:val="00A377EB"/>
    <w:rsid w:val="00A37869"/>
    <w:rsid w:val="00A3796A"/>
    <w:rsid w:val="00A379F6"/>
    <w:rsid w:val="00A37B3E"/>
    <w:rsid w:val="00A37BCD"/>
    <w:rsid w:val="00A37D4E"/>
    <w:rsid w:val="00A37FD6"/>
    <w:rsid w:val="00A403AC"/>
    <w:rsid w:val="00A4043E"/>
    <w:rsid w:val="00A40884"/>
    <w:rsid w:val="00A40A6D"/>
    <w:rsid w:val="00A40B9C"/>
    <w:rsid w:val="00A40C20"/>
    <w:rsid w:val="00A40C8F"/>
    <w:rsid w:val="00A41314"/>
    <w:rsid w:val="00A4160E"/>
    <w:rsid w:val="00A41689"/>
    <w:rsid w:val="00A418D2"/>
    <w:rsid w:val="00A419EF"/>
    <w:rsid w:val="00A41ABF"/>
    <w:rsid w:val="00A41FF9"/>
    <w:rsid w:val="00A42102"/>
    <w:rsid w:val="00A421F6"/>
    <w:rsid w:val="00A423F6"/>
    <w:rsid w:val="00A42592"/>
    <w:rsid w:val="00A425A8"/>
    <w:rsid w:val="00A425B1"/>
    <w:rsid w:val="00A426A7"/>
    <w:rsid w:val="00A4275A"/>
    <w:rsid w:val="00A42DB1"/>
    <w:rsid w:val="00A42DCE"/>
    <w:rsid w:val="00A42F6C"/>
    <w:rsid w:val="00A43302"/>
    <w:rsid w:val="00A4363E"/>
    <w:rsid w:val="00A43837"/>
    <w:rsid w:val="00A43C59"/>
    <w:rsid w:val="00A43DA5"/>
    <w:rsid w:val="00A43FF2"/>
    <w:rsid w:val="00A4410D"/>
    <w:rsid w:val="00A443EC"/>
    <w:rsid w:val="00A4446E"/>
    <w:rsid w:val="00A4483B"/>
    <w:rsid w:val="00A44CDB"/>
    <w:rsid w:val="00A44D51"/>
    <w:rsid w:val="00A44FEF"/>
    <w:rsid w:val="00A45380"/>
    <w:rsid w:val="00A45AA6"/>
    <w:rsid w:val="00A45C76"/>
    <w:rsid w:val="00A461BF"/>
    <w:rsid w:val="00A4621D"/>
    <w:rsid w:val="00A468FA"/>
    <w:rsid w:val="00A46A1E"/>
    <w:rsid w:val="00A472E1"/>
    <w:rsid w:val="00A47529"/>
    <w:rsid w:val="00A4760C"/>
    <w:rsid w:val="00A476C7"/>
    <w:rsid w:val="00A47B77"/>
    <w:rsid w:val="00A47BED"/>
    <w:rsid w:val="00A47E30"/>
    <w:rsid w:val="00A50023"/>
    <w:rsid w:val="00A502DC"/>
    <w:rsid w:val="00A5090E"/>
    <w:rsid w:val="00A509AA"/>
    <w:rsid w:val="00A50C30"/>
    <w:rsid w:val="00A50CE9"/>
    <w:rsid w:val="00A50DF0"/>
    <w:rsid w:val="00A50ECD"/>
    <w:rsid w:val="00A50F9C"/>
    <w:rsid w:val="00A5179D"/>
    <w:rsid w:val="00A518F3"/>
    <w:rsid w:val="00A519FA"/>
    <w:rsid w:val="00A52106"/>
    <w:rsid w:val="00A5222C"/>
    <w:rsid w:val="00A52309"/>
    <w:rsid w:val="00A523F4"/>
    <w:rsid w:val="00A52729"/>
    <w:rsid w:val="00A528F4"/>
    <w:rsid w:val="00A52B47"/>
    <w:rsid w:val="00A52B5F"/>
    <w:rsid w:val="00A52CFE"/>
    <w:rsid w:val="00A52E27"/>
    <w:rsid w:val="00A530E0"/>
    <w:rsid w:val="00A532B6"/>
    <w:rsid w:val="00A53343"/>
    <w:rsid w:val="00A533A6"/>
    <w:rsid w:val="00A5351E"/>
    <w:rsid w:val="00A53675"/>
    <w:rsid w:val="00A53DBD"/>
    <w:rsid w:val="00A53E64"/>
    <w:rsid w:val="00A53FBE"/>
    <w:rsid w:val="00A54019"/>
    <w:rsid w:val="00A543F4"/>
    <w:rsid w:val="00A545D9"/>
    <w:rsid w:val="00A54AD9"/>
    <w:rsid w:val="00A54BAC"/>
    <w:rsid w:val="00A55140"/>
    <w:rsid w:val="00A55447"/>
    <w:rsid w:val="00A5548C"/>
    <w:rsid w:val="00A554C9"/>
    <w:rsid w:val="00A55676"/>
    <w:rsid w:val="00A55713"/>
    <w:rsid w:val="00A55A8F"/>
    <w:rsid w:val="00A55E9E"/>
    <w:rsid w:val="00A561B5"/>
    <w:rsid w:val="00A561EA"/>
    <w:rsid w:val="00A564D7"/>
    <w:rsid w:val="00A5665E"/>
    <w:rsid w:val="00A5691F"/>
    <w:rsid w:val="00A569EF"/>
    <w:rsid w:val="00A56B6A"/>
    <w:rsid w:val="00A56CC5"/>
    <w:rsid w:val="00A57096"/>
    <w:rsid w:val="00A57228"/>
    <w:rsid w:val="00A5735E"/>
    <w:rsid w:val="00A576EC"/>
    <w:rsid w:val="00A5789D"/>
    <w:rsid w:val="00A578DC"/>
    <w:rsid w:val="00A5794B"/>
    <w:rsid w:val="00A57B0E"/>
    <w:rsid w:val="00A57C7C"/>
    <w:rsid w:val="00A602BF"/>
    <w:rsid w:val="00A6031D"/>
    <w:rsid w:val="00A60389"/>
    <w:rsid w:val="00A60797"/>
    <w:rsid w:val="00A60FE1"/>
    <w:rsid w:val="00A61033"/>
    <w:rsid w:val="00A6106B"/>
    <w:rsid w:val="00A6113D"/>
    <w:rsid w:val="00A615CC"/>
    <w:rsid w:val="00A61CB4"/>
    <w:rsid w:val="00A620F4"/>
    <w:rsid w:val="00A62154"/>
    <w:rsid w:val="00A621A2"/>
    <w:rsid w:val="00A6284E"/>
    <w:rsid w:val="00A62AC2"/>
    <w:rsid w:val="00A62C91"/>
    <w:rsid w:val="00A62EDB"/>
    <w:rsid w:val="00A6330C"/>
    <w:rsid w:val="00A6337A"/>
    <w:rsid w:val="00A63709"/>
    <w:rsid w:val="00A63903"/>
    <w:rsid w:val="00A63A12"/>
    <w:rsid w:val="00A63CEA"/>
    <w:rsid w:val="00A63EAF"/>
    <w:rsid w:val="00A640E2"/>
    <w:rsid w:val="00A642EE"/>
    <w:rsid w:val="00A64333"/>
    <w:rsid w:val="00A648FE"/>
    <w:rsid w:val="00A64A3E"/>
    <w:rsid w:val="00A64D58"/>
    <w:rsid w:val="00A64D65"/>
    <w:rsid w:val="00A64ECD"/>
    <w:rsid w:val="00A65001"/>
    <w:rsid w:val="00A66052"/>
    <w:rsid w:val="00A660FC"/>
    <w:rsid w:val="00A66339"/>
    <w:rsid w:val="00A663E2"/>
    <w:rsid w:val="00A668F2"/>
    <w:rsid w:val="00A66AAF"/>
    <w:rsid w:val="00A66DEE"/>
    <w:rsid w:val="00A670A6"/>
    <w:rsid w:val="00A670CD"/>
    <w:rsid w:val="00A67198"/>
    <w:rsid w:val="00A6725B"/>
    <w:rsid w:val="00A6727A"/>
    <w:rsid w:val="00A67442"/>
    <w:rsid w:val="00A67546"/>
    <w:rsid w:val="00A675D8"/>
    <w:rsid w:val="00A675F3"/>
    <w:rsid w:val="00A67843"/>
    <w:rsid w:val="00A67931"/>
    <w:rsid w:val="00A67AF9"/>
    <w:rsid w:val="00A67EBF"/>
    <w:rsid w:val="00A70114"/>
    <w:rsid w:val="00A7036E"/>
    <w:rsid w:val="00A705F3"/>
    <w:rsid w:val="00A70605"/>
    <w:rsid w:val="00A70B61"/>
    <w:rsid w:val="00A71063"/>
    <w:rsid w:val="00A71152"/>
    <w:rsid w:val="00A71243"/>
    <w:rsid w:val="00A71626"/>
    <w:rsid w:val="00A71635"/>
    <w:rsid w:val="00A718AE"/>
    <w:rsid w:val="00A7191C"/>
    <w:rsid w:val="00A71D16"/>
    <w:rsid w:val="00A71F13"/>
    <w:rsid w:val="00A72A51"/>
    <w:rsid w:val="00A72B76"/>
    <w:rsid w:val="00A73134"/>
    <w:rsid w:val="00A733A2"/>
    <w:rsid w:val="00A734ED"/>
    <w:rsid w:val="00A7365A"/>
    <w:rsid w:val="00A73826"/>
    <w:rsid w:val="00A73C1D"/>
    <w:rsid w:val="00A740DF"/>
    <w:rsid w:val="00A743A5"/>
    <w:rsid w:val="00A74767"/>
    <w:rsid w:val="00A74A3F"/>
    <w:rsid w:val="00A74A54"/>
    <w:rsid w:val="00A74B5D"/>
    <w:rsid w:val="00A74E50"/>
    <w:rsid w:val="00A74E89"/>
    <w:rsid w:val="00A750B4"/>
    <w:rsid w:val="00A7576C"/>
    <w:rsid w:val="00A757AE"/>
    <w:rsid w:val="00A75D1B"/>
    <w:rsid w:val="00A75D68"/>
    <w:rsid w:val="00A75F0E"/>
    <w:rsid w:val="00A75F1D"/>
    <w:rsid w:val="00A75F8A"/>
    <w:rsid w:val="00A76001"/>
    <w:rsid w:val="00A7606F"/>
    <w:rsid w:val="00A762E0"/>
    <w:rsid w:val="00A763D9"/>
    <w:rsid w:val="00A764DC"/>
    <w:rsid w:val="00A766A3"/>
    <w:rsid w:val="00A76715"/>
    <w:rsid w:val="00A768FE"/>
    <w:rsid w:val="00A76A94"/>
    <w:rsid w:val="00A77028"/>
    <w:rsid w:val="00A770B6"/>
    <w:rsid w:val="00A770CF"/>
    <w:rsid w:val="00A770F4"/>
    <w:rsid w:val="00A77523"/>
    <w:rsid w:val="00A77690"/>
    <w:rsid w:val="00A776C5"/>
    <w:rsid w:val="00A777B2"/>
    <w:rsid w:val="00A779F7"/>
    <w:rsid w:val="00A77D62"/>
    <w:rsid w:val="00A804E8"/>
    <w:rsid w:val="00A8055F"/>
    <w:rsid w:val="00A808A0"/>
    <w:rsid w:val="00A80AE6"/>
    <w:rsid w:val="00A80B94"/>
    <w:rsid w:val="00A81409"/>
    <w:rsid w:val="00A81500"/>
    <w:rsid w:val="00A8170F"/>
    <w:rsid w:val="00A8198B"/>
    <w:rsid w:val="00A81AEE"/>
    <w:rsid w:val="00A81D30"/>
    <w:rsid w:val="00A81D50"/>
    <w:rsid w:val="00A81E23"/>
    <w:rsid w:val="00A8213D"/>
    <w:rsid w:val="00A82310"/>
    <w:rsid w:val="00A823D9"/>
    <w:rsid w:val="00A824E0"/>
    <w:rsid w:val="00A825D4"/>
    <w:rsid w:val="00A82776"/>
    <w:rsid w:val="00A828F6"/>
    <w:rsid w:val="00A82941"/>
    <w:rsid w:val="00A82B73"/>
    <w:rsid w:val="00A82D91"/>
    <w:rsid w:val="00A835DF"/>
    <w:rsid w:val="00A83D5C"/>
    <w:rsid w:val="00A83FA7"/>
    <w:rsid w:val="00A8400E"/>
    <w:rsid w:val="00A842D5"/>
    <w:rsid w:val="00A84BC8"/>
    <w:rsid w:val="00A84C3F"/>
    <w:rsid w:val="00A84D01"/>
    <w:rsid w:val="00A853F5"/>
    <w:rsid w:val="00A8563E"/>
    <w:rsid w:val="00A8572B"/>
    <w:rsid w:val="00A85B15"/>
    <w:rsid w:val="00A85DE8"/>
    <w:rsid w:val="00A8613C"/>
    <w:rsid w:val="00A8619D"/>
    <w:rsid w:val="00A86354"/>
    <w:rsid w:val="00A8672E"/>
    <w:rsid w:val="00A8679C"/>
    <w:rsid w:val="00A86833"/>
    <w:rsid w:val="00A86846"/>
    <w:rsid w:val="00A86C2D"/>
    <w:rsid w:val="00A86E8B"/>
    <w:rsid w:val="00A87164"/>
    <w:rsid w:val="00A871A9"/>
    <w:rsid w:val="00A87326"/>
    <w:rsid w:val="00A874A8"/>
    <w:rsid w:val="00A87520"/>
    <w:rsid w:val="00A87685"/>
    <w:rsid w:val="00A87AF5"/>
    <w:rsid w:val="00A87B5B"/>
    <w:rsid w:val="00A87F87"/>
    <w:rsid w:val="00A90052"/>
    <w:rsid w:val="00A904AB"/>
    <w:rsid w:val="00A906B0"/>
    <w:rsid w:val="00A9073C"/>
    <w:rsid w:val="00A90753"/>
    <w:rsid w:val="00A90970"/>
    <w:rsid w:val="00A90B7F"/>
    <w:rsid w:val="00A90C3F"/>
    <w:rsid w:val="00A90C6D"/>
    <w:rsid w:val="00A911BD"/>
    <w:rsid w:val="00A91263"/>
    <w:rsid w:val="00A91587"/>
    <w:rsid w:val="00A915A0"/>
    <w:rsid w:val="00A919D1"/>
    <w:rsid w:val="00A91C20"/>
    <w:rsid w:val="00A91DBA"/>
    <w:rsid w:val="00A922D9"/>
    <w:rsid w:val="00A9281E"/>
    <w:rsid w:val="00A92D9D"/>
    <w:rsid w:val="00A93072"/>
    <w:rsid w:val="00A93097"/>
    <w:rsid w:val="00A9320C"/>
    <w:rsid w:val="00A935F6"/>
    <w:rsid w:val="00A9379A"/>
    <w:rsid w:val="00A938BD"/>
    <w:rsid w:val="00A93953"/>
    <w:rsid w:val="00A93996"/>
    <w:rsid w:val="00A93B7A"/>
    <w:rsid w:val="00A93FB1"/>
    <w:rsid w:val="00A93FB5"/>
    <w:rsid w:val="00A94310"/>
    <w:rsid w:val="00A943B1"/>
    <w:rsid w:val="00A94711"/>
    <w:rsid w:val="00A94837"/>
    <w:rsid w:val="00A948D0"/>
    <w:rsid w:val="00A94A6A"/>
    <w:rsid w:val="00A94D6E"/>
    <w:rsid w:val="00A94DDD"/>
    <w:rsid w:val="00A95622"/>
    <w:rsid w:val="00A95975"/>
    <w:rsid w:val="00A959D8"/>
    <w:rsid w:val="00A95DD8"/>
    <w:rsid w:val="00A95ECE"/>
    <w:rsid w:val="00A9602C"/>
    <w:rsid w:val="00A96311"/>
    <w:rsid w:val="00A96539"/>
    <w:rsid w:val="00A966EF"/>
    <w:rsid w:val="00A96815"/>
    <w:rsid w:val="00A96A06"/>
    <w:rsid w:val="00A96BBC"/>
    <w:rsid w:val="00A96C56"/>
    <w:rsid w:val="00A96EA2"/>
    <w:rsid w:val="00A97469"/>
    <w:rsid w:val="00A974D7"/>
    <w:rsid w:val="00A9751A"/>
    <w:rsid w:val="00A9775C"/>
    <w:rsid w:val="00A97860"/>
    <w:rsid w:val="00A978D2"/>
    <w:rsid w:val="00A97B47"/>
    <w:rsid w:val="00AA029A"/>
    <w:rsid w:val="00AA047D"/>
    <w:rsid w:val="00AA04A6"/>
    <w:rsid w:val="00AA065F"/>
    <w:rsid w:val="00AA06FD"/>
    <w:rsid w:val="00AA08FC"/>
    <w:rsid w:val="00AA0BEB"/>
    <w:rsid w:val="00AA113D"/>
    <w:rsid w:val="00AA1242"/>
    <w:rsid w:val="00AA12E6"/>
    <w:rsid w:val="00AA160A"/>
    <w:rsid w:val="00AA19D5"/>
    <w:rsid w:val="00AA1B9C"/>
    <w:rsid w:val="00AA1DD4"/>
    <w:rsid w:val="00AA21AF"/>
    <w:rsid w:val="00AA261D"/>
    <w:rsid w:val="00AA2632"/>
    <w:rsid w:val="00AA27CD"/>
    <w:rsid w:val="00AA27D2"/>
    <w:rsid w:val="00AA2B29"/>
    <w:rsid w:val="00AA2B78"/>
    <w:rsid w:val="00AA2BBF"/>
    <w:rsid w:val="00AA2D4B"/>
    <w:rsid w:val="00AA2E52"/>
    <w:rsid w:val="00AA2F5F"/>
    <w:rsid w:val="00AA30A6"/>
    <w:rsid w:val="00AA30B2"/>
    <w:rsid w:val="00AA3BC8"/>
    <w:rsid w:val="00AA406C"/>
    <w:rsid w:val="00AA409D"/>
    <w:rsid w:val="00AA4590"/>
    <w:rsid w:val="00AA4604"/>
    <w:rsid w:val="00AA5311"/>
    <w:rsid w:val="00AA5458"/>
    <w:rsid w:val="00AA58BD"/>
    <w:rsid w:val="00AA5B7C"/>
    <w:rsid w:val="00AA5BEC"/>
    <w:rsid w:val="00AA5D4C"/>
    <w:rsid w:val="00AA63C1"/>
    <w:rsid w:val="00AA673D"/>
    <w:rsid w:val="00AA6956"/>
    <w:rsid w:val="00AA6A57"/>
    <w:rsid w:val="00AA6A7B"/>
    <w:rsid w:val="00AA6BD5"/>
    <w:rsid w:val="00AA6BD8"/>
    <w:rsid w:val="00AA6C7D"/>
    <w:rsid w:val="00AA6CD3"/>
    <w:rsid w:val="00AA6DDA"/>
    <w:rsid w:val="00AA6FD6"/>
    <w:rsid w:val="00AA7188"/>
    <w:rsid w:val="00AA7534"/>
    <w:rsid w:val="00AA7733"/>
    <w:rsid w:val="00AA7A3A"/>
    <w:rsid w:val="00AA7D3A"/>
    <w:rsid w:val="00AA7FD6"/>
    <w:rsid w:val="00AB0127"/>
    <w:rsid w:val="00AB0392"/>
    <w:rsid w:val="00AB042A"/>
    <w:rsid w:val="00AB0687"/>
    <w:rsid w:val="00AB068F"/>
    <w:rsid w:val="00AB06CE"/>
    <w:rsid w:val="00AB1097"/>
    <w:rsid w:val="00AB10FD"/>
    <w:rsid w:val="00AB11AD"/>
    <w:rsid w:val="00AB1253"/>
    <w:rsid w:val="00AB1431"/>
    <w:rsid w:val="00AB1451"/>
    <w:rsid w:val="00AB159D"/>
    <w:rsid w:val="00AB15AE"/>
    <w:rsid w:val="00AB1698"/>
    <w:rsid w:val="00AB1879"/>
    <w:rsid w:val="00AB19EF"/>
    <w:rsid w:val="00AB1C2E"/>
    <w:rsid w:val="00AB1E34"/>
    <w:rsid w:val="00AB2020"/>
    <w:rsid w:val="00AB2495"/>
    <w:rsid w:val="00AB263D"/>
    <w:rsid w:val="00AB2D34"/>
    <w:rsid w:val="00AB3026"/>
    <w:rsid w:val="00AB3430"/>
    <w:rsid w:val="00AB34B0"/>
    <w:rsid w:val="00AB361E"/>
    <w:rsid w:val="00AB3644"/>
    <w:rsid w:val="00AB37B9"/>
    <w:rsid w:val="00AB3AD3"/>
    <w:rsid w:val="00AB3D0D"/>
    <w:rsid w:val="00AB3E18"/>
    <w:rsid w:val="00AB3E8E"/>
    <w:rsid w:val="00AB43BB"/>
    <w:rsid w:val="00AB47EF"/>
    <w:rsid w:val="00AB485E"/>
    <w:rsid w:val="00AB4AD1"/>
    <w:rsid w:val="00AB4D1C"/>
    <w:rsid w:val="00AB4F6B"/>
    <w:rsid w:val="00AB5020"/>
    <w:rsid w:val="00AB51DE"/>
    <w:rsid w:val="00AB583D"/>
    <w:rsid w:val="00AB5D52"/>
    <w:rsid w:val="00AB5E07"/>
    <w:rsid w:val="00AB5ED7"/>
    <w:rsid w:val="00AB60E6"/>
    <w:rsid w:val="00AB6452"/>
    <w:rsid w:val="00AB677D"/>
    <w:rsid w:val="00AB677F"/>
    <w:rsid w:val="00AB6B71"/>
    <w:rsid w:val="00AB6D10"/>
    <w:rsid w:val="00AB6D38"/>
    <w:rsid w:val="00AB7291"/>
    <w:rsid w:val="00AB7294"/>
    <w:rsid w:val="00AB7372"/>
    <w:rsid w:val="00AB73CF"/>
    <w:rsid w:val="00AB743D"/>
    <w:rsid w:val="00AB7527"/>
    <w:rsid w:val="00AB7948"/>
    <w:rsid w:val="00AB7CFA"/>
    <w:rsid w:val="00AB7D90"/>
    <w:rsid w:val="00AC03B6"/>
    <w:rsid w:val="00AC04A0"/>
    <w:rsid w:val="00AC0B76"/>
    <w:rsid w:val="00AC0FFC"/>
    <w:rsid w:val="00AC1128"/>
    <w:rsid w:val="00AC1353"/>
    <w:rsid w:val="00AC147C"/>
    <w:rsid w:val="00AC15B4"/>
    <w:rsid w:val="00AC15CA"/>
    <w:rsid w:val="00AC170D"/>
    <w:rsid w:val="00AC2D0B"/>
    <w:rsid w:val="00AC2E22"/>
    <w:rsid w:val="00AC2E36"/>
    <w:rsid w:val="00AC2E46"/>
    <w:rsid w:val="00AC2FAC"/>
    <w:rsid w:val="00AC30AA"/>
    <w:rsid w:val="00AC323D"/>
    <w:rsid w:val="00AC3249"/>
    <w:rsid w:val="00AC34C2"/>
    <w:rsid w:val="00AC3631"/>
    <w:rsid w:val="00AC36F9"/>
    <w:rsid w:val="00AC3713"/>
    <w:rsid w:val="00AC3832"/>
    <w:rsid w:val="00AC3844"/>
    <w:rsid w:val="00AC3863"/>
    <w:rsid w:val="00AC38BF"/>
    <w:rsid w:val="00AC3A39"/>
    <w:rsid w:val="00AC3BBE"/>
    <w:rsid w:val="00AC3BD4"/>
    <w:rsid w:val="00AC3EC5"/>
    <w:rsid w:val="00AC3F66"/>
    <w:rsid w:val="00AC41A5"/>
    <w:rsid w:val="00AC4423"/>
    <w:rsid w:val="00AC4747"/>
    <w:rsid w:val="00AC4ECA"/>
    <w:rsid w:val="00AC50B5"/>
    <w:rsid w:val="00AC52E7"/>
    <w:rsid w:val="00AC53C5"/>
    <w:rsid w:val="00AC5725"/>
    <w:rsid w:val="00AC5B42"/>
    <w:rsid w:val="00AC5B48"/>
    <w:rsid w:val="00AC5D79"/>
    <w:rsid w:val="00AC5EB5"/>
    <w:rsid w:val="00AC5ECB"/>
    <w:rsid w:val="00AC61FE"/>
    <w:rsid w:val="00AC6274"/>
    <w:rsid w:val="00AC65AC"/>
    <w:rsid w:val="00AC6A84"/>
    <w:rsid w:val="00AC6AEC"/>
    <w:rsid w:val="00AC6CB0"/>
    <w:rsid w:val="00AC6D73"/>
    <w:rsid w:val="00AC6E14"/>
    <w:rsid w:val="00AC728A"/>
    <w:rsid w:val="00AC7528"/>
    <w:rsid w:val="00AC79DF"/>
    <w:rsid w:val="00AC7EBD"/>
    <w:rsid w:val="00AD0160"/>
    <w:rsid w:val="00AD055B"/>
    <w:rsid w:val="00AD0610"/>
    <w:rsid w:val="00AD062A"/>
    <w:rsid w:val="00AD0B4B"/>
    <w:rsid w:val="00AD0B6B"/>
    <w:rsid w:val="00AD0D2F"/>
    <w:rsid w:val="00AD1450"/>
    <w:rsid w:val="00AD15E8"/>
    <w:rsid w:val="00AD165B"/>
    <w:rsid w:val="00AD167B"/>
    <w:rsid w:val="00AD1872"/>
    <w:rsid w:val="00AD1911"/>
    <w:rsid w:val="00AD1C41"/>
    <w:rsid w:val="00AD1DF9"/>
    <w:rsid w:val="00AD1E47"/>
    <w:rsid w:val="00AD1E9B"/>
    <w:rsid w:val="00AD1F17"/>
    <w:rsid w:val="00AD1F18"/>
    <w:rsid w:val="00AD1F4D"/>
    <w:rsid w:val="00AD2530"/>
    <w:rsid w:val="00AD25B8"/>
    <w:rsid w:val="00AD2972"/>
    <w:rsid w:val="00AD2AAD"/>
    <w:rsid w:val="00AD2AE2"/>
    <w:rsid w:val="00AD321B"/>
    <w:rsid w:val="00AD34C2"/>
    <w:rsid w:val="00AD356D"/>
    <w:rsid w:val="00AD3578"/>
    <w:rsid w:val="00AD39B7"/>
    <w:rsid w:val="00AD3D88"/>
    <w:rsid w:val="00AD3DF7"/>
    <w:rsid w:val="00AD415B"/>
    <w:rsid w:val="00AD416B"/>
    <w:rsid w:val="00AD43B1"/>
    <w:rsid w:val="00AD44CB"/>
    <w:rsid w:val="00AD4714"/>
    <w:rsid w:val="00AD4864"/>
    <w:rsid w:val="00AD4B8C"/>
    <w:rsid w:val="00AD4C36"/>
    <w:rsid w:val="00AD4E7E"/>
    <w:rsid w:val="00AD507B"/>
    <w:rsid w:val="00AD50EA"/>
    <w:rsid w:val="00AD58BF"/>
    <w:rsid w:val="00AD5D23"/>
    <w:rsid w:val="00AD6152"/>
    <w:rsid w:val="00AD6158"/>
    <w:rsid w:val="00AD6248"/>
    <w:rsid w:val="00AD6308"/>
    <w:rsid w:val="00AD6502"/>
    <w:rsid w:val="00AD67CF"/>
    <w:rsid w:val="00AD6AF0"/>
    <w:rsid w:val="00AD6F33"/>
    <w:rsid w:val="00AD74BA"/>
    <w:rsid w:val="00AD7596"/>
    <w:rsid w:val="00AD78D6"/>
    <w:rsid w:val="00AD7A23"/>
    <w:rsid w:val="00AD7B7F"/>
    <w:rsid w:val="00AD7C84"/>
    <w:rsid w:val="00AE00CE"/>
    <w:rsid w:val="00AE04D2"/>
    <w:rsid w:val="00AE0544"/>
    <w:rsid w:val="00AE0695"/>
    <w:rsid w:val="00AE06AC"/>
    <w:rsid w:val="00AE08FC"/>
    <w:rsid w:val="00AE108A"/>
    <w:rsid w:val="00AE1102"/>
    <w:rsid w:val="00AE116E"/>
    <w:rsid w:val="00AE18C2"/>
    <w:rsid w:val="00AE1BD4"/>
    <w:rsid w:val="00AE1D2D"/>
    <w:rsid w:val="00AE1F70"/>
    <w:rsid w:val="00AE243A"/>
    <w:rsid w:val="00AE2726"/>
    <w:rsid w:val="00AE28D6"/>
    <w:rsid w:val="00AE2B6C"/>
    <w:rsid w:val="00AE2D1D"/>
    <w:rsid w:val="00AE2D4A"/>
    <w:rsid w:val="00AE3126"/>
    <w:rsid w:val="00AE3155"/>
    <w:rsid w:val="00AE37E8"/>
    <w:rsid w:val="00AE3AD9"/>
    <w:rsid w:val="00AE3B5C"/>
    <w:rsid w:val="00AE3B8B"/>
    <w:rsid w:val="00AE3E03"/>
    <w:rsid w:val="00AE3E7E"/>
    <w:rsid w:val="00AE41B1"/>
    <w:rsid w:val="00AE460E"/>
    <w:rsid w:val="00AE49A5"/>
    <w:rsid w:val="00AE4A4D"/>
    <w:rsid w:val="00AE4AC6"/>
    <w:rsid w:val="00AE554F"/>
    <w:rsid w:val="00AE600B"/>
    <w:rsid w:val="00AE6375"/>
    <w:rsid w:val="00AE663B"/>
    <w:rsid w:val="00AE69BA"/>
    <w:rsid w:val="00AE6A87"/>
    <w:rsid w:val="00AE6B0E"/>
    <w:rsid w:val="00AE6C98"/>
    <w:rsid w:val="00AE6FF1"/>
    <w:rsid w:val="00AE718A"/>
    <w:rsid w:val="00AE7727"/>
    <w:rsid w:val="00AE77F8"/>
    <w:rsid w:val="00AE7D98"/>
    <w:rsid w:val="00AE7DC3"/>
    <w:rsid w:val="00AE7E53"/>
    <w:rsid w:val="00AE7E68"/>
    <w:rsid w:val="00AE7EF8"/>
    <w:rsid w:val="00AF011F"/>
    <w:rsid w:val="00AF05F6"/>
    <w:rsid w:val="00AF06BB"/>
    <w:rsid w:val="00AF099B"/>
    <w:rsid w:val="00AF0AC2"/>
    <w:rsid w:val="00AF0B84"/>
    <w:rsid w:val="00AF0CF3"/>
    <w:rsid w:val="00AF1315"/>
    <w:rsid w:val="00AF159F"/>
    <w:rsid w:val="00AF19BF"/>
    <w:rsid w:val="00AF19F1"/>
    <w:rsid w:val="00AF1BAF"/>
    <w:rsid w:val="00AF1FB7"/>
    <w:rsid w:val="00AF204E"/>
    <w:rsid w:val="00AF2DC3"/>
    <w:rsid w:val="00AF2E61"/>
    <w:rsid w:val="00AF3256"/>
    <w:rsid w:val="00AF357E"/>
    <w:rsid w:val="00AF35F3"/>
    <w:rsid w:val="00AF371D"/>
    <w:rsid w:val="00AF3BC7"/>
    <w:rsid w:val="00AF3EF2"/>
    <w:rsid w:val="00AF3F9D"/>
    <w:rsid w:val="00AF4293"/>
    <w:rsid w:val="00AF43D1"/>
    <w:rsid w:val="00AF462F"/>
    <w:rsid w:val="00AF4925"/>
    <w:rsid w:val="00AF4A4A"/>
    <w:rsid w:val="00AF4B85"/>
    <w:rsid w:val="00AF4C57"/>
    <w:rsid w:val="00AF4C8A"/>
    <w:rsid w:val="00AF4E8F"/>
    <w:rsid w:val="00AF4FE5"/>
    <w:rsid w:val="00AF55A8"/>
    <w:rsid w:val="00AF57D8"/>
    <w:rsid w:val="00AF5B7C"/>
    <w:rsid w:val="00AF5BAD"/>
    <w:rsid w:val="00AF6057"/>
    <w:rsid w:val="00AF62B7"/>
    <w:rsid w:val="00AF62C8"/>
    <w:rsid w:val="00AF69BC"/>
    <w:rsid w:val="00AF6B3B"/>
    <w:rsid w:val="00AF6E84"/>
    <w:rsid w:val="00AF6ECA"/>
    <w:rsid w:val="00AF7091"/>
    <w:rsid w:val="00AF7146"/>
    <w:rsid w:val="00AF748E"/>
    <w:rsid w:val="00AF749D"/>
    <w:rsid w:val="00AF76FE"/>
    <w:rsid w:val="00AF798B"/>
    <w:rsid w:val="00AF7BC3"/>
    <w:rsid w:val="00B00047"/>
    <w:rsid w:val="00B0028E"/>
    <w:rsid w:val="00B004D1"/>
    <w:rsid w:val="00B007EE"/>
    <w:rsid w:val="00B00832"/>
    <w:rsid w:val="00B0094A"/>
    <w:rsid w:val="00B00BA5"/>
    <w:rsid w:val="00B00FF5"/>
    <w:rsid w:val="00B010B1"/>
    <w:rsid w:val="00B019DB"/>
    <w:rsid w:val="00B01C42"/>
    <w:rsid w:val="00B01CD6"/>
    <w:rsid w:val="00B01DBE"/>
    <w:rsid w:val="00B01E29"/>
    <w:rsid w:val="00B02150"/>
    <w:rsid w:val="00B0223C"/>
    <w:rsid w:val="00B02326"/>
    <w:rsid w:val="00B02380"/>
    <w:rsid w:val="00B023A3"/>
    <w:rsid w:val="00B024B2"/>
    <w:rsid w:val="00B02608"/>
    <w:rsid w:val="00B026BC"/>
    <w:rsid w:val="00B02F7E"/>
    <w:rsid w:val="00B030DD"/>
    <w:rsid w:val="00B03248"/>
    <w:rsid w:val="00B03333"/>
    <w:rsid w:val="00B033E5"/>
    <w:rsid w:val="00B039BF"/>
    <w:rsid w:val="00B03A0D"/>
    <w:rsid w:val="00B03A63"/>
    <w:rsid w:val="00B03B72"/>
    <w:rsid w:val="00B03FAC"/>
    <w:rsid w:val="00B04265"/>
    <w:rsid w:val="00B0472E"/>
    <w:rsid w:val="00B047FC"/>
    <w:rsid w:val="00B049B7"/>
    <w:rsid w:val="00B04C15"/>
    <w:rsid w:val="00B04CAA"/>
    <w:rsid w:val="00B05286"/>
    <w:rsid w:val="00B059A8"/>
    <w:rsid w:val="00B05B31"/>
    <w:rsid w:val="00B05CAA"/>
    <w:rsid w:val="00B05DF9"/>
    <w:rsid w:val="00B06043"/>
    <w:rsid w:val="00B06538"/>
    <w:rsid w:val="00B06612"/>
    <w:rsid w:val="00B066C5"/>
    <w:rsid w:val="00B06C61"/>
    <w:rsid w:val="00B06D06"/>
    <w:rsid w:val="00B073A7"/>
    <w:rsid w:val="00B075F2"/>
    <w:rsid w:val="00B07722"/>
    <w:rsid w:val="00B07B5C"/>
    <w:rsid w:val="00B07F8E"/>
    <w:rsid w:val="00B1006F"/>
    <w:rsid w:val="00B1013E"/>
    <w:rsid w:val="00B104C7"/>
    <w:rsid w:val="00B104E9"/>
    <w:rsid w:val="00B10DCB"/>
    <w:rsid w:val="00B10EF9"/>
    <w:rsid w:val="00B10F72"/>
    <w:rsid w:val="00B11044"/>
    <w:rsid w:val="00B1160C"/>
    <w:rsid w:val="00B116D1"/>
    <w:rsid w:val="00B1185E"/>
    <w:rsid w:val="00B11AB2"/>
    <w:rsid w:val="00B1213D"/>
    <w:rsid w:val="00B1222C"/>
    <w:rsid w:val="00B122B8"/>
    <w:rsid w:val="00B1242A"/>
    <w:rsid w:val="00B129A4"/>
    <w:rsid w:val="00B12A9C"/>
    <w:rsid w:val="00B12A9D"/>
    <w:rsid w:val="00B12B18"/>
    <w:rsid w:val="00B130B4"/>
    <w:rsid w:val="00B13197"/>
    <w:rsid w:val="00B133C3"/>
    <w:rsid w:val="00B134F3"/>
    <w:rsid w:val="00B1367E"/>
    <w:rsid w:val="00B13DE1"/>
    <w:rsid w:val="00B13F86"/>
    <w:rsid w:val="00B143FB"/>
    <w:rsid w:val="00B1472D"/>
    <w:rsid w:val="00B14CC4"/>
    <w:rsid w:val="00B14DC4"/>
    <w:rsid w:val="00B14DF2"/>
    <w:rsid w:val="00B15041"/>
    <w:rsid w:val="00B15479"/>
    <w:rsid w:val="00B15501"/>
    <w:rsid w:val="00B157D3"/>
    <w:rsid w:val="00B15E44"/>
    <w:rsid w:val="00B162D8"/>
    <w:rsid w:val="00B16514"/>
    <w:rsid w:val="00B16768"/>
    <w:rsid w:val="00B16926"/>
    <w:rsid w:val="00B176E5"/>
    <w:rsid w:val="00B17EE5"/>
    <w:rsid w:val="00B201A4"/>
    <w:rsid w:val="00B201D1"/>
    <w:rsid w:val="00B2072E"/>
    <w:rsid w:val="00B207A8"/>
    <w:rsid w:val="00B20835"/>
    <w:rsid w:val="00B213A6"/>
    <w:rsid w:val="00B21899"/>
    <w:rsid w:val="00B21956"/>
    <w:rsid w:val="00B2200C"/>
    <w:rsid w:val="00B22614"/>
    <w:rsid w:val="00B226D2"/>
    <w:rsid w:val="00B226EE"/>
    <w:rsid w:val="00B2275C"/>
    <w:rsid w:val="00B22814"/>
    <w:rsid w:val="00B229A5"/>
    <w:rsid w:val="00B22A36"/>
    <w:rsid w:val="00B22AEE"/>
    <w:rsid w:val="00B22D8C"/>
    <w:rsid w:val="00B22E9E"/>
    <w:rsid w:val="00B22F92"/>
    <w:rsid w:val="00B230B9"/>
    <w:rsid w:val="00B23199"/>
    <w:rsid w:val="00B234F0"/>
    <w:rsid w:val="00B235B0"/>
    <w:rsid w:val="00B235B7"/>
    <w:rsid w:val="00B23D8A"/>
    <w:rsid w:val="00B23F73"/>
    <w:rsid w:val="00B23FA7"/>
    <w:rsid w:val="00B242C2"/>
    <w:rsid w:val="00B24705"/>
    <w:rsid w:val="00B249C6"/>
    <w:rsid w:val="00B24AE8"/>
    <w:rsid w:val="00B24BD2"/>
    <w:rsid w:val="00B24C4A"/>
    <w:rsid w:val="00B24D23"/>
    <w:rsid w:val="00B24DE5"/>
    <w:rsid w:val="00B24DF6"/>
    <w:rsid w:val="00B24DF7"/>
    <w:rsid w:val="00B24F00"/>
    <w:rsid w:val="00B24FBD"/>
    <w:rsid w:val="00B251DB"/>
    <w:rsid w:val="00B25253"/>
    <w:rsid w:val="00B25359"/>
    <w:rsid w:val="00B254C7"/>
    <w:rsid w:val="00B25951"/>
    <w:rsid w:val="00B25C16"/>
    <w:rsid w:val="00B25D8A"/>
    <w:rsid w:val="00B25E43"/>
    <w:rsid w:val="00B25F3D"/>
    <w:rsid w:val="00B25F6A"/>
    <w:rsid w:val="00B26068"/>
    <w:rsid w:val="00B261CC"/>
    <w:rsid w:val="00B26308"/>
    <w:rsid w:val="00B26345"/>
    <w:rsid w:val="00B2643B"/>
    <w:rsid w:val="00B26521"/>
    <w:rsid w:val="00B267C7"/>
    <w:rsid w:val="00B26F24"/>
    <w:rsid w:val="00B27083"/>
    <w:rsid w:val="00B271E1"/>
    <w:rsid w:val="00B27382"/>
    <w:rsid w:val="00B27392"/>
    <w:rsid w:val="00B27500"/>
    <w:rsid w:val="00B27A61"/>
    <w:rsid w:val="00B27F81"/>
    <w:rsid w:val="00B300B0"/>
    <w:rsid w:val="00B3079C"/>
    <w:rsid w:val="00B30996"/>
    <w:rsid w:val="00B313D1"/>
    <w:rsid w:val="00B31641"/>
    <w:rsid w:val="00B319A1"/>
    <w:rsid w:val="00B319EF"/>
    <w:rsid w:val="00B31A10"/>
    <w:rsid w:val="00B31D04"/>
    <w:rsid w:val="00B31D81"/>
    <w:rsid w:val="00B31E54"/>
    <w:rsid w:val="00B31F5C"/>
    <w:rsid w:val="00B31F63"/>
    <w:rsid w:val="00B3220A"/>
    <w:rsid w:val="00B32281"/>
    <w:rsid w:val="00B323C9"/>
    <w:rsid w:val="00B32B56"/>
    <w:rsid w:val="00B32C06"/>
    <w:rsid w:val="00B32D12"/>
    <w:rsid w:val="00B32DCB"/>
    <w:rsid w:val="00B32E53"/>
    <w:rsid w:val="00B33364"/>
    <w:rsid w:val="00B33552"/>
    <w:rsid w:val="00B33635"/>
    <w:rsid w:val="00B33A9D"/>
    <w:rsid w:val="00B33C59"/>
    <w:rsid w:val="00B340CC"/>
    <w:rsid w:val="00B34247"/>
    <w:rsid w:val="00B34370"/>
    <w:rsid w:val="00B3458B"/>
    <w:rsid w:val="00B348C1"/>
    <w:rsid w:val="00B34A55"/>
    <w:rsid w:val="00B34CDF"/>
    <w:rsid w:val="00B34E41"/>
    <w:rsid w:val="00B34FCC"/>
    <w:rsid w:val="00B34FE2"/>
    <w:rsid w:val="00B3500B"/>
    <w:rsid w:val="00B35166"/>
    <w:rsid w:val="00B351A0"/>
    <w:rsid w:val="00B35281"/>
    <w:rsid w:val="00B3551E"/>
    <w:rsid w:val="00B355FA"/>
    <w:rsid w:val="00B357A0"/>
    <w:rsid w:val="00B357D8"/>
    <w:rsid w:val="00B359EE"/>
    <w:rsid w:val="00B35C69"/>
    <w:rsid w:val="00B35F75"/>
    <w:rsid w:val="00B360F4"/>
    <w:rsid w:val="00B36627"/>
    <w:rsid w:val="00B36631"/>
    <w:rsid w:val="00B36798"/>
    <w:rsid w:val="00B36A00"/>
    <w:rsid w:val="00B36D3C"/>
    <w:rsid w:val="00B36FA1"/>
    <w:rsid w:val="00B37564"/>
    <w:rsid w:val="00B3792B"/>
    <w:rsid w:val="00B37B3C"/>
    <w:rsid w:val="00B37BB7"/>
    <w:rsid w:val="00B37BD2"/>
    <w:rsid w:val="00B37BEF"/>
    <w:rsid w:val="00B37BFC"/>
    <w:rsid w:val="00B37D84"/>
    <w:rsid w:val="00B40266"/>
    <w:rsid w:val="00B40358"/>
    <w:rsid w:val="00B40457"/>
    <w:rsid w:val="00B4049A"/>
    <w:rsid w:val="00B404E9"/>
    <w:rsid w:val="00B4062D"/>
    <w:rsid w:val="00B40A1A"/>
    <w:rsid w:val="00B40A53"/>
    <w:rsid w:val="00B40E07"/>
    <w:rsid w:val="00B40E26"/>
    <w:rsid w:val="00B40ECF"/>
    <w:rsid w:val="00B40F6B"/>
    <w:rsid w:val="00B41380"/>
    <w:rsid w:val="00B413A5"/>
    <w:rsid w:val="00B41614"/>
    <w:rsid w:val="00B416D2"/>
    <w:rsid w:val="00B41E31"/>
    <w:rsid w:val="00B42183"/>
    <w:rsid w:val="00B422BF"/>
    <w:rsid w:val="00B42345"/>
    <w:rsid w:val="00B42666"/>
    <w:rsid w:val="00B42851"/>
    <w:rsid w:val="00B429BD"/>
    <w:rsid w:val="00B42A2C"/>
    <w:rsid w:val="00B42AF4"/>
    <w:rsid w:val="00B42E3C"/>
    <w:rsid w:val="00B42F3B"/>
    <w:rsid w:val="00B42F80"/>
    <w:rsid w:val="00B43060"/>
    <w:rsid w:val="00B43352"/>
    <w:rsid w:val="00B43424"/>
    <w:rsid w:val="00B434A1"/>
    <w:rsid w:val="00B435CB"/>
    <w:rsid w:val="00B43643"/>
    <w:rsid w:val="00B43796"/>
    <w:rsid w:val="00B43920"/>
    <w:rsid w:val="00B43C81"/>
    <w:rsid w:val="00B440EA"/>
    <w:rsid w:val="00B44A78"/>
    <w:rsid w:val="00B44E79"/>
    <w:rsid w:val="00B44F4D"/>
    <w:rsid w:val="00B45062"/>
    <w:rsid w:val="00B450B1"/>
    <w:rsid w:val="00B450E1"/>
    <w:rsid w:val="00B456A5"/>
    <w:rsid w:val="00B4594D"/>
    <w:rsid w:val="00B45CDD"/>
    <w:rsid w:val="00B46030"/>
    <w:rsid w:val="00B46074"/>
    <w:rsid w:val="00B463D5"/>
    <w:rsid w:val="00B465CA"/>
    <w:rsid w:val="00B465EC"/>
    <w:rsid w:val="00B46705"/>
    <w:rsid w:val="00B46A57"/>
    <w:rsid w:val="00B46B05"/>
    <w:rsid w:val="00B46E0E"/>
    <w:rsid w:val="00B47583"/>
    <w:rsid w:val="00B47A09"/>
    <w:rsid w:val="00B47B76"/>
    <w:rsid w:val="00B47B8C"/>
    <w:rsid w:val="00B503A9"/>
    <w:rsid w:val="00B5045E"/>
    <w:rsid w:val="00B505AE"/>
    <w:rsid w:val="00B505C8"/>
    <w:rsid w:val="00B5068B"/>
    <w:rsid w:val="00B506DB"/>
    <w:rsid w:val="00B5072E"/>
    <w:rsid w:val="00B50957"/>
    <w:rsid w:val="00B509A1"/>
    <w:rsid w:val="00B50DB8"/>
    <w:rsid w:val="00B50F49"/>
    <w:rsid w:val="00B51037"/>
    <w:rsid w:val="00B51109"/>
    <w:rsid w:val="00B51284"/>
    <w:rsid w:val="00B516CE"/>
    <w:rsid w:val="00B5171F"/>
    <w:rsid w:val="00B51936"/>
    <w:rsid w:val="00B519A1"/>
    <w:rsid w:val="00B51A6E"/>
    <w:rsid w:val="00B51C3B"/>
    <w:rsid w:val="00B524B2"/>
    <w:rsid w:val="00B52A4E"/>
    <w:rsid w:val="00B52C6E"/>
    <w:rsid w:val="00B52F7D"/>
    <w:rsid w:val="00B5312F"/>
    <w:rsid w:val="00B53400"/>
    <w:rsid w:val="00B53654"/>
    <w:rsid w:val="00B53905"/>
    <w:rsid w:val="00B53BF3"/>
    <w:rsid w:val="00B54007"/>
    <w:rsid w:val="00B5428F"/>
    <w:rsid w:val="00B5461F"/>
    <w:rsid w:val="00B546DB"/>
    <w:rsid w:val="00B546EB"/>
    <w:rsid w:val="00B54B5B"/>
    <w:rsid w:val="00B5501E"/>
    <w:rsid w:val="00B55295"/>
    <w:rsid w:val="00B55557"/>
    <w:rsid w:val="00B55611"/>
    <w:rsid w:val="00B5562E"/>
    <w:rsid w:val="00B557AD"/>
    <w:rsid w:val="00B5585D"/>
    <w:rsid w:val="00B55862"/>
    <w:rsid w:val="00B55908"/>
    <w:rsid w:val="00B55921"/>
    <w:rsid w:val="00B55B21"/>
    <w:rsid w:val="00B55D65"/>
    <w:rsid w:val="00B55DBC"/>
    <w:rsid w:val="00B55DCE"/>
    <w:rsid w:val="00B55E1D"/>
    <w:rsid w:val="00B56231"/>
    <w:rsid w:val="00B56305"/>
    <w:rsid w:val="00B565FF"/>
    <w:rsid w:val="00B567E3"/>
    <w:rsid w:val="00B57000"/>
    <w:rsid w:val="00B5700E"/>
    <w:rsid w:val="00B57641"/>
    <w:rsid w:val="00B57F30"/>
    <w:rsid w:val="00B600E1"/>
    <w:rsid w:val="00B6043C"/>
    <w:rsid w:val="00B606B2"/>
    <w:rsid w:val="00B60939"/>
    <w:rsid w:val="00B60944"/>
    <w:rsid w:val="00B60AFD"/>
    <w:rsid w:val="00B60B8C"/>
    <w:rsid w:val="00B60E81"/>
    <w:rsid w:val="00B610DF"/>
    <w:rsid w:val="00B6128E"/>
    <w:rsid w:val="00B613A9"/>
    <w:rsid w:val="00B616CC"/>
    <w:rsid w:val="00B618BF"/>
    <w:rsid w:val="00B61CA4"/>
    <w:rsid w:val="00B61D00"/>
    <w:rsid w:val="00B61EF4"/>
    <w:rsid w:val="00B62274"/>
    <w:rsid w:val="00B62715"/>
    <w:rsid w:val="00B62B47"/>
    <w:rsid w:val="00B62C6F"/>
    <w:rsid w:val="00B631EE"/>
    <w:rsid w:val="00B633ED"/>
    <w:rsid w:val="00B636C0"/>
    <w:rsid w:val="00B636CC"/>
    <w:rsid w:val="00B63A73"/>
    <w:rsid w:val="00B6424A"/>
    <w:rsid w:val="00B64340"/>
    <w:rsid w:val="00B64457"/>
    <w:rsid w:val="00B64538"/>
    <w:rsid w:val="00B645F8"/>
    <w:rsid w:val="00B6462A"/>
    <w:rsid w:val="00B64656"/>
    <w:rsid w:val="00B64854"/>
    <w:rsid w:val="00B64859"/>
    <w:rsid w:val="00B651AB"/>
    <w:rsid w:val="00B651BD"/>
    <w:rsid w:val="00B653F0"/>
    <w:rsid w:val="00B655FB"/>
    <w:rsid w:val="00B65611"/>
    <w:rsid w:val="00B6579E"/>
    <w:rsid w:val="00B65A37"/>
    <w:rsid w:val="00B65C7C"/>
    <w:rsid w:val="00B65F1A"/>
    <w:rsid w:val="00B65F43"/>
    <w:rsid w:val="00B66087"/>
    <w:rsid w:val="00B661D8"/>
    <w:rsid w:val="00B662B3"/>
    <w:rsid w:val="00B6638E"/>
    <w:rsid w:val="00B6653C"/>
    <w:rsid w:val="00B66862"/>
    <w:rsid w:val="00B66F3B"/>
    <w:rsid w:val="00B67080"/>
    <w:rsid w:val="00B6715F"/>
    <w:rsid w:val="00B672D1"/>
    <w:rsid w:val="00B67728"/>
    <w:rsid w:val="00B6773F"/>
    <w:rsid w:val="00B67B12"/>
    <w:rsid w:val="00B67D8B"/>
    <w:rsid w:val="00B67EA7"/>
    <w:rsid w:val="00B67ECD"/>
    <w:rsid w:val="00B67F39"/>
    <w:rsid w:val="00B67FF4"/>
    <w:rsid w:val="00B7017E"/>
    <w:rsid w:val="00B704EF"/>
    <w:rsid w:val="00B705E9"/>
    <w:rsid w:val="00B70605"/>
    <w:rsid w:val="00B70621"/>
    <w:rsid w:val="00B7071C"/>
    <w:rsid w:val="00B7072E"/>
    <w:rsid w:val="00B70964"/>
    <w:rsid w:val="00B70B25"/>
    <w:rsid w:val="00B70B74"/>
    <w:rsid w:val="00B70E8E"/>
    <w:rsid w:val="00B70F65"/>
    <w:rsid w:val="00B70FA0"/>
    <w:rsid w:val="00B71171"/>
    <w:rsid w:val="00B712E8"/>
    <w:rsid w:val="00B713C5"/>
    <w:rsid w:val="00B714E5"/>
    <w:rsid w:val="00B71861"/>
    <w:rsid w:val="00B71B77"/>
    <w:rsid w:val="00B71E79"/>
    <w:rsid w:val="00B71E7A"/>
    <w:rsid w:val="00B72245"/>
    <w:rsid w:val="00B724AE"/>
    <w:rsid w:val="00B725F9"/>
    <w:rsid w:val="00B7275F"/>
    <w:rsid w:val="00B72F93"/>
    <w:rsid w:val="00B73436"/>
    <w:rsid w:val="00B7379A"/>
    <w:rsid w:val="00B7387F"/>
    <w:rsid w:val="00B73A0E"/>
    <w:rsid w:val="00B73B49"/>
    <w:rsid w:val="00B73BC5"/>
    <w:rsid w:val="00B74042"/>
    <w:rsid w:val="00B7439F"/>
    <w:rsid w:val="00B7449C"/>
    <w:rsid w:val="00B74754"/>
    <w:rsid w:val="00B74A1F"/>
    <w:rsid w:val="00B74C43"/>
    <w:rsid w:val="00B75398"/>
    <w:rsid w:val="00B75638"/>
    <w:rsid w:val="00B75676"/>
    <w:rsid w:val="00B7574A"/>
    <w:rsid w:val="00B757C2"/>
    <w:rsid w:val="00B75A04"/>
    <w:rsid w:val="00B7642E"/>
    <w:rsid w:val="00B7675B"/>
    <w:rsid w:val="00B767A7"/>
    <w:rsid w:val="00B76AB9"/>
    <w:rsid w:val="00B76C92"/>
    <w:rsid w:val="00B76CE0"/>
    <w:rsid w:val="00B773BE"/>
    <w:rsid w:val="00B77657"/>
    <w:rsid w:val="00B7776D"/>
    <w:rsid w:val="00B77826"/>
    <w:rsid w:val="00B77CCF"/>
    <w:rsid w:val="00B77D62"/>
    <w:rsid w:val="00B80206"/>
    <w:rsid w:val="00B8027F"/>
    <w:rsid w:val="00B80366"/>
    <w:rsid w:val="00B80414"/>
    <w:rsid w:val="00B80535"/>
    <w:rsid w:val="00B8063E"/>
    <w:rsid w:val="00B80825"/>
    <w:rsid w:val="00B809C2"/>
    <w:rsid w:val="00B80A0A"/>
    <w:rsid w:val="00B80A17"/>
    <w:rsid w:val="00B80EFD"/>
    <w:rsid w:val="00B80FF0"/>
    <w:rsid w:val="00B81119"/>
    <w:rsid w:val="00B818A4"/>
    <w:rsid w:val="00B82399"/>
    <w:rsid w:val="00B823E2"/>
    <w:rsid w:val="00B82573"/>
    <w:rsid w:val="00B8264D"/>
    <w:rsid w:val="00B826CA"/>
    <w:rsid w:val="00B82827"/>
    <w:rsid w:val="00B82FB1"/>
    <w:rsid w:val="00B8365D"/>
    <w:rsid w:val="00B83739"/>
    <w:rsid w:val="00B838AD"/>
    <w:rsid w:val="00B83F33"/>
    <w:rsid w:val="00B84117"/>
    <w:rsid w:val="00B84282"/>
    <w:rsid w:val="00B842C7"/>
    <w:rsid w:val="00B8465E"/>
    <w:rsid w:val="00B846AA"/>
    <w:rsid w:val="00B847E4"/>
    <w:rsid w:val="00B84893"/>
    <w:rsid w:val="00B849CC"/>
    <w:rsid w:val="00B84A5C"/>
    <w:rsid w:val="00B84C60"/>
    <w:rsid w:val="00B84CE6"/>
    <w:rsid w:val="00B84DE3"/>
    <w:rsid w:val="00B84E15"/>
    <w:rsid w:val="00B84EEB"/>
    <w:rsid w:val="00B84FAD"/>
    <w:rsid w:val="00B85412"/>
    <w:rsid w:val="00B856E8"/>
    <w:rsid w:val="00B85787"/>
    <w:rsid w:val="00B858F0"/>
    <w:rsid w:val="00B85925"/>
    <w:rsid w:val="00B85AA2"/>
    <w:rsid w:val="00B86347"/>
    <w:rsid w:val="00B8649C"/>
    <w:rsid w:val="00B8695D"/>
    <w:rsid w:val="00B86A4C"/>
    <w:rsid w:val="00B86ECF"/>
    <w:rsid w:val="00B87254"/>
    <w:rsid w:val="00B87588"/>
    <w:rsid w:val="00B8772A"/>
    <w:rsid w:val="00B87916"/>
    <w:rsid w:val="00B87AC1"/>
    <w:rsid w:val="00B87DC5"/>
    <w:rsid w:val="00B87F0A"/>
    <w:rsid w:val="00B90508"/>
    <w:rsid w:val="00B90548"/>
    <w:rsid w:val="00B9068E"/>
    <w:rsid w:val="00B9082B"/>
    <w:rsid w:val="00B9099F"/>
    <w:rsid w:val="00B90DD2"/>
    <w:rsid w:val="00B90FD5"/>
    <w:rsid w:val="00B911BB"/>
    <w:rsid w:val="00B916A7"/>
    <w:rsid w:val="00B9170E"/>
    <w:rsid w:val="00B91A65"/>
    <w:rsid w:val="00B91A7C"/>
    <w:rsid w:val="00B91ABE"/>
    <w:rsid w:val="00B91EEC"/>
    <w:rsid w:val="00B91F46"/>
    <w:rsid w:val="00B91FD9"/>
    <w:rsid w:val="00B9206A"/>
    <w:rsid w:val="00B9206D"/>
    <w:rsid w:val="00B9240D"/>
    <w:rsid w:val="00B9249E"/>
    <w:rsid w:val="00B924EE"/>
    <w:rsid w:val="00B92725"/>
    <w:rsid w:val="00B929FE"/>
    <w:rsid w:val="00B92A62"/>
    <w:rsid w:val="00B92B71"/>
    <w:rsid w:val="00B92D0B"/>
    <w:rsid w:val="00B92D48"/>
    <w:rsid w:val="00B92EF6"/>
    <w:rsid w:val="00B92F18"/>
    <w:rsid w:val="00B92F7F"/>
    <w:rsid w:val="00B93873"/>
    <w:rsid w:val="00B938A4"/>
    <w:rsid w:val="00B938AC"/>
    <w:rsid w:val="00B93A9A"/>
    <w:rsid w:val="00B93C01"/>
    <w:rsid w:val="00B93C1E"/>
    <w:rsid w:val="00B93C3D"/>
    <w:rsid w:val="00B94070"/>
    <w:rsid w:val="00B94622"/>
    <w:rsid w:val="00B94934"/>
    <w:rsid w:val="00B94945"/>
    <w:rsid w:val="00B94A4C"/>
    <w:rsid w:val="00B94B0C"/>
    <w:rsid w:val="00B94B5A"/>
    <w:rsid w:val="00B94CAC"/>
    <w:rsid w:val="00B94DD6"/>
    <w:rsid w:val="00B9544A"/>
    <w:rsid w:val="00B954B2"/>
    <w:rsid w:val="00B955C5"/>
    <w:rsid w:val="00B95745"/>
    <w:rsid w:val="00B959BF"/>
    <w:rsid w:val="00B95E80"/>
    <w:rsid w:val="00B95F8B"/>
    <w:rsid w:val="00B96006"/>
    <w:rsid w:val="00B96721"/>
    <w:rsid w:val="00B96834"/>
    <w:rsid w:val="00B968EA"/>
    <w:rsid w:val="00B96C27"/>
    <w:rsid w:val="00B97126"/>
    <w:rsid w:val="00B972CE"/>
    <w:rsid w:val="00B9736C"/>
    <w:rsid w:val="00B97663"/>
    <w:rsid w:val="00B9769D"/>
    <w:rsid w:val="00B97840"/>
    <w:rsid w:val="00B97A9F"/>
    <w:rsid w:val="00B97F3B"/>
    <w:rsid w:val="00BA0000"/>
    <w:rsid w:val="00BA009E"/>
    <w:rsid w:val="00BA0227"/>
    <w:rsid w:val="00BA0314"/>
    <w:rsid w:val="00BA0643"/>
    <w:rsid w:val="00BA065A"/>
    <w:rsid w:val="00BA0B56"/>
    <w:rsid w:val="00BA0CDB"/>
    <w:rsid w:val="00BA0CED"/>
    <w:rsid w:val="00BA0DD6"/>
    <w:rsid w:val="00BA0EB4"/>
    <w:rsid w:val="00BA10A5"/>
    <w:rsid w:val="00BA112A"/>
    <w:rsid w:val="00BA11AB"/>
    <w:rsid w:val="00BA185C"/>
    <w:rsid w:val="00BA1AE0"/>
    <w:rsid w:val="00BA1BA7"/>
    <w:rsid w:val="00BA1D4E"/>
    <w:rsid w:val="00BA1E11"/>
    <w:rsid w:val="00BA2162"/>
    <w:rsid w:val="00BA277E"/>
    <w:rsid w:val="00BA28BD"/>
    <w:rsid w:val="00BA2914"/>
    <w:rsid w:val="00BA2AA4"/>
    <w:rsid w:val="00BA2D05"/>
    <w:rsid w:val="00BA2FE1"/>
    <w:rsid w:val="00BA322D"/>
    <w:rsid w:val="00BA34A1"/>
    <w:rsid w:val="00BA388F"/>
    <w:rsid w:val="00BA3F09"/>
    <w:rsid w:val="00BA40CA"/>
    <w:rsid w:val="00BA430F"/>
    <w:rsid w:val="00BA4350"/>
    <w:rsid w:val="00BA4435"/>
    <w:rsid w:val="00BA46D8"/>
    <w:rsid w:val="00BA484F"/>
    <w:rsid w:val="00BA4D26"/>
    <w:rsid w:val="00BA4FF8"/>
    <w:rsid w:val="00BA55BA"/>
    <w:rsid w:val="00BA59F3"/>
    <w:rsid w:val="00BA5C3F"/>
    <w:rsid w:val="00BA6352"/>
    <w:rsid w:val="00BA63B7"/>
    <w:rsid w:val="00BA63FA"/>
    <w:rsid w:val="00BA6521"/>
    <w:rsid w:val="00BA664C"/>
    <w:rsid w:val="00BA6AC9"/>
    <w:rsid w:val="00BA6AF7"/>
    <w:rsid w:val="00BA6BD5"/>
    <w:rsid w:val="00BA6D1B"/>
    <w:rsid w:val="00BA6E40"/>
    <w:rsid w:val="00BA70A6"/>
    <w:rsid w:val="00BA72CA"/>
    <w:rsid w:val="00BA7392"/>
    <w:rsid w:val="00BA745A"/>
    <w:rsid w:val="00BA75D0"/>
    <w:rsid w:val="00BA7C14"/>
    <w:rsid w:val="00BA7C8E"/>
    <w:rsid w:val="00BA7F7A"/>
    <w:rsid w:val="00BB00B3"/>
    <w:rsid w:val="00BB0622"/>
    <w:rsid w:val="00BB06F3"/>
    <w:rsid w:val="00BB0BC8"/>
    <w:rsid w:val="00BB0BDD"/>
    <w:rsid w:val="00BB1713"/>
    <w:rsid w:val="00BB176C"/>
    <w:rsid w:val="00BB1E49"/>
    <w:rsid w:val="00BB1F29"/>
    <w:rsid w:val="00BB20B5"/>
    <w:rsid w:val="00BB21FB"/>
    <w:rsid w:val="00BB2827"/>
    <w:rsid w:val="00BB2A73"/>
    <w:rsid w:val="00BB2A9F"/>
    <w:rsid w:val="00BB2DD0"/>
    <w:rsid w:val="00BB2E49"/>
    <w:rsid w:val="00BB2EE6"/>
    <w:rsid w:val="00BB330A"/>
    <w:rsid w:val="00BB357C"/>
    <w:rsid w:val="00BB35E7"/>
    <w:rsid w:val="00BB389D"/>
    <w:rsid w:val="00BB3A01"/>
    <w:rsid w:val="00BB3A45"/>
    <w:rsid w:val="00BB42E1"/>
    <w:rsid w:val="00BB4583"/>
    <w:rsid w:val="00BB4703"/>
    <w:rsid w:val="00BB48E9"/>
    <w:rsid w:val="00BB4962"/>
    <w:rsid w:val="00BB49ED"/>
    <w:rsid w:val="00BB4ACC"/>
    <w:rsid w:val="00BB4AF8"/>
    <w:rsid w:val="00BB4C0D"/>
    <w:rsid w:val="00BB4D9F"/>
    <w:rsid w:val="00BB4DC0"/>
    <w:rsid w:val="00BB579F"/>
    <w:rsid w:val="00BB5A76"/>
    <w:rsid w:val="00BB5D36"/>
    <w:rsid w:val="00BB5DC4"/>
    <w:rsid w:val="00BB6098"/>
    <w:rsid w:val="00BB6456"/>
    <w:rsid w:val="00BB6927"/>
    <w:rsid w:val="00BB6C5C"/>
    <w:rsid w:val="00BB703E"/>
    <w:rsid w:val="00BB732D"/>
    <w:rsid w:val="00BB7405"/>
    <w:rsid w:val="00BB744B"/>
    <w:rsid w:val="00BB7E63"/>
    <w:rsid w:val="00BC0044"/>
    <w:rsid w:val="00BC0F21"/>
    <w:rsid w:val="00BC10D9"/>
    <w:rsid w:val="00BC1243"/>
    <w:rsid w:val="00BC145E"/>
    <w:rsid w:val="00BC15BE"/>
    <w:rsid w:val="00BC1B87"/>
    <w:rsid w:val="00BC1C25"/>
    <w:rsid w:val="00BC1EBC"/>
    <w:rsid w:val="00BC219A"/>
    <w:rsid w:val="00BC2546"/>
    <w:rsid w:val="00BC2818"/>
    <w:rsid w:val="00BC29DE"/>
    <w:rsid w:val="00BC2CE7"/>
    <w:rsid w:val="00BC2D8B"/>
    <w:rsid w:val="00BC2FB9"/>
    <w:rsid w:val="00BC34F9"/>
    <w:rsid w:val="00BC3631"/>
    <w:rsid w:val="00BC3635"/>
    <w:rsid w:val="00BC392D"/>
    <w:rsid w:val="00BC399A"/>
    <w:rsid w:val="00BC3D23"/>
    <w:rsid w:val="00BC3F17"/>
    <w:rsid w:val="00BC3F28"/>
    <w:rsid w:val="00BC3F72"/>
    <w:rsid w:val="00BC4132"/>
    <w:rsid w:val="00BC440E"/>
    <w:rsid w:val="00BC4AD0"/>
    <w:rsid w:val="00BC4D2C"/>
    <w:rsid w:val="00BC52A8"/>
    <w:rsid w:val="00BC5371"/>
    <w:rsid w:val="00BC5402"/>
    <w:rsid w:val="00BC542C"/>
    <w:rsid w:val="00BC5627"/>
    <w:rsid w:val="00BC5632"/>
    <w:rsid w:val="00BC591F"/>
    <w:rsid w:val="00BC5BD4"/>
    <w:rsid w:val="00BC62FE"/>
    <w:rsid w:val="00BC63B6"/>
    <w:rsid w:val="00BC676A"/>
    <w:rsid w:val="00BC694C"/>
    <w:rsid w:val="00BC698D"/>
    <w:rsid w:val="00BC69B2"/>
    <w:rsid w:val="00BC6A5B"/>
    <w:rsid w:val="00BC6D21"/>
    <w:rsid w:val="00BC6E15"/>
    <w:rsid w:val="00BC722B"/>
    <w:rsid w:val="00BC7259"/>
    <w:rsid w:val="00BC73E3"/>
    <w:rsid w:val="00BC7458"/>
    <w:rsid w:val="00BC79FC"/>
    <w:rsid w:val="00BC7B6E"/>
    <w:rsid w:val="00BC7CDD"/>
    <w:rsid w:val="00BC7D62"/>
    <w:rsid w:val="00BC7D66"/>
    <w:rsid w:val="00BC7D6D"/>
    <w:rsid w:val="00BD01AE"/>
    <w:rsid w:val="00BD059C"/>
    <w:rsid w:val="00BD0740"/>
    <w:rsid w:val="00BD08F7"/>
    <w:rsid w:val="00BD0E00"/>
    <w:rsid w:val="00BD11F9"/>
    <w:rsid w:val="00BD176F"/>
    <w:rsid w:val="00BD1B70"/>
    <w:rsid w:val="00BD1E14"/>
    <w:rsid w:val="00BD1F74"/>
    <w:rsid w:val="00BD2102"/>
    <w:rsid w:val="00BD2108"/>
    <w:rsid w:val="00BD2379"/>
    <w:rsid w:val="00BD26C6"/>
    <w:rsid w:val="00BD27B4"/>
    <w:rsid w:val="00BD27EE"/>
    <w:rsid w:val="00BD2927"/>
    <w:rsid w:val="00BD2F4D"/>
    <w:rsid w:val="00BD3A4A"/>
    <w:rsid w:val="00BD42EE"/>
    <w:rsid w:val="00BD4C15"/>
    <w:rsid w:val="00BD4C58"/>
    <w:rsid w:val="00BD528B"/>
    <w:rsid w:val="00BD5393"/>
    <w:rsid w:val="00BD5573"/>
    <w:rsid w:val="00BD5813"/>
    <w:rsid w:val="00BD5CE5"/>
    <w:rsid w:val="00BD5D9C"/>
    <w:rsid w:val="00BD5E19"/>
    <w:rsid w:val="00BD6000"/>
    <w:rsid w:val="00BD600F"/>
    <w:rsid w:val="00BD61B2"/>
    <w:rsid w:val="00BD68A3"/>
    <w:rsid w:val="00BD6938"/>
    <w:rsid w:val="00BD6973"/>
    <w:rsid w:val="00BD6B67"/>
    <w:rsid w:val="00BD6CF3"/>
    <w:rsid w:val="00BD6F42"/>
    <w:rsid w:val="00BD6F92"/>
    <w:rsid w:val="00BD7068"/>
    <w:rsid w:val="00BD706D"/>
    <w:rsid w:val="00BD7289"/>
    <w:rsid w:val="00BD7321"/>
    <w:rsid w:val="00BD747F"/>
    <w:rsid w:val="00BD797F"/>
    <w:rsid w:val="00BD79D9"/>
    <w:rsid w:val="00BD7A26"/>
    <w:rsid w:val="00BD7C46"/>
    <w:rsid w:val="00BD7E9F"/>
    <w:rsid w:val="00BD7F72"/>
    <w:rsid w:val="00BE0027"/>
    <w:rsid w:val="00BE0483"/>
    <w:rsid w:val="00BE0809"/>
    <w:rsid w:val="00BE0ECA"/>
    <w:rsid w:val="00BE113F"/>
    <w:rsid w:val="00BE16FB"/>
    <w:rsid w:val="00BE170B"/>
    <w:rsid w:val="00BE1854"/>
    <w:rsid w:val="00BE1869"/>
    <w:rsid w:val="00BE189C"/>
    <w:rsid w:val="00BE18B7"/>
    <w:rsid w:val="00BE2095"/>
    <w:rsid w:val="00BE2100"/>
    <w:rsid w:val="00BE2180"/>
    <w:rsid w:val="00BE21F2"/>
    <w:rsid w:val="00BE230B"/>
    <w:rsid w:val="00BE23AC"/>
    <w:rsid w:val="00BE26AB"/>
    <w:rsid w:val="00BE2BD9"/>
    <w:rsid w:val="00BE2DD3"/>
    <w:rsid w:val="00BE2F55"/>
    <w:rsid w:val="00BE3028"/>
    <w:rsid w:val="00BE3122"/>
    <w:rsid w:val="00BE3763"/>
    <w:rsid w:val="00BE3DA2"/>
    <w:rsid w:val="00BE3DFB"/>
    <w:rsid w:val="00BE4060"/>
    <w:rsid w:val="00BE4275"/>
    <w:rsid w:val="00BE4288"/>
    <w:rsid w:val="00BE42E1"/>
    <w:rsid w:val="00BE465E"/>
    <w:rsid w:val="00BE46BA"/>
    <w:rsid w:val="00BE481A"/>
    <w:rsid w:val="00BE4BA9"/>
    <w:rsid w:val="00BE4E28"/>
    <w:rsid w:val="00BE4E5F"/>
    <w:rsid w:val="00BE4F3B"/>
    <w:rsid w:val="00BE4FF0"/>
    <w:rsid w:val="00BE4FF2"/>
    <w:rsid w:val="00BE518E"/>
    <w:rsid w:val="00BE5249"/>
    <w:rsid w:val="00BE58F4"/>
    <w:rsid w:val="00BE5A30"/>
    <w:rsid w:val="00BE5AD9"/>
    <w:rsid w:val="00BE5FF5"/>
    <w:rsid w:val="00BE6436"/>
    <w:rsid w:val="00BE659D"/>
    <w:rsid w:val="00BE65A0"/>
    <w:rsid w:val="00BE666D"/>
    <w:rsid w:val="00BE6725"/>
    <w:rsid w:val="00BE6823"/>
    <w:rsid w:val="00BE6D42"/>
    <w:rsid w:val="00BE6DFF"/>
    <w:rsid w:val="00BE73D4"/>
    <w:rsid w:val="00BE7B09"/>
    <w:rsid w:val="00BE7C11"/>
    <w:rsid w:val="00BE7EA6"/>
    <w:rsid w:val="00BE7FBA"/>
    <w:rsid w:val="00BF03FB"/>
    <w:rsid w:val="00BF0402"/>
    <w:rsid w:val="00BF06AE"/>
    <w:rsid w:val="00BF0B00"/>
    <w:rsid w:val="00BF0F95"/>
    <w:rsid w:val="00BF1173"/>
    <w:rsid w:val="00BF12C5"/>
    <w:rsid w:val="00BF15C9"/>
    <w:rsid w:val="00BF169C"/>
    <w:rsid w:val="00BF1758"/>
    <w:rsid w:val="00BF2433"/>
    <w:rsid w:val="00BF2993"/>
    <w:rsid w:val="00BF29D0"/>
    <w:rsid w:val="00BF2CAA"/>
    <w:rsid w:val="00BF2DFE"/>
    <w:rsid w:val="00BF2E0F"/>
    <w:rsid w:val="00BF2E6D"/>
    <w:rsid w:val="00BF2E6E"/>
    <w:rsid w:val="00BF2F3E"/>
    <w:rsid w:val="00BF2F52"/>
    <w:rsid w:val="00BF3311"/>
    <w:rsid w:val="00BF38AF"/>
    <w:rsid w:val="00BF3AA0"/>
    <w:rsid w:val="00BF3B96"/>
    <w:rsid w:val="00BF3E2C"/>
    <w:rsid w:val="00BF3E83"/>
    <w:rsid w:val="00BF3EA4"/>
    <w:rsid w:val="00BF42E3"/>
    <w:rsid w:val="00BF43DE"/>
    <w:rsid w:val="00BF47E7"/>
    <w:rsid w:val="00BF4856"/>
    <w:rsid w:val="00BF4A19"/>
    <w:rsid w:val="00BF4C14"/>
    <w:rsid w:val="00BF4F87"/>
    <w:rsid w:val="00BF5245"/>
    <w:rsid w:val="00BF538B"/>
    <w:rsid w:val="00BF54CF"/>
    <w:rsid w:val="00BF5504"/>
    <w:rsid w:val="00BF5568"/>
    <w:rsid w:val="00BF5772"/>
    <w:rsid w:val="00BF598A"/>
    <w:rsid w:val="00BF5DB0"/>
    <w:rsid w:val="00BF5F70"/>
    <w:rsid w:val="00BF61C9"/>
    <w:rsid w:val="00BF629B"/>
    <w:rsid w:val="00BF6732"/>
    <w:rsid w:val="00BF682E"/>
    <w:rsid w:val="00BF683F"/>
    <w:rsid w:val="00BF6AE6"/>
    <w:rsid w:val="00BF6C94"/>
    <w:rsid w:val="00BF6FB9"/>
    <w:rsid w:val="00BF7034"/>
    <w:rsid w:val="00BF7118"/>
    <w:rsid w:val="00BF71C1"/>
    <w:rsid w:val="00BF7271"/>
    <w:rsid w:val="00BF743E"/>
    <w:rsid w:val="00BF74DB"/>
    <w:rsid w:val="00BF7A79"/>
    <w:rsid w:val="00BF7DA7"/>
    <w:rsid w:val="00BF7E01"/>
    <w:rsid w:val="00BF7EC9"/>
    <w:rsid w:val="00C00069"/>
    <w:rsid w:val="00C0014B"/>
    <w:rsid w:val="00C00424"/>
    <w:rsid w:val="00C00516"/>
    <w:rsid w:val="00C00942"/>
    <w:rsid w:val="00C00BB0"/>
    <w:rsid w:val="00C00F41"/>
    <w:rsid w:val="00C01207"/>
    <w:rsid w:val="00C0163F"/>
    <w:rsid w:val="00C0168E"/>
    <w:rsid w:val="00C01750"/>
    <w:rsid w:val="00C01CE5"/>
    <w:rsid w:val="00C02123"/>
    <w:rsid w:val="00C02128"/>
    <w:rsid w:val="00C021E3"/>
    <w:rsid w:val="00C02566"/>
    <w:rsid w:val="00C02D12"/>
    <w:rsid w:val="00C030DB"/>
    <w:rsid w:val="00C037AD"/>
    <w:rsid w:val="00C03A42"/>
    <w:rsid w:val="00C03E55"/>
    <w:rsid w:val="00C043A9"/>
    <w:rsid w:val="00C043AF"/>
    <w:rsid w:val="00C0456D"/>
    <w:rsid w:val="00C048BC"/>
    <w:rsid w:val="00C04A0F"/>
    <w:rsid w:val="00C04A28"/>
    <w:rsid w:val="00C04DC9"/>
    <w:rsid w:val="00C04E61"/>
    <w:rsid w:val="00C05707"/>
    <w:rsid w:val="00C058DD"/>
    <w:rsid w:val="00C05A76"/>
    <w:rsid w:val="00C05ACB"/>
    <w:rsid w:val="00C05C6A"/>
    <w:rsid w:val="00C05D6B"/>
    <w:rsid w:val="00C06070"/>
    <w:rsid w:val="00C060DC"/>
    <w:rsid w:val="00C062C4"/>
    <w:rsid w:val="00C06344"/>
    <w:rsid w:val="00C06519"/>
    <w:rsid w:val="00C065AB"/>
    <w:rsid w:val="00C06C99"/>
    <w:rsid w:val="00C06E1E"/>
    <w:rsid w:val="00C06EB6"/>
    <w:rsid w:val="00C07000"/>
    <w:rsid w:val="00C071F2"/>
    <w:rsid w:val="00C07247"/>
    <w:rsid w:val="00C072E4"/>
    <w:rsid w:val="00C10080"/>
    <w:rsid w:val="00C101E9"/>
    <w:rsid w:val="00C1031F"/>
    <w:rsid w:val="00C103C9"/>
    <w:rsid w:val="00C106EC"/>
    <w:rsid w:val="00C107E6"/>
    <w:rsid w:val="00C10E7F"/>
    <w:rsid w:val="00C1127A"/>
    <w:rsid w:val="00C11307"/>
    <w:rsid w:val="00C114C7"/>
    <w:rsid w:val="00C1160D"/>
    <w:rsid w:val="00C1179F"/>
    <w:rsid w:val="00C118A1"/>
    <w:rsid w:val="00C11C7E"/>
    <w:rsid w:val="00C11D5B"/>
    <w:rsid w:val="00C11FB7"/>
    <w:rsid w:val="00C123F9"/>
    <w:rsid w:val="00C12661"/>
    <w:rsid w:val="00C126C2"/>
    <w:rsid w:val="00C127B9"/>
    <w:rsid w:val="00C128FA"/>
    <w:rsid w:val="00C12A40"/>
    <w:rsid w:val="00C12C14"/>
    <w:rsid w:val="00C12CD3"/>
    <w:rsid w:val="00C13056"/>
    <w:rsid w:val="00C13B31"/>
    <w:rsid w:val="00C13BB0"/>
    <w:rsid w:val="00C13FC1"/>
    <w:rsid w:val="00C141E6"/>
    <w:rsid w:val="00C144A1"/>
    <w:rsid w:val="00C14798"/>
    <w:rsid w:val="00C147FD"/>
    <w:rsid w:val="00C14AC9"/>
    <w:rsid w:val="00C14D5C"/>
    <w:rsid w:val="00C14DAE"/>
    <w:rsid w:val="00C15140"/>
    <w:rsid w:val="00C1550B"/>
    <w:rsid w:val="00C157D5"/>
    <w:rsid w:val="00C15AAE"/>
    <w:rsid w:val="00C15BB4"/>
    <w:rsid w:val="00C15BF8"/>
    <w:rsid w:val="00C15C9D"/>
    <w:rsid w:val="00C15F04"/>
    <w:rsid w:val="00C1616C"/>
    <w:rsid w:val="00C166B8"/>
    <w:rsid w:val="00C16A5D"/>
    <w:rsid w:val="00C16E31"/>
    <w:rsid w:val="00C17095"/>
    <w:rsid w:val="00C1712B"/>
    <w:rsid w:val="00C1727F"/>
    <w:rsid w:val="00C1766C"/>
    <w:rsid w:val="00C179B3"/>
    <w:rsid w:val="00C17BF0"/>
    <w:rsid w:val="00C17E01"/>
    <w:rsid w:val="00C17E1C"/>
    <w:rsid w:val="00C17E3F"/>
    <w:rsid w:val="00C17F8C"/>
    <w:rsid w:val="00C20006"/>
    <w:rsid w:val="00C20072"/>
    <w:rsid w:val="00C200AA"/>
    <w:rsid w:val="00C209AD"/>
    <w:rsid w:val="00C20E59"/>
    <w:rsid w:val="00C20EEB"/>
    <w:rsid w:val="00C215F3"/>
    <w:rsid w:val="00C21796"/>
    <w:rsid w:val="00C21DA5"/>
    <w:rsid w:val="00C21EB3"/>
    <w:rsid w:val="00C22149"/>
    <w:rsid w:val="00C22580"/>
    <w:rsid w:val="00C226A1"/>
    <w:rsid w:val="00C22709"/>
    <w:rsid w:val="00C2271C"/>
    <w:rsid w:val="00C2289F"/>
    <w:rsid w:val="00C22959"/>
    <w:rsid w:val="00C234B5"/>
    <w:rsid w:val="00C234BF"/>
    <w:rsid w:val="00C2370A"/>
    <w:rsid w:val="00C2374A"/>
    <w:rsid w:val="00C237ED"/>
    <w:rsid w:val="00C23C65"/>
    <w:rsid w:val="00C23ECF"/>
    <w:rsid w:val="00C24632"/>
    <w:rsid w:val="00C24A50"/>
    <w:rsid w:val="00C24E35"/>
    <w:rsid w:val="00C2505A"/>
    <w:rsid w:val="00C251D2"/>
    <w:rsid w:val="00C252FB"/>
    <w:rsid w:val="00C25418"/>
    <w:rsid w:val="00C25565"/>
    <w:rsid w:val="00C25590"/>
    <w:rsid w:val="00C25767"/>
    <w:rsid w:val="00C257AD"/>
    <w:rsid w:val="00C25C90"/>
    <w:rsid w:val="00C25D9C"/>
    <w:rsid w:val="00C25F8A"/>
    <w:rsid w:val="00C26162"/>
    <w:rsid w:val="00C263F3"/>
    <w:rsid w:val="00C265A4"/>
    <w:rsid w:val="00C2672F"/>
    <w:rsid w:val="00C26BB4"/>
    <w:rsid w:val="00C27361"/>
    <w:rsid w:val="00C2756D"/>
    <w:rsid w:val="00C2762C"/>
    <w:rsid w:val="00C2778B"/>
    <w:rsid w:val="00C27A1A"/>
    <w:rsid w:val="00C27B22"/>
    <w:rsid w:val="00C27BD9"/>
    <w:rsid w:val="00C27BF1"/>
    <w:rsid w:val="00C27C09"/>
    <w:rsid w:val="00C27EE0"/>
    <w:rsid w:val="00C30114"/>
    <w:rsid w:val="00C30210"/>
    <w:rsid w:val="00C3054B"/>
    <w:rsid w:val="00C305AA"/>
    <w:rsid w:val="00C30D23"/>
    <w:rsid w:val="00C3124A"/>
    <w:rsid w:val="00C3129F"/>
    <w:rsid w:val="00C315E8"/>
    <w:rsid w:val="00C31649"/>
    <w:rsid w:val="00C316E0"/>
    <w:rsid w:val="00C3174C"/>
    <w:rsid w:val="00C31AC2"/>
    <w:rsid w:val="00C31C93"/>
    <w:rsid w:val="00C31CAB"/>
    <w:rsid w:val="00C31D07"/>
    <w:rsid w:val="00C31D3F"/>
    <w:rsid w:val="00C31DAC"/>
    <w:rsid w:val="00C31EA0"/>
    <w:rsid w:val="00C31F41"/>
    <w:rsid w:val="00C32016"/>
    <w:rsid w:val="00C323BE"/>
    <w:rsid w:val="00C324EC"/>
    <w:rsid w:val="00C32615"/>
    <w:rsid w:val="00C327B4"/>
    <w:rsid w:val="00C328AC"/>
    <w:rsid w:val="00C3294B"/>
    <w:rsid w:val="00C32A04"/>
    <w:rsid w:val="00C32B58"/>
    <w:rsid w:val="00C32EC3"/>
    <w:rsid w:val="00C33223"/>
    <w:rsid w:val="00C333E9"/>
    <w:rsid w:val="00C33484"/>
    <w:rsid w:val="00C33643"/>
    <w:rsid w:val="00C33786"/>
    <w:rsid w:val="00C337F5"/>
    <w:rsid w:val="00C339C0"/>
    <w:rsid w:val="00C33A69"/>
    <w:rsid w:val="00C33A84"/>
    <w:rsid w:val="00C3434C"/>
    <w:rsid w:val="00C343A9"/>
    <w:rsid w:val="00C344D0"/>
    <w:rsid w:val="00C34679"/>
    <w:rsid w:val="00C3471B"/>
    <w:rsid w:val="00C34903"/>
    <w:rsid w:val="00C34C43"/>
    <w:rsid w:val="00C352BF"/>
    <w:rsid w:val="00C35576"/>
    <w:rsid w:val="00C3584B"/>
    <w:rsid w:val="00C35F36"/>
    <w:rsid w:val="00C36051"/>
    <w:rsid w:val="00C366DE"/>
    <w:rsid w:val="00C36766"/>
    <w:rsid w:val="00C36A5A"/>
    <w:rsid w:val="00C36D56"/>
    <w:rsid w:val="00C36EE7"/>
    <w:rsid w:val="00C36F89"/>
    <w:rsid w:val="00C371CB"/>
    <w:rsid w:val="00C3730C"/>
    <w:rsid w:val="00C3743D"/>
    <w:rsid w:val="00C374D3"/>
    <w:rsid w:val="00C37927"/>
    <w:rsid w:val="00C37B19"/>
    <w:rsid w:val="00C37B8F"/>
    <w:rsid w:val="00C37C33"/>
    <w:rsid w:val="00C37E3A"/>
    <w:rsid w:val="00C37E42"/>
    <w:rsid w:val="00C40385"/>
    <w:rsid w:val="00C40573"/>
    <w:rsid w:val="00C406E4"/>
    <w:rsid w:val="00C408D8"/>
    <w:rsid w:val="00C40E21"/>
    <w:rsid w:val="00C4113D"/>
    <w:rsid w:val="00C4115C"/>
    <w:rsid w:val="00C411E4"/>
    <w:rsid w:val="00C41230"/>
    <w:rsid w:val="00C41332"/>
    <w:rsid w:val="00C41529"/>
    <w:rsid w:val="00C416F8"/>
    <w:rsid w:val="00C41768"/>
    <w:rsid w:val="00C417D8"/>
    <w:rsid w:val="00C41AE6"/>
    <w:rsid w:val="00C41C66"/>
    <w:rsid w:val="00C41D45"/>
    <w:rsid w:val="00C41D84"/>
    <w:rsid w:val="00C42517"/>
    <w:rsid w:val="00C42591"/>
    <w:rsid w:val="00C426DD"/>
    <w:rsid w:val="00C42707"/>
    <w:rsid w:val="00C42959"/>
    <w:rsid w:val="00C42A20"/>
    <w:rsid w:val="00C42AB0"/>
    <w:rsid w:val="00C42D87"/>
    <w:rsid w:val="00C42F97"/>
    <w:rsid w:val="00C4366D"/>
    <w:rsid w:val="00C43C59"/>
    <w:rsid w:val="00C43DF0"/>
    <w:rsid w:val="00C43EAB"/>
    <w:rsid w:val="00C440B4"/>
    <w:rsid w:val="00C4438A"/>
    <w:rsid w:val="00C4468B"/>
    <w:rsid w:val="00C44B3A"/>
    <w:rsid w:val="00C44D6C"/>
    <w:rsid w:val="00C44F14"/>
    <w:rsid w:val="00C45260"/>
    <w:rsid w:val="00C45335"/>
    <w:rsid w:val="00C4539D"/>
    <w:rsid w:val="00C4560D"/>
    <w:rsid w:val="00C4590C"/>
    <w:rsid w:val="00C45A2D"/>
    <w:rsid w:val="00C45BD0"/>
    <w:rsid w:val="00C45BED"/>
    <w:rsid w:val="00C45C2B"/>
    <w:rsid w:val="00C46899"/>
    <w:rsid w:val="00C46B5E"/>
    <w:rsid w:val="00C46B89"/>
    <w:rsid w:val="00C47339"/>
    <w:rsid w:val="00C473B1"/>
    <w:rsid w:val="00C475AA"/>
    <w:rsid w:val="00C4764E"/>
    <w:rsid w:val="00C47974"/>
    <w:rsid w:val="00C47AC4"/>
    <w:rsid w:val="00C47DCC"/>
    <w:rsid w:val="00C5027E"/>
    <w:rsid w:val="00C5040F"/>
    <w:rsid w:val="00C50853"/>
    <w:rsid w:val="00C50BC5"/>
    <w:rsid w:val="00C50DBA"/>
    <w:rsid w:val="00C50E7F"/>
    <w:rsid w:val="00C51340"/>
    <w:rsid w:val="00C513A4"/>
    <w:rsid w:val="00C5147A"/>
    <w:rsid w:val="00C5167C"/>
    <w:rsid w:val="00C51977"/>
    <w:rsid w:val="00C51B18"/>
    <w:rsid w:val="00C51BB2"/>
    <w:rsid w:val="00C51BD3"/>
    <w:rsid w:val="00C51C3F"/>
    <w:rsid w:val="00C520A6"/>
    <w:rsid w:val="00C521A5"/>
    <w:rsid w:val="00C52330"/>
    <w:rsid w:val="00C525F2"/>
    <w:rsid w:val="00C527C7"/>
    <w:rsid w:val="00C52B3C"/>
    <w:rsid w:val="00C52F8B"/>
    <w:rsid w:val="00C530FB"/>
    <w:rsid w:val="00C53288"/>
    <w:rsid w:val="00C53469"/>
    <w:rsid w:val="00C53824"/>
    <w:rsid w:val="00C53975"/>
    <w:rsid w:val="00C539AF"/>
    <w:rsid w:val="00C53BE2"/>
    <w:rsid w:val="00C53C98"/>
    <w:rsid w:val="00C53FFF"/>
    <w:rsid w:val="00C54518"/>
    <w:rsid w:val="00C545F0"/>
    <w:rsid w:val="00C54628"/>
    <w:rsid w:val="00C54645"/>
    <w:rsid w:val="00C54941"/>
    <w:rsid w:val="00C54AD6"/>
    <w:rsid w:val="00C54DCA"/>
    <w:rsid w:val="00C54E47"/>
    <w:rsid w:val="00C54F7A"/>
    <w:rsid w:val="00C5552A"/>
    <w:rsid w:val="00C556A7"/>
    <w:rsid w:val="00C55BF8"/>
    <w:rsid w:val="00C55CDD"/>
    <w:rsid w:val="00C55D89"/>
    <w:rsid w:val="00C55E7A"/>
    <w:rsid w:val="00C56186"/>
    <w:rsid w:val="00C56213"/>
    <w:rsid w:val="00C5624C"/>
    <w:rsid w:val="00C56A1D"/>
    <w:rsid w:val="00C56B51"/>
    <w:rsid w:val="00C56E1A"/>
    <w:rsid w:val="00C56FCF"/>
    <w:rsid w:val="00C572B5"/>
    <w:rsid w:val="00C572F6"/>
    <w:rsid w:val="00C57632"/>
    <w:rsid w:val="00C576C4"/>
    <w:rsid w:val="00C5778A"/>
    <w:rsid w:val="00C57AA7"/>
    <w:rsid w:val="00C57ADE"/>
    <w:rsid w:val="00C57B6C"/>
    <w:rsid w:val="00C57CD9"/>
    <w:rsid w:val="00C57D71"/>
    <w:rsid w:val="00C60060"/>
    <w:rsid w:val="00C60361"/>
    <w:rsid w:val="00C607AC"/>
    <w:rsid w:val="00C6089E"/>
    <w:rsid w:val="00C608A4"/>
    <w:rsid w:val="00C60D7A"/>
    <w:rsid w:val="00C61411"/>
    <w:rsid w:val="00C61422"/>
    <w:rsid w:val="00C617FD"/>
    <w:rsid w:val="00C61A59"/>
    <w:rsid w:val="00C61BB9"/>
    <w:rsid w:val="00C61CBF"/>
    <w:rsid w:val="00C6204A"/>
    <w:rsid w:val="00C62050"/>
    <w:rsid w:val="00C6216E"/>
    <w:rsid w:val="00C6217A"/>
    <w:rsid w:val="00C623DE"/>
    <w:rsid w:val="00C628A6"/>
    <w:rsid w:val="00C62901"/>
    <w:rsid w:val="00C62A74"/>
    <w:rsid w:val="00C62DA8"/>
    <w:rsid w:val="00C62E86"/>
    <w:rsid w:val="00C63082"/>
    <w:rsid w:val="00C63105"/>
    <w:rsid w:val="00C63205"/>
    <w:rsid w:val="00C63282"/>
    <w:rsid w:val="00C632B5"/>
    <w:rsid w:val="00C6340A"/>
    <w:rsid w:val="00C63778"/>
    <w:rsid w:val="00C637F1"/>
    <w:rsid w:val="00C63A70"/>
    <w:rsid w:val="00C63B0A"/>
    <w:rsid w:val="00C64344"/>
    <w:rsid w:val="00C64A27"/>
    <w:rsid w:val="00C64ABA"/>
    <w:rsid w:val="00C64CCC"/>
    <w:rsid w:val="00C64E10"/>
    <w:rsid w:val="00C64EC8"/>
    <w:rsid w:val="00C650EC"/>
    <w:rsid w:val="00C65108"/>
    <w:rsid w:val="00C6539B"/>
    <w:rsid w:val="00C65421"/>
    <w:rsid w:val="00C65500"/>
    <w:rsid w:val="00C65576"/>
    <w:rsid w:val="00C6557C"/>
    <w:rsid w:val="00C65640"/>
    <w:rsid w:val="00C658F2"/>
    <w:rsid w:val="00C659B2"/>
    <w:rsid w:val="00C659C2"/>
    <w:rsid w:val="00C65AD1"/>
    <w:rsid w:val="00C66028"/>
    <w:rsid w:val="00C66165"/>
    <w:rsid w:val="00C6624F"/>
    <w:rsid w:val="00C664BE"/>
    <w:rsid w:val="00C66A2D"/>
    <w:rsid w:val="00C66AD9"/>
    <w:rsid w:val="00C66B17"/>
    <w:rsid w:val="00C66B2E"/>
    <w:rsid w:val="00C6763E"/>
    <w:rsid w:val="00C677AE"/>
    <w:rsid w:val="00C679A2"/>
    <w:rsid w:val="00C67B1E"/>
    <w:rsid w:val="00C67DAB"/>
    <w:rsid w:val="00C67F18"/>
    <w:rsid w:val="00C67FC9"/>
    <w:rsid w:val="00C67FD7"/>
    <w:rsid w:val="00C7052D"/>
    <w:rsid w:val="00C705D9"/>
    <w:rsid w:val="00C7060A"/>
    <w:rsid w:val="00C708C2"/>
    <w:rsid w:val="00C70945"/>
    <w:rsid w:val="00C70AD3"/>
    <w:rsid w:val="00C70CF9"/>
    <w:rsid w:val="00C70DFB"/>
    <w:rsid w:val="00C71027"/>
    <w:rsid w:val="00C7151A"/>
    <w:rsid w:val="00C717E3"/>
    <w:rsid w:val="00C71945"/>
    <w:rsid w:val="00C71A19"/>
    <w:rsid w:val="00C71ABD"/>
    <w:rsid w:val="00C71B32"/>
    <w:rsid w:val="00C71BCF"/>
    <w:rsid w:val="00C71F60"/>
    <w:rsid w:val="00C71FD6"/>
    <w:rsid w:val="00C721B2"/>
    <w:rsid w:val="00C7223A"/>
    <w:rsid w:val="00C72241"/>
    <w:rsid w:val="00C723CC"/>
    <w:rsid w:val="00C7254B"/>
    <w:rsid w:val="00C7279F"/>
    <w:rsid w:val="00C727AD"/>
    <w:rsid w:val="00C727B8"/>
    <w:rsid w:val="00C7290F"/>
    <w:rsid w:val="00C72C71"/>
    <w:rsid w:val="00C72F46"/>
    <w:rsid w:val="00C732AA"/>
    <w:rsid w:val="00C7364E"/>
    <w:rsid w:val="00C73A81"/>
    <w:rsid w:val="00C73AB3"/>
    <w:rsid w:val="00C73E43"/>
    <w:rsid w:val="00C73FCC"/>
    <w:rsid w:val="00C741FC"/>
    <w:rsid w:val="00C74372"/>
    <w:rsid w:val="00C74466"/>
    <w:rsid w:val="00C74570"/>
    <w:rsid w:val="00C748D9"/>
    <w:rsid w:val="00C74F52"/>
    <w:rsid w:val="00C750C8"/>
    <w:rsid w:val="00C7511D"/>
    <w:rsid w:val="00C7524E"/>
    <w:rsid w:val="00C75495"/>
    <w:rsid w:val="00C754A7"/>
    <w:rsid w:val="00C7560F"/>
    <w:rsid w:val="00C759A5"/>
    <w:rsid w:val="00C75BA0"/>
    <w:rsid w:val="00C75EDD"/>
    <w:rsid w:val="00C7606B"/>
    <w:rsid w:val="00C760A1"/>
    <w:rsid w:val="00C760D4"/>
    <w:rsid w:val="00C76382"/>
    <w:rsid w:val="00C76494"/>
    <w:rsid w:val="00C7657C"/>
    <w:rsid w:val="00C76586"/>
    <w:rsid w:val="00C768B3"/>
    <w:rsid w:val="00C76FEC"/>
    <w:rsid w:val="00C771FA"/>
    <w:rsid w:val="00C7745C"/>
    <w:rsid w:val="00C7758E"/>
    <w:rsid w:val="00C775B0"/>
    <w:rsid w:val="00C77675"/>
    <w:rsid w:val="00C7787C"/>
    <w:rsid w:val="00C778F4"/>
    <w:rsid w:val="00C77AA2"/>
    <w:rsid w:val="00C77AAF"/>
    <w:rsid w:val="00C77E9B"/>
    <w:rsid w:val="00C77F0F"/>
    <w:rsid w:val="00C77FA0"/>
    <w:rsid w:val="00C80219"/>
    <w:rsid w:val="00C802E7"/>
    <w:rsid w:val="00C802FA"/>
    <w:rsid w:val="00C80A0E"/>
    <w:rsid w:val="00C80A3A"/>
    <w:rsid w:val="00C80AE0"/>
    <w:rsid w:val="00C80F06"/>
    <w:rsid w:val="00C813DF"/>
    <w:rsid w:val="00C81580"/>
    <w:rsid w:val="00C81658"/>
    <w:rsid w:val="00C8188D"/>
    <w:rsid w:val="00C81AF8"/>
    <w:rsid w:val="00C8213F"/>
    <w:rsid w:val="00C8239A"/>
    <w:rsid w:val="00C8258F"/>
    <w:rsid w:val="00C827EC"/>
    <w:rsid w:val="00C8289E"/>
    <w:rsid w:val="00C828A9"/>
    <w:rsid w:val="00C828EA"/>
    <w:rsid w:val="00C8303F"/>
    <w:rsid w:val="00C83055"/>
    <w:rsid w:val="00C830A9"/>
    <w:rsid w:val="00C830FE"/>
    <w:rsid w:val="00C83190"/>
    <w:rsid w:val="00C834D5"/>
    <w:rsid w:val="00C836CF"/>
    <w:rsid w:val="00C8380B"/>
    <w:rsid w:val="00C83D42"/>
    <w:rsid w:val="00C83DC1"/>
    <w:rsid w:val="00C83F9A"/>
    <w:rsid w:val="00C83FE2"/>
    <w:rsid w:val="00C8407C"/>
    <w:rsid w:val="00C8429E"/>
    <w:rsid w:val="00C84748"/>
    <w:rsid w:val="00C847C0"/>
    <w:rsid w:val="00C84F2F"/>
    <w:rsid w:val="00C85154"/>
    <w:rsid w:val="00C856C2"/>
    <w:rsid w:val="00C857C5"/>
    <w:rsid w:val="00C857E2"/>
    <w:rsid w:val="00C85993"/>
    <w:rsid w:val="00C859C1"/>
    <w:rsid w:val="00C85A70"/>
    <w:rsid w:val="00C8616A"/>
    <w:rsid w:val="00C865BD"/>
    <w:rsid w:val="00C866F9"/>
    <w:rsid w:val="00C867D7"/>
    <w:rsid w:val="00C86C36"/>
    <w:rsid w:val="00C86D9D"/>
    <w:rsid w:val="00C86F0A"/>
    <w:rsid w:val="00C8708F"/>
    <w:rsid w:val="00C873FA"/>
    <w:rsid w:val="00C875A6"/>
    <w:rsid w:val="00C87774"/>
    <w:rsid w:val="00C87879"/>
    <w:rsid w:val="00C87927"/>
    <w:rsid w:val="00C8797A"/>
    <w:rsid w:val="00C87DDA"/>
    <w:rsid w:val="00C87F16"/>
    <w:rsid w:val="00C9001D"/>
    <w:rsid w:val="00C900B8"/>
    <w:rsid w:val="00C90190"/>
    <w:rsid w:val="00C90197"/>
    <w:rsid w:val="00C902DB"/>
    <w:rsid w:val="00C904E9"/>
    <w:rsid w:val="00C907BC"/>
    <w:rsid w:val="00C9090C"/>
    <w:rsid w:val="00C90A5A"/>
    <w:rsid w:val="00C90B4E"/>
    <w:rsid w:val="00C90C71"/>
    <w:rsid w:val="00C90F06"/>
    <w:rsid w:val="00C9119E"/>
    <w:rsid w:val="00C91568"/>
    <w:rsid w:val="00C91BC2"/>
    <w:rsid w:val="00C91D40"/>
    <w:rsid w:val="00C91F58"/>
    <w:rsid w:val="00C91F6F"/>
    <w:rsid w:val="00C91FD1"/>
    <w:rsid w:val="00C9203D"/>
    <w:rsid w:val="00C9203F"/>
    <w:rsid w:val="00C923B5"/>
    <w:rsid w:val="00C924EC"/>
    <w:rsid w:val="00C927D7"/>
    <w:rsid w:val="00C92AAA"/>
    <w:rsid w:val="00C92B82"/>
    <w:rsid w:val="00C92F1A"/>
    <w:rsid w:val="00C92F8D"/>
    <w:rsid w:val="00C931CF"/>
    <w:rsid w:val="00C93342"/>
    <w:rsid w:val="00C93360"/>
    <w:rsid w:val="00C9367D"/>
    <w:rsid w:val="00C938CF"/>
    <w:rsid w:val="00C939C8"/>
    <w:rsid w:val="00C93B77"/>
    <w:rsid w:val="00C93E1D"/>
    <w:rsid w:val="00C93E76"/>
    <w:rsid w:val="00C93E95"/>
    <w:rsid w:val="00C94053"/>
    <w:rsid w:val="00C94173"/>
    <w:rsid w:val="00C941C7"/>
    <w:rsid w:val="00C942EB"/>
    <w:rsid w:val="00C94622"/>
    <w:rsid w:val="00C9481B"/>
    <w:rsid w:val="00C94850"/>
    <w:rsid w:val="00C948A3"/>
    <w:rsid w:val="00C94BF5"/>
    <w:rsid w:val="00C94C69"/>
    <w:rsid w:val="00C94F46"/>
    <w:rsid w:val="00C95142"/>
    <w:rsid w:val="00C952B4"/>
    <w:rsid w:val="00C95319"/>
    <w:rsid w:val="00C955B8"/>
    <w:rsid w:val="00C9577F"/>
    <w:rsid w:val="00C9578A"/>
    <w:rsid w:val="00C959B0"/>
    <w:rsid w:val="00C95DD4"/>
    <w:rsid w:val="00C95E98"/>
    <w:rsid w:val="00C95F50"/>
    <w:rsid w:val="00C9624D"/>
    <w:rsid w:val="00C9637A"/>
    <w:rsid w:val="00C96759"/>
    <w:rsid w:val="00C969DA"/>
    <w:rsid w:val="00C96BA6"/>
    <w:rsid w:val="00C96DCF"/>
    <w:rsid w:val="00C96F6E"/>
    <w:rsid w:val="00C97282"/>
    <w:rsid w:val="00C9758B"/>
    <w:rsid w:val="00C97DA5"/>
    <w:rsid w:val="00C97E3E"/>
    <w:rsid w:val="00C97F26"/>
    <w:rsid w:val="00CA00ED"/>
    <w:rsid w:val="00CA0267"/>
    <w:rsid w:val="00CA048B"/>
    <w:rsid w:val="00CA059F"/>
    <w:rsid w:val="00CA073C"/>
    <w:rsid w:val="00CA0B70"/>
    <w:rsid w:val="00CA0C3A"/>
    <w:rsid w:val="00CA105F"/>
    <w:rsid w:val="00CA1083"/>
    <w:rsid w:val="00CA12F0"/>
    <w:rsid w:val="00CA1D97"/>
    <w:rsid w:val="00CA1E32"/>
    <w:rsid w:val="00CA1E55"/>
    <w:rsid w:val="00CA215C"/>
    <w:rsid w:val="00CA22E4"/>
    <w:rsid w:val="00CA2467"/>
    <w:rsid w:val="00CA266F"/>
    <w:rsid w:val="00CA273C"/>
    <w:rsid w:val="00CA2C44"/>
    <w:rsid w:val="00CA2C77"/>
    <w:rsid w:val="00CA2D1B"/>
    <w:rsid w:val="00CA3798"/>
    <w:rsid w:val="00CA37E5"/>
    <w:rsid w:val="00CA3860"/>
    <w:rsid w:val="00CA3904"/>
    <w:rsid w:val="00CA3BE5"/>
    <w:rsid w:val="00CA3C5B"/>
    <w:rsid w:val="00CA4264"/>
    <w:rsid w:val="00CA428A"/>
    <w:rsid w:val="00CA444F"/>
    <w:rsid w:val="00CA4622"/>
    <w:rsid w:val="00CA4800"/>
    <w:rsid w:val="00CA483B"/>
    <w:rsid w:val="00CA4A2D"/>
    <w:rsid w:val="00CA4F4B"/>
    <w:rsid w:val="00CA518D"/>
    <w:rsid w:val="00CA5245"/>
    <w:rsid w:val="00CA53C7"/>
    <w:rsid w:val="00CA54AB"/>
    <w:rsid w:val="00CA55EC"/>
    <w:rsid w:val="00CA593D"/>
    <w:rsid w:val="00CA5E0D"/>
    <w:rsid w:val="00CA60C8"/>
    <w:rsid w:val="00CA648A"/>
    <w:rsid w:val="00CA6823"/>
    <w:rsid w:val="00CA697F"/>
    <w:rsid w:val="00CA6EA9"/>
    <w:rsid w:val="00CA70C9"/>
    <w:rsid w:val="00CA7171"/>
    <w:rsid w:val="00CA71B9"/>
    <w:rsid w:val="00CA71F4"/>
    <w:rsid w:val="00CA72C6"/>
    <w:rsid w:val="00CA75A0"/>
    <w:rsid w:val="00CA7758"/>
    <w:rsid w:val="00CA77FD"/>
    <w:rsid w:val="00CA7986"/>
    <w:rsid w:val="00CA7B09"/>
    <w:rsid w:val="00CA7E41"/>
    <w:rsid w:val="00CB04A6"/>
    <w:rsid w:val="00CB0B72"/>
    <w:rsid w:val="00CB0B7B"/>
    <w:rsid w:val="00CB0C8D"/>
    <w:rsid w:val="00CB0D33"/>
    <w:rsid w:val="00CB0E5A"/>
    <w:rsid w:val="00CB12A5"/>
    <w:rsid w:val="00CB12C0"/>
    <w:rsid w:val="00CB16B4"/>
    <w:rsid w:val="00CB175A"/>
    <w:rsid w:val="00CB193D"/>
    <w:rsid w:val="00CB1A8B"/>
    <w:rsid w:val="00CB1AF6"/>
    <w:rsid w:val="00CB1CAC"/>
    <w:rsid w:val="00CB1D85"/>
    <w:rsid w:val="00CB1FE4"/>
    <w:rsid w:val="00CB2343"/>
    <w:rsid w:val="00CB2503"/>
    <w:rsid w:val="00CB2678"/>
    <w:rsid w:val="00CB2956"/>
    <w:rsid w:val="00CB2BB5"/>
    <w:rsid w:val="00CB2F2A"/>
    <w:rsid w:val="00CB3064"/>
    <w:rsid w:val="00CB36B1"/>
    <w:rsid w:val="00CB36F4"/>
    <w:rsid w:val="00CB3A10"/>
    <w:rsid w:val="00CB3A3E"/>
    <w:rsid w:val="00CB3C50"/>
    <w:rsid w:val="00CB4024"/>
    <w:rsid w:val="00CB4345"/>
    <w:rsid w:val="00CB4536"/>
    <w:rsid w:val="00CB4747"/>
    <w:rsid w:val="00CB4DCC"/>
    <w:rsid w:val="00CB4DF7"/>
    <w:rsid w:val="00CB4F6F"/>
    <w:rsid w:val="00CB53A8"/>
    <w:rsid w:val="00CB5782"/>
    <w:rsid w:val="00CB584A"/>
    <w:rsid w:val="00CB5AB8"/>
    <w:rsid w:val="00CB5B1A"/>
    <w:rsid w:val="00CB5D0F"/>
    <w:rsid w:val="00CB5FE7"/>
    <w:rsid w:val="00CB6161"/>
    <w:rsid w:val="00CB6351"/>
    <w:rsid w:val="00CB63E3"/>
    <w:rsid w:val="00CB695B"/>
    <w:rsid w:val="00CB6B22"/>
    <w:rsid w:val="00CB6CE8"/>
    <w:rsid w:val="00CB6E28"/>
    <w:rsid w:val="00CB6F9B"/>
    <w:rsid w:val="00CB7009"/>
    <w:rsid w:val="00CB70F6"/>
    <w:rsid w:val="00CB7119"/>
    <w:rsid w:val="00CB72F7"/>
    <w:rsid w:val="00CB75B2"/>
    <w:rsid w:val="00CB7B37"/>
    <w:rsid w:val="00CB7D32"/>
    <w:rsid w:val="00CB7E0E"/>
    <w:rsid w:val="00CB7F5F"/>
    <w:rsid w:val="00CC03A4"/>
    <w:rsid w:val="00CC056F"/>
    <w:rsid w:val="00CC082C"/>
    <w:rsid w:val="00CC1100"/>
    <w:rsid w:val="00CC119C"/>
    <w:rsid w:val="00CC14CF"/>
    <w:rsid w:val="00CC1B39"/>
    <w:rsid w:val="00CC1BA4"/>
    <w:rsid w:val="00CC1BFA"/>
    <w:rsid w:val="00CC2117"/>
    <w:rsid w:val="00CC259C"/>
    <w:rsid w:val="00CC27B3"/>
    <w:rsid w:val="00CC28B2"/>
    <w:rsid w:val="00CC2E9F"/>
    <w:rsid w:val="00CC33FF"/>
    <w:rsid w:val="00CC359E"/>
    <w:rsid w:val="00CC35D8"/>
    <w:rsid w:val="00CC35EA"/>
    <w:rsid w:val="00CC36AD"/>
    <w:rsid w:val="00CC3848"/>
    <w:rsid w:val="00CC3D88"/>
    <w:rsid w:val="00CC4118"/>
    <w:rsid w:val="00CC411D"/>
    <w:rsid w:val="00CC4233"/>
    <w:rsid w:val="00CC425C"/>
    <w:rsid w:val="00CC4278"/>
    <w:rsid w:val="00CC45F6"/>
    <w:rsid w:val="00CC4719"/>
    <w:rsid w:val="00CC477F"/>
    <w:rsid w:val="00CC48FD"/>
    <w:rsid w:val="00CC4953"/>
    <w:rsid w:val="00CC4AF8"/>
    <w:rsid w:val="00CC4B80"/>
    <w:rsid w:val="00CC4C8F"/>
    <w:rsid w:val="00CC4E75"/>
    <w:rsid w:val="00CC4F30"/>
    <w:rsid w:val="00CC5080"/>
    <w:rsid w:val="00CC5089"/>
    <w:rsid w:val="00CC50F1"/>
    <w:rsid w:val="00CC52FF"/>
    <w:rsid w:val="00CC57FB"/>
    <w:rsid w:val="00CC5899"/>
    <w:rsid w:val="00CC58DF"/>
    <w:rsid w:val="00CC5A9E"/>
    <w:rsid w:val="00CC5C2D"/>
    <w:rsid w:val="00CC62E2"/>
    <w:rsid w:val="00CC6342"/>
    <w:rsid w:val="00CC63ED"/>
    <w:rsid w:val="00CC644D"/>
    <w:rsid w:val="00CC64C8"/>
    <w:rsid w:val="00CC65F0"/>
    <w:rsid w:val="00CC6D5E"/>
    <w:rsid w:val="00CC7059"/>
    <w:rsid w:val="00CC7252"/>
    <w:rsid w:val="00CC7BF2"/>
    <w:rsid w:val="00CC7D37"/>
    <w:rsid w:val="00CD01B0"/>
    <w:rsid w:val="00CD0200"/>
    <w:rsid w:val="00CD04D1"/>
    <w:rsid w:val="00CD06D4"/>
    <w:rsid w:val="00CD0B11"/>
    <w:rsid w:val="00CD11EE"/>
    <w:rsid w:val="00CD12AC"/>
    <w:rsid w:val="00CD12B3"/>
    <w:rsid w:val="00CD15A7"/>
    <w:rsid w:val="00CD179E"/>
    <w:rsid w:val="00CD1C72"/>
    <w:rsid w:val="00CD1D31"/>
    <w:rsid w:val="00CD1E15"/>
    <w:rsid w:val="00CD2244"/>
    <w:rsid w:val="00CD2565"/>
    <w:rsid w:val="00CD269E"/>
    <w:rsid w:val="00CD2B71"/>
    <w:rsid w:val="00CD2D35"/>
    <w:rsid w:val="00CD2DF4"/>
    <w:rsid w:val="00CD3161"/>
    <w:rsid w:val="00CD3235"/>
    <w:rsid w:val="00CD3349"/>
    <w:rsid w:val="00CD342E"/>
    <w:rsid w:val="00CD35EF"/>
    <w:rsid w:val="00CD36F8"/>
    <w:rsid w:val="00CD3753"/>
    <w:rsid w:val="00CD3981"/>
    <w:rsid w:val="00CD3A21"/>
    <w:rsid w:val="00CD3AF9"/>
    <w:rsid w:val="00CD3DE8"/>
    <w:rsid w:val="00CD3F77"/>
    <w:rsid w:val="00CD40F2"/>
    <w:rsid w:val="00CD4333"/>
    <w:rsid w:val="00CD47A3"/>
    <w:rsid w:val="00CD4C57"/>
    <w:rsid w:val="00CD4DA7"/>
    <w:rsid w:val="00CD57A1"/>
    <w:rsid w:val="00CD5CA7"/>
    <w:rsid w:val="00CD5DCC"/>
    <w:rsid w:val="00CD5DD3"/>
    <w:rsid w:val="00CD5DF4"/>
    <w:rsid w:val="00CD61C0"/>
    <w:rsid w:val="00CD6299"/>
    <w:rsid w:val="00CD6749"/>
    <w:rsid w:val="00CD6ADC"/>
    <w:rsid w:val="00CD6B7E"/>
    <w:rsid w:val="00CD7055"/>
    <w:rsid w:val="00CD70C0"/>
    <w:rsid w:val="00CD7103"/>
    <w:rsid w:val="00CD7193"/>
    <w:rsid w:val="00CD71C9"/>
    <w:rsid w:val="00CD732E"/>
    <w:rsid w:val="00CD7780"/>
    <w:rsid w:val="00CD78B4"/>
    <w:rsid w:val="00CD78EA"/>
    <w:rsid w:val="00CD7C79"/>
    <w:rsid w:val="00CD7E75"/>
    <w:rsid w:val="00CE044D"/>
    <w:rsid w:val="00CE06A5"/>
    <w:rsid w:val="00CE0A8E"/>
    <w:rsid w:val="00CE0DCC"/>
    <w:rsid w:val="00CE0FBA"/>
    <w:rsid w:val="00CE10EE"/>
    <w:rsid w:val="00CE130C"/>
    <w:rsid w:val="00CE145E"/>
    <w:rsid w:val="00CE1756"/>
    <w:rsid w:val="00CE18DC"/>
    <w:rsid w:val="00CE195A"/>
    <w:rsid w:val="00CE19AC"/>
    <w:rsid w:val="00CE1B6C"/>
    <w:rsid w:val="00CE1BF3"/>
    <w:rsid w:val="00CE1C7E"/>
    <w:rsid w:val="00CE2078"/>
    <w:rsid w:val="00CE2114"/>
    <w:rsid w:val="00CE22C7"/>
    <w:rsid w:val="00CE2399"/>
    <w:rsid w:val="00CE2458"/>
    <w:rsid w:val="00CE24A5"/>
    <w:rsid w:val="00CE252D"/>
    <w:rsid w:val="00CE2545"/>
    <w:rsid w:val="00CE2907"/>
    <w:rsid w:val="00CE2A9F"/>
    <w:rsid w:val="00CE2E02"/>
    <w:rsid w:val="00CE2E7C"/>
    <w:rsid w:val="00CE334B"/>
    <w:rsid w:val="00CE341B"/>
    <w:rsid w:val="00CE380E"/>
    <w:rsid w:val="00CE38C8"/>
    <w:rsid w:val="00CE3940"/>
    <w:rsid w:val="00CE3977"/>
    <w:rsid w:val="00CE3A01"/>
    <w:rsid w:val="00CE3B3F"/>
    <w:rsid w:val="00CE4784"/>
    <w:rsid w:val="00CE4939"/>
    <w:rsid w:val="00CE4992"/>
    <w:rsid w:val="00CE4A04"/>
    <w:rsid w:val="00CE4B98"/>
    <w:rsid w:val="00CE4DB6"/>
    <w:rsid w:val="00CE524F"/>
    <w:rsid w:val="00CE5612"/>
    <w:rsid w:val="00CE58CC"/>
    <w:rsid w:val="00CE5BEF"/>
    <w:rsid w:val="00CE5D67"/>
    <w:rsid w:val="00CE5FD1"/>
    <w:rsid w:val="00CE6155"/>
    <w:rsid w:val="00CE61D3"/>
    <w:rsid w:val="00CE625E"/>
    <w:rsid w:val="00CE6274"/>
    <w:rsid w:val="00CE6434"/>
    <w:rsid w:val="00CE67A6"/>
    <w:rsid w:val="00CE6813"/>
    <w:rsid w:val="00CE6C20"/>
    <w:rsid w:val="00CE70CB"/>
    <w:rsid w:val="00CE740D"/>
    <w:rsid w:val="00CE76C1"/>
    <w:rsid w:val="00CE77B6"/>
    <w:rsid w:val="00CE7E35"/>
    <w:rsid w:val="00CF0217"/>
    <w:rsid w:val="00CF0285"/>
    <w:rsid w:val="00CF0B04"/>
    <w:rsid w:val="00CF0E49"/>
    <w:rsid w:val="00CF0F34"/>
    <w:rsid w:val="00CF11D4"/>
    <w:rsid w:val="00CF15BF"/>
    <w:rsid w:val="00CF17EB"/>
    <w:rsid w:val="00CF18AD"/>
    <w:rsid w:val="00CF18C6"/>
    <w:rsid w:val="00CF194C"/>
    <w:rsid w:val="00CF1A4B"/>
    <w:rsid w:val="00CF1C3E"/>
    <w:rsid w:val="00CF1C42"/>
    <w:rsid w:val="00CF1EC7"/>
    <w:rsid w:val="00CF1FCB"/>
    <w:rsid w:val="00CF2169"/>
    <w:rsid w:val="00CF218A"/>
    <w:rsid w:val="00CF21B4"/>
    <w:rsid w:val="00CF22C7"/>
    <w:rsid w:val="00CF246D"/>
    <w:rsid w:val="00CF24D9"/>
    <w:rsid w:val="00CF25CA"/>
    <w:rsid w:val="00CF28C6"/>
    <w:rsid w:val="00CF2902"/>
    <w:rsid w:val="00CF292C"/>
    <w:rsid w:val="00CF2B8D"/>
    <w:rsid w:val="00CF2CC1"/>
    <w:rsid w:val="00CF3025"/>
    <w:rsid w:val="00CF35EF"/>
    <w:rsid w:val="00CF393E"/>
    <w:rsid w:val="00CF3A1B"/>
    <w:rsid w:val="00CF4159"/>
    <w:rsid w:val="00CF41F3"/>
    <w:rsid w:val="00CF42EC"/>
    <w:rsid w:val="00CF456B"/>
    <w:rsid w:val="00CF47A7"/>
    <w:rsid w:val="00CF47ED"/>
    <w:rsid w:val="00CF4C74"/>
    <w:rsid w:val="00CF4D4A"/>
    <w:rsid w:val="00CF5091"/>
    <w:rsid w:val="00CF515D"/>
    <w:rsid w:val="00CF51F4"/>
    <w:rsid w:val="00CF55C9"/>
    <w:rsid w:val="00CF5846"/>
    <w:rsid w:val="00CF592E"/>
    <w:rsid w:val="00CF5A22"/>
    <w:rsid w:val="00CF5C17"/>
    <w:rsid w:val="00CF5D67"/>
    <w:rsid w:val="00CF5DC8"/>
    <w:rsid w:val="00CF604C"/>
    <w:rsid w:val="00CF6315"/>
    <w:rsid w:val="00CF6810"/>
    <w:rsid w:val="00CF6D83"/>
    <w:rsid w:val="00CF6ED9"/>
    <w:rsid w:val="00CF7149"/>
    <w:rsid w:val="00CF75B0"/>
    <w:rsid w:val="00CF76EC"/>
    <w:rsid w:val="00CF777F"/>
    <w:rsid w:val="00CF7F15"/>
    <w:rsid w:val="00CF7FCF"/>
    <w:rsid w:val="00D0032B"/>
    <w:rsid w:val="00D0080B"/>
    <w:rsid w:val="00D0094C"/>
    <w:rsid w:val="00D009D4"/>
    <w:rsid w:val="00D00A32"/>
    <w:rsid w:val="00D00A5D"/>
    <w:rsid w:val="00D00E9D"/>
    <w:rsid w:val="00D00F5A"/>
    <w:rsid w:val="00D012A7"/>
    <w:rsid w:val="00D01360"/>
    <w:rsid w:val="00D0146B"/>
    <w:rsid w:val="00D0146D"/>
    <w:rsid w:val="00D016D6"/>
    <w:rsid w:val="00D019CB"/>
    <w:rsid w:val="00D01CE9"/>
    <w:rsid w:val="00D01EF0"/>
    <w:rsid w:val="00D02130"/>
    <w:rsid w:val="00D02183"/>
    <w:rsid w:val="00D0262E"/>
    <w:rsid w:val="00D0299A"/>
    <w:rsid w:val="00D029EC"/>
    <w:rsid w:val="00D02CF2"/>
    <w:rsid w:val="00D03000"/>
    <w:rsid w:val="00D03004"/>
    <w:rsid w:val="00D0312C"/>
    <w:rsid w:val="00D03410"/>
    <w:rsid w:val="00D0341B"/>
    <w:rsid w:val="00D0342B"/>
    <w:rsid w:val="00D03679"/>
    <w:rsid w:val="00D03766"/>
    <w:rsid w:val="00D03BB9"/>
    <w:rsid w:val="00D03DC2"/>
    <w:rsid w:val="00D03FFE"/>
    <w:rsid w:val="00D040D7"/>
    <w:rsid w:val="00D0420B"/>
    <w:rsid w:val="00D045B9"/>
    <w:rsid w:val="00D0461A"/>
    <w:rsid w:val="00D04771"/>
    <w:rsid w:val="00D0581A"/>
    <w:rsid w:val="00D05A11"/>
    <w:rsid w:val="00D05E3D"/>
    <w:rsid w:val="00D05EEE"/>
    <w:rsid w:val="00D06139"/>
    <w:rsid w:val="00D06508"/>
    <w:rsid w:val="00D06678"/>
    <w:rsid w:val="00D066C6"/>
    <w:rsid w:val="00D06786"/>
    <w:rsid w:val="00D06B7E"/>
    <w:rsid w:val="00D06E37"/>
    <w:rsid w:val="00D06F34"/>
    <w:rsid w:val="00D071E9"/>
    <w:rsid w:val="00D0735C"/>
    <w:rsid w:val="00D07389"/>
    <w:rsid w:val="00D07A94"/>
    <w:rsid w:val="00D07B42"/>
    <w:rsid w:val="00D07BD1"/>
    <w:rsid w:val="00D07C76"/>
    <w:rsid w:val="00D10056"/>
    <w:rsid w:val="00D100E4"/>
    <w:rsid w:val="00D10157"/>
    <w:rsid w:val="00D102EC"/>
    <w:rsid w:val="00D103EF"/>
    <w:rsid w:val="00D105A4"/>
    <w:rsid w:val="00D108FA"/>
    <w:rsid w:val="00D10AF0"/>
    <w:rsid w:val="00D10C95"/>
    <w:rsid w:val="00D10D4F"/>
    <w:rsid w:val="00D110BD"/>
    <w:rsid w:val="00D1144A"/>
    <w:rsid w:val="00D11C46"/>
    <w:rsid w:val="00D11CD6"/>
    <w:rsid w:val="00D11F9E"/>
    <w:rsid w:val="00D12138"/>
    <w:rsid w:val="00D121E6"/>
    <w:rsid w:val="00D12A25"/>
    <w:rsid w:val="00D1322D"/>
    <w:rsid w:val="00D132CA"/>
    <w:rsid w:val="00D133D5"/>
    <w:rsid w:val="00D133FD"/>
    <w:rsid w:val="00D13675"/>
    <w:rsid w:val="00D13B65"/>
    <w:rsid w:val="00D141E1"/>
    <w:rsid w:val="00D14546"/>
    <w:rsid w:val="00D145EA"/>
    <w:rsid w:val="00D1461D"/>
    <w:rsid w:val="00D14E4E"/>
    <w:rsid w:val="00D14F4D"/>
    <w:rsid w:val="00D14F74"/>
    <w:rsid w:val="00D14F8E"/>
    <w:rsid w:val="00D1515C"/>
    <w:rsid w:val="00D15314"/>
    <w:rsid w:val="00D15419"/>
    <w:rsid w:val="00D1558F"/>
    <w:rsid w:val="00D15846"/>
    <w:rsid w:val="00D15B48"/>
    <w:rsid w:val="00D15E8A"/>
    <w:rsid w:val="00D15F2B"/>
    <w:rsid w:val="00D1601A"/>
    <w:rsid w:val="00D160CB"/>
    <w:rsid w:val="00D16866"/>
    <w:rsid w:val="00D168EF"/>
    <w:rsid w:val="00D16A10"/>
    <w:rsid w:val="00D16EE2"/>
    <w:rsid w:val="00D1752D"/>
    <w:rsid w:val="00D176FD"/>
    <w:rsid w:val="00D1784A"/>
    <w:rsid w:val="00D179A6"/>
    <w:rsid w:val="00D17A25"/>
    <w:rsid w:val="00D17A33"/>
    <w:rsid w:val="00D17C76"/>
    <w:rsid w:val="00D17D12"/>
    <w:rsid w:val="00D17D6C"/>
    <w:rsid w:val="00D20195"/>
    <w:rsid w:val="00D20710"/>
    <w:rsid w:val="00D20E33"/>
    <w:rsid w:val="00D20FCE"/>
    <w:rsid w:val="00D21151"/>
    <w:rsid w:val="00D2155B"/>
    <w:rsid w:val="00D2189C"/>
    <w:rsid w:val="00D21A95"/>
    <w:rsid w:val="00D21FA8"/>
    <w:rsid w:val="00D220A1"/>
    <w:rsid w:val="00D2238A"/>
    <w:rsid w:val="00D224D0"/>
    <w:rsid w:val="00D224D2"/>
    <w:rsid w:val="00D2283E"/>
    <w:rsid w:val="00D22BBB"/>
    <w:rsid w:val="00D22BD3"/>
    <w:rsid w:val="00D22E27"/>
    <w:rsid w:val="00D22FC5"/>
    <w:rsid w:val="00D233F7"/>
    <w:rsid w:val="00D2366C"/>
    <w:rsid w:val="00D23737"/>
    <w:rsid w:val="00D2384D"/>
    <w:rsid w:val="00D23D11"/>
    <w:rsid w:val="00D241E2"/>
    <w:rsid w:val="00D2437C"/>
    <w:rsid w:val="00D244B6"/>
    <w:rsid w:val="00D24D87"/>
    <w:rsid w:val="00D250FD"/>
    <w:rsid w:val="00D25313"/>
    <w:rsid w:val="00D25411"/>
    <w:rsid w:val="00D25480"/>
    <w:rsid w:val="00D25547"/>
    <w:rsid w:val="00D25754"/>
    <w:rsid w:val="00D25BFB"/>
    <w:rsid w:val="00D25EBE"/>
    <w:rsid w:val="00D265A8"/>
    <w:rsid w:val="00D265CF"/>
    <w:rsid w:val="00D26A9C"/>
    <w:rsid w:val="00D26BBE"/>
    <w:rsid w:val="00D26C55"/>
    <w:rsid w:val="00D26CBD"/>
    <w:rsid w:val="00D26DC2"/>
    <w:rsid w:val="00D2724F"/>
    <w:rsid w:val="00D2754D"/>
    <w:rsid w:val="00D275B0"/>
    <w:rsid w:val="00D277B7"/>
    <w:rsid w:val="00D27B27"/>
    <w:rsid w:val="00D27E3D"/>
    <w:rsid w:val="00D302D9"/>
    <w:rsid w:val="00D30731"/>
    <w:rsid w:val="00D30736"/>
    <w:rsid w:val="00D30ACD"/>
    <w:rsid w:val="00D30AE6"/>
    <w:rsid w:val="00D30B26"/>
    <w:rsid w:val="00D30D5B"/>
    <w:rsid w:val="00D3131A"/>
    <w:rsid w:val="00D3137A"/>
    <w:rsid w:val="00D314E4"/>
    <w:rsid w:val="00D31641"/>
    <w:rsid w:val="00D3168F"/>
    <w:rsid w:val="00D31766"/>
    <w:rsid w:val="00D3192F"/>
    <w:rsid w:val="00D31D93"/>
    <w:rsid w:val="00D32017"/>
    <w:rsid w:val="00D321CB"/>
    <w:rsid w:val="00D3224C"/>
    <w:rsid w:val="00D3244E"/>
    <w:rsid w:val="00D32661"/>
    <w:rsid w:val="00D32F1F"/>
    <w:rsid w:val="00D330D4"/>
    <w:rsid w:val="00D335DF"/>
    <w:rsid w:val="00D3373D"/>
    <w:rsid w:val="00D337EA"/>
    <w:rsid w:val="00D33870"/>
    <w:rsid w:val="00D338F0"/>
    <w:rsid w:val="00D33BE9"/>
    <w:rsid w:val="00D33CFA"/>
    <w:rsid w:val="00D33E26"/>
    <w:rsid w:val="00D33F93"/>
    <w:rsid w:val="00D34073"/>
    <w:rsid w:val="00D342FD"/>
    <w:rsid w:val="00D34379"/>
    <w:rsid w:val="00D3463E"/>
    <w:rsid w:val="00D34652"/>
    <w:rsid w:val="00D35162"/>
    <w:rsid w:val="00D355E0"/>
    <w:rsid w:val="00D357FF"/>
    <w:rsid w:val="00D35807"/>
    <w:rsid w:val="00D35D09"/>
    <w:rsid w:val="00D36050"/>
    <w:rsid w:val="00D361D1"/>
    <w:rsid w:val="00D3624C"/>
    <w:rsid w:val="00D36250"/>
    <w:rsid w:val="00D3669A"/>
    <w:rsid w:val="00D36B92"/>
    <w:rsid w:val="00D36C3D"/>
    <w:rsid w:val="00D370C2"/>
    <w:rsid w:val="00D374B4"/>
    <w:rsid w:val="00D37BAE"/>
    <w:rsid w:val="00D37CF9"/>
    <w:rsid w:val="00D403BF"/>
    <w:rsid w:val="00D406DB"/>
    <w:rsid w:val="00D40A71"/>
    <w:rsid w:val="00D4101F"/>
    <w:rsid w:val="00D4124E"/>
    <w:rsid w:val="00D4135D"/>
    <w:rsid w:val="00D41465"/>
    <w:rsid w:val="00D4151F"/>
    <w:rsid w:val="00D415A0"/>
    <w:rsid w:val="00D41664"/>
    <w:rsid w:val="00D417C6"/>
    <w:rsid w:val="00D4194F"/>
    <w:rsid w:val="00D41A61"/>
    <w:rsid w:val="00D41AA9"/>
    <w:rsid w:val="00D41BD7"/>
    <w:rsid w:val="00D41D20"/>
    <w:rsid w:val="00D41E35"/>
    <w:rsid w:val="00D420AC"/>
    <w:rsid w:val="00D42159"/>
    <w:rsid w:val="00D42178"/>
    <w:rsid w:val="00D422A7"/>
    <w:rsid w:val="00D422AF"/>
    <w:rsid w:val="00D422D7"/>
    <w:rsid w:val="00D42316"/>
    <w:rsid w:val="00D42323"/>
    <w:rsid w:val="00D42472"/>
    <w:rsid w:val="00D424C7"/>
    <w:rsid w:val="00D425FF"/>
    <w:rsid w:val="00D429B8"/>
    <w:rsid w:val="00D42A4D"/>
    <w:rsid w:val="00D42AE8"/>
    <w:rsid w:val="00D42B93"/>
    <w:rsid w:val="00D42BA6"/>
    <w:rsid w:val="00D42D89"/>
    <w:rsid w:val="00D437A0"/>
    <w:rsid w:val="00D43B2A"/>
    <w:rsid w:val="00D43B7B"/>
    <w:rsid w:val="00D43CF1"/>
    <w:rsid w:val="00D43CF8"/>
    <w:rsid w:val="00D43D83"/>
    <w:rsid w:val="00D43FE9"/>
    <w:rsid w:val="00D440AB"/>
    <w:rsid w:val="00D441C4"/>
    <w:rsid w:val="00D441FA"/>
    <w:rsid w:val="00D44286"/>
    <w:rsid w:val="00D44328"/>
    <w:rsid w:val="00D4440C"/>
    <w:rsid w:val="00D445A2"/>
    <w:rsid w:val="00D44B25"/>
    <w:rsid w:val="00D45100"/>
    <w:rsid w:val="00D45319"/>
    <w:rsid w:val="00D470BA"/>
    <w:rsid w:val="00D4713A"/>
    <w:rsid w:val="00D4753E"/>
    <w:rsid w:val="00D4756D"/>
    <w:rsid w:val="00D47575"/>
    <w:rsid w:val="00D47593"/>
    <w:rsid w:val="00D4776B"/>
    <w:rsid w:val="00D47A33"/>
    <w:rsid w:val="00D47BE1"/>
    <w:rsid w:val="00D47D7B"/>
    <w:rsid w:val="00D5002E"/>
    <w:rsid w:val="00D50163"/>
    <w:rsid w:val="00D5028B"/>
    <w:rsid w:val="00D50457"/>
    <w:rsid w:val="00D50581"/>
    <w:rsid w:val="00D508C4"/>
    <w:rsid w:val="00D509BB"/>
    <w:rsid w:val="00D50C29"/>
    <w:rsid w:val="00D50CBF"/>
    <w:rsid w:val="00D50EDE"/>
    <w:rsid w:val="00D5120B"/>
    <w:rsid w:val="00D5181A"/>
    <w:rsid w:val="00D519C5"/>
    <w:rsid w:val="00D51B24"/>
    <w:rsid w:val="00D51D0D"/>
    <w:rsid w:val="00D52168"/>
    <w:rsid w:val="00D5243B"/>
    <w:rsid w:val="00D52899"/>
    <w:rsid w:val="00D52AAD"/>
    <w:rsid w:val="00D52B34"/>
    <w:rsid w:val="00D52E1D"/>
    <w:rsid w:val="00D533EC"/>
    <w:rsid w:val="00D534BA"/>
    <w:rsid w:val="00D53B88"/>
    <w:rsid w:val="00D53D75"/>
    <w:rsid w:val="00D5419B"/>
    <w:rsid w:val="00D54263"/>
    <w:rsid w:val="00D543DF"/>
    <w:rsid w:val="00D54A34"/>
    <w:rsid w:val="00D54E72"/>
    <w:rsid w:val="00D550B3"/>
    <w:rsid w:val="00D55230"/>
    <w:rsid w:val="00D552C6"/>
    <w:rsid w:val="00D55623"/>
    <w:rsid w:val="00D556B4"/>
    <w:rsid w:val="00D558FE"/>
    <w:rsid w:val="00D55AC9"/>
    <w:rsid w:val="00D56216"/>
    <w:rsid w:val="00D56473"/>
    <w:rsid w:val="00D564A2"/>
    <w:rsid w:val="00D56A95"/>
    <w:rsid w:val="00D56B38"/>
    <w:rsid w:val="00D56F6B"/>
    <w:rsid w:val="00D5718F"/>
    <w:rsid w:val="00D571F3"/>
    <w:rsid w:val="00D57807"/>
    <w:rsid w:val="00D57AED"/>
    <w:rsid w:val="00D57C1C"/>
    <w:rsid w:val="00D57CD4"/>
    <w:rsid w:val="00D604DD"/>
    <w:rsid w:val="00D606C7"/>
    <w:rsid w:val="00D6076E"/>
    <w:rsid w:val="00D60812"/>
    <w:rsid w:val="00D6086D"/>
    <w:rsid w:val="00D60907"/>
    <w:rsid w:val="00D60998"/>
    <w:rsid w:val="00D60A4B"/>
    <w:rsid w:val="00D60AB5"/>
    <w:rsid w:val="00D60D88"/>
    <w:rsid w:val="00D60F22"/>
    <w:rsid w:val="00D61681"/>
    <w:rsid w:val="00D61844"/>
    <w:rsid w:val="00D6192B"/>
    <w:rsid w:val="00D61C86"/>
    <w:rsid w:val="00D61C9B"/>
    <w:rsid w:val="00D61F81"/>
    <w:rsid w:val="00D62356"/>
    <w:rsid w:val="00D62407"/>
    <w:rsid w:val="00D62A2A"/>
    <w:rsid w:val="00D62F1C"/>
    <w:rsid w:val="00D6301E"/>
    <w:rsid w:val="00D63252"/>
    <w:rsid w:val="00D633BA"/>
    <w:rsid w:val="00D633C1"/>
    <w:rsid w:val="00D6364A"/>
    <w:rsid w:val="00D63FB6"/>
    <w:rsid w:val="00D642C8"/>
    <w:rsid w:val="00D643E8"/>
    <w:rsid w:val="00D645EF"/>
    <w:rsid w:val="00D64744"/>
    <w:rsid w:val="00D6477B"/>
    <w:rsid w:val="00D647E5"/>
    <w:rsid w:val="00D6485B"/>
    <w:rsid w:val="00D64CCA"/>
    <w:rsid w:val="00D64D8B"/>
    <w:rsid w:val="00D6518C"/>
    <w:rsid w:val="00D653E3"/>
    <w:rsid w:val="00D655F6"/>
    <w:rsid w:val="00D65ACB"/>
    <w:rsid w:val="00D65F9D"/>
    <w:rsid w:val="00D66398"/>
    <w:rsid w:val="00D664A6"/>
    <w:rsid w:val="00D66536"/>
    <w:rsid w:val="00D666D2"/>
    <w:rsid w:val="00D66BC2"/>
    <w:rsid w:val="00D66BFC"/>
    <w:rsid w:val="00D676FF"/>
    <w:rsid w:val="00D67C4A"/>
    <w:rsid w:val="00D67F07"/>
    <w:rsid w:val="00D702F0"/>
    <w:rsid w:val="00D704B2"/>
    <w:rsid w:val="00D70F16"/>
    <w:rsid w:val="00D70F75"/>
    <w:rsid w:val="00D711FF"/>
    <w:rsid w:val="00D71223"/>
    <w:rsid w:val="00D71342"/>
    <w:rsid w:val="00D7164E"/>
    <w:rsid w:val="00D71D59"/>
    <w:rsid w:val="00D71D82"/>
    <w:rsid w:val="00D721B8"/>
    <w:rsid w:val="00D72417"/>
    <w:rsid w:val="00D72565"/>
    <w:rsid w:val="00D72617"/>
    <w:rsid w:val="00D72AE0"/>
    <w:rsid w:val="00D72BCE"/>
    <w:rsid w:val="00D72E00"/>
    <w:rsid w:val="00D72E4B"/>
    <w:rsid w:val="00D72F57"/>
    <w:rsid w:val="00D73048"/>
    <w:rsid w:val="00D730DC"/>
    <w:rsid w:val="00D734A2"/>
    <w:rsid w:val="00D73766"/>
    <w:rsid w:val="00D7387E"/>
    <w:rsid w:val="00D73ABE"/>
    <w:rsid w:val="00D73ACF"/>
    <w:rsid w:val="00D746E3"/>
    <w:rsid w:val="00D74B1C"/>
    <w:rsid w:val="00D74C15"/>
    <w:rsid w:val="00D74E38"/>
    <w:rsid w:val="00D75880"/>
    <w:rsid w:val="00D758E9"/>
    <w:rsid w:val="00D75BA0"/>
    <w:rsid w:val="00D76031"/>
    <w:rsid w:val="00D7659A"/>
    <w:rsid w:val="00D768D2"/>
    <w:rsid w:val="00D76A44"/>
    <w:rsid w:val="00D76C1A"/>
    <w:rsid w:val="00D76D01"/>
    <w:rsid w:val="00D76D4B"/>
    <w:rsid w:val="00D76D99"/>
    <w:rsid w:val="00D770D5"/>
    <w:rsid w:val="00D7758E"/>
    <w:rsid w:val="00D77C77"/>
    <w:rsid w:val="00D77D20"/>
    <w:rsid w:val="00D77F19"/>
    <w:rsid w:val="00D8039B"/>
    <w:rsid w:val="00D80558"/>
    <w:rsid w:val="00D8065B"/>
    <w:rsid w:val="00D80D67"/>
    <w:rsid w:val="00D80F4D"/>
    <w:rsid w:val="00D80FA4"/>
    <w:rsid w:val="00D80FBD"/>
    <w:rsid w:val="00D815EF"/>
    <w:rsid w:val="00D816CC"/>
    <w:rsid w:val="00D81949"/>
    <w:rsid w:val="00D819B0"/>
    <w:rsid w:val="00D819EB"/>
    <w:rsid w:val="00D81A82"/>
    <w:rsid w:val="00D81ADE"/>
    <w:rsid w:val="00D81F26"/>
    <w:rsid w:val="00D822E2"/>
    <w:rsid w:val="00D82B7A"/>
    <w:rsid w:val="00D82D39"/>
    <w:rsid w:val="00D82D6F"/>
    <w:rsid w:val="00D82DB8"/>
    <w:rsid w:val="00D8326A"/>
    <w:rsid w:val="00D83B3C"/>
    <w:rsid w:val="00D83C22"/>
    <w:rsid w:val="00D83E50"/>
    <w:rsid w:val="00D83F22"/>
    <w:rsid w:val="00D84057"/>
    <w:rsid w:val="00D8415C"/>
    <w:rsid w:val="00D843F2"/>
    <w:rsid w:val="00D84424"/>
    <w:rsid w:val="00D84AF7"/>
    <w:rsid w:val="00D84B84"/>
    <w:rsid w:val="00D84E31"/>
    <w:rsid w:val="00D850FB"/>
    <w:rsid w:val="00D85220"/>
    <w:rsid w:val="00D85ADF"/>
    <w:rsid w:val="00D85B19"/>
    <w:rsid w:val="00D85B7F"/>
    <w:rsid w:val="00D86231"/>
    <w:rsid w:val="00D8630F"/>
    <w:rsid w:val="00D86348"/>
    <w:rsid w:val="00D865AA"/>
    <w:rsid w:val="00D867A2"/>
    <w:rsid w:val="00D8698E"/>
    <w:rsid w:val="00D86B4D"/>
    <w:rsid w:val="00D86D58"/>
    <w:rsid w:val="00D86FE9"/>
    <w:rsid w:val="00D87030"/>
    <w:rsid w:val="00D87117"/>
    <w:rsid w:val="00D8735A"/>
    <w:rsid w:val="00D873F9"/>
    <w:rsid w:val="00D87479"/>
    <w:rsid w:val="00D8755D"/>
    <w:rsid w:val="00D8759A"/>
    <w:rsid w:val="00D87787"/>
    <w:rsid w:val="00D87A52"/>
    <w:rsid w:val="00D87A7F"/>
    <w:rsid w:val="00D901C3"/>
    <w:rsid w:val="00D901C4"/>
    <w:rsid w:val="00D90477"/>
    <w:rsid w:val="00D9065B"/>
    <w:rsid w:val="00D90A22"/>
    <w:rsid w:val="00D90A7D"/>
    <w:rsid w:val="00D90F43"/>
    <w:rsid w:val="00D90FB3"/>
    <w:rsid w:val="00D9117C"/>
    <w:rsid w:val="00D912AB"/>
    <w:rsid w:val="00D912F9"/>
    <w:rsid w:val="00D914D0"/>
    <w:rsid w:val="00D9162D"/>
    <w:rsid w:val="00D91923"/>
    <w:rsid w:val="00D9242D"/>
    <w:rsid w:val="00D9256D"/>
    <w:rsid w:val="00D9272F"/>
    <w:rsid w:val="00D92744"/>
    <w:rsid w:val="00D927E2"/>
    <w:rsid w:val="00D92A4F"/>
    <w:rsid w:val="00D92BD8"/>
    <w:rsid w:val="00D92BE2"/>
    <w:rsid w:val="00D92CE8"/>
    <w:rsid w:val="00D92D9D"/>
    <w:rsid w:val="00D92DB5"/>
    <w:rsid w:val="00D92DDF"/>
    <w:rsid w:val="00D9317F"/>
    <w:rsid w:val="00D93753"/>
    <w:rsid w:val="00D938C5"/>
    <w:rsid w:val="00D93ABC"/>
    <w:rsid w:val="00D93D9B"/>
    <w:rsid w:val="00D93E15"/>
    <w:rsid w:val="00D9424B"/>
    <w:rsid w:val="00D943F2"/>
    <w:rsid w:val="00D9472F"/>
    <w:rsid w:val="00D94C83"/>
    <w:rsid w:val="00D94DF7"/>
    <w:rsid w:val="00D95283"/>
    <w:rsid w:val="00D95368"/>
    <w:rsid w:val="00D9539B"/>
    <w:rsid w:val="00D953E3"/>
    <w:rsid w:val="00D95592"/>
    <w:rsid w:val="00D957EE"/>
    <w:rsid w:val="00D95822"/>
    <w:rsid w:val="00D95875"/>
    <w:rsid w:val="00D95AB8"/>
    <w:rsid w:val="00D95AD6"/>
    <w:rsid w:val="00D95D6C"/>
    <w:rsid w:val="00D95ECE"/>
    <w:rsid w:val="00D96095"/>
    <w:rsid w:val="00D964AC"/>
    <w:rsid w:val="00D974A3"/>
    <w:rsid w:val="00DA0711"/>
    <w:rsid w:val="00DA0BC3"/>
    <w:rsid w:val="00DA0C05"/>
    <w:rsid w:val="00DA0E89"/>
    <w:rsid w:val="00DA1161"/>
    <w:rsid w:val="00DA14DA"/>
    <w:rsid w:val="00DA1514"/>
    <w:rsid w:val="00DA15E5"/>
    <w:rsid w:val="00DA1A22"/>
    <w:rsid w:val="00DA1A98"/>
    <w:rsid w:val="00DA1C30"/>
    <w:rsid w:val="00DA1CDC"/>
    <w:rsid w:val="00DA1D50"/>
    <w:rsid w:val="00DA1D56"/>
    <w:rsid w:val="00DA1E1F"/>
    <w:rsid w:val="00DA2D43"/>
    <w:rsid w:val="00DA3105"/>
    <w:rsid w:val="00DA3167"/>
    <w:rsid w:val="00DA35C5"/>
    <w:rsid w:val="00DA3A41"/>
    <w:rsid w:val="00DA3BA0"/>
    <w:rsid w:val="00DA3D6B"/>
    <w:rsid w:val="00DA4013"/>
    <w:rsid w:val="00DA4223"/>
    <w:rsid w:val="00DA43B1"/>
    <w:rsid w:val="00DA4602"/>
    <w:rsid w:val="00DA4652"/>
    <w:rsid w:val="00DA469E"/>
    <w:rsid w:val="00DA4BAC"/>
    <w:rsid w:val="00DA4BAE"/>
    <w:rsid w:val="00DA4DBE"/>
    <w:rsid w:val="00DA4DC3"/>
    <w:rsid w:val="00DA4FDE"/>
    <w:rsid w:val="00DA5002"/>
    <w:rsid w:val="00DA503E"/>
    <w:rsid w:val="00DA5230"/>
    <w:rsid w:val="00DA526D"/>
    <w:rsid w:val="00DA55A0"/>
    <w:rsid w:val="00DA5A49"/>
    <w:rsid w:val="00DA5EDE"/>
    <w:rsid w:val="00DA5FA3"/>
    <w:rsid w:val="00DA6016"/>
    <w:rsid w:val="00DA6D23"/>
    <w:rsid w:val="00DA711A"/>
    <w:rsid w:val="00DA7274"/>
    <w:rsid w:val="00DA7545"/>
    <w:rsid w:val="00DA77A5"/>
    <w:rsid w:val="00DA7810"/>
    <w:rsid w:val="00DA7C58"/>
    <w:rsid w:val="00DA7D7F"/>
    <w:rsid w:val="00DA7FB8"/>
    <w:rsid w:val="00DB0251"/>
    <w:rsid w:val="00DB057F"/>
    <w:rsid w:val="00DB065F"/>
    <w:rsid w:val="00DB09E9"/>
    <w:rsid w:val="00DB0A24"/>
    <w:rsid w:val="00DB0E36"/>
    <w:rsid w:val="00DB1042"/>
    <w:rsid w:val="00DB122A"/>
    <w:rsid w:val="00DB17B1"/>
    <w:rsid w:val="00DB1FCD"/>
    <w:rsid w:val="00DB1FE8"/>
    <w:rsid w:val="00DB232F"/>
    <w:rsid w:val="00DB24CB"/>
    <w:rsid w:val="00DB2723"/>
    <w:rsid w:val="00DB2CAB"/>
    <w:rsid w:val="00DB31EA"/>
    <w:rsid w:val="00DB3356"/>
    <w:rsid w:val="00DB3810"/>
    <w:rsid w:val="00DB381B"/>
    <w:rsid w:val="00DB3C1F"/>
    <w:rsid w:val="00DB3DA9"/>
    <w:rsid w:val="00DB3DBF"/>
    <w:rsid w:val="00DB411F"/>
    <w:rsid w:val="00DB484F"/>
    <w:rsid w:val="00DB4B15"/>
    <w:rsid w:val="00DB4CEF"/>
    <w:rsid w:val="00DB53B6"/>
    <w:rsid w:val="00DB542D"/>
    <w:rsid w:val="00DB568A"/>
    <w:rsid w:val="00DB5BB4"/>
    <w:rsid w:val="00DB5D02"/>
    <w:rsid w:val="00DB5D51"/>
    <w:rsid w:val="00DB6148"/>
    <w:rsid w:val="00DB6236"/>
    <w:rsid w:val="00DB6A60"/>
    <w:rsid w:val="00DB6A6A"/>
    <w:rsid w:val="00DB6A7A"/>
    <w:rsid w:val="00DB6CA3"/>
    <w:rsid w:val="00DB70B3"/>
    <w:rsid w:val="00DB7558"/>
    <w:rsid w:val="00DB772A"/>
    <w:rsid w:val="00DB7A3D"/>
    <w:rsid w:val="00DB7D29"/>
    <w:rsid w:val="00DB7D37"/>
    <w:rsid w:val="00DB7EFC"/>
    <w:rsid w:val="00DC04F6"/>
    <w:rsid w:val="00DC061A"/>
    <w:rsid w:val="00DC0690"/>
    <w:rsid w:val="00DC06CC"/>
    <w:rsid w:val="00DC0CEB"/>
    <w:rsid w:val="00DC100F"/>
    <w:rsid w:val="00DC11B8"/>
    <w:rsid w:val="00DC11ED"/>
    <w:rsid w:val="00DC12BC"/>
    <w:rsid w:val="00DC140D"/>
    <w:rsid w:val="00DC1C0C"/>
    <w:rsid w:val="00DC1C35"/>
    <w:rsid w:val="00DC1D65"/>
    <w:rsid w:val="00DC20C4"/>
    <w:rsid w:val="00DC25F6"/>
    <w:rsid w:val="00DC2A4F"/>
    <w:rsid w:val="00DC2A7F"/>
    <w:rsid w:val="00DC2BA9"/>
    <w:rsid w:val="00DC323C"/>
    <w:rsid w:val="00DC3954"/>
    <w:rsid w:val="00DC3A5B"/>
    <w:rsid w:val="00DC3B9C"/>
    <w:rsid w:val="00DC3C57"/>
    <w:rsid w:val="00DC3F4D"/>
    <w:rsid w:val="00DC40A5"/>
    <w:rsid w:val="00DC4365"/>
    <w:rsid w:val="00DC4581"/>
    <w:rsid w:val="00DC4593"/>
    <w:rsid w:val="00DC4DA5"/>
    <w:rsid w:val="00DC4E8B"/>
    <w:rsid w:val="00DC4F29"/>
    <w:rsid w:val="00DC5501"/>
    <w:rsid w:val="00DC5639"/>
    <w:rsid w:val="00DC57FD"/>
    <w:rsid w:val="00DC5801"/>
    <w:rsid w:val="00DC5A55"/>
    <w:rsid w:val="00DC5C0F"/>
    <w:rsid w:val="00DC5DE4"/>
    <w:rsid w:val="00DC5F53"/>
    <w:rsid w:val="00DC5FDF"/>
    <w:rsid w:val="00DC6032"/>
    <w:rsid w:val="00DC6350"/>
    <w:rsid w:val="00DC6379"/>
    <w:rsid w:val="00DC63A2"/>
    <w:rsid w:val="00DC63B0"/>
    <w:rsid w:val="00DC64D7"/>
    <w:rsid w:val="00DC6669"/>
    <w:rsid w:val="00DC6847"/>
    <w:rsid w:val="00DC68B5"/>
    <w:rsid w:val="00DC696F"/>
    <w:rsid w:val="00DC69BE"/>
    <w:rsid w:val="00DC6BDD"/>
    <w:rsid w:val="00DC6E28"/>
    <w:rsid w:val="00DC70E0"/>
    <w:rsid w:val="00DC7154"/>
    <w:rsid w:val="00DC7672"/>
    <w:rsid w:val="00DC77B5"/>
    <w:rsid w:val="00DC785D"/>
    <w:rsid w:val="00DC7A4D"/>
    <w:rsid w:val="00DC7B59"/>
    <w:rsid w:val="00DC7D09"/>
    <w:rsid w:val="00DC7DE1"/>
    <w:rsid w:val="00DC7E8A"/>
    <w:rsid w:val="00DC7F32"/>
    <w:rsid w:val="00DD0340"/>
    <w:rsid w:val="00DD04AB"/>
    <w:rsid w:val="00DD04ED"/>
    <w:rsid w:val="00DD0526"/>
    <w:rsid w:val="00DD052F"/>
    <w:rsid w:val="00DD09CC"/>
    <w:rsid w:val="00DD0B7C"/>
    <w:rsid w:val="00DD0D4A"/>
    <w:rsid w:val="00DD0E09"/>
    <w:rsid w:val="00DD0E79"/>
    <w:rsid w:val="00DD0E7C"/>
    <w:rsid w:val="00DD0F41"/>
    <w:rsid w:val="00DD0F78"/>
    <w:rsid w:val="00DD1188"/>
    <w:rsid w:val="00DD14BE"/>
    <w:rsid w:val="00DD1891"/>
    <w:rsid w:val="00DD1DA6"/>
    <w:rsid w:val="00DD1E1A"/>
    <w:rsid w:val="00DD25CA"/>
    <w:rsid w:val="00DD273C"/>
    <w:rsid w:val="00DD2767"/>
    <w:rsid w:val="00DD2905"/>
    <w:rsid w:val="00DD2BC9"/>
    <w:rsid w:val="00DD2D79"/>
    <w:rsid w:val="00DD3086"/>
    <w:rsid w:val="00DD3766"/>
    <w:rsid w:val="00DD3B17"/>
    <w:rsid w:val="00DD3F28"/>
    <w:rsid w:val="00DD3FD0"/>
    <w:rsid w:val="00DD4069"/>
    <w:rsid w:val="00DD4100"/>
    <w:rsid w:val="00DD42B5"/>
    <w:rsid w:val="00DD42E4"/>
    <w:rsid w:val="00DD4446"/>
    <w:rsid w:val="00DD4537"/>
    <w:rsid w:val="00DD4A57"/>
    <w:rsid w:val="00DD4D3B"/>
    <w:rsid w:val="00DD4E15"/>
    <w:rsid w:val="00DD4E64"/>
    <w:rsid w:val="00DD4F30"/>
    <w:rsid w:val="00DD510A"/>
    <w:rsid w:val="00DD562E"/>
    <w:rsid w:val="00DD576C"/>
    <w:rsid w:val="00DD57F8"/>
    <w:rsid w:val="00DD598F"/>
    <w:rsid w:val="00DD6104"/>
    <w:rsid w:val="00DD610E"/>
    <w:rsid w:val="00DD62FD"/>
    <w:rsid w:val="00DD6318"/>
    <w:rsid w:val="00DD6324"/>
    <w:rsid w:val="00DD6613"/>
    <w:rsid w:val="00DD69E2"/>
    <w:rsid w:val="00DD6C3E"/>
    <w:rsid w:val="00DD72AC"/>
    <w:rsid w:val="00DD78B1"/>
    <w:rsid w:val="00DD7FD6"/>
    <w:rsid w:val="00DE02FB"/>
    <w:rsid w:val="00DE09A6"/>
    <w:rsid w:val="00DE1017"/>
    <w:rsid w:val="00DE1336"/>
    <w:rsid w:val="00DE1436"/>
    <w:rsid w:val="00DE1444"/>
    <w:rsid w:val="00DE18B6"/>
    <w:rsid w:val="00DE1A18"/>
    <w:rsid w:val="00DE1A92"/>
    <w:rsid w:val="00DE1C11"/>
    <w:rsid w:val="00DE1C78"/>
    <w:rsid w:val="00DE1E03"/>
    <w:rsid w:val="00DE1FE2"/>
    <w:rsid w:val="00DE1FF8"/>
    <w:rsid w:val="00DE21D7"/>
    <w:rsid w:val="00DE2304"/>
    <w:rsid w:val="00DE235A"/>
    <w:rsid w:val="00DE2642"/>
    <w:rsid w:val="00DE3138"/>
    <w:rsid w:val="00DE313D"/>
    <w:rsid w:val="00DE31B2"/>
    <w:rsid w:val="00DE3363"/>
    <w:rsid w:val="00DE36C0"/>
    <w:rsid w:val="00DE3796"/>
    <w:rsid w:val="00DE37F8"/>
    <w:rsid w:val="00DE3A85"/>
    <w:rsid w:val="00DE3C39"/>
    <w:rsid w:val="00DE3D52"/>
    <w:rsid w:val="00DE3F23"/>
    <w:rsid w:val="00DE4273"/>
    <w:rsid w:val="00DE42BE"/>
    <w:rsid w:val="00DE43DA"/>
    <w:rsid w:val="00DE43F9"/>
    <w:rsid w:val="00DE447B"/>
    <w:rsid w:val="00DE44A8"/>
    <w:rsid w:val="00DE4E52"/>
    <w:rsid w:val="00DE4EAC"/>
    <w:rsid w:val="00DE4F0B"/>
    <w:rsid w:val="00DE4FCB"/>
    <w:rsid w:val="00DE503C"/>
    <w:rsid w:val="00DE51C0"/>
    <w:rsid w:val="00DE58E9"/>
    <w:rsid w:val="00DE5D07"/>
    <w:rsid w:val="00DE5F82"/>
    <w:rsid w:val="00DE6031"/>
    <w:rsid w:val="00DE609D"/>
    <w:rsid w:val="00DE641C"/>
    <w:rsid w:val="00DE64E9"/>
    <w:rsid w:val="00DE64F8"/>
    <w:rsid w:val="00DE679E"/>
    <w:rsid w:val="00DE683D"/>
    <w:rsid w:val="00DE6A86"/>
    <w:rsid w:val="00DE6E62"/>
    <w:rsid w:val="00DE718D"/>
    <w:rsid w:val="00DE71E3"/>
    <w:rsid w:val="00DE72A7"/>
    <w:rsid w:val="00DE741F"/>
    <w:rsid w:val="00DE749F"/>
    <w:rsid w:val="00DE7546"/>
    <w:rsid w:val="00DE758D"/>
    <w:rsid w:val="00DE75A6"/>
    <w:rsid w:val="00DE7819"/>
    <w:rsid w:val="00DE7832"/>
    <w:rsid w:val="00DE7C78"/>
    <w:rsid w:val="00DE7C7A"/>
    <w:rsid w:val="00DE7D05"/>
    <w:rsid w:val="00DE7DF9"/>
    <w:rsid w:val="00DE7F79"/>
    <w:rsid w:val="00DF01E9"/>
    <w:rsid w:val="00DF079F"/>
    <w:rsid w:val="00DF089B"/>
    <w:rsid w:val="00DF093F"/>
    <w:rsid w:val="00DF09DB"/>
    <w:rsid w:val="00DF0FD3"/>
    <w:rsid w:val="00DF189F"/>
    <w:rsid w:val="00DF18FC"/>
    <w:rsid w:val="00DF1FDA"/>
    <w:rsid w:val="00DF2053"/>
    <w:rsid w:val="00DF2400"/>
    <w:rsid w:val="00DF2612"/>
    <w:rsid w:val="00DF2952"/>
    <w:rsid w:val="00DF2CB3"/>
    <w:rsid w:val="00DF3089"/>
    <w:rsid w:val="00DF30ED"/>
    <w:rsid w:val="00DF3527"/>
    <w:rsid w:val="00DF3847"/>
    <w:rsid w:val="00DF3D2A"/>
    <w:rsid w:val="00DF3DBA"/>
    <w:rsid w:val="00DF423D"/>
    <w:rsid w:val="00DF436A"/>
    <w:rsid w:val="00DF43FE"/>
    <w:rsid w:val="00DF4736"/>
    <w:rsid w:val="00DF4779"/>
    <w:rsid w:val="00DF49B3"/>
    <w:rsid w:val="00DF4B97"/>
    <w:rsid w:val="00DF4D84"/>
    <w:rsid w:val="00DF5156"/>
    <w:rsid w:val="00DF55F9"/>
    <w:rsid w:val="00DF598A"/>
    <w:rsid w:val="00DF5B53"/>
    <w:rsid w:val="00DF5D2B"/>
    <w:rsid w:val="00DF5E04"/>
    <w:rsid w:val="00DF6341"/>
    <w:rsid w:val="00DF63AC"/>
    <w:rsid w:val="00DF6423"/>
    <w:rsid w:val="00DF6E58"/>
    <w:rsid w:val="00DF6EBD"/>
    <w:rsid w:val="00DF7366"/>
    <w:rsid w:val="00DF7A00"/>
    <w:rsid w:val="00DF7BED"/>
    <w:rsid w:val="00DF7CC8"/>
    <w:rsid w:val="00DF7D14"/>
    <w:rsid w:val="00DF7DA1"/>
    <w:rsid w:val="00DF7E2F"/>
    <w:rsid w:val="00E00017"/>
    <w:rsid w:val="00E00229"/>
    <w:rsid w:val="00E002B8"/>
    <w:rsid w:val="00E005A4"/>
    <w:rsid w:val="00E007F8"/>
    <w:rsid w:val="00E00BA0"/>
    <w:rsid w:val="00E00C14"/>
    <w:rsid w:val="00E00D77"/>
    <w:rsid w:val="00E00D7F"/>
    <w:rsid w:val="00E00E8E"/>
    <w:rsid w:val="00E0101F"/>
    <w:rsid w:val="00E01AC8"/>
    <w:rsid w:val="00E01D6D"/>
    <w:rsid w:val="00E01D72"/>
    <w:rsid w:val="00E0204D"/>
    <w:rsid w:val="00E021B4"/>
    <w:rsid w:val="00E023E8"/>
    <w:rsid w:val="00E0240C"/>
    <w:rsid w:val="00E025D5"/>
    <w:rsid w:val="00E026F2"/>
    <w:rsid w:val="00E02A46"/>
    <w:rsid w:val="00E02E86"/>
    <w:rsid w:val="00E03298"/>
    <w:rsid w:val="00E03F51"/>
    <w:rsid w:val="00E040D7"/>
    <w:rsid w:val="00E04727"/>
    <w:rsid w:val="00E04D78"/>
    <w:rsid w:val="00E04E6C"/>
    <w:rsid w:val="00E04F15"/>
    <w:rsid w:val="00E04F21"/>
    <w:rsid w:val="00E0523D"/>
    <w:rsid w:val="00E05420"/>
    <w:rsid w:val="00E05630"/>
    <w:rsid w:val="00E05A63"/>
    <w:rsid w:val="00E06332"/>
    <w:rsid w:val="00E06421"/>
    <w:rsid w:val="00E06433"/>
    <w:rsid w:val="00E06A1E"/>
    <w:rsid w:val="00E06A7D"/>
    <w:rsid w:val="00E06AE3"/>
    <w:rsid w:val="00E06BDA"/>
    <w:rsid w:val="00E06C6D"/>
    <w:rsid w:val="00E06DBB"/>
    <w:rsid w:val="00E06E10"/>
    <w:rsid w:val="00E06E28"/>
    <w:rsid w:val="00E071BB"/>
    <w:rsid w:val="00E0736F"/>
    <w:rsid w:val="00E07575"/>
    <w:rsid w:val="00E0772D"/>
    <w:rsid w:val="00E07DC1"/>
    <w:rsid w:val="00E10069"/>
    <w:rsid w:val="00E10149"/>
    <w:rsid w:val="00E1043D"/>
    <w:rsid w:val="00E10776"/>
    <w:rsid w:val="00E10A2A"/>
    <w:rsid w:val="00E10BED"/>
    <w:rsid w:val="00E11340"/>
    <w:rsid w:val="00E11688"/>
    <w:rsid w:val="00E117A0"/>
    <w:rsid w:val="00E117E9"/>
    <w:rsid w:val="00E118E0"/>
    <w:rsid w:val="00E122A1"/>
    <w:rsid w:val="00E12300"/>
    <w:rsid w:val="00E1256C"/>
    <w:rsid w:val="00E12900"/>
    <w:rsid w:val="00E12EC8"/>
    <w:rsid w:val="00E137F6"/>
    <w:rsid w:val="00E13B76"/>
    <w:rsid w:val="00E13C24"/>
    <w:rsid w:val="00E13C72"/>
    <w:rsid w:val="00E13F0E"/>
    <w:rsid w:val="00E13F64"/>
    <w:rsid w:val="00E14014"/>
    <w:rsid w:val="00E14192"/>
    <w:rsid w:val="00E14372"/>
    <w:rsid w:val="00E143C3"/>
    <w:rsid w:val="00E1493C"/>
    <w:rsid w:val="00E14A20"/>
    <w:rsid w:val="00E14ABC"/>
    <w:rsid w:val="00E14AF7"/>
    <w:rsid w:val="00E15304"/>
    <w:rsid w:val="00E1570D"/>
    <w:rsid w:val="00E157C2"/>
    <w:rsid w:val="00E15A8A"/>
    <w:rsid w:val="00E15B0E"/>
    <w:rsid w:val="00E15BD2"/>
    <w:rsid w:val="00E15FCA"/>
    <w:rsid w:val="00E16170"/>
    <w:rsid w:val="00E1625D"/>
    <w:rsid w:val="00E16372"/>
    <w:rsid w:val="00E163F1"/>
    <w:rsid w:val="00E16528"/>
    <w:rsid w:val="00E166B9"/>
    <w:rsid w:val="00E16ABE"/>
    <w:rsid w:val="00E16AD8"/>
    <w:rsid w:val="00E16C08"/>
    <w:rsid w:val="00E16E4F"/>
    <w:rsid w:val="00E16E6A"/>
    <w:rsid w:val="00E16EA7"/>
    <w:rsid w:val="00E171A7"/>
    <w:rsid w:val="00E1745F"/>
    <w:rsid w:val="00E17481"/>
    <w:rsid w:val="00E174C0"/>
    <w:rsid w:val="00E17958"/>
    <w:rsid w:val="00E17A64"/>
    <w:rsid w:val="00E17AD7"/>
    <w:rsid w:val="00E17CC7"/>
    <w:rsid w:val="00E17DEA"/>
    <w:rsid w:val="00E17E7E"/>
    <w:rsid w:val="00E17FFA"/>
    <w:rsid w:val="00E20008"/>
    <w:rsid w:val="00E20050"/>
    <w:rsid w:val="00E20214"/>
    <w:rsid w:val="00E20C32"/>
    <w:rsid w:val="00E20E4D"/>
    <w:rsid w:val="00E20ED6"/>
    <w:rsid w:val="00E21358"/>
    <w:rsid w:val="00E2137D"/>
    <w:rsid w:val="00E21871"/>
    <w:rsid w:val="00E21A7B"/>
    <w:rsid w:val="00E21F94"/>
    <w:rsid w:val="00E220D2"/>
    <w:rsid w:val="00E2219A"/>
    <w:rsid w:val="00E221F1"/>
    <w:rsid w:val="00E2249B"/>
    <w:rsid w:val="00E225E6"/>
    <w:rsid w:val="00E226B4"/>
    <w:rsid w:val="00E22A0D"/>
    <w:rsid w:val="00E22CC9"/>
    <w:rsid w:val="00E22D61"/>
    <w:rsid w:val="00E2325A"/>
    <w:rsid w:val="00E23794"/>
    <w:rsid w:val="00E23842"/>
    <w:rsid w:val="00E2394D"/>
    <w:rsid w:val="00E239A1"/>
    <w:rsid w:val="00E23D41"/>
    <w:rsid w:val="00E24462"/>
    <w:rsid w:val="00E244DE"/>
    <w:rsid w:val="00E244F6"/>
    <w:rsid w:val="00E246DC"/>
    <w:rsid w:val="00E247FD"/>
    <w:rsid w:val="00E24D03"/>
    <w:rsid w:val="00E24E3F"/>
    <w:rsid w:val="00E24F12"/>
    <w:rsid w:val="00E24F31"/>
    <w:rsid w:val="00E258DB"/>
    <w:rsid w:val="00E26122"/>
    <w:rsid w:val="00E26466"/>
    <w:rsid w:val="00E26814"/>
    <w:rsid w:val="00E26F68"/>
    <w:rsid w:val="00E2718C"/>
    <w:rsid w:val="00E27242"/>
    <w:rsid w:val="00E27246"/>
    <w:rsid w:val="00E27311"/>
    <w:rsid w:val="00E2771E"/>
    <w:rsid w:val="00E27743"/>
    <w:rsid w:val="00E278DA"/>
    <w:rsid w:val="00E27905"/>
    <w:rsid w:val="00E27F00"/>
    <w:rsid w:val="00E3037E"/>
    <w:rsid w:val="00E3046A"/>
    <w:rsid w:val="00E30A2D"/>
    <w:rsid w:val="00E30C76"/>
    <w:rsid w:val="00E30D16"/>
    <w:rsid w:val="00E310A2"/>
    <w:rsid w:val="00E3110B"/>
    <w:rsid w:val="00E311EF"/>
    <w:rsid w:val="00E3121D"/>
    <w:rsid w:val="00E31679"/>
    <w:rsid w:val="00E31BB8"/>
    <w:rsid w:val="00E32180"/>
    <w:rsid w:val="00E32419"/>
    <w:rsid w:val="00E325C7"/>
    <w:rsid w:val="00E32B5B"/>
    <w:rsid w:val="00E32C8F"/>
    <w:rsid w:val="00E32E64"/>
    <w:rsid w:val="00E3304B"/>
    <w:rsid w:val="00E332A0"/>
    <w:rsid w:val="00E33404"/>
    <w:rsid w:val="00E33814"/>
    <w:rsid w:val="00E339A1"/>
    <w:rsid w:val="00E33AD6"/>
    <w:rsid w:val="00E33DCE"/>
    <w:rsid w:val="00E33FC2"/>
    <w:rsid w:val="00E3436C"/>
    <w:rsid w:val="00E34736"/>
    <w:rsid w:val="00E34948"/>
    <w:rsid w:val="00E34C28"/>
    <w:rsid w:val="00E34D77"/>
    <w:rsid w:val="00E34F33"/>
    <w:rsid w:val="00E3588C"/>
    <w:rsid w:val="00E35A01"/>
    <w:rsid w:val="00E35B46"/>
    <w:rsid w:val="00E35F19"/>
    <w:rsid w:val="00E360CF"/>
    <w:rsid w:val="00E360F9"/>
    <w:rsid w:val="00E36442"/>
    <w:rsid w:val="00E3662F"/>
    <w:rsid w:val="00E36A32"/>
    <w:rsid w:val="00E36B7E"/>
    <w:rsid w:val="00E370E1"/>
    <w:rsid w:val="00E371A6"/>
    <w:rsid w:val="00E371F0"/>
    <w:rsid w:val="00E3730A"/>
    <w:rsid w:val="00E3742B"/>
    <w:rsid w:val="00E374BE"/>
    <w:rsid w:val="00E374C5"/>
    <w:rsid w:val="00E37569"/>
    <w:rsid w:val="00E37745"/>
    <w:rsid w:val="00E377B5"/>
    <w:rsid w:val="00E37841"/>
    <w:rsid w:val="00E37FD5"/>
    <w:rsid w:val="00E401B2"/>
    <w:rsid w:val="00E40457"/>
    <w:rsid w:val="00E40680"/>
    <w:rsid w:val="00E40926"/>
    <w:rsid w:val="00E40B39"/>
    <w:rsid w:val="00E41092"/>
    <w:rsid w:val="00E4141D"/>
    <w:rsid w:val="00E4160D"/>
    <w:rsid w:val="00E41E30"/>
    <w:rsid w:val="00E41ED5"/>
    <w:rsid w:val="00E42776"/>
    <w:rsid w:val="00E42957"/>
    <w:rsid w:val="00E42A62"/>
    <w:rsid w:val="00E42ACC"/>
    <w:rsid w:val="00E42C86"/>
    <w:rsid w:val="00E42F73"/>
    <w:rsid w:val="00E43013"/>
    <w:rsid w:val="00E43029"/>
    <w:rsid w:val="00E43221"/>
    <w:rsid w:val="00E434B6"/>
    <w:rsid w:val="00E435FA"/>
    <w:rsid w:val="00E43A45"/>
    <w:rsid w:val="00E43C98"/>
    <w:rsid w:val="00E43D70"/>
    <w:rsid w:val="00E43EC2"/>
    <w:rsid w:val="00E43F34"/>
    <w:rsid w:val="00E44000"/>
    <w:rsid w:val="00E446A1"/>
    <w:rsid w:val="00E449C6"/>
    <w:rsid w:val="00E44A1F"/>
    <w:rsid w:val="00E44A88"/>
    <w:rsid w:val="00E45281"/>
    <w:rsid w:val="00E4532F"/>
    <w:rsid w:val="00E45BC9"/>
    <w:rsid w:val="00E45BD8"/>
    <w:rsid w:val="00E45F07"/>
    <w:rsid w:val="00E46386"/>
    <w:rsid w:val="00E46416"/>
    <w:rsid w:val="00E46424"/>
    <w:rsid w:val="00E46604"/>
    <w:rsid w:val="00E466F3"/>
    <w:rsid w:val="00E46AD8"/>
    <w:rsid w:val="00E46B4A"/>
    <w:rsid w:val="00E46E01"/>
    <w:rsid w:val="00E46EB3"/>
    <w:rsid w:val="00E47081"/>
    <w:rsid w:val="00E470B5"/>
    <w:rsid w:val="00E476DC"/>
    <w:rsid w:val="00E47A78"/>
    <w:rsid w:val="00E47B13"/>
    <w:rsid w:val="00E47B2C"/>
    <w:rsid w:val="00E47D56"/>
    <w:rsid w:val="00E500EA"/>
    <w:rsid w:val="00E5033C"/>
    <w:rsid w:val="00E504D3"/>
    <w:rsid w:val="00E508F4"/>
    <w:rsid w:val="00E50A76"/>
    <w:rsid w:val="00E50CA7"/>
    <w:rsid w:val="00E50E7F"/>
    <w:rsid w:val="00E51150"/>
    <w:rsid w:val="00E514BB"/>
    <w:rsid w:val="00E51560"/>
    <w:rsid w:val="00E5167D"/>
    <w:rsid w:val="00E51821"/>
    <w:rsid w:val="00E51B90"/>
    <w:rsid w:val="00E51C30"/>
    <w:rsid w:val="00E51C50"/>
    <w:rsid w:val="00E51E24"/>
    <w:rsid w:val="00E52045"/>
    <w:rsid w:val="00E520D9"/>
    <w:rsid w:val="00E521B6"/>
    <w:rsid w:val="00E521F4"/>
    <w:rsid w:val="00E52483"/>
    <w:rsid w:val="00E524CC"/>
    <w:rsid w:val="00E52CF7"/>
    <w:rsid w:val="00E52EBA"/>
    <w:rsid w:val="00E52EC7"/>
    <w:rsid w:val="00E53128"/>
    <w:rsid w:val="00E531BC"/>
    <w:rsid w:val="00E53223"/>
    <w:rsid w:val="00E53886"/>
    <w:rsid w:val="00E53A07"/>
    <w:rsid w:val="00E53D9D"/>
    <w:rsid w:val="00E53ECA"/>
    <w:rsid w:val="00E53EF6"/>
    <w:rsid w:val="00E53FC8"/>
    <w:rsid w:val="00E54347"/>
    <w:rsid w:val="00E54692"/>
    <w:rsid w:val="00E5492C"/>
    <w:rsid w:val="00E5493D"/>
    <w:rsid w:val="00E5500A"/>
    <w:rsid w:val="00E55424"/>
    <w:rsid w:val="00E554EA"/>
    <w:rsid w:val="00E556B4"/>
    <w:rsid w:val="00E55915"/>
    <w:rsid w:val="00E559C4"/>
    <w:rsid w:val="00E55BB5"/>
    <w:rsid w:val="00E55BD1"/>
    <w:rsid w:val="00E55CE7"/>
    <w:rsid w:val="00E55DA6"/>
    <w:rsid w:val="00E55E54"/>
    <w:rsid w:val="00E55E9A"/>
    <w:rsid w:val="00E55E9C"/>
    <w:rsid w:val="00E55FF7"/>
    <w:rsid w:val="00E560A3"/>
    <w:rsid w:val="00E560D9"/>
    <w:rsid w:val="00E56A3A"/>
    <w:rsid w:val="00E56D4D"/>
    <w:rsid w:val="00E56D84"/>
    <w:rsid w:val="00E56F15"/>
    <w:rsid w:val="00E56F7B"/>
    <w:rsid w:val="00E5718C"/>
    <w:rsid w:val="00E571B5"/>
    <w:rsid w:val="00E57255"/>
    <w:rsid w:val="00E572B8"/>
    <w:rsid w:val="00E5747C"/>
    <w:rsid w:val="00E5751A"/>
    <w:rsid w:val="00E57675"/>
    <w:rsid w:val="00E57981"/>
    <w:rsid w:val="00E57982"/>
    <w:rsid w:val="00E579F8"/>
    <w:rsid w:val="00E57E58"/>
    <w:rsid w:val="00E602AE"/>
    <w:rsid w:val="00E60399"/>
    <w:rsid w:val="00E607DB"/>
    <w:rsid w:val="00E60A48"/>
    <w:rsid w:val="00E60C90"/>
    <w:rsid w:val="00E611A3"/>
    <w:rsid w:val="00E611DF"/>
    <w:rsid w:val="00E61514"/>
    <w:rsid w:val="00E61C3B"/>
    <w:rsid w:val="00E62044"/>
    <w:rsid w:val="00E6208A"/>
    <w:rsid w:val="00E621B6"/>
    <w:rsid w:val="00E6222D"/>
    <w:rsid w:val="00E6225F"/>
    <w:rsid w:val="00E622B7"/>
    <w:rsid w:val="00E624A1"/>
    <w:rsid w:val="00E625FD"/>
    <w:rsid w:val="00E62E4F"/>
    <w:rsid w:val="00E62EFC"/>
    <w:rsid w:val="00E63120"/>
    <w:rsid w:val="00E63124"/>
    <w:rsid w:val="00E63960"/>
    <w:rsid w:val="00E63A2D"/>
    <w:rsid w:val="00E63B7C"/>
    <w:rsid w:val="00E63C1E"/>
    <w:rsid w:val="00E63EAE"/>
    <w:rsid w:val="00E641E9"/>
    <w:rsid w:val="00E643AF"/>
    <w:rsid w:val="00E64486"/>
    <w:rsid w:val="00E649C2"/>
    <w:rsid w:val="00E64BDB"/>
    <w:rsid w:val="00E64D45"/>
    <w:rsid w:val="00E64E6F"/>
    <w:rsid w:val="00E64F73"/>
    <w:rsid w:val="00E6543C"/>
    <w:rsid w:val="00E6587B"/>
    <w:rsid w:val="00E65E79"/>
    <w:rsid w:val="00E65E9D"/>
    <w:rsid w:val="00E66BA2"/>
    <w:rsid w:val="00E66D28"/>
    <w:rsid w:val="00E66F60"/>
    <w:rsid w:val="00E6731C"/>
    <w:rsid w:val="00E6734A"/>
    <w:rsid w:val="00E67416"/>
    <w:rsid w:val="00E6748F"/>
    <w:rsid w:val="00E674B5"/>
    <w:rsid w:val="00E676A1"/>
    <w:rsid w:val="00E67D54"/>
    <w:rsid w:val="00E70342"/>
    <w:rsid w:val="00E70427"/>
    <w:rsid w:val="00E70514"/>
    <w:rsid w:val="00E7071F"/>
    <w:rsid w:val="00E70A5E"/>
    <w:rsid w:val="00E70B30"/>
    <w:rsid w:val="00E70D37"/>
    <w:rsid w:val="00E70E6F"/>
    <w:rsid w:val="00E70FB4"/>
    <w:rsid w:val="00E70FDD"/>
    <w:rsid w:val="00E712FF"/>
    <w:rsid w:val="00E7136A"/>
    <w:rsid w:val="00E718B6"/>
    <w:rsid w:val="00E71EC9"/>
    <w:rsid w:val="00E71F4E"/>
    <w:rsid w:val="00E723BA"/>
    <w:rsid w:val="00E72AE8"/>
    <w:rsid w:val="00E72B6C"/>
    <w:rsid w:val="00E72B82"/>
    <w:rsid w:val="00E72FE2"/>
    <w:rsid w:val="00E7306E"/>
    <w:rsid w:val="00E73386"/>
    <w:rsid w:val="00E7348C"/>
    <w:rsid w:val="00E73581"/>
    <w:rsid w:val="00E73DAB"/>
    <w:rsid w:val="00E7429D"/>
    <w:rsid w:val="00E74346"/>
    <w:rsid w:val="00E74DBE"/>
    <w:rsid w:val="00E74FC6"/>
    <w:rsid w:val="00E74FCC"/>
    <w:rsid w:val="00E75140"/>
    <w:rsid w:val="00E75257"/>
    <w:rsid w:val="00E7590F"/>
    <w:rsid w:val="00E75925"/>
    <w:rsid w:val="00E75B3A"/>
    <w:rsid w:val="00E75D13"/>
    <w:rsid w:val="00E75EA5"/>
    <w:rsid w:val="00E76553"/>
    <w:rsid w:val="00E7664B"/>
    <w:rsid w:val="00E76A9F"/>
    <w:rsid w:val="00E76AE7"/>
    <w:rsid w:val="00E7708C"/>
    <w:rsid w:val="00E77683"/>
    <w:rsid w:val="00E7797B"/>
    <w:rsid w:val="00E77A25"/>
    <w:rsid w:val="00E77B1C"/>
    <w:rsid w:val="00E77BDB"/>
    <w:rsid w:val="00E77E1B"/>
    <w:rsid w:val="00E80104"/>
    <w:rsid w:val="00E80262"/>
    <w:rsid w:val="00E802C0"/>
    <w:rsid w:val="00E80318"/>
    <w:rsid w:val="00E80B0F"/>
    <w:rsid w:val="00E80B52"/>
    <w:rsid w:val="00E80F6F"/>
    <w:rsid w:val="00E8112A"/>
    <w:rsid w:val="00E814B1"/>
    <w:rsid w:val="00E8177B"/>
    <w:rsid w:val="00E818DF"/>
    <w:rsid w:val="00E81D99"/>
    <w:rsid w:val="00E81DBB"/>
    <w:rsid w:val="00E8215A"/>
    <w:rsid w:val="00E822DB"/>
    <w:rsid w:val="00E82A8D"/>
    <w:rsid w:val="00E82CB0"/>
    <w:rsid w:val="00E830D6"/>
    <w:rsid w:val="00E833F7"/>
    <w:rsid w:val="00E83606"/>
    <w:rsid w:val="00E838BF"/>
    <w:rsid w:val="00E83BDF"/>
    <w:rsid w:val="00E83DA7"/>
    <w:rsid w:val="00E83DFE"/>
    <w:rsid w:val="00E83E23"/>
    <w:rsid w:val="00E842FC"/>
    <w:rsid w:val="00E8438D"/>
    <w:rsid w:val="00E84457"/>
    <w:rsid w:val="00E8465D"/>
    <w:rsid w:val="00E847A4"/>
    <w:rsid w:val="00E847B7"/>
    <w:rsid w:val="00E84A96"/>
    <w:rsid w:val="00E84C30"/>
    <w:rsid w:val="00E84EA8"/>
    <w:rsid w:val="00E84F7C"/>
    <w:rsid w:val="00E85021"/>
    <w:rsid w:val="00E850CD"/>
    <w:rsid w:val="00E851B2"/>
    <w:rsid w:val="00E8526A"/>
    <w:rsid w:val="00E8531A"/>
    <w:rsid w:val="00E853FB"/>
    <w:rsid w:val="00E8541E"/>
    <w:rsid w:val="00E857F7"/>
    <w:rsid w:val="00E85B12"/>
    <w:rsid w:val="00E85C4B"/>
    <w:rsid w:val="00E85F54"/>
    <w:rsid w:val="00E85FB1"/>
    <w:rsid w:val="00E86267"/>
    <w:rsid w:val="00E86750"/>
    <w:rsid w:val="00E86769"/>
    <w:rsid w:val="00E867E6"/>
    <w:rsid w:val="00E8690D"/>
    <w:rsid w:val="00E86FCC"/>
    <w:rsid w:val="00E876CF"/>
    <w:rsid w:val="00E87A1D"/>
    <w:rsid w:val="00E87F29"/>
    <w:rsid w:val="00E90005"/>
    <w:rsid w:val="00E90135"/>
    <w:rsid w:val="00E902F9"/>
    <w:rsid w:val="00E90384"/>
    <w:rsid w:val="00E903F0"/>
    <w:rsid w:val="00E9075A"/>
    <w:rsid w:val="00E908C9"/>
    <w:rsid w:val="00E9094A"/>
    <w:rsid w:val="00E90DB2"/>
    <w:rsid w:val="00E91034"/>
    <w:rsid w:val="00E91294"/>
    <w:rsid w:val="00E913A5"/>
    <w:rsid w:val="00E91422"/>
    <w:rsid w:val="00E914F0"/>
    <w:rsid w:val="00E9154B"/>
    <w:rsid w:val="00E916C0"/>
    <w:rsid w:val="00E919D6"/>
    <w:rsid w:val="00E91D35"/>
    <w:rsid w:val="00E92156"/>
    <w:rsid w:val="00E92260"/>
    <w:rsid w:val="00E9232D"/>
    <w:rsid w:val="00E924F1"/>
    <w:rsid w:val="00E92583"/>
    <w:rsid w:val="00E926A5"/>
    <w:rsid w:val="00E926FD"/>
    <w:rsid w:val="00E9272B"/>
    <w:rsid w:val="00E9273C"/>
    <w:rsid w:val="00E92767"/>
    <w:rsid w:val="00E9298C"/>
    <w:rsid w:val="00E929F2"/>
    <w:rsid w:val="00E92C92"/>
    <w:rsid w:val="00E93895"/>
    <w:rsid w:val="00E93A41"/>
    <w:rsid w:val="00E93F6A"/>
    <w:rsid w:val="00E9425A"/>
    <w:rsid w:val="00E94539"/>
    <w:rsid w:val="00E94FF0"/>
    <w:rsid w:val="00E95040"/>
    <w:rsid w:val="00E9539C"/>
    <w:rsid w:val="00E9561D"/>
    <w:rsid w:val="00E956C1"/>
    <w:rsid w:val="00E958F5"/>
    <w:rsid w:val="00E9599D"/>
    <w:rsid w:val="00E959EA"/>
    <w:rsid w:val="00E95A1E"/>
    <w:rsid w:val="00E95BBB"/>
    <w:rsid w:val="00E9621C"/>
    <w:rsid w:val="00E962CC"/>
    <w:rsid w:val="00E9638E"/>
    <w:rsid w:val="00E96437"/>
    <w:rsid w:val="00E96803"/>
    <w:rsid w:val="00E96DFC"/>
    <w:rsid w:val="00E96F20"/>
    <w:rsid w:val="00E9700D"/>
    <w:rsid w:val="00E972E5"/>
    <w:rsid w:val="00E97512"/>
    <w:rsid w:val="00E975D1"/>
    <w:rsid w:val="00E976FD"/>
    <w:rsid w:val="00E9777B"/>
    <w:rsid w:val="00E977AA"/>
    <w:rsid w:val="00E97B37"/>
    <w:rsid w:val="00E97BC8"/>
    <w:rsid w:val="00E97BD9"/>
    <w:rsid w:val="00E97F7B"/>
    <w:rsid w:val="00EA0521"/>
    <w:rsid w:val="00EA05AF"/>
    <w:rsid w:val="00EA090F"/>
    <w:rsid w:val="00EA0B8A"/>
    <w:rsid w:val="00EA0CB3"/>
    <w:rsid w:val="00EA0CC2"/>
    <w:rsid w:val="00EA0CDC"/>
    <w:rsid w:val="00EA0E2C"/>
    <w:rsid w:val="00EA17C3"/>
    <w:rsid w:val="00EA1EF4"/>
    <w:rsid w:val="00EA2301"/>
    <w:rsid w:val="00EA27A4"/>
    <w:rsid w:val="00EA2CAA"/>
    <w:rsid w:val="00EA2DAC"/>
    <w:rsid w:val="00EA345C"/>
    <w:rsid w:val="00EA348C"/>
    <w:rsid w:val="00EA36BD"/>
    <w:rsid w:val="00EA371A"/>
    <w:rsid w:val="00EA3822"/>
    <w:rsid w:val="00EA3864"/>
    <w:rsid w:val="00EA39A3"/>
    <w:rsid w:val="00EA3CBE"/>
    <w:rsid w:val="00EA3E08"/>
    <w:rsid w:val="00EA4177"/>
    <w:rsid w:val="00EA428B"/>
    <w:rsid w:val="00EA45EA"/>
    <w:rsid w:val="00EA4620"/>
    <w:rsid w:val="00EA494F"/>
    <w:rsid w:val="00EA4E4D"/>
    <w:rsid w:val="00EA4E53"/>
    <w:rsid w:val="00EA523B"/>
    <w:rsid w:val="00EA55DE"/>
    <w:rsid w:val="00EA5B70"/>
    <w:rsid w:val="00EA5D2C"/>
    <w:rsid w:val="00EA5E02"/>
    <w:rsid w:val="00EA619D"/>
    <w:rsid w:val="00EA63B5"/>
    <w:rsid w:val="00EA6401"/>
    <w:rsid w:val="00EA6A65"/>
    <w:rsid w:val="00EA6CEF"/>
    <w:rsid w:val="00EA6F47"/>
    <w:rsid w:val="00EA71D7"/>
    <w:rsid w:val="00EA78C0"/>
    <w:rsid w:val="00EA7D12"/>
    <w:rsid w:val="00EA7EFB"/>
    <w:rsid w:val="00EA7F1C"/>
    <w:rsid w:val="00EA7F9E"/>
    <w:rsid w:val="00EB0535"/>
    <w:rsid w:val="00EB0868"/>
    <w:rsid w:val="00EB089E"/>
    <w:rsid w:val="00EB0952"/>
    <w:rsid w:val="00EB09BE"/>
    <w:rsid w:val="00EB0AFD"/>
    <w:rsid w:val="00EB0BCE"/>
    <w:rsid w:val="00EB0DB8"/>
    <w:rsid w:val="00EB0E7D"/>
    <w:rsid w:val="00EB138D"/>
    <w:rsid w:val="00EB15B6"/>
    <w:rsid w:val="00EB1A44"/>
    <w:rsid w:val="00EB1B93"/>
    <w:rsid w:val="00EB2461"/>
    <w:rsid w:val="00EB25FD"/>
    <w:rsid w:val="00EB26A2"/>
    <w:rsid w:val="00EB2715"/>
    <w:rsid w:val="00EB284A"/>
    <w:rsid w:val="00EB2B47"/>
    <w:rsid w:val="00EB2E79"/>
    <w:rsid w:val="00EB30EF"/>
    <w:rsid w:val="00EB33B5"/>
    <w:rsid w:val="00EB361E"/>
    <w:rsid w:val="00EB3634"/>
    <w:rsid w:val="00EB37DA"/>
    <w:rsid w:val="00EB389B"/>
    <w:rsid w:val="00EB3B0E"/>
    <w:rsid w:val="00EB3C38"/>
    <w:rsid w:val="00EB3D06"/>
    <w:rsid w:val="00EB4165"/>
    <w:rsid w:val="00EB41FF"/>
    <w:rsid w:val="00EB4287"/>
    <w:rsid w:val="00EB44FD"/>
    <w:rsid w:val="00EB4588"/>
    <w:rsid w:val="00EB4763"/>
    <w:rsid w:val="00EB4916"/>
    <w:rsid w:val="00EB4BF2"/>
    <w:rsid w:val="00EB52F2"/>
    <w:rsid w:val="00EB54C2"/>
    <w:rsid w:val="00EB54E0"/>
    <w:rsid w:val="00EB5752"/>
    <w:rsid w:val="00EB5DB2"/>
    <w:rsid w:val="00EB5EBD"/>
    <w:rsid w:val="00EB5F42"/>
    <w:rsid w:val="00EB600A"/>
    <w:rsid w:val="00EB6041"/>
    <w:rsid w:val="00EB61B9"/>
    <w:rsid w:val="00EB6254"/>
    <w:rsid w:val="00EB6591"/>
    <w:rsid w:val="00EB6881"/>
    <w:rsid w:val="00EB689D"/>
    <w:rsid w:val="00EB68DB"/>
    <w:rsid w:val="00EB69F2"/>
    <w:rsid w:val="00EB6B3A"/>
    <w:rsid w:val="00EB6DF0"/>
    <w:rsid w:val="00EB6F6F"/>
    <w:rsid w:val="00EB7841"/>
    <w:rsid w:val="00EB7A2C"/>
    <w:rsid w:val="00EB7ADF"/>
    <w:rsid w:val="00EB7F3F"/>
    <w:rsid w:val="00EC003A"/>
    <w:rsid w:val="00EC00C9"/>
    <w:rsid w:val="00EC0227"/>
    <w:rsid w:val="00EC03E7"/>
    <w:rsid w:val="00EC0543"/>
    <w:rsid w:val="00EC0769"/>
    <w:rsid w:val="00EC0909"/>
    <w:rsid w:val="00EC0A1D"/>
    <w:rsid w:val="00EC0C21"/>
    <w:rsid w:val="00EC0DD9"/>
    <w:rsid w:val="00EC0F30"/>
    <w:rsid w:val="00EC0F43"/>
    <w:rsid w:val="00EC10FF"/>
    <w:rsid w:val="00EC141B"/>
    <w:rsid w:val="00EC16F2"/>
    <w:rsid w:val="00EC1A4F"/>
    <w:rsid w:val="00EC1B15"/>
    <w:rsid w:val="00EC1E82"/>
    <w:rsid w:val="00EC2649"/>
    <w:rsid w:val="00EC2722"/>
    <w:rsid w:val="00EC27B6"/>
    <w:rsid w:val="00EC27D6"/>
    <w:rsid w:val="00EC286D"/>
    <w:rsid w:val="00EC295D"/>
    <w:rsid w:val="00EC2A6F"/>
    <w:rsid w:val="00EC2AE0"/>
    <w:rsid w:val="00EC2B71"/>
    <w:rsid w:val="00EC2CC1"/>
    <w:rsid w:val="00EC2E32"/>
    <w:rsid w:val="00EC31ED"/>
    <w:rsid w:val="00EC3229"/>
    <w:rsid w:val="00EC3465"/>
    <w:rsid w:val="00EC3CFA"/>
    <w:rsid w:val="00EC40C8"/>
    <w:rsid w:val="00EC4227"/>
    <w:rsid w:val="00EC4612"/>
    <w:rsid w:val="00EC465A"/>
    <w:rsid w:val="00EC4679"/>
    <w:rsid w:val="00EC4F0E"/>
    <w:rsid w:val="00EC4F2F"/>
    <w:rsid w:val="00EC4FB4"/>
    <w:rsid w:val="00EC50EE"/>
    <w:rsid w:val="00EC520B"/>
    <w:rsid w:val="00EC52C3"/>
    <w:rsid w:val="00EC52FA"/>
    <w:rsid w:val="00EC55CE"/>
    <w:rsid w:val="00EC55DE"/>
    <w:rsid w:val="00EC5668"/>
    <w:rsid w:val="00EC57E3"/>
    <w:rsid w:val="00EC5836"/>
    <w:rsid w:val="00EC5CAE"/>
    <w:rsid w:val="00EC5D18"/>
    <w:rsid w:val="00EC5EDE"/>
    <w:rsid w:val="00EC606D"/>
    <w:rsid w:val="00EC6070"/>
    <w:rsid w:val="00EC60FF"/>
    <w:rsid w:val="00EC6219"/>
    <w:rsid w:val="00EC688C"/>
    <w:rsid w:val="00EC6C43"/>
    <w:rsid w:val="00EC6D1B"/>
    <w:rsid w:val="00EC6DAD"/>
    <w:rsid w:val="00EC71A3"/>
    <w:rsid w:val="00EC7809"/>
    <w:rsid w:val="00EC7B0D"/>
    <w:rsid w:val="00ED036D"/>
    <w:rsid w:val="00ED038F"/>
    <w:rsid w:val="00ED075E"/>
    <w:rsid w:val="00ED0A09"/>
    <w:rsid w:val="00ED0BF5"/>
    <w:rsid w:val="00ED0CBB"/>
    <w:rsid w:val="00ED0DC2"/>
    <w:rsid w:val="00ED0F43"/>
    <w:rsid w:val="00ED110A"/>
    <w:rsid w:val="00ED128A"/>
    <w:rsid w:val="00ED12E3"/>
    <w:rsid w:val="00ED1757"/>
    <w:rsid w:val="00ED1DA6"/>
    <w:rsid w:val="00ED1DEC"/>
    <w:rsid w:val="00ED21DC"/>
    <w:rsid w:val="00ED2306"/>
    <w:rsid w:val="00ED24BE"/>
    <w:rsid w:val="00ED2848"/>
    <w:rsid w:val="00ED3496"/>
    <w:rsid w:val="00ED350C"/>
    <w:rsid w:val="00ED367E"/>
    <w:rsid w:val="00ED37A7"/>
    <w:rsid w:val="00ED3932"/>
    <w:rsid w:val="00ED39A9"/>
    <w:rsid w:val="00ED3BE2"/>
    <w:rsid w:val="00ED40E1"/>
    <w:rsid w:val="00ED40EA"/>
    <w:rsid w:val="00ED43A1"/>
    <w:rsid w:val="00ED43C2"/>
    <w:rsid w:val="00ED44C5"/>
    <w:rsid w:val="00ED4B04"/>
    <w:rsid w:val="00ED4BB5"/>
    <w:rsid w:val="00ED4BE7"/>
    <w:rsid w:val="00ED4C8B"/>
    <w:rsid w:val="00ED4CE0"/>
    <w:rsid w:val="00ED4F14"/>
    <w:rsid w:val="00ED505A"/>
    <w:rsid w:val="00ED571F"/>
    <w:rsid w:val="00ED57EA"/>
    <w:rsid w:val="00ED5840"/>
    <w:rsid w:val="00ED589C"/>
    <w:rsid w:val="00ED5BD4"/>
    <w:rsid w:val="00ED5CB7"/>
    <w:rsid w:val="00ED681C"/>
    <w:rsid w:val="00ED71CC"/>
    <w:rsid w:val="00ED7953"/>
    <w:rsid w:val="00ED7A9D"/>
    <w:rsid w:val="00ED7BA1"/>
    <w:rsid w:val="00ED7EA7"/>
    <w:rsid w:val="00EE0294"/>
    <w:rsid w:val="00EE0351"/>
    <w:rsid w:val="00EE05A0"/>
    <w:rsid w:val="00EE078D"/>
    <w:rsid w:val="00EE07D3"/>
    <w:rsid w:val="00EE0874"/>
    <w:rsid w:val="00EE0CC8"/>
    <w:rsid w:val="00EE0FA3"/>
    <w:rsid w:val="00EE10FB"/>
    <w:rsid w:val="00EE11AE"/>
    <w:rsid w:val="00EE13FC"/>
    <w:rsid w:val="00EE16F5"/>
    <w:rsid w:val="00EE1726"/>
    <w:rsid w:val="00EE1996"/>
    <w:rsid w:val="00EE1A52"/>
    <w:rsid w:val="00EE1AAC"/>
    <w:rsid w:val="00EE1AEA"/>
    <w:rsid w:val="00EE1C01"/>
    <w:rsid w:val="00EE22AF"/>
    <w:rsid w:val="00EE24A2"/>
    <w:rsid w:val="00EE252E"/>
    <w:rsid w:val="00EE26A8"/>
    <w:rsid w:val="00EE27B7"/>
    <w:rsid w:val="00EE2AEB"/>
    <w:rsid w:val="00EE2B0C"/>
    <w:rsid w:val="00EE2BCA"/>
    <w:rsid w:val="00EE2EB7"/>
    <w:rsid w:val="00EE2ED8"/>
    <w:rsid w:val="00EE3168"/>
    <w:rsid w:val="00EE319B"/>
    <w:rsid w:val="00EE336E"/>
    <w:rsid w:val="00EE38C2"/>
    <w:rsid w:val="00EE3CBB"/>
    <w:rsid w:val="00EE409C"/>
    <w:rsid w:val="00EE4355"/>
    <w:rsid w:val="00EE4531"/>
    <w:rsid w:val="00EE479A"/>
    <w:rsid w:val="00EE486A"/>
    <w:rsid w:val="00EE48EB"/>
    <w:rsid w:val="00EE4D42"/>
    <w:rsid w:val="00EE4E97"/>
    <w:rsid w:val="00EE519A"/>
    <w:rsid w:val="00EE54A3"/>
    <w:rsid w:val="00EE56DA"/>
    <w:rsid w:val="00EE5B51"/>
    <w:rsid w:val="00EE5DC5"/>
    <w:rsid w:val="00EE6008"/>
    <w:rsid w:val="00EE6104"/>
    <w:rsid w:val="00EE6300"/>
    <w:rsid w:val="00EE6322"/>
    <w:rsid w:val="00EE6377"/>
    <w:rsid w:val="00EE6A94"/>
    <w:rsid w:val="00EE6E8D"/>
    <w:rsid w:val="00EE6F30"/>
    <w:rsid w:val="00EE70A2"/>
    <w:rsid w:val="00EE717D"/>
    <w:rsid w:val="00EE7255"/>
    <w:rsid w:val="00EE72D2"/>
    <w:rsid w:val="00EE7347"/>
    <w:rsid w:val="00EE770E"/>
    <w:rsid w:val="00EE77E8"/>
    <w:rsid w:val="00EE7965"/>
    <w:rsid w:val="00EE7A1F"/>
    <w:rsid w:val="00EE7CC6"/>
    <w:rsid w:val="00EE7E42"/>
    <w:rsid w:val="00EF0052"/>
    <w:rsid w:val="00EF0076"/>
    <w:rsid w:val="00EF0171"/>
    <w:rsid w:val="00EF04EA"/>
    <w:rsid w:val="00EF059D"/>
    <w:rsid w:val="00EF07CF"/>
    <w:rsid w:val="00EF0AC1"/>
    <w:rsid w:val="00EF0DA6"/>
    <w:rsid w:val="00EF139D"/>
    <w:rsid w:val="00EF19A2"/>
    <w:rsid w:val="00EF1B25"/>
    <w:rsid w:val="00EF1DA0"/>
    <w:rsid w:val="00EF20A0"/>
    <w:rsid w:val="00EF20D4"/>
    <w:rsid w:val="00EF2238"/>
    <w:rsid w:val="00EF22B5"/>
    <w:rsid w:val="00EF2302"/>
    <w:rsid w:val="00EF2305"/>
    <w:rsid w:val="00EF2C19"/>
    <w:rsid w:val="00EF2C81"/>
    <w:rsid w:val="00EF2E75"/>
    <w:rsid w:val="00EF3011"/>
    <w:rsid w:val="00EF38A1"/>
    <w:rsid w:val="00EF3D6C"/>
    <w:rsid w:val="00EF419A"/>
    <w:rsid w:val="00EF435E"/>
    <w:rsid w:val="00EF4518"/>
    <w:rsid w:val="00EF4728"/>
    <w:rsid w:val="00EF4746"/>
    <w:rsid w:val="00EF4747"/>
    <w:rsid w:val="00EF4B40"/>
    <w:rsid w:val="00EF4BF8"/>
    <w:rsid w:val="00EF4EF6"/>
    <w:rsid w:val="00EF4F77"/>
    <w:rsid w:val="00EF4FC3"/>
    <w:rsid w:val="00EF5832"/>
    <w:rsid w:val="00EF5964"/>
    <w:rsid w:val="00EF5A6C"/>
    <w:rsid w:val="00EF5C2D"/>
    <w:rsid w:val="00EF5E56"/>
    <w:rsid w:val="00EF5F35"/>
    <w:rsid w:val="00EF66DE"/>
    <w:rsid w:val="00EF69B7"/>
    <w:rsid w:val="00EF69DA"/>
    <w:rsid w:val="00EF6A21"/>
    <w:rsid w:val="00EF6B06"/>
    <w:rsid w:val="00EF6B19"/>
    <w:rsid w:val="00EF6EB2"/>
    <w:rsid w:val="00EF6F42"/>
    <w:rsid w:val="00EF7315"/>
    <w:rsid w:val="00EF73C0"/>
    <w:rsid w:val="00EF745C"/>
    <w:rsid w:val="00EF76A6"/>
    <w:rsid w:val="00EF7B22"/>
    <w:rsid w:val="00EF7B24"/>
    <w:rsid w:val="00F0016D"/>
    <w:rsid w:val="00F004CF"/>
    <w:rsid w:val="00F00635"/>
    <w:rsid w:val="00F00994"/>
    <w:rsid w:val="00F00A60"/>
    <w:rsid w:val="00F00B50"/>
    <w:rsid w:val="00F00CA7"/>
    <w:rsid w:val="00F00E9F"/>
    <w:rsid w:val="00F0106F"/>
    <w:rsid w:val="00F0121C"/>
    <w:rsid w:val="00F0136E"/>
    <w:rsid w:val="00F014F5"/>
    <w:rsid w:val="00F015CD"/>
    <w:rsid w:val="00F01638"/>
    <w:rsid w:val="00F01CD2"/>
    <w:rsid w:val="00F01ECF"/>
    <w:rsid w:val="00F02041"/>
    <w:rsid w:val="00F0215A"/>
    <w:rsid w:val="00F02253"/>
    <w:rsid w:val="00F026A1"/>
    <w:rsid w:val="00F029C2"/>
    <w:rsid w:val="00F02CFD"/>
    <w:rsid w:val="00F02F07"/>
    <w:rsid w:val="00F02FBA"/>
    <w:rsid w:val="00F0314D"/>
    <w:rsid w:val="00F03169"/>
    <w:rsid w:val="00F03632"/>
    <w:rsid w:val="00F03835"/>
    <w:rsid w:val="00F03868"/>
    <w:rsid w:val="00F03C2E"/>
    <w:rsid w:val="00F03CC8"/>
    <w:rsid w:val="00F03E2A"/>
    <w:rsid w:val="00F03FE4"/>
    <w:rsid w:val="00F042FB"/>
    <w:rsid w:val="00F0492A"/>
    <w:rsid w:val="00F04A66"/>
    <w:rsid w:val="00F04ADD"/>
    <w:rsid w:val="00F04B10"/>
    <w:rsid w:val="00F04B30"/>
    <w:rsid w:val="00F04B4B"/>
    <w:rsid w:val="00F04B51"/>
    <w:rsid w:val="00F04DAA"/>
    <w:rsid w:val="00F04EFB"/>
    <w:rsid w:val="00F0516C"/>
    <w:rsid w:val="00F05195"/>
    <w:rsid w:val="00F05394"/>
    <w:rsid w:val="00F05684"/>
    <w:rsid w:val="00F05788"/>
    <w:rsid w:val="00F05EB4"/>
    <w:rsid w:val="00F0610B"/>
    <w:rsid w:val="00F06275"/>
    <w:rsid w:val="00F06343"/>
    <w:rsid w:val="00F063F7"/>
    <w:rsid w:val="00F06749"/>
    <w:rsid w:val="00F067A2"/>
    <w:rsid w:val="00F067AD"/>
    <w:rsid w:val="00F06A70"/>
    <w:rsid w:val="00F06AEE"/>
    <w:rsid w:val="00F06C98"/>
    <w:rsid w:val="00F06E20"/>
    <w:rsid w:val="00F07150"/>
    <w:rsid w:val="00F07440"/>
    <w:rsid w:val="00F0755A"/>
    <w:rsid w:val="00F07643"/>
    <w:rsid w:val="00F0769F"/>
    <w:rsid w:val="00F077D4"/>
    <w:rsid w:val="00F07874"/>
    <w:rsid w:val="00F07B9E"/>
    <w:rsid w:val="00F07CF9"/>
    <w:rsid w:val="00F07E18"/>
    <w:rsid w:val="00F07FBA"/>
    <w:rsid w:val="00F10080"/>
    <w:rsid w:val="00F1076E"/>
    <w:rsid w:val="00F10936"/>
    <w:rsid w:val="00F10ADB"/>
    <w:rsid w:val="00F10DBB"/>
    <w:rsid w:val="00F1116F"/>
    <w:rsid w:val="00F117C3"/>
    <w:rsid w:val="00F120EA"/>
    <w:rsid w:val="00F1210A"/>
    <w:rsid w:val="00F122BF"/>
    <w:rsid w:val="00F1263A"/>
    <w:rsid w:val="00F126C8"/>
    <w:rsid w:val="00F1289C"/>
    <w:rsid w:val="00F1289D"/>
    <w:rsid w:val="00F12AE3"/>
    <w:rsid w:val="00F12C21"/>
    <w:rsid w:val="00F131B8"/>
    <w:rsid w:val="00F13211"/>
    <w:rsid w:val="00F1342F"/>
    <w:rsid w:val="00F1352B"/>
    <w:rsid w:val="00F13561"/>
    <w:rsid w:val="00F13684"/>
    <w:rsid w:val="00F139C5"/>
    <w:rsid w:val="00F13ED0"/>
    <w:rsid w:val="00F144B6"/>
    <w:rsid w:val="00F145DA"/>
    <w:rsid w:val="00F1462E"/>
    <w:rsid w:val="00F1491B"/>
    <w:rsid w:val="00F149E7"/>
    <w:rsid w:val="00F14FDD"/>
    <w:rsid w:val="00F153C7"/>
    <w:rsid w:val="00F15B01"/>
    <w:rsid w:val="00F15B77"/>
    <w:rsid w:val="00F15BBA"/>
    <w:rsid w:val="00F15C98"/>
    <w:rsid w:val="00F164F4"/>
    <w:rsid w:val="00F165BE"/>
    <w:rsid w:val="00F16AA1"/>
    <w:rsid w:val="00F16E38"/>
    <w:rsid w:val="00F16F34"/>
    <w:rsid w:val="00F16FC6"/>
    <w:rsid w:val="00F16FDF"/>
    <w:rsid w:val="00F174CE"/>
    <w:rsid w:val="00F175BC"/>
    <w:rsid w:val="00F178A4"/>
    <w:rsid w:val="00F17B25"/>
    <w:rsid w:val="00F17B6E"/>
    <w:rsid w:val="00F17D97"/>
    <w:rsid w:val="00F17FDE"/>
    <w:rsid w:val="00F20201"/>
    <w:rsid w:val="00F2039A"/>
    <w:rsid w:val="00F204D3"/>
    <w:rsid w:val="00F208CE"/>
    <w:rsid w:val="00F20B64"/>
    <w:rsid w:val="00F20FB0"/>
    <w:rsid w:val="00F2118D"/>
    <w:rsid w:val="00F21236"/>
    <w:rsid w:val="00F2126C"/>
    <w:rsid w:val="00F213B8"/>
    <w:rsid w:val="00F218CF"/>
    <w:rsid w:val="00F218DA"/>
    <w:rsid w:val="00F21B96"/>
    <w:rsid w:val="00F21BEF"/>
    <w:rsid w:val="00F2267C"/>
    <w:rsid w:val="00F22840"/>
    <w:rsid w:val="00F2284C"/>
    <w:rsid w:val="00F22991"/>
    <w:rsid w:val="00F22CDA"/>
    <w:rsid w:val="00F22D18"/>
    <w:rsid w:val="00F235E1"/>
    <w:rsid w:val="00F23893"/>
    <w:rsid w:val="00F239B0"/>
    <w:rsid w:val="00F239DF"/>
    <w:rsid w:val="00F23A90"/>
    <w:rsid w:val="00F23C00"/>
    <w:rsid w:val="00F23EDF"/>
    <w:rsid w:val="00F240FD"/>
    <w:rsid w:val="00F241FA"/>
    <w:rsid w:val="00F244A9"/>
    <w:rsid w:val="00F244B4"/>
    <w:rsid w:val="00F2465C"/>
    <w:rsid w:val="00F24675"/>
    <w:rsid w:val="00F2474F"/>
    <w:rsid w:val="00F24837"/>
    <w:rsid w:val="00F24BD0"/>
    <w:rsid w:val="00F24BE1"/>
    <w:rsid w:val="00F24D46"/>
    <w:rsid w:val="00F251E0"/>
    <w:rsid w:val="00F251F4"/>
    <w:rsid w:val="00F2575F"/>
    <w:rsid w:val="00F25771"/>
    <w:rsid w:val="00F25FE1"/>
    <w:rsid w:val="00F26518"/>
    <w:rsid w:val="00F26838"/>
    <w:rsid w:val="00F268A1"/>
    <w:rsid w:val="00F26924"/>
    <w:rsid w:val="00F26CED"/>
    <w:rsid w:val="00F26DB0"/>
    <w:rsid w:val="00F27565"/>
    <w:rsid w:val="00F2768C"/>
    <w:rsid w:val="00F27812"/>
    <w:rsid w:val="00F279C4"/>
    <w:rsid w:val="00F27B36"/>
    <w:rsid w:val="00F27C62"/>
    <w:rsid w:val="00F27CBA"/>
    <w:rsid w:val="00F27EC5"/>
    <w:rsid w:val="00F3060C"/>
    <w:rsid w:val="00F307B3"/>
    <w:rsid w:val="00F3088A"/>
    <w:rsid w:val="00F30970"/>
    <w:rsid w:val="00F30B0A"/>
    <w:rsid w:val="00F30C62"/>
    <w:rsid w:val="00F310D4"/>
    <w:rsid w:val="00F311A4"/>
    <w:rsid w:val="00F311BB"/>
    <w:rsid w:val="00F3134D"/>
    <w:rsid w:val="00F315D4"/>
    <w:rsid w:val="00F316DF"/>
    <w:rsid w:val="00F31840"/>
    <w:rsid w:val="00F3188F"/>
    <w:rsid w:val="00F31BEF"/>
    <w:rsid w:val="00F31D5A"/>
    <w:rsid w:val="00F31DDB"/>
    <w:rsid w:val="00F31FEC"/>
    <w:rsid w:val="00F3200A"/>
    <w:rsid w:val="00F320FD"/>
    <w:rsid w:val="00F32153"/>
    <w:rsid w:val="00F32210"/>
    <w:rsid w:val="00F3243B"/>
    <w:rsid w:val="00F324B2"/>
    <w:rsid w:val="00F32543"/>
    <w:rsid w:val="00F325A9"/>
    <w:rsid w:val="00F3274C"/>
    <w:rsid w:val="00F3291A"/>
    <w:rsid w:val="00F329C5"/>
    <w:rsid w:val="00F32B40"/>
    <w:rsid w:val="00F32BB9"/>
    <w:rsid w:val="00F32BEF"/>
    <w:rsid w:val="00F32C31"/>
    <w:rsid w:val="00F32CC5"/>
    <w:rsid w:val="00F32EAB"/>
    <w:rsid w:val="00F32EBA"/>
    <w:rsid w:val="00F3358E"/>
    <w:rsid w:val="00F33975"/>
    <w:rsid w:val="00F33B73"/>
    <w:rsid w:val="00F33DE9"/>
    <w:rsid w:val="00F3416F"/>
    <w:rsid w:val="00F34242"/>
    <w:rsid w:val="00F346B3"/>
    <w:rsid w:val="00F346D0"/>
    <w:rsid w:val="00F347A3"/>
    <w:rsid w:val="00F34878"/>
    <w:rsid w:val="00F34965"/>
    <w:rsid w:val="00F349D6"/>
    <w:rsid w:val="00F34B80"/>
    <w:rsid w:val="00F34D3D"/>
    <w:rsid w:val="00F34F14"/>
    <w:rsid w:val="00F34F50"/>
    <w:rsid w:val="00F35371"/>
    <w:rsid w:val="00F356AA"/>
    <w:rsid w:val="00F35D09"/>
    <w:rsid w:val="00F35E6D"/>
    <w:rsid w:val="00F3619A"/>
    <w:rsid w:val="00F3627E"/>
    <w:rsid w:val="00F36389"/>
    <w:rsid w:val="00F36405"/>
    <w:rsid w:val="00F365D0"/>
    <w:rsid w:val="00F365DD"/>
    <w:rsid w:val="00F3662E"/>
    <w:rsid w:val="00F36848"/>
    <w:rsid w:val="00F3718F"/>
    <w:rsid w:val="00F37308"/>
    <w:rsid w:val="00F3733E"/>
    <w:rsid w:val="00F37B6C"/>
    <w:rsid w:val="00F37EEB"/>
    <w:rsid w:val="00F40224"/>
    <w:rsid w:val="00F40273"/>
    <w:rsid w:val="00F40421"/>
    <w:rsid w:val="00F408DE"/>
    <w:rsid w:val="00F40A45"/>
    <w:rsid w:val="00F40AAA"/>
    <w:rsid w:val="00F40BA7"/>
    <w:rsid w:val="00F40BEE"/>
    <w:rsid w:val="00F40D29"/>
    <w:rsid w:val="00F40DB2"/>
    <w:rsid w:val="00F40F9D"/>
    <w:rsid w:val="00F410CB"/>
    <w:rsid w:val="00F41856"/>
    <w:rsid w:val="00F41A85"/>
    <w:rsid w:val="00F41ACD"/>
    <w:rsid w:val="00F41B9C"/>
    <w:rsid w:val="00F41C1A"/>
    <w:rsid w:val="00F41CF0"/>
    <w:rsid w:val="00F41E06"/>
    <w:rsid w:val="00F41F89"/>
    <w:rsid w:val="00F421EA"/>
    <w:rsid w:val="00F42811"/>
    <w:rsid w:val="00F42815"/>
    <w:rsid w:val="00F42840"/>
    <w:rsid w:val="00F42A84"/>
    <w:rsid w:val="00F42D3F"/>
    <w:rsid w:val="00F42E73"/>
    <w:rsid w:val="00F43111"/>
    <w:rsid w:val="00F438ED"/>
    <w:rsid w:val="00F43C00"/>
    <w:rsid w:val="00F43E69"/>
    <w:rsid w:val="00F444B5"/>
    <w:rsid w:val="00F44561"/>
    <w:rsid w:val="00F44820"/>
    <w:rsid w:val="00F44877"/>
    <w:rsid w:val="00F44C7A"/>
    <w:rsid w:val="00F44CD1"/>
    <w:rsid w:val="00F44CD9"/>
    <w:rsid w:val="00F44D08"/>
    <w:rsid w:val="00F44E67"/>
    <w:rsid w:val="00F44F46"/>
    <w:rsid w:val="00F4512D"/>
    <w:rsid w:val="00F451BF"/>
    <w:rsid w:val="00F45257"/>
    <w:rsid w:val="00F452FE"/>
    <w:rsid w:val="00F453D4"/>
    <w:rsid w:val="00F45638"/>
    <w:rsid w:val="00F458C0"/>
    <w:rsid w:val="00F45F98"/>
    <w:rsid w:val="00F465FC"/>
    <w:rsid w:val="00F469F3"/>
    <w:rsid w:val="00F46C80"/>
    <w:rsid w:val="00F46CB6"/>
    <w:rsid w:val="00F46D77"/>
    <w:rsid w:val="00F46E51"/>
    <w:rsid w:val="00F46F02"/>
    <w:rsid w:val="00F470F3"/>
    <w:rsid w:val="00F4756D"/>
    <w:rsid w:val="00F47A7F"/>
    <w:rsid w:val="00F47C25"/>
    <w:rsid w:val="00F47DE8"/>
    <w:rsid w:val="00F50282"/>
    <w:rsid w:val="00F503AC"/>
    <w:rsid w:val="00F505D8"/>
    <w:rsid w:val="00F50C89"/>
    <w:rsid w:val="00F50DF2"/>
    <w:rsid w:val="00F513D9"/>
    <w:rsid w:val="00F51C84"/>
    <w:rsid w:val="00F51E76"/>
    <w:rsid w:val="00F51F54"/>
    <w:rsid w:val="00F51FF5"/>
    <w:rsid w:val="00F524E2"/>
    <w:rsid w:val="00F52713"/>
    <w:rsid w:val="00F52762"/>
    <w:rsid w:val="00F5284B"/>
    <w:rsid w:val="00F52A7E"/>
    <w:rsid w:val="00F52BB9"/>
    <w:rsid w:val="00F52C58"/>
    <w:rsid w:val="00F52D11"/>
    <w:rsid w:val="00F52DED"/>
    <w:rsid w:val="00F5302D"/>
    <w:rsid w:val="00F531CE"/>
    <w:rsid w:val="00F53497"/>
    <w:rsid w:val="00F5374E"/>
    <w:rsid w:val="00F5389C"/>
    <w:rsid w:val="00F53A54"/>
    <w:rsid w:val="00F53C4F"/>
    <w:rsid w:val="00F53E3C"/>
    <w:rsid w:val="00F5428A"/>
    <w:rsid w:val="00F542C1"/>
    <w:rsid w:val="00F5430D"/>
    <w:rsid w:val="00F54368"/>
    <w:rsid w:val="00F548A2"/>
    <w:rsid w:val="00F550E3"/>
    <w:rsid w:val="00F551C7"/>
    <w:rsid w:val="00F55275"/>
    <w:rsid w:val="00F55569"/>
    <w:rsid w:val="00F558F5"/>
    <w:rsid w:val="00F55E37"/>
    <w:rsid w:val="00F55E73"/>
    <w:rsid w:val="00F55EDA"/>
    <w:rsid w:val="00F56033"/>
    <w:rsid w:val="00F56062"/>
    <w:rsid w:val="00F566D9"/>
    <w:rsid w:val="00F56C80"/>
    <w:rsid w:val="00F56C9C"/>
    <w:rsid w:val="00F57715"/>
    <w:rsid w:val="00F60092"/>
    <w:rsid w:val="00F604DB"/>
    <w:rsid w:val="00F60B60"/>
    <w:rsid w:val="00F60E9C"/>
    <w:rsid w:val="00F60FFB"/>
    <w:rsid w:val="00F61044"/>
    <w:rsid w:val="00F612D0"/>
    <w:rsid w:val="00F614C0"/>
    <w:rsid w:val="00F61A3F"/>
    <w:rsid w:val="00F61BDC"/>
    <w:rsid w:val="00F61C18"/>
    <w:rsid w:val="00F61C51"/>
    <w:rsid w:val="00F61D93"/>
    <w:rsid w:val="00F61E88"/>
    <w:rsid w:val="00F62102"/>
    <w:rsid w:val="00F624F0"/>
    <w:rsid w:val="00F6298F"/>
    <w:rsid w:val="00F62D89"/>
    <w:rsid w:val="00F62DF4"/>
    <w:rsid w:val="00F63088"/>
    <w:rsid w:val="00F634B9"/>
    <w:rsid w:val="00F634CA"/>
    <w:rsid w:val="00F63CFD"/>
    <w:rsid w:val="00F63D96"/>
    <w:rsid w:val="00F6401F"/>
    <w:rsid w:val="00F64191"/>
    <w:rsid w:val="00F641AB"/>
    <w:rsid w:val="00F6480B"/>
    <w:rsid w:val="00F64C92"/>
    <w:rsid w:val="00F64FBC"/>
    <w:rsid w:val="00F650DF"/>
    <w:rsid w:val="00F651EF"/>
    <w:rsid w:val="00F65228"/>
    <w:rsid w:val="00F65563"/>
    <w:rsid w:val="00F655BA"/>
    <w:rsid w:val="00F65615"/>
    <w:rsid w:val="00F657AB"/>
    <w:rsid w:val="00F65992"/>
    <w:rsid w:val="00F65AE2"/>
    <w:rsid w:val="00F65D38"/>
    <w:rsid w:val="00F65F40"/>
    <w:rsid w:val="00F65F4B"/>
    <w:rsid w:val="00F65F82"/>
    <w:rsid w:val="00F6605B"/>
    <w:rsid w:val="00F6670E"/>
    <w:rsid w:val="00F667EC"/>
    <w:rsid w:val="00F669A5"/>
    <w:rsid w:val="00F669D0"/>
    <w:rsid w:val="00F66A7C"/>
    <w:rsid w:val="00F66B97"/>
    <w:rsid w:val="00F66BC6"/>
    <w:rsid w:val="00F66EAC"/>
    <w:rsid w:val="00F66F1D"/>
    <w:rsid w:val="00F67379"/>
    <w:rsid w:val="00F678AB"/>
    <w:rsid w:val="00F679F6"/>
    <w:rsid w:val="00F67A69"/>
    <w:rsid w:val="00F67C01"/>
    <w:rsid w:val="00F67E74"/>
    <w:rsid w:val="00F70135"/>
    <w:rsid w:val="00F70297"/>
    <w:rsid w:val="00F7033E"/>
    <w:rsid w:val="00F70753"/>
    <w:rsid w:val="00F7077F"/>
    <w:rsid w:val="00F70A29"/>
    <w:rsid w:val="00F70BC6"/>
    <w:rsid w:val="00F70BFF"/>
    <w:rsid w:val="00F70C9D"/>
    <w:rsid w:val="00F70CB9"/>
    <w:rsid w:val="00F70F02"/>
    <w:rsid w:val="00F71140"/>
    <w:rsid w:val="00F7146C"/>
    <w:rsid w:val="00F717D3"/>
    <w:rsid w:val="00F71887"/>
    <w:rsid w:val="00F71970"/>
    <w:rsid w:val="00F71F1D"/>
    <w:rsid w:val="00F71F2D"/>
    <w:rsid w:val="00F720D2"/>
    <w:rsid w:val="00F726A9"/>
    <w:rsid w:val="00F72E57"/>
    <w:rsid w:val="00F730D6"/>
    <w:rsid w:val="00F73256"/>
    <w:rsid w:val="00F732A0"/>
    <w:rsid w:val="00F737EA"/>
    <w:rsid w:val="00F73890"/>
    <w:rsid w:val="00F7397B"/>
    <w:rsid w:val="00F73C84"/>
    <w:rsid w:val="00F73E08"/>
    <w:rsid w:val="00F73EB1"/>
    <w:rsid w:val="00F74389"/>
    <w:rsid w:val="00F74B75"/>
    <w:rsid w:val="00F74C18"/>
    <w:rsid w:val="00F74CD0"/>
    <w:rsid w:val="00F74CD9"/>
    <w:rsid w:val="00F74F5D"/>
    <w:rsid w:val="00F74F84"/>
    <w:rsid w:val="00F7522C"/>
    <w:rsid w:val="00F75712"/>
    <w:rsid w:val="00F758DA"/>
    <w:rsid w:val="00F75BCB"/>
    <w:rsid w:val="00F760C3"/>
    <w:rsid w:val="00F76106"/>
    <w:rsid w:val="00F7665C"/>
    <w:rsid w:val="00F76881"/>
    <w:rsid w:val="00F76912"/>
    <w:rsid w:val="00F76963"/>
    <w:rsid w:val="00F769CF"/>
    <w:rsid w:val="00F769E6"/>
    <w:rsid w:val="00F76C2E"/>
    <w:rsid w:val="00F76C59"/>
    <w:rsid w:val="00F76CDB"/>
    <w:rsid w:val="00F7728D"/>
    <w:rsid w:val="00F7731C"/>
    <w:rsid w:val="00F77339"/>
    <w:rsid w:val="00F773E1"/>
    <w:rsid w:val="00F77471"/>
    <w:rsid w:val="00F7765F"/>
    <w:rsid w:val="00F77890"/>
    <w:rsid w:val="00F778ED"/>
    <w:rsid w:val="00F77ABC"/>
    <w:rsid w:val="00F77D24"/>
    <w:rsid w:val="00F802BD"/>
    <w:rsid w:val="00F80369"/>
    <w:rsid w:val="00F80602"/>
    <w:rsid w:val="00F80876"/>
    <w:rsid w:val="00F808DB"/>
    <w:rsid w:val="00F80A7B"/>
    <w:rsid w:val="00F80C78"/>
    <w:rsid w:val="00F80E5D"/>
    <w:rsid w:val="00F81095"/>
    <w:rsid w:val="00F81215"/>
    <w:rsid w:val="00F812FC"/>
    <w:rsid w:val="00F81B4D"/>
    <w:rsid w:val="00F81E78"/>
    <w:rsid w:val="00F827D8"/>
    <w:rsid w:val="00F82A5F"/>
    <w:rsid w:val="00F82AA3"/>
    <w:rsid w:val="00F82B32"/>
    <w:rsid w:val="00F82E93"/>
    <w:rsid w:val="00F82EA1"/>
    <w:rsid w:val="00F830A4"/>
    <w:rsid w:val="00F83146"/>
    <w:rsid w:val="00F83283"/>
    <w:rsid w:val="00F8343B"/>
    <w:rsid w:val="00F835CD"/>
    <w:rsid w:val="00F83916"/>
    <w:rsid w:val="00F83918"/>
    <w:rsid w:val="00F83A28"/>
    <w:rsid w:val="00F83BEF"/>
    <w:rsid w:val="00F840A4"/>
    <w:rsid w:val="00F841A2"/>
    <w:rsid w:val="00F8424C"/>
    <w:rsid w:val="00F846C9"/>
    <w:rsid w:val="00F84AA9"/>
    <w:rsid w:val="00F84D6C"/>
    <w:rsid w:val="00F84F19"/>
    <w:rsid w:val="00F85071"/>
    <w:rsid w:val="00F850D6"/>
    <w:rsid w:val="00F851CE"/>
    <w:rsid w:val="00F85B65"/>
    <w:rsid w:val="00F85CDC"/>
    <w:rsid w:val="00F85EAF"/>
    <w:rsid w:val="00F85F28"/>
    <w:rsid w:val="00F85F52"/>
    <w:rsid w:val="00F8611D"/>
    <w:rsid w:val="00F864F0"/>
    <w:rsid w:val="00F86863"/>
    <w:rsid w:val="00F86954"/>
    <w:rsid w:val="00F869F1"/>
    <w:rsid w:val="00F87359"/>
    <w:rsid w:val="00F876EB"/>
    <w:rsid w:val="00F8792D"/>
    <w:rsid w:val="00F87CC4"/>
    <w:rsid w:val="00F87E52"/>
    <w:rsid w:val="00F90017"/>
    <w:rsid w:val="00F90491"/>
    <w:rsid w:val="00F90715"/>
    <w:rsid w:val="00F90939"/>
    <w:rsid w:val="00F909BD"/>
    <w:rsid w:val="00F90A8C"/>
    <w:rsid w:val="00F90EAE"/>
    <w:rsid w:val="00F90FD1"/>
    <w:rsid w:val="00F91172"/>
    <w:rsid w:val="00F91219"/>
    <w:rsid w:val="00F91386"/>
    <w:rsid w:val="00F92444"/>
    <w:rsid w:val="00F92504"/>
    <w:rsid w:val="00F9259B"/>
    <w:rsid w:val="00F9262D"/>
    <w:rsid w:val="00F92736"/>
    <w:rsid w:val="00F92CC5"/>
    <w:rsid w:val="00F92F35"/>
    <w:rsid w:val="00F92FA5"/>
    <w:rsid w:val="00F9393E"/>
    <w:rsid w:val="00F939AF"/>
    <w:rsid w:val="00F93A8D"/>
    <w:rsid w:val="00F93BE4"/>
    <w:rsid w:val="00F93C3E"/>
    <w:rsid w:val="00F93C43"/>
    <w:rsid w:val="00F94708"/>
    <w:rsid w:val="00F9472D"/>
    <w:rsid w:val="00F94A64"/>
    <w:rsid w:val="00F94A93"/>
    <w:rsid w:val="00F94B8E"/>
    <w:rsid w:val="00F94C8C"/>
    <w:rsid w:val="00F94D87"/>
    <w:rsid w:val="00F94DEB"/>
    <w:rsid w:val="00F95056"/>
    <w:rsid w:val="00F9511B"/>
    <w:rsid w:val="00F956CF"/>
    <w:rsid w:val="00F9575C"/>
    <w:rsid w:val="00F967E4"/>
    <w:rsid w:val="00F96A91"/>
    <w:rsid w:val="00F96B0D"/>
    <w:rsid w:val="00F96CE9"/>
    <w:rsid w:val="00F96EAD"/>
    <w:rsid w:val="00F96FD0"/>
    <w:rsid w:val="00F9716C"/>
    <w:rsid w:val="00F97431"/>
    <w:rsid w:val="00F97509"/>
    <w:rsid w:val="00F97A78"/>
    <w:rsid w:val="00F97C46"/>
    <w:rsid w:val="00F97CB3"/>
    <w:rsid w:val="00F97CC5"/>
    <w:rsid w:val="00FA00E1"/>
    <w:rsid w:val="00FA05EF"/>
    <w:rsid w:val="00FA0670"/>
    <w:rsid w:val="00FA077D"/>
    <w:rsid w:val="00FA09D8"/>
    <w:rsid w:val="00FA0B20"/>
    <w:rsid w:val="00FA0D69"/>
    <w:rsid w:val="00FA0DAC"/>
    <w:rsid w:val="00FA0FFA"/>
    <w:rsid w:val="00FA1460"/>
    <w:rsid w:val="00FA18A9"/>
    <w:rsid w:val="00FA1FAF"/>
    <w:rsid w:val="00FA2021"/>
    <w:rsid w:val="00FA2128"/>
    <w:rsid w:val="00FA22CE"/>
    <w:rsid w:val="00FA2344"/>
    <w:rsid w:val="00FA2398"/>
    <w:rsid w:val="00FA2484"/>
    <w:rsid w:val="00FA24E7"/>
    <w:rsid w:val="00FA259B"/>
    <w:rsid w:val="00FA28C6"/>
    <w:rsid w:val="00FA31F6"/>
    <w:rsid w:val="00FA3517"/>
    <w:rsid w:val="00FA35AB"/>
    <w:rsid w:val="00FA3A5D"/>
    <w:rsid w:val="00FA3A80"/>
    <w:rsid w:val="00FA3D8B"/>
    <w:rsid w:val="00FA3E8F"/>
    <w:rsid w:val="00FA3F8D"/>
    <w:rsid w:val="00FA4226"/>
    <w:rsid w:val="00FA423E"/>
    <w:rsid w:val="00FA436A"/>
    <w:rsid w:val="00FA45E9"/>
    <w:rsid w:val="00FA47F4"/>
    <w:rsid w:val="00FA49AC"/>
    <w:rsid w:val="00FA49BA"/>
    <w:rsid w:val="00FA4A2A"/>
    <w:rsid w:val="00FA4C77"/>
    <w:rsid w:val="00FA4D50"/>
    <w:rsid w:val="00FA4E86"/>
    <w:rsid w:val="00FA5149"/>
    <w:rsid w:val="00FA55A5"/>
    <w:rsid w:val="00FA5686"/>
    <w:rsid w:val="00FA5694"/>
    <w:rsid w:val="00FA5A6D"/>
    <w:rsid w:val="00FA5E36"/>
    <w:rsid w:val="00FA5EE6"/>
    <w:rsid w:val="00FA6459"/>
    <w:rsid w:val="00FA6E4B"/>
    <w:rsid w:val="00FA705B"/>
    <w:rsid w:val="00FA75AB"/>
    <w:rsid w:val="00FA7677"/>
    <w:rsid w:val="00FA7956"/>
    <w:rsid w:val="00FA7FF5"/>
    <w:rsid w:val="00FB00DE"/>
    <w:rsid w:val="00FB036B"/>
    <w:rsid w:val="00FB04F6"/>
    <w:rsid w:val="00FB05CB"/>
    <w:rsid w:val="00FB076F"/>
    <w:rsid w:val="00FB0824"/>
    <w:rsid w:val="00FB08B0"/>
    <w:rsid w:val="00FB0E8B"/>
    <w:rsid w:val="00FB13D7"/>
    <w:rsid w:val="00FB1414"/>
    <w:rsid w:val="00FB149D"/>
    <w:rsid w:val="00FB1517"/>
    <w:rsid w:val="00FB156C"/>
    <w:rsid w:val="00FB17A1"/>
    <w:rsid w:val="00FB1DDF"/>
    <w:rsid w:val="00FB1F58"/>
    <w:rsid w:val="00FB20ED"/>
    <w:rsid w:val="00FB21CF"/>
    <w:rsid w:val="00FB2702"/>
    <w:rsid w:val="00FB27B8"/>
    <w:rsid w:val="00FB284B"/>
    <w:rsid w:val="00FB2A1E"/>
    <w:rsid w:val="00FB2AC7"/>
    <w:rsid w:val="00FB2DAB"/>
    <w:rsid w:val="00FB2F13"/>
    <w:rsid w:val="00FB2FCB"/>
    <w:rsid w:val="00FB2FDB"/>
    <w:rsid w:val="00FB348A"/>
    <w:rsid w:val="00FB4138"/>
    <w:rsid w:val="00FB4933"/>
    <w:rsid w:val="00FB4AAE"/>
    <w:rsid w:val="00FB4C9C"/>
    <w:rsid w:val="00FB4F55"/>
    <w:rsid w:val="00FB4FB0"/>
    <w:rsid w:val="00FB5207"/>
    <w:rsid w:val="00FB5419"/>
    <w:rsid w:val="00FB54DF"/>
    <w:rsid w:val="00FB5B10"/>
    <w:rsid w:val="00FB5C0D"/>
    <w:rsid w:val="00FB5DD9"/>
    <w:rsid w:val="00FB6211"/>
    <w:rsid w:val="00FB65D0"/>
    <w:rsid w:val="00FB69BD"/>
    <w:rsid w:val="00FB6EA4"/>
    <w:rsid w:val="00FB713E"/>
    <w:rsid w:val="00FB73FE"/>
    <w:rsid w:val="00FB75EE"/>
    <w:rsid w:val="00FB7C49"/>
    <w:rsid w:val="00FB7C55"/>
    <w:rsid w:val="00FC029F"/>
    <w:rsid w:val="00FC0C9E"/>
    <w:rsid w:val="00FC1052"/>
    <w:rsid w:val="00FC1074"/>
    <w:rsid w:val="00FC129C"/>
    <w:rsid w:val="00FC13E2"/>
    <w:rsid w:val="00FC162F"/>
    <w:rsid w:val="00FC1654"/>
    <w:rsid w:val="00FC172F"/>
    <w:rsid w:val="00FC173A"/>
    <w:rsid w:val="00FC1776"/>
    <w:rsid w:val="00FC1884"/>
    <w:rsid w:val="00FC189B"/>
    <w:rsid w:val="00FC1C4C"/>
    <w:rsid w:val="00FC1C58"/>
    <w:rsid w:val="00FC213D"/>
    <w:rsid w:val="00FC2D81"/>
    <w:rsid w:val="00FC3374"/>
    <w:rsid w:val="00FC371D"/>
    <w:rsid w:val="00FC3B24"/>
    <w:rsid w:val="00FC3D12"/>
    <w:rsid w:val="00FC4136"/>
    <w:rsid w:val="00FC425F"/>
    <w:rsid w:val="00FC46B3"/>
    <w:rsid w:val="00FC4893"/>
    <w:rsid w:val="00FC4948"/>
    <w:rsid w:val="00FC4A12"/>
    <w:rsid w:val="00FC4A2C"/>
    <w:rsid w:val="00FC4A4F"/>
    <w:rsid w:val="00FC4ABB"/>
    <w:rsid w:val="00FC54A4"/>
    <w:rsid w:val="00FC5BA3"/>
    <w:rsid w:val="00FC5DA8"/>
    <w:rsid w:val="00FC5E6D"/>
    <w:rsid w:val="00FC5F0B"/>
    <w:rsid w:val="00FC619B"/>
    <w:rsid w:val="00FC63DC"/>
    <w:rsid w:val="00FC659F"/>
    <w:rsid w:val="00FC68A0"/>
    <w:rsid w:val="00FC6D7E"/>
    <w:rsid w:val="00FC7673"/>
    <w:rsid w:val="00FC7825"/>
    <w:rsid w:val="00FC78C8"/>
    <w:rsid w:val="00FD0758"/>
    <w:rsid w:val="00FD0A85"/>
    <w:rsid w:val="00FD0B6A"/>
    <w:rsid w:val="00FD0C2F"/>
    <w:rsid w:val="00FD0C3D"/>
    <w:rsid w:val="00FD0E16"/>
    <w:rsid w:val="00FD0F82"/>
    <w:rsid w:val="00FD10D5"/>
    <w:rsid w:val="00FD12FE"/>
    <w:rsid w:val="00FD13C4"/>
    <w:rsid w:val="00FD1A48"/>
    <w:rsid w:val="00FD1ABC"/>
    <w:rsid w:val="00FD1B78"/>
    <w:rsid w:val="00FD1FAB"/>
    <w:rsid w:val="00FD2100"/>
    <w:rsid w:val="00FD25DB"/>
    <w:rsid w:val="00FD283B"/>
    <w:rsid w:val="00FD28E1"/>
    <w:rsid w:val="00FD290E"/>
    <w:rsid w:val="00FD2F89"/>
    <w:rsid w:val="00FD3135"/>
    <w:rsid w:val="00FD32C1"/>
    <w:rsid w:val="00FD32E8"/>
    <w:rsid w:val="00FD33A5"/>
    <w:rsid w:val="00FD396A"/>
    <w:rsid w:val="00FD3D5C"/>
    <w:rsid w:val="00FD3EB5"/>
    <w:rsid w:val="00FD40D6"/>
    <w:rsid w:val="00FD436C"/>
    <w:rsid w:val="00FD446D"/>
    <w:rsid w:val="00FD446E"/>
    <w:rsid w:val="00FD44C1"/>
    <w:rsid w:val="00FD46AF"/>
    <w:rsid w:val="00FD4977"/>
    <w:rsid w:val="00FD4BD0"/>
    <w:rsid w:val="00FD4D96"/>
    <w:rsid w:val="00FD4F2C"/>
    <w:rsid w:val="00FD5B32"/>
    <w:rsid w:val="00FD6394"/>
    <w:rsid w:val="00FD649C"/>
    <w:rsid w:val="00FD652F"/>
    <w:rsid w:val="00FD6661"/>
    <w:rsid w:val="00FD6670"/>
    <w:rsid w:val="00FD67A8"/>
    <w:rsid w:val="00FD6948"/>
    <w:rsid w:val="00FD6996"/>
    <w:rsid w:val="00FD6A04"/>
    <w:rsid w:val="00FD6C20"/>
    <w:rsid w:val="00FD6C42"/>
    <w:rsid w:val="00FD6C6B"/>
    <w:rsid w:val="00FD6CDC"/>
    <w:rsid w:val="00FD6D46"/>
    <w:rsid w:val="00FD706C"/>
    <w:rsid w:val="00FD7542"/>
    <w:rsid w:val="00FD75B0"/>
    <w:rsid w:val="00FD79A9"/>
    <w:rsid w:val="00FD7A99"/>
    <w:rsid w:val="00FD7D6A"/>
    <w:rsid w:val="00FD7FE8"/>
    <w:rsid w:val="00FE037B"/>
    <w:rsid w:val="00FE03D6"/>
    <w:rsid w:val="00FE0764"/>
    <w:rsid w:val="00FE0883"/>
    <w:rsid w:val="00FE092B"/>
    <w:rsid w:val="00FE0C06"/>
    <w:rsid w:val="00FE0C89"/>
    <w:rsid w:val="00FE0E6C"/>
    <w:rsid w:val="00FE0F18"/>
    <w:rsid w:val="00FE0F37"/>
    <w:rsid w:val="00FE0F42"/>
    <w:rsid w:val="00FE1088"/>
    <w:rsid w:val="00FE10C8"/>
    <w:rsid w:val="00FE11E0"/>
    <w:rsid w:val="00FE12B0"/>
    <w:rsid w:val="00FE13CE"/>
    <w:rsid w:val="00FE18C5"/>
    <w:rsid w:val="00FE18D1"/>
    <w:rsid w:val="00FE1CDC"/>
    <w:rsid w:val="00FE1E9D"/>
    <w:rsid w:val="00FE1F3C"/>
    <w:rsid w:val="00FE21AA"/>
    <w:rsid w:val="00FE26B2"/>
    <w:rsid w:val="00FE287D"/>
    <w:rsid w:val="00FE2B82"/>
    <w:rsid w:val="00FE2D71"/>
    <w:rsid w:val="00FE3217"/>
    <w:rsid w:val="00FE3C77"/>
    <w:rsid w:val="00FE441A"/>
    <w:rsid w:val="00FE4805"/>
    <w:rsid w:val="00FE49CD"/>
    <w:rsid w:val="00FE4ABE"/>
    <w:rsid w:val="00FE4CC9"/>
    <w:rsid w:val="00FE4D9E"/>
    <w:rsid w:val="00FE508C"/>
    <w:rsid w:val="00FE50AE"/>
    <w:rsid w:val="00FE55DE"/>
    <w:rsid w:val="00FE5759"/>
    <w:rsid w:val="00FE575D"/>
    <w:rsid w:val="00FE59B0"/>
    <w:rsid w:val="00FE5A2B"/>
    <w:rsid w:val="00FE5D94"/>
    <w:rsid w:val="00FE61AA"/>
    <w:rsid w:val="00FE62C5"/>
    <w:rsid w:val="00FE65C8"/>
    <w:rsid w:val="00FE6916"/>
    <w:rsid w:val="00FE69BF"/>
    <w:rsid w:val="00FE6C75"/>
    <w:rsid w:val="00FE6D05"/>
    <w:rsid w:val="00FE6E1F"/>
    <w:rsid w:val="00FE701E"/>
    <w:rsid w:val="00FE70C3"/>
    <w:rsid w:val="00FE72A0"/>
    <w:rsid w:val="00FE7518"/>
    <w:rsid w:val="00FE76CC"/>
    <w:rsid w:val="00FF009C"/>
    <w:rsid w:val="00FF00E8"/>
    <w:rsid w:val="00FF02BC"/>
    <w:rsid w:val="00FF039B"/>
    <w:rsid w:val="00FF052F"/>
    <w:rsid w:val="00FF059A"/>
    <w:rsid w:val="00FF0659"/>
    <w:rsid w:val="00FF10E0"/>
    <w:rsid w:val="00FF1238"/>
    <w:rsid w:val="00FF16C0"/>
    <w:rsid w:val="00FF16E4"/>
    <w:rsid w:val="00FF1939"/>
    <w:rsid w:val="00FF199B"/>
    <w:rsid w:val="00FF1A47"/>
    <w:rsid w:val="00FF1A8B"/>
    <w:rsid w:val="00FF1BB0"/>
    <w:rsid w:val="00FF1CE5"/>
    <w:rsid w:val="00FF1E71"/>
    <w:rsid w:val="00FF1ECA"/>
    <w:rsid w:val="00FF1FE5"/>
    <w:rsid w:val="00FF214E"/>
    <w:rsid w:val="00FF2376"/>
    <w:rsid w:val="00FF2668"/>
    <w:rsid w:val="00FF283F"/>
    <w:rsid w:val="00FF286D"/>
    <w:rsid w:val="00FF2AD9"/>
    <w:rsid w:val="00FF2C44"/>
    <w:rsid w:val="00FF2D77"/>
    <w:rsid w:val="00FF2F1B"/>
    <w:rsid w:val="00FF2FF0"/>
    <w:rsid w:val="00FF339D"/>
    <w:rsid w:val="00FF359F"/>
    <w:rsid w:val="00FF35DE"/>
    <w:rsid w:val="00FF376E"/>
    <w:rsid w:val="00FF37FD"/>
    <w:rsid w:val="00FF3DCF"/>
    <w:rsid w:val="00FF4493"/>
    <w:rsid w:val="00FF44DA"/>
    <w:rsid w:val="00FF46C5"/>
    <w:rsid w:val="00FF46CF"/>
    <w:rsid w:val="00FF4719"/>
    <w:rsid w:val="00FF492C"/>
    <w:rsid w:val="00FF49D3"/>
    <w:rsid w:val="00FF4A21"/>
    <w:rsid w:val="00FF4A60"/>
    <w:rsid w:val="00FF4AEC"/>
    <w:rsid w:val="00FF4D46"/>
    <w:rsid w:val="00FF59A5"/>
    <w:rsid w:val="00FF5AA3"/>
    <w:rsid w:val="00FF5AD8"/>
    <w:rsid w:val="00FF5C62"/>
    <w:rsid w:val="00FF5EB3"/>
    <w:rsid w:val="00FF6122"/>
    <w:rsid w:val="00FF6299"/>
    <w:rsid w:val="00FF633D"/>
    <w:rsid w:val="00FF668A"/>
    <w:rsid w:val="00FF6A9E"/>
    <w:rsid w:val="00FF6AD5"/>
    <w:rsid w:val="00FF7230"/>
    <w:rsid w:val="00FF72CA"/>
    <w:rsid w:val="00FF732C"/>
    <w:rsid w:val="00FF7C17"/>
    <w:rsid w:val="00FF7DD4"/>
    <w:rsid w:val="00FF7F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786"/>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Ch"/>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qFormat/>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Summary Bullets,Footer Setting,FooterText,numbered,Paragraphe de liste1,列出段落,列出段落1,リスト段落1"/>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ummary Bullets Char,numbered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PBAC table,Conclusion box,Table Grid nm,Tabellengitternetz 9pt,HTAtableplain,Dossier table,Section 3- footnotes,Summary Table,Head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Char7,Comment Text Char Char Char Char Char Char1 Ch,Comment Text Char Char1,Comment Text Char Char1 Char Char,Comment Text Char1 Char Char Char Char1 Char,Comment Text Char2, Char7,Car17 C"/>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Char7 Char,Comment Text Char Char Char Char Char Char1 Ch Char,Comment Text Char Char1 Char,Comment Text Char Char1 Char Char Char,Comment Text Char2 Char, Char7 Char"/>
    <w:basedOn w:val="DefaultParagraphFont"/>
    <w:link w:val="CommentText"/>
    <w:uiPriority w:val="99"/>
    <w:qForma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759A5"/>
    <w:pPr>
      <w:keepNext/>
      <w:keepLines/>
    </w:pPr>
    <w:rPr>
      <w:rFonts w:ascii="Arial Narrow" w:eastAsiaTheme="majorEastAsia" w:hAnsi="Arial Narrow"/>
      <w:b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966458"/>
    <w:pPr>
      <w:keepNext/>
      <w:keepLines/>
      <w:jc w:val="center"/>
    </w:pPr>
    <w:rPr>
      <w:rFonts w:ascii="Arial Narrow" w:eastAsiaTheme="majorEastAsia" w:hAnsi="Arial Narrow"/>
      <w:b/>
      <w:bCs/>
      <w:szCs w:val="24"/>
    </w:rPr>
  </w:style>
  <w:style w:type="paragraph" w:customStyle="1" w:styleId="2-SectionHeading">
    <w:name w:val="2-Section Heading"/>
    <w:next w:val="3-BodyText"/>
    <w:qFormat/>
    <w:rsid w:val="004C3B02"/>
    <w:pPr>
      <w:keepNext/>
      <w:numPr>
        <w:numId w:val="1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2A3041"/>
    <w:pPr>
      <w:numPr>
        <w:ilvl w:val="1"/>
        <w:numId w:val="19"/>
      </w:numPr>
      <w:spacing w:before="6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C759A5"/>
    <w:rPr>
      <w:rFonts w:ascii="Arial Narrow" w:eastAsiaTheme="majorEastAsia" w:hAnsi="Arial Narrow"/>
      <w:b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ind w:left="720"/>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BA009E"/>
    <w:pPr>
      <w:keepLines/>
      <w:contextualSpacing/>
      <w:jc w:val="left"/>
    </w:pPr>
    <w:rPr>
      <w:rFonts w:ascii="Arial Narrow" w:hAnsi="Arial Narrow"/>
      <w:bCs/>
      <w:snapToGrid w:val="0"/>
      <w:sz w:val="18"/>
      <w:szCs w:val="18"/>
    </w:rPr>
  </w:style>
  <w:style w:type="character" w:customStyle="1" w:styleId="TableFigureFooterChar">
    <w:name w:val="Table/Figure Footer Char"/>
    <w:link w:val="TableFigureFooter"/>
    <w:rsid w:val="00BA009E"/>
    <w:rPr>
      <w:rFonts w:ascii="Arial Narrow" w:hAnsi="Arial Narrow" w:cs="Arial"/>
      <w:bCs/>
      <w:snapToGrid w:val="0"/>
      <w:sz w:val="18"/>
      <w:szCs w:val="18"/>
    </w:rPr>
  </w:style>
  <w:style w:type="character" w:customStyle="1" w:styleId="normaltextrun">
    <w:name w:val="normaltextrun"/>
    <w:basedOn w:val="DefaultParagraphFont"/>
    <w:rsid w:val="00170CBB"/>
  </w:style>
  <w:style w:type="paragraph" w:customStyle="1" w:styleId="TableNotes">
    <w:name w:val="Table Notes"/>
    <w:basedOn w:val="Normal"/>
    <w:link w:val="TableNotesChar"/>
    <w:uiPriority w:val="6"/>
    <w:qFormat/>
    <w:rsid w:val="00F27EC5"/>
    <w:pPr>
      <w:spacing w:after="40"/>
    </w:pPr>
    <w:rPr>
      <w:rFonts w:ascii="Arial Narrow" w:eastAsiaTheme="majorEastAsia" w:hAnsi="Arial Narrow" w:cstheme="majorBidi"/>
      <w:sz w:val="18"/>
      <w:szCs w:val="22"/>
      <w:lang w:eastAsia="en-US"/>
    </w:rPr>
  </w:style>
  <w:style w:type="character" w:customStyle="1" w:styleId="TableNotesChar">
    <w:name w:val="Table Notes Char"/>
    <w:basedOn w:val="DefaultParagraphFont"/>
    <w:link w:val="TableNotes"/>
    <w:uiPriority w:val="6"/>
    <w:locked/>
    <w:rsid w:val="00F27EC5"/>
    <w:rPr>
      <w:rFonts w:ascii="Arial Narrow" w:eastAsiaTheme="majorEastAsia" w:hAnsi="Arial Narrow" w:cstheme="majorBidi"/>
      <w:sz w:val="18"/>
      <w:szCs w:val="22"/>
      <w:lang w:eastAsia="en-US"/>
    </w:rPr>
  </w:style>
  <w:style w:type="character" w:styleId="Emphasis">
    <w:name w:val="Emphasis"/>
    <w:basedOn w:val="DefaultParagraphFont"/>
    <w:uiPriority w:val="20"/>
    <w:qFormat/>
    <w:rsid w:val="006F1D20"/>
    <w:rPr>
      <w:i/>
      <w:iCs/>
    </w:rPr>
  </w:style>
  <w:style w:type="character" w:styleId="Strong">
    <w:name w:val="Strong"/>
    <w:basedOn w:val="DefaultParagraphFont"/>
    <w:uiPriority w:val="22"/>
    <w:qFormat/>
    <w:rsid w:val="009E5CD4"/>
    <w:rPr>
      <w:b/>
      <w:bCs/>
    </w:rPr>
  </w:style>
  <w:style w:type="table" w:customStyle="1" w:styleId="TableGrid0">
    <w:name w:val="Table Grid0"/>
    <w:basedOn w:val="TableNormal"/>
    <w:uiPriority w:val="39"/>
    <w:rsid w:val="00562E1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Last">
    <w:name w:val="Table Notes Last"/>
    <w:basedOn w:val="Normal"/>
    <w:next w:val="Normal"/>
    <w:link w:val="TableNotesLastChar"/>
    <w:qFormat/>
    <w:rsid w:val="001E68E8"/>
    <w:pPr>
      <w:spacing w:after="240"/>
      <w:contextualSpacing/>
    </w:pPr>
    <w:rPr>
      <w:rFonts w:ascii="Arial Narrow" w:eastAsiaTheme="majorEastAsia" w:hAnsi="Arial Narrow" w:cstheme="majorBidi"/>
      <w:sz w:val="18"/>
      <w:szCs w:val="22"/>
      <w:lang w:eastAsia="en-US"/>
    </w:rPr>
  </w:style>
  <w:style w:type="character" w:customStyle="1" w:styleId="TableNotesLastChar">
    <w:name w:val="Table Notes Last Char"/>
    <w:basedOn w:val="DefaultParagraphFont"/>
    <w:link w:val="TableNotesLast"/>
    <w:rsid w:val="001E68E8"/>
    <w:rPr>
      <w:rFonts w:ascii="Arial Narrow" w:eastAsiaTheme="majorEastAsia" w:hAnsi="Arial Narrow" w:cstheme="majorBidi"/>
      <w:sz w:val="18"/>
      <w:szCs w:val="22"/>
      <w:lang w:eastAsia="en-US"/>
    </w:rPr>
  </w:style>
  <w:style w:type="paragraph" w:styleId="FootnoteText">
    <w:name w:val="footnote text"/>
    <w:aliases w:val="Footnote Text Char Char,Footnote Text Char2,Footnote Text Char Char1"/>
    <w:basedOn w:val="Normal"/>
    <w:link w:val="FootnoteTextChar"/>
    <w:unhideWhenUsed/>
    <w:rsid w:val="001E14FD"/>
    <w:rPr>
      <w:sz w:val="20"/>
      <w:szCs w:val="20"/>
    </w:rPr>
  </w:style>
  <w:style w:type="character" w:customStyle="1" w:styleId="FootnoteTextChar">
    <w:name w:val="Footnote Text Char"/>
    <w:aliases w:val="Footnote Text Char Char Char,Footnote Text Char2 Char,Footnote Text Char Char1 Char"/>
    <w:basedOn w:val="DefaultParagraphFont"/>
    <w:link w:val="FootnoteText"/>
    <w:rsid w:val="001E14FD"/>
    <w:rPr>
      <w:rFonts w:ascii="Calibri" w:hAnsi="Calibri" w:cs="Arial"/>
    </w:rPr>
  </w:style>
  <w:style w:type="character" w:styleId="FootnoteReference">
    <w:name w:val="footnote reference"/>
    <w:basedOn w:val="DefaultParagraphFont"/>
    <w:unhideWhenUsed/>
    <w:rsid w:val="001E14FD"/>
    <w:rPr>
      <w:vertAlign w:val="superscript"/>
    </w:rPr>
  </w:style>
  <w:style w:type="character" w:styleId="UnresolvedMention">
    <w:name w:val="Unresolved Mention"/>
    <w:basedOn w:val="DefaultParagraphFont"/>
    <w:uiPriority w:val="99"/>
    <w:unhideWhenUsed/>
    <w:rsid w:val="001E14FD"/>
    <w:rPr>
      <w:color w:val="605E5C"/>
      <w:shd w:val="clear" w:color="auto" w:fill="E1DFDD"/>
    </w:rPr>
  </w:style>
  <w:style w:type="paragraph" w:customStyle="1" w:styleId="BulletedList">
    <w:name w:val="Bulleted List"/>
    <w:basedOn w:val="Normal"/>
    <w:link w:val="BulletedListChar"/>
    <w:uiPriority w:val="3"/>
    <w:qFormat/>
    <w:rsid w:val="00D108FA"/>
    <w:pPr>
      <w:numPr>
        <w:numId w:val="8"/>
      </w:numPr>
      <w:spacing w:after="240"/>
      <w:contextualSpacing/>
    </w:pPr>
    <w:rPr>
      <w:rFonts w:ascii="Candara" w:eastAsiaTheme="majorEastAsia" w:hAnsi="Candara" w:cstheme="majorBidi"/>
      <w:szCs w:val="22"/>
      <w:lang w:eastAsia="en-US"/>
    </w:rPr>
  </w:style>
  <w:style w:type="character" w:customStyle="1" w:styleId="BulletedListChar">
    <w:name w:val="Bulleted List Char"/>
    <w:basedOn w:val="DefaultParagraphFont"/>
    <w:link w:val="BulletedList"/>
    <w:uiPriority w:val="3"/>
    <w:rsid w:val="00D108FA"/>
    <w:rPr>
      <w:rFonts w:ascii="Candara" w:eastAsiaTheme="majorEastAsia" w:hAnsi="Candara" w:cstheme="majorBidi"/>
      <w:sz w:val="24"/>
      <w:szCs w:val="22"/>
      <w:lang w:eastAsia="en-US"/>
    </w:rPr>
  </w:style>
  <w:style w:type="paragraph" w:customStyle="1" w:styleId="TableHeading0">
    <w:name w:val="Table Heading"/>
    <w:basedOn w:val="Normal"/>
    <w:qFormat/>
    <w:rsid w:val="00024B20"/>
    <w:pPr>
      <w:spacing w:after="60"/>
    </w:pPr>
    <w:rPr>
      <w:rFonts w:ascii="Arial Narrow" w:eastAsiaTheme="minorHAnsi" w:hAnsi="Arial Narrow" w:cstheme="minorBidi"/>
      <w:b/>
      <w:sz w:val="20"/>
      <w:szCs w:val="22"/>
      <w:lang w:eastAsia="en-US"/>
    </w:rPr>
  </w:style>
  <w:style w:type="paragraph" w:customStyle="1" w:styleId="TableLeft">
    <w:name w:val="Table Left"/>
    <w:basedOn w:val="Normal"/>
    <w:link w:val="TableLeftChar"/>
    <w:uiPriority w:val="5"/>
    <w:qFormat/>
    <w:rsid w:val="00345D6B"/>
    <w:pPr>
      <w:spacing w:after="240"/>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345D6B"/>
    <w:rPr>
      <w:rFonts w:ascii="Arial Narrow" w:eastAsiaTheme="majorEastAsia" w:hAnsi="Arial Narrow" w:cstheme="majorBidi"/>
      <w:szCs w:val="22"/>
      <w:lang w:eastAsia="en-US"/>
    </w:rPr>
  </w:style>
  <w:style w:type="table" w:customStyle="1" w:styleId="Submissionstandard">
    <w:name w:val="Submission standard"/>
    <w:basedOn w:val="TableNormal"/>
    <w:uiPriority w:val="99"/>
    <w:qFormat/>
    <w:rsid w:val="00CA593D"/>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NSimSun" w:hAnsi="NSimSun" w:cstheme="majorBidi"/>
        <w:b/>
        <w:sz w:val="20"/>
      </w:rPr>
      <w:tblPr/>
      <w:tcPr>
        <w:shd w:val="clear" w:color="auto" w:fill="BFBFBF" w:themeFill="background1" w:themeFillShade="BF"/>
      </w:tcPr>
    </w:tblStylePr>
  </w:style>
  <w:style w:type="paragraph" w:customStyle="1" w:styleId="PBACTabletext">
    <w:name w:val="PBAC Table text"/>
    <w:uiPriority w:val="99"/>
    <w:qFormat/>
    <w:rsid w:val="000B493C"/>
    <w:pPr>
      <w:keepNext/>
      <w:keepLines/>
      <w:suppressLineNumbers/>
      <w:spacing w:after="20"/>
      <w:textboxTightWrap w:val="allLines"/>
    </w:pPr>
    <w:rPr>
      <w:rFonts w:ascii="Arial" w:hAnsi="Arial" w:cs="Arial"/>
      <w:szCs w:val="24"/>
      <w:lang w:eastAsia="en-GB"/>
    </w:rPr>
  </w:style>
  <w:style w:type="character" w:customStyle="1" w:styleId="Heading1Char">
    <w:name w:val="Heading 1 Char"/>
    <w:basedOn w:val="DefaultParagraphFont"/>
    <w:link w:val="Heading1"/>
    <w:uiPriority w:val="1"/>
    <w:rsid w:val="00176909"/>
    <w:rPr>
      <w:rFonts w:ascii="Calibri" w:hAnsi="Calibri" w:cs="Arial"/>
      <w:b/>
      <w:caps/>
      <w:sz w:val="32"/>
      <w:szCs w:val="24"/>
    </w:rPr>
  </w:style>
  <w:style w:type="paragraph" w:customStyle="1" w:styleId="paragraph">
    <w:name w:val="paragraph"/>
    <w:basedOn w:val="Normal"/>
    <w:link w:val="paragraphChar2"/>
    <w:qFormat/>
    <w:rsid w:val="00C94622"/>
    <w:pPr>
      <w:spacing w:before="200" w:line="280" w:lineRule="exact"/>
      <w:jc w:val="left"/>
    </w:pPr>
    <w:rPr>
      <w:rFonts w:ascii="Arial" w:hAnsi="Arial" w:cs="Times New Roman"/>
      <w:sz w:val="20"/>
      <w:lang w:val="en-US" w:eastAsia="en-US"/>
    </w:rPr>
  </w:style>
  <w:style w:type="character" w:customStyle="1" w:styleId="paragraphChar2">
    <w:name w:val="paragraph Char2"/>
    <w:basedOn w:val="DefaultParagraphFont"/>
    <w:link w:val="paragraph"/>
    <w:rsid w:val="00C94622"/>
    <w:rPr>
      <w:rFonts w:ascii="Arial" w:hAnsi="Arial"/>
      <w:szCs w:val="24"/>
      <w:lang w:val="en-US" w:eastAsia="en-US"/>
    </w:rPr>
  </w:style>
  <w:style w:type="character" w:customStyle="1" w:styleId="TableHeadingChar">
    <w:name w:val="TableHeading Char"/>
    <w:link w:val="TableHeading"/>
    <w:locked/>
    <w:rsid w:val="00C94622"/>
    <w:rPr>
      <w:rFonts w:ascii="Arial Narrow" w:hAnsi="Arial Narrow" w:cs="Arial Narrow"/>
      <w:b/>
      <w:bCs/>
      <w:snapToGrid w:val="0"/>
      <w:szCs w:val="24"/>
    </w:rPr>
  </w:style>
  <w:style w:type="character" w:customStyle="1" w:styleId="eop">
    <w:name w:val="eop"/>
    <w:basedOn w:val="DefaultParagraphFont"/>
    <w:rsid w:val="00B661D8"/>
  </w:style>
  <w:style w:type="character" w:customStyle="1" w:styleId="Normalfont">
    <w:name w:val="Normal font"/>
    <w:basedOn w:val="DefaultParagraphFont"/>
    <w:uiPriority w:val="1"/>
    <w:rsid w:val="00280383"/>
    <w:rPr>
      <w:rFonts w:ascii="Candara" w:hAnsi="Candara" w:cs="Times New Roman"/>
      <w:sz w:val="24"/>
    </w:rPr>
  </w:style>
  <w:style w:type="character" w:customStyle="1" w:styleId="Heading3Char">
    <w:name w:val="Heading 3 Char"/>
    <w:basedOn w:val="DefaultParagraphFont"/>
    <w:link w:val="Heading3"/>
    <w:rsid w:val="002D3600"/>
    <w:rPr>
      <w:rFonts w:ascii="Calibri" w:hAnsi="Calibri" w:cs="Arial"/>
      <w:sz w:val="24"/>
      <w:szCs w:val="24"/>
      <w:u w:val="single"/>
    </w:rPr>
  </w:style>
  <w:style w:type="character" w:customStyle="1" w:styleId="Heading4Char">
    <w:name w:val="Heading 4 Char"/>
    <w:basedOn w:val="DefaultParagraphFont"/>
    <w:link w:val="Heading4"/>
    <w:rsid w:val="002D3600"/>
    <w:rPr>
      <w:rFonts w:ascii="Calibri" w:hAnsi="Calibri" w:cs="Arial"/>
      <w:b/>
      <w:bCs/>
      <w:i/>
      <w:sz w:val="26"/>
      <w:szCs w:val="28"/>
    </w:rPr>
  </w:style>
  <w:style w:type="character" w:customStyle="1" w:styleId="Heading5Char">
    <w:name w:val="Heading 5 Char"/>
    <w:basedOn w:val="DefaultParagraphFont"/>
    <w:link w:val="Heading5"/>
    <w:rsid w:val="002D3600"/>
    <w:rPr>
      <w:rFonts w:ascii="Calibri" w:hAnsi="Calibri" w:cs="Arial"/>
      <w:b/>
      <w:bCs/>
      <w:iCs/>
      <w:sz w:val="26"/>
      <w:szCs w:val="26"/>
    </w:rPr>
  </w:style>
  <w:style w:type="character" w:customStyle="1" w:styleId="Heading6Char">
    <w:name w:val="Heading 6 Char"/>
    <w:basedOn w:val="DefaultParagraphFont"/>
    <w:link w:val="Heading6"/>
    <w:rsid w:val="002D3600"/>
    <w:rPr>
      <w:rFonts w:ascii="Calibri" w:hAnsi="Calibri" w:cs="Arial"/>
      <w:b/>
      <w:bCs/>
      <w:i/>
      <w:sz w:val="24"/>
      <w:szCs w:val="24"/>
    </w:rPr>
  </w:style>
  <w:style w:type="table" w:customStyle="1" w:styleId="TableGrid9">
    <w:name w:val="Table Grid9"/>
    <w:basedOn w:val="TableNormal"/>
    <w:next w:val="TableGrid"/>
    <w:uiPriority w:val="39"/>
    <w:rsid w:val="002D360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2D3600"/>
    <w:rPr>
      <w:rFonts w:asciiTheme="minorHAnsi" w:eastAsia="PMingLiU"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1">
    <w:name w:val="Submission standard1"/>
    <w:basedOn w:val="TableNormal"/>
    <w:uiPriority w:val="99"/>
    <w:qFormat/>
    <w:rsid w:val="002D3600"/>
    <w:rPr>
      <w:rFonts w:ascii="Arial Narrow" w:eastAsia="MS Gothic" w:hAnsi="Arial Narrow"/>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egoe UI" w:hAnsi="Segoe UI" w:cs="Times New Roman" w:hint="default"/>
        <w:b/>
        <w:sz w:val="20"/>
        <w:szCs w:val="20"/>
      </w:rPr>
      <w:tblPr/>
      <w:tcPr>
        <w:shd w:val="clear" w:color="auto" w:fill="BFBFBF" w:themeFill="background1" w:themeFillShade="BF"/>
      </w:tcPr>
    </w:tblStylePr>
  </w:style>
  <w:style w:type="paragraph" w:customStyle="1" w:styleId="NumberList">
    <w:name w:val="NumberList"/>
    <w:basedOn w:val="Normal"/>
    <w:rsid w:val="002D3600"/>
    <w:pPr>
      <w:tabs>
        <w:tab w:val="left" w:pos="360"/>
      </w:tabs>
      <w:spacing w:after="240"/>
      <w:ind w:left="360" w:hanging="360"/>
    </w:pPr>
    <w:rPr>
      <w:rFonts w:cs="Times New Roman"/>
      <w:color w:val="000000"/>
      <w:sz w:val="22"/>
      <w:szCs w:val="20"/>
    </w:rPr>
  </w:style>
  <w:style w:type="table" w:customStyle="1" w:styleId="TableGridnm3">
    <w:name w:val="Table Grid nm3"/>
    <w:basedOn w:val="TableNormal"/>
    <w:next w:val="TableGrid"/>
    <w:uiPriority w:val="39"/>
    <w:rsid w:val="002D3600"/>
    <w:rPr>
      <w:rFonts w:ascii="Arial Narrow" w:eastAsia="MS Gothic" w:hAnsi="Arial Narrow"/>
      <w:szCs w:val="22"/>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6906C2"/>
    <w:rPr>
      <w:color w:val="2B579A"/>
      <w:shd w:val="clear" w:color="auto" w:fill="E1DFDD"/>
    </w:rPr>
  </w:style>
  <w:style w:type="paragraph" w:customStyle="1" w:styleId="3-SubsectionHeading">
    <w:name w:val="3-Subsection Heading"/>
    <w:basedOn w:val="Heading2"/>
    <w:next w:val="Normal"/>
    <w:link w:val="3-SubsectionHeadingChar"/>
    <w:qFormat/>
    <w:rsid w:val="00F0787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07874"/>
    <w:rPr>
      <w:rFonts w:asciiTheme="minorHAnsi" w:eastAsiaTheme="majorEastAsia" w:hAnsiTheme="minorHAnsi" w:cstheme="majorBidi"/>
      <w:b/>
      <w:i/>
      <w:snapToGrid/>
      <w:spacing w:val="5"/>
      <w:kern w:val="28"/>
      <w:sz w:val="28"/>
      <w:szCs w:val="36"/>
      <w:lang w:eastAsia="en-US"/>
    </w:rPr>
  </w:style>
  <w:style w:type="character" w:customStyle="1" w:styleId="ui-provider">
    <w:name w:val="ui-provider"/>
    <w:basedOn w:val="DefaultParagraphFont"/>
    <w:rsid w:val="006A0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452">
      <w:bodyDiv w:val="1"/>
      <w:marLeft w:val="0"/>
      <w:marRight w:val="0"/>
      <w:marTop w:val="0"/>
      <w:marBottom w:val="0"/>
      <w:divBdr>
        <w:top w:val="none" w:sz="0" w:space="0" w:color="auto"/>
        <w:left w:val="none" w:sz="0" w:space="0" w:color="auto"/>
        <w:bottom w:val="none" w:sz="0" w:space="0" w:color="auto"/>
        <w:right w:val="none" w:sz="0" w:space="0" w:color="auto"/>
      </w:divBdr>
    </w:div>
    <w:div w:id="26221480">
      <w:bodyDiv w:val="1"/>
      <w:marLeft w:val="0"/>
      <w:marRight w:val="0"/>
      <w:marTop w:val="0"/>
      <w:marBottom w:val="0"/>
      <w:divBdr>
        <w:top w:val="none" w:sz="0" w:space="0" w:color="auto"/>
        <w:left w:val="none" w:sz="0" w:space="0" w:color="auto"/>
        <w:bottom w:val="none" w:sz="0" w:space="0" w:color="auto"/>
        <w:right w:val="none" w:sz="0" w:space="0" w:color="auto"/>
      </w:divBdr>
    </w:div>
    <w:div w:id="45643197">
      <w:bodyDiv w:val="1"/>
      <w:marLeft w:val="0"/>
      <w:marRight w:val="0"/>
      <w:marTop w:val="0"/>
      <w:marBottom w:val="0"/>
      <w:divBdr>
        <w:top w:val="none" w:sz="0" w:space="0" w:color="auto"/>
        <w:left w:val="none" w:sz="0" w:space="0" w:color="auto"/>
        <w:bottom w:val="none" w:sz="0" w:space="0" w:color="auto"/>
        <w:right w:val="none" w:sz="0" w:space="0" w:color="auto"/>
      </w:divBdr>
      <w:divsChild>
        <w:div w:id="926304618">
          <w:marLeft w:val="0"/>
          <w:marRight w:val="0"/>
          <w:marTop w:val="0"/>
          <w:marBottom w:val="0"/>
          <w:divBdr>
            <w:top w:val="none" w:sz="0" w:space="0" w:color="auto"/>
            <w:left w:val="none" w:sz="0" w:space="0" w:color="auto"/>
            <w:bottom w:val="none" w:sz="0" w:space="0" w:color="auto"/>
            <w:right w:val="none" w:sz="0" w:space="0" w:color="auto"/>
          </w:divBdr>
        </w:div>
      </w:divsChild>
    </w:div>
    <w:div w:id="54402840">
      <w:bodyDiv w:val="1"/>
      <w:marLeft w:val="0"/>
      <w:marRight w:val="0"/>
      <w:marTop w:val="0"/>
      <w:marBottom w:val="0"/>
      <w:divBdr>
        <w:top w:val="none" w:sz="0" w:space="0" w:color="auto"/>
        <w:left w:val="none" w:sz="0" w:space="0" w:color="auto"/>
        <w:bottom w:val="none" w:sz="0" w:space="0" w:color="auto"/>
        <w:right w:val="none" w:sz="0" w:space="0" w:color="auto"/>
      </w:divBdr>
    </w:div>
    <w:div w:id="7269982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2867742">
      <w:bodyDiv w:val="1"/>
      <w:marLeft w:val="0"/>
      <w:marRight w:val="0"/>
      <w:marTop w:val="0"/>
      <w:marBottom w:val="0"/>
      <w:divBdr>
        <w:top w:val="none" w:sz="0" w:space="0" w:color="auto"/>
        <w:left w:val="none" w:sz="0" w:space="0" w:color="auto"/>
        <w:bottom w:val="none" w:sz="0" w:space="0" w:color="auto"/>
        <w:right w:val="none" w:sz="0" w:space="0" w:color="auto"/>
      </w:divBdr>
    </w:div>
    <w:div w:id="11517825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6167298">
      <w:bodyDiv w:val="1"/>
      <w:marLeft w:val="0"/>
      <w:marRight w:val="0"/>
      <w:marTop w:val="0"/>
      <w:marBottom w:val="0"/>
      <w:divBdr>
        <w:top w:val="none" w:sz="0" w:space="0" w:color="auto"/>
        <w:left w:val="none" w:sz="0" w:space="0" w:color="auto"/>
        <w:bottom w:val="none" w:sz="0" w:space="0" w:color="auto"/>
        <w:right w:val="none" w:sz="0" w:space="0" w:color="auto"/>
      </w:divBdr>
    </w:div>
    <w:div w:id="223109276">
      <w:bodyDiv w:val="1"/>
      <w:marLeft w:val="0"/>
      <w:marRight w:val="0"/>
      <w:marTop w:val="0"/>
      <w:marBottom w:val="0"/>
      <w:divBdr>
        <w:top w:val="none" w:sz="0" w:space="0" w:color="auto"/>
        <w:left w:val="none" w:sz="0" w:space="0" w:color="auto"/>
        <w:bottom w:val="none" w:sz="0" w:space="0" w:color="auto"/>
        <w:right w:val="none" w:sz="0" w:space="0" w:color="auto"/>
      </w:divBdr>
    </w:div>
    <w:div w:id="231014952">
      <w:bodyDiv w:val="1"/>
      <w:marLeft w:val="0"/>
      <w:marRight w:val="0"/>
      <w:marTop w:val="0"/>
      <w:marBottom w:val="0"/>
      <w:divBdr>
        <w:top w:val="none" w:sz="0" w:space="0" w:color="auto"/>
        <w:left w:val="none" w:sz="0" w:space="0" w:color="auto"/>
        <w:bottom w:val="none" w:sz="0" w:space="0" w:color="auto"/>
        <w:right w:val="none" w:sz="0" w:space="0" w:color="auto"/>
      </w:divBdr>
    </w:div>
    <w:div w:id="252398159">
      <w:bodyDiv w:val="1"/>
      <w:marLeft w:val="0"/>
      <w:marRight w:val="0"/>
      <w:marTop w:val="0"/>
      <w:marBottom w:val="0"/>
      <w:divBdr>
        <w:top w:val="none" w:sz="0" w:space="0" w:color="auto"/>
        <w:left w:val="none" w:sz="0" w:space="0" w:color="auto"/>
        <w:bottom w:val="none" w:sz="0" w:space="0" w:color="auto"/>
        <w:right w:val="none" w:sz="0" w:space="0" w:color="auto"/>
      </w:divBdr>
    </w:div>
    <w:div w:id="287400875">
      <w:bodyDiv w:val="1"/>
      <w:marLeft w:val="0"/>
      <w:marRight w:val="0"/>
      <w:marTop w:val="0"/>
      <w:marBottom w:val="0"/>
      <w:divBdr>
        <w:top w:val="none" w:sz="0" w:space="0" w:color="auto"/>
        <w:left w:val="none" w:sz="0" w:space="0" w:color="auto"/>
        <w:bottom w:val="none" w:sz="0" w:space="0" w:color="auto"/>
        <w:right w:val="none" w:sz="0" w:space="0" w:color="auto"/>
      </w:divBdr>
      <w:divsChild>
        <w:div w:id="1591113093">
          <w:marLeft w:val="0"/>
          <w:marRight w:val="0"/>
          <w:marTop w:val="0"/>
          <w:marBottom w:val="0"/>
          <w:divBdr>
            <w:top w:val="none" w:sz="0" w:space="0" w:color="auto"/>
            <w:left w:val="none" w:sz="0" w:space="0" w:color="auto"/>
            <w:bottom w:val="none" w:sz="0" w:space="0" w:color="auto"/>
            <w:right w:val="none" w:sz="0" w:space="0" w:color="auto"/>
          </w:divBdr>
        </w:div>
      </w:divsChild>
    </w:div>
    <w:div w:id="29511143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2880306">
      <w:bodyDiv w:val="1"/>
      <w:marLeft w:val="0"/>
      <w:marRight w:val="0"/>
      <w:marTop w:val="0"/>
      <w:marBottom w:val="0"/>
      <w:divBdr>
        <w:top w:val="none" w:sz="0" w:space="0" w:color="auto"/>
        <w:left w:val="none" w:sz="0" w:space="0" w:color="auto"/>
        <w:bottom w:val="none" w:sz="0" w:space="0" w:color="auto"/>
        <w:right w:val="none" w:sz="0" w:space="0" w:color="auto"/>
      </w:divBdr>
    </w:div>
    <w:div w:id="352348329">
      <w:bodyDiv w:val="1"/>
      <w:marLeft w:val="0"/>
      <w:marRight w:val="0"/>
      <w:marTop w:val="0"/>
      <w:marBottom w:val="0"/>
      <w:divBdr>
        <w:top w:val="none" w:sz="0" w:space="0" w:color="auto"/>
        <w:left w:val="none" w:sz="0" w:space="0" w:color="auto"/>
        <w:bottom w:val="none" w:sz="0" w:space="0" w:color="auto"/>
        <w:right w:val="none" w:sz="0" w:space="0" w:color="auto"/>
      </w:divBdr>
    </w:div>
    <w:div w:id="547031806">
      <w:bodyDiv w:val="1"/>
      <w:marLeft w:val="0"/>
      <w:marRight w:val="0"/>
      <w:marTop w:val="0"/>
      <w:marBottom w:val="0"/>
      <w:divBdr>
        <w:top w:val="none" w:sz="0" w:space="0" w:color="auto"/>
        <w:left w:val="none" w:sz="0" w:space="0" w:color="auto"/>
        <w:bottom w:val="none" w:sz="0" w:space="0" w:color="auto"/>
        <w:right w:val="none" w:sz="0" w:space="0" w:color="auto"/>
      </w:divBdr>
    </w:div>
    <w:div w:id="573126695">
      <w:bodyDiv w:val="1"/>
      <w:marLeft w:val="0"/>
      <w:marRight w:val="0"/>
      <w:marTop w:val="0"/>
      <w:marBottom w:val="0"/>
      <w:divBdr>
        <w:top w:val="none" w:sz="0" w:space="0" w:color="auto"/>
        <w:left w:val="none" w:sz="0" w:space="0" w:color="auto"/>
        <w:bottom w:val="none" w:sz="0" w:space="0" w:color="auto"/>
        <w:right w:val="none" w:sz="0" w:space="0" w:color="auto"/>
      </w:divBdr>
    </w:div>
    <w:div w:id="645203403">
      <w:bodyDiv w:val="1"/>
      <w:marLeft w:val="0"/>
      <w:marRight w:val="0"/>
      <w:marTop w:val="0"/>
      <w:marBottom w:val="0"/>
      <w:divBdr>
        <w:top w:val="none" w:sz="0" w:space="0" w:color="auto"/>
        <w:left w:val="none" w:sz="0" w:space="0" w:color="auto"/>
        <w:bottom w:val="none" w:sz="0" w:space="0" w:color="auto"/>
        <w:right w:val="none" w:sz="0" w:space="0" w:color="auto"/>
      </w:divBdr>
    </w:div>
    <w:div w:id="661855385">
      <w:bodyDiv w:val="1"/>
      <w:marLeft w:val="0"/>
      <w:marRight w:val="0"/>
      <w:marTop w:val="0"/>
      <w:marBottom w:val="0"/>
      <w:divBdr>
        <w:top w:val="none" w:sz="0" w:space="0" w:color="auto"/>
        <w:left w:val="none" w:sz="0" w:space="0" w:color="auto"/>
        <w:bottom w:val="none" w:sz="0" w:space="0" w:color="auto"/>
        <w:right w:val="none" w:sz="0" w:space="0" w:color="auto"/>
      </w:divBdr>
    </w:div>
    <w:div w:id="701057328">
      <w:bodyDiv w:val="1"/>
      <w:marLeft w:val="0"/>
      <w:marRight w:val="0"/>
      <w:marTop w:val="0"/>
      <w:marBottom w:val="0"/>
      <w:divBdr>
        <w:top w:val="none" w:sz="0" w:space="0" w:color="auto"/>
        <w:left w:val="none" w:sz="0" w:space="0" w:color="auto"/>
        <w:bottom w:val="none" w:sz="0" w:space="0" w:color="auto"/>
        <w:right w:val="none" w:sz="0" w:space="0" w:color="auto"/>
      </w:divBdr>
    </w:div>
    <w:div w:id="719864138">
      <w:bodyDiv w:val="1"/>
      <w:marLeft w:val="0"/>
      <w:marRight w:val="0"/>
      <w:marTop w:val="0"/>
      <w:marBottom w:val="0"/>
      <w:divBdr>
        <w:top w:val="none" w:sz="0" w:space="0" w:color="auto"/>
        <w:left w:val="none" w:sz="0" w:space="0" w:color="auto"/>
        <w:bottom w:val="none" w:sz="0" w:space="0" w:color="auto"/>
        <w:right w:val="none" w:sz="0" w:space="0" w:color="auto"/>
      </w:divBdr>
    </w:div>
    <w:div w:id="727338024">
      <w:bodyDiv w:val="1"/>
      <w:marLeft w:val="0"/>
      <w:marRight w:val="0"/>
      <w:marTop w:val="0"/>
      <w:marBottom w:val="0"/>
      <w:divBdr>
        <w:top w:val="none" w:sz="0" w:space="0" w:color="auto"/>
        <w:left w:val="none" w:sz="0" w:space="0" w:color="auto"/>
        <w:bottom w:val="none" w:sz="0" w:space="0" w:color="auto"/>
        <w:right w:val="none" w:sz="0" w:space="0" w:color="auto"/>
      </w:divBdr>
    </w:div>
    <w:div w:id="738526959">
      <w:bodyDiv w:val="1"/>
      <w:marLeft w:val="0"/>
      <w:marRight w:val="0"/>
      <w:marTop w:val="0"/>
      <w:marBottom w:val="0"/>
      <w:divBdr>
        <w:top w:val="none" w:sz="0" w:space="0" w:color="auto"/>
        <w:left w:val="none" w:sz="0" w:space="0" w:color="auto"/>
        <w:bottom w:val="none" w:sz="0" w:space="0" w:color="auto"/>
        <w:right w:val="none" w:sz="0" w:space="0" w:color="auto"/>
      </w:divBdr>
    </w:div>
    <w:div w:id="759060033">
      <w:bodyDiv w:val="1"/>
      <w:marLeft w:val="0"/>
      <w:marRight w:val="0"/>
      <w:marTop w:val="0"/>
      <w:marBottom w:val="0"/>
      <w:divBdr>
        <w:top w:val="none" w:sz="0" w:space="0" w:color="auto"/>
        <w:left w:val="none" w:sz="0" w:space="0" w:color="auto"/>
        <w:bottom w:val="none" w:sz="0" w:space="0" w:color="auto"/>
        <w:right w:val="none" w:sz="0" w:space="0" w:color="auto"/>
      </w:divBdr>
    </w:div>
    <w:div w:id="782190267">
      <w:bodyDiv w:val="1"/>
      <w:marLeft w:val="0"/>
      <w:marRight w:val="0"/>
      <w:marTop w:val="0"/>
      <w:marBottom w:val="0"/>
      <w:divBdr>
        <w:top w:val="none" w:sz="0" w:space="0" w:color="auto"/>
        <w:left w:val="none" w:sz="0" w:space="0" w:color="auto"/>
        <w:bottom w:val="none" w:sz="0" w:space="0" w:color="auto"/>
        <w:right w:val="none" w:sz="0" w:space="0" w:color="auto"/>
      </w:divBdr>
    </w:div>
    <w:div w:id="81900387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6237462">
      <w:bodyDiv w:val="1"/>
      <w:marLeft w:val="0"/>
      <w:marRight w:val="0"/>
      <w:marTop w:val="0"/>
      <w:marBottom w:val="0"/>
      <w:divBdr>
        <w:top w:val="none" w:sz="0" w:space="0" w:color="auto"/>
        <w:left w:val="none" w:sz="0" w:space="0" w:color="auto"/>
        <w:bottom w:val="none" w:sz="0" w:space="0" w:color="auto"/>
        <w:right w:val="none" w:sz="0" w:space="0" w:color="auto"/>
      </w:divBdr>
    </w:div>
    <w:div w:id="878587697">
      <w:bodyDiv w:val="1"/>
      <w:marLeft w:val="0"/>
      <w:marRight w:val="0"/>
      <w:marTop w:val="0"/>
      <w:marBottom w:val="0"/>
      <w:divBdr>
        <w:top w:val="none" w:sz="0" w:space="0" w:color="auto"/>
        <w:left w:val="none" w:sz="0" w:space="0" w:color="auto"/>
        <w:bottom w:val="none" w:sz="0" w:space="0" w:color="auto"/>
        <w:right w:val="none" w:sz="0" w:space="0" w:color="auto"/>
      </w:divBdr>
    </w:div>
    <w:div w:id="879977122">
      <w:bodyDiv w:val="1"/>
      <w:marLeft w:val="0"/>
      <w:marRight w:val="0"/>
      <w:marTop w:val="0"/>
      <w:marBottom w:val="0"/>
      <w:divBdr>
        <w:top w:val="none" w:sz="0" w:space="0" w:color="auto"/>
        <w:left w:val="none" w:sz="0" w:space="0" w:color="auto"/>
        <w:bottom w:val="none" w:sz="0" w:space="0" w:color="auto"/>
        <w:right w:val="none" w:sz="0" w:space="0" w:color="auto"/>
      </w:divBdr>
    </w:div>
    <w:div w:id="915438419">
      <w:bodyDiv w:val="1"/>
      <w:marLeft w:val="0"/>
      <w:marRight w:val="0"/>
      <w:marTop w:val="0"/>
      <w:marBottom w:val="0"/>
      <w:divBdr>
        <w:top w:val="none" w:sz="0" w:space="0" w:color="auto"/>
        <w:left w:val="none" w:sz="0" w:space="0" w:color="auto"/>
        <w:bottom w:val="none" w:sz="0" w:space="0" w:color="auto"/>
        <w:right w:val="none" w:sz="0" w:space="0" w:color="auto"/>
      </w:divBdr>
    </w:div>
    <w:div w:id="1040280181">
      <w:bodyDiv w:val="1"/>
      <w:marLeft w:val="0"/>
      <w:marRight w:val="0"/>
      <w:marTop w:val="0"/>
      <w:marBottom w:val="0"/>
      <w:divBdr>
        <w:top w:val="none" w:sz="0" w:space="0" w:color="auto"/>
        <w:left w:val="none" w:sz="0" w:space="0" w:color="auto"/>
        <w:bottom w:val="none" w:sz="0" w:space="0" w:color="auto"/>
        <w:right w:val="none" w:sz="0" w:space="0" w:color="auto"/>
      </w:divBdr>
    </w:div>
    <w:div w:id="1054549727">
      <w:bodyDiv w:val="1"/>
      <w:marLeft w:val="0"/>
      <w:marRight w:val="0"/>
      <w:marTop w:val="0"/>
      <w:marBottom w:val="0"/>
      <w:divBdr>
        <w:top w:val="none" w:sz="0" w:space="0" w:color="auto"/>
        <w:left w:val="none" w:sz="0" w:space="0" w:color="auto"/>
        <w:bottom w:val="none" w:sz="0" w:space="0" w:color="auto"/>
        <w:right w:val="none" w:sz="0" w:space="0" w:color="auto"/>
      </w:divBdr>
    </w:div>
    <w:div w:id="1116217946">
      <w:bodyDiv w:val="1"/>
      <w:marLeft w:val="0"/>
      <w:marRight w:val="0"/>
      <w:marTop w:val="0"/>
      <w:marBottom w:val="0"/>
      <w:divBdr>
        <w:top w:val="none" w:sz="0" w:space="0" w:color="auto"/>
        <w:left w:val="none" w:sz="0" w:space="0" w:color="auto"/>
        <w:bottom w:val="none" w:sz="0" w:space="0" w:color="auto"/>
        <w:right w:val="none" w:sz="0" w:space="0" w:color="auto"/>
      </w:divBdr>
      <w:divsChild>
        <w:div w:id="871500895">
          <w:marLeft w:val="0"/>
          <w:marRight w:val="0"/>
          <w:marTop w:val="0"/>
          <w:marBottom w:val="0"/>
          <w:divBdr>
            <w:top w:val="none" w:sz="0" w:space="0" w:color="auto"/>
            <w:left w:val="none" w:sz="0" w:space="0" w:color="auto"/>
            <w:bottom w:val="none" w:sz="0" w:space="0" w:color="auto"/>
            <w:right w:val="none" w:sz="0" w:space="0" w:color="auto"/>
          </w:divBdr>
        </w:div>
        <w:div w:id="304241254">
          <w:marLeft w:val="0"/>
          <w:marRight w:val="0"/>
          <w:marTop w:val="0"/>
          <w:marBottom w:val="0"/>
          <w:divBdr>
            <w:top w:val="none" w:sz="0" w:space="0" w:color="auto"/>
            <w:left w:val="none" w:sz="0" w:space="0" w:color="auto"/>
            <w:bottom w:val="none" w:sz="0" w:space="0" w:color="auto"/>
            <w:right w:val="none" w:sz="0" w:space="0" w:color="auto"/>
          </w:divBdr>
        </w:div>
        <w:div w:id="452094996">
          <w:marLeft w:val="0"/>
          <w:marRight w:val="0"/>
          <w:marTop w:val="0"/>
          <w:marBottom w:val="0"/>
          <w:divBdr>
            <w:top w:val="none" w:sz="0" w:space="0" w:color="auto"/>
            <w:left w:val="none" w:sz="0" w:space="0" w:color="auto"/>
            <w:bottom w:val="none" w:sz="0" w:space="0" w:color="auto"/>
            <w:right w:val="none" w:sz="0" w:space="0" w:color="auto"/>
          </w:divBdr>
        </w:div>
        <w:div w:id="1695762694">
          <w:marLeft w:val="0"/>
          <w:marRight w:val="0"/>
          <w:marTop w:val="0"/>
          <w:marBottom w:val="0"/>
          <w:divBdr>
            <w:top w:val="none" w:sz="0" w:space="0" w:color="auto"/>
            <w:left w:val="none" w:sz="0" w:space="0" w:color="auto"/>
            <w:bottom w:val="none" w:sz="0" w:space="0" w:color="auto"/>
            <w:right w:val="none" w:sz="0" w:space="0" w:color="auto"/>
          </w:divBdr>
        </w:div>
        <w:div w:id="381251630">
          <w:marLeft w:val="0"/>
          <w:marRight w:val="0"/>
          <w:marTop w:val="0"/>
          <w:marBottom w:val="0"/>
          <w:divBdr>
            <w:top w:val="none" w:sz="0" w:space="0" w:color="auto"/>
            <w:left w:val="none" w:sz="0" w:space="0" w:color="auto"/>
            <w:bottom w:val="none" w:sz="0" w:space="0" w:color="auto"/>
            <w:right w:val="none" w:sz="0" w:space="0" w:color="auto"/>
          </w:divBdr>
        </w:div>
      </w:divsChild>
    </w:div>
    <w:div w:id="1118455226">
      <w:bodyDiv w:val="1"/>
      <w:marLeft w:val="0"/>
      <w:marRight w:val="0"/>
      <w:marTop w:val="0"/>
      <w:marBottom w:val="0"/>
      <w:divBdr>
        <w:top w:val="none" w:sz="0" w:space="0" w:color="auto"/>
        <w:left w:val="none" w:sz="0" w:space="0" w:color="auto"/>
        <w:bottom w:val="none" w:sz="0" w:space="0" w:color="auto"/>
        <w:right w:val="none" w:sz="0" w:space="0" w:color="auto"/>
      </w:divBdr>
    </w:div>
    <w:div w:id="1158306754">
      <w:bodyDiv w:val="1"/>
      <w:marLeft w:val="0"/>
      <w:marRight w:val="0"/>
      <w:marTop w:val="0"/>
      <w:marBottom w:val="0"/>
      <w:divBdr>
        <w:top w:val="none" w:sz="0" w:space="0" w:color="auto"/>
        <w:left w:val="none" w:sz="0" w:space="0" w:color="auto"/>
        <w:bottom w:val="none" w:sz="0" w:space="0" w:color="auto"/>
        <w:right w:val="none" w:sz="0" w:space="0" w:color="auto"/>
      </w:divBdr>
    </w:div>
    <w:div w:id="1162626254">
      <w:bodyDiv w:val="1"/>
      <w:marLeft w:val="0"/>
      <w:marRight w:val="0"/>
      <w:marTop w:val="0"/>
      <w:marBottom w:val="0"/>
      <w:divBdr>
        <w:top w:val="none" w:sz="0" w:space="0" w:color="auto"/>
        <w:left w:val="none" w:sz="0" w:space="0" w:color="auto"/>
        <w:bottom w:val="none" w:sz="0" w:space="0" w:color="auto"/>
        <w:right w:val="none" w:sz="0" w:space="0" w:color="auto"/>
      </w:divBdr>
    </w:div>
    <w:div w:id="116412612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2723">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1264824">
      <w:bodyDiv w:val="1"/>
      <w:marLeft w:val="0"/>
      <w:marRight w:val="0"/>
      <w:marTop w:val="0"/>
      <w:marBottom w:val="0"/>
      <w:divBdr>
        <w:top w:val="none" w:sz="0" w:space="0" w:color="auto"/>
        <w:left w:val="none" w:sz="0" w:space="0" w:color="auto"/>
        <w:bottom w:val="none" w:sz="0" w:space="0" w:color="auto"/>
        <w:right w:val="none" w:sz="0" w:space="0" w:color="auto"/>
      </w:divBdr>
    </w:div>
    <w:div w:id="1214973794">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0072570">
      <w:bodyDiv w:val="1"/>
      <w:marLeft w:val="0"/>
      <w:marRight w:val="0"/>
      <w:marTop w:val="0"/>
      <w:marBottom w:val="0"/>
      <w:divBdr>
        <w:top w:val="none" w:sz="0" w:space="0" w:color="auto"/>
        <w:left w:val="none" w:sz="0" w:space="0" w:color="auto"/>
        <w:bottom w:val="none" w:sz="0" w:space="0" w:color="auto"/>
        <w:right w:val="none" w:sz="0" w:space="0" w:color="auto"/>
      </w:divBdr>
    </w:div>
    <w:div w:id="1258758182">
      <w:bodyDiv w:val="1"/>
      <w:marLeft w:val="0"/>
      <w:marRight w:val="0"/>
      <w:marTop w:val="0"/>
      <w:marBottom w:val="0"/>
      <w:divBdr>
        <w:top w:val="none" w:sz="0" w:space="0" w:color="auto"/>
        <w:left w:val="none" w:sz="0" w:space="0" w:color="auto"/>
        <w:bottom w:val="none" w:sz="0" w:space="0" w:color="auto"/>
        <w:right w:val="none" w:sz="0" w:space="0" w:color="auto"/>
      </w:divBdr>
    </w:div>
    <w:div w:id="1271084364">
      <w:bodyDiv w:val="1"/>
      <w:marLeft w:val="0"/>
      <w:marRight w:val="0"/>
      <w:marTop w:val="0"/>
      <w:marBottom w:val="0"/>
      <w:divBdr>
        <w:top w:val="none" w:sz="0" w:space="0" w:color="auto"/>
        <w:left w:val="none" w:sz="0" w:space="0" w:color="auto"/>
        <w:bottom w:val="none" w:sz="0" w:space="0" w:color="auto"/>
        <w:right w:val="none" w:sz="0" w:space="0" w:color="auto"/>
      </w:divBdr>
    </w:div>
    <w:div w:id="1287466673">
      <w:bodyDiv w:val="1"/>
      <w:marLeft w:val="0"/>
      <w:marRight w:val="0"/>
      <w:marTop w:val="0"/>
      <w:marBottom w:val="0"/>
      <w:divBdr>
        <w:top w:val="none" w:sz="0" w:space="0" w:color="auto"/>
        <w:left w:val="none" w:sz="0" w:space="0" w:color="auto"/>
        <w:bottom w:val="none" w:sz="0" w:space="0" w:color="auto"/>
        <w:right w:val="none" w:sz="0" w:space="0" w:color="auto"/>
      </w:divBdr>
    </w:div>
    <w:div w:id="1302953708">
      <w:bodyDiv w:val="1"/>
      <w:marLeft w:val="0"/>
      <w:marRight w:val="0"/>
      <w:marTop w:val="0"/>
      <w:marBottom w:val="0"/>
      <w:divBdr>
        <w:top w:val="none" w:sz="0" w:space="0" w:color="auto"/>
        <w:left w:val="none" w:sz="0" w:space="0" w:color="auto"/>
        <w:bottom w:val="none" w:sz="0" w:space="0" w:color="auto"/>
        <w:right w:val="none" w:sz="0" w:space="0" w:color="auto"/>
      </w:divBdr>
    </w:div>
    <w:div w:id="1308125946">
      <w:bodyDiv w:val="1"/>
      <w:marLeft w:val="0"/>
      <w:marRight w:val="0"/>
      <w:marTop w:val="0"/>
      <w:marBottom w:val="0"/>
      <w:divBdr>
        <w:top w:val="none" w:sz="0" w:space="0" w:color="auto"/>
        <w:left w:val="none" w:sz="0" w:space="0" w:color="auto"/>
        <w:bottom w:val="none" w:sz="0" w:space="0" w:color="auto"/>
        <w:right w:val="none" w:sz="0" w:space="0" w:color="auto"/>
      </w:divBdr>
      <w:divsChild>
        <w:div w:id="1814902536">
          <w:marLeft w:val="0"/>
          <w:marRight w:val="0"/>
          <w:marTop w:val="0"/>
          <w:marBottom w:val="0"/>
          <w:divBdr>
            <w:top w:val="none" w:sz="0" w:space="0" w:color="auto"/>
            <w:left w:val="none" w:sz="0" w:space="0" w:color="auto"/>
            <w:bottom w:val="none" w:sz="0" w:space="0" w:color="auto"/>
            <w:right w:val="none" w:sz="0" w:space="0" w:color="auto"/>
          </w:divBdr>
        </w:div>
        <w:div w:id="1178277582">
          <w:marLeft w:val="0"/>
          <w:marRight w:val="0"/>
          <w:marTop w:val="0"/>
          <w:marBottom w:val="0"/>
          <w:divBdr>
            <w:top w:val="none" w:sz="0" w:space="0" w:color="auto"/>
            <w:left w:val="none" w:sz="0" w:space="0" w:color="auto"/>
            <w:bottom w:val="none" w:sz="0" w:space="0" w:color="auto"/>
            <w:right w:val="none" w:sz="0" w:space="0" w:color="auto"/>
          </w:divBdr>
        </w:div>
        <w:div w:id="1955750183">
          <w:marLeft w:val="0"/>
          <w:marRight w:val="0"/>
          <w:marTop w:val="0"/>
          <w:marBottom w:val="0"/>
          <w:divBdr>
            <w:top w:val="none" w:sz="0" w:space="0" w:color="auto"/>
            <w:left w:val="none" w:sz="0" w:space="0" w:color="auto"/>
            <w:bottom w:val="none" w:sz="0" w:space="0" w:color="auto"/>
            <w:right w:val="none" w:sz="0" w:space="0" w:color="auto"/>
          </w:divBdr>
        </w:div>
        <w:div w:id="683870164">
          <w:marLeft w:val="0"/>
          <w:marRight w:val="0"/>
          <w:marTop w:val="0"/>
          <w:marBottom w:val="0"/>
          <w:divBdr>
            <w:top w:val="none" w:sz="0" w:space="0" w:color="auto"/>
            <w:left w:val="none" w:sz="0" w:space="0" w:color="auto"/>
            <w:bottom w:val="none" w:sz="0" w:space="0" w:color="auto"/>
            <w:right w:val="none" w:sz="0" w:space="0" w:color="auto"/>
          </w:divBdr>
        </w:div>
        <w:div w:id="1192037646">
          <w:marLeft w:val="0"/>
          <w:marRight w:val="0"/>
          <w:marTop w:val="0"/>
          <w:marBottom w:val="0"/>
          <w:divBdr>
            <w:top w:val="none" w:sz="0" w:space="0" w:color="auto"/>
            <w:left w:val="none" w:sz="0" w:space="0" w:color="auto"/>
            <w:bottom w:val="none" w:sz="0" w:space="0" w:color="auto"/>
            <w:right w:val="none" w:sz="0" w:space="0" w:color="auto"/>
          </w:divBdr>
        </w:div>
      </w:divsChild>
    </w:div>
    <w:div w:id="1309896427">
      <w:bodyDiv w:val="1"/>
      <w:marLeft w:val="0"/>
      <w:marRight w:val="0"/>
      <w:marTop w:val="0"/>
      <w:marBottom w:val="0"/>
      <w:divBdr>
        <w:top w:val="none" w:sz="0" w:space="0" w:color="auto"/>
        <w:left w:val="none" w:sz="0" w:space="0" w:color="auto"/>
        <w:bottom w:val="none" w:sz="0" w:space="0" w:color="auto"/>
        <w:right w:val="none" w:sz="0" w:space="0" w:color="auto"/>
      </w:divBdr>
    </w:div>
    <w:div w:id="1321886980">
      <w:bodyDiv w:val="1"/>
      <w:marLeft w:val="0"/>
      <w:marRight w:val="0"/>
      <w:marTop w:val="0"/>
      <w:marBottom w:val="0"/>
      <w:divBdr>
        <w:top w:val="none" w:sz="0" w:space="0" w:color="auto"/>
        <w:left w:val="none" w:sz="0" w:space="0" w:color="auto"/>
        <w:bottom w:val="none" w:sz="0" w:space="0" w:color="auto"/>
        <w:right w:val="none" w:sz="0" w:space="0" w:color="auto"/>
      </w:divBdr>
    </w:div>
    <w:div w:id="1361970545">
      <w:bodyDiv w:val="1"/>
      <w:marLeft w:val="0"/>
      <w:marRight w:val="0"/>
      <w:marTop w:val="0"/>
      <w:marBottom w:val="0"/>
      <w:divBdr>
        <w:top w:val="none" w:sz="0" w:space="0" w:color="auto"/>
        <w:left w:val="none" w:sz="0" w:space="0" w:color="auto"/>
        <w:bottom w:val="none" w:sz="0" w:space="0" w:color="auto"/>
        <w:right w:val="none" w:sz="0" w:space="0" w:color="auto"/>
      </w:divBdr>
    </w:div>
    <w:div w:id="1398166389">
      <w:bodyDiv w:val="1"/>
      <w:marLeft w:val="0"/>
      <w:marRight w:val="0"/>
      <w:marTop w:val="0"/>
      <w:marBottom w:val="0"/>
      <w:divBdr>
        <w:top w:val="none" w:sz="0" w:space="0" w:color="auto"/>
        <w:left w:val="none" w:sz="0" w:space="0" w:color="auto"/>
        <w:bottom w:val="none" w:sz="0" w:space="0" w:color="auto"/>
        <w:right w:val="none" w:sz="0" w:space="0" w:color="auto"/>
      </w:divBdr>
    </w:div>
    <w:div w:id="1398821145">
      <w:bodyDiv w:val="1"/>
      <w:marLeft w:val="0"/>
      <w:marRight w:val="0"/>
      <w:marTop w:val="0"/>
      <w:marBottom w:val="0"/>
      <w:divBdr>
        <w:top w:val="none" w:sz="0" w:space="0" w:color="auto"/>
        <w:left w:val="none" w:sz="0" w:space="0" w:color="auto"/>
        <w:bottom w:val="none" w:sz="0" w:space="0" w:color="auto"/>
        <w:right w:val="none" w:sz="0" w:space="0" w:color="auto"/>
      </w:divBdr>
    </w:div>
    <w:div w:id="1400053379">
      <w:bodyDiv w:val="1"/>
      <w:marLeft w:val="0"/>
      <w:marRight w:val="0"/>
      <w:marTop w:val="0"/>
      <w:marBottom w:val="0"/>
      <w:divBdr>
        <w:top w:val="none" w:sz="0" w:space="0" w:color="auto"/>
        <w:left w:val="none" w:sz="0" w:space="0" w:color="auto"/>
        <w:bottom w:val="none" w:sz="0" w:space="0" w:color="auto"/>
        <w:right w:val="none" w:sz="0" w:space="0" w:color="auto"/>
      </w:divBdr>
    </w:div>
    <w:div w:id="1419132497">
      <w:bodyDiv w:val="1"/>
      <w:marLeft w:val="0"/>
      <w:marRight w:val="0"/>
      <w:marTop w:val="0"/>
      <w:marBottom w:val="0"/>
      <w:divBdr>
        <w:top w:val="none" w:sz="0" w:space="0" w:color="auto"/>
        <w:left w:val="none" w:sz="0" w:space="0" w:color="auto"/>
        <w:bottom w:val="none" w:sz="0" w:space="0" w:color="auto"/>
        <w:right w:val="none" w:sz="0" w:space="0" w:color="auto"/>
      </w:divBdr>
    </w:div>
    <w:div w:id="1627420778">
      <w:bodyDiv w:val="1"/>
      <w:marLeft w:val="0"/>
      <w:marRight w:val="0"/>
      <w:marTop w:val="0"/>
      <w:marBottom w:val="0"/>
      <w:divBdr>
        <w:top w:val="none" w:sz="0" w:space="0" w:color="auto"/>
        <w:left w:val="none" w:sz="0" w:space="0" w:color="auto"/>
        <w:bottom w:val="none" w:sz="0" w:space="0" w:color="auto"/>
        <w:right w:val="none" w:sz="0" w:space="0" w:color="auto"/>
      </w:divBdr>
    </w:div>
    <w:div w:id="1725176872">
      <w:bodyDiv w:val="1"/>
      <w:marLeft w:val="0"/>
      <w:marRight w:val="0"/>
      <w:marTop w:val="0"/>
      <w:marBottom w:val="0"/>
      <w:divBdr>
        <w:top w:val="none" w:sz="0" w:space="0" w:color="auto"/>
        <w:left w:val="none" w:sz="0" w:space="0" w:color="auto"/>
        <w:bottom w:val="none" w:sz="0" w:space="0" w:color="auto"/>
        <w:right w:val="none" w:sz="0" w:space="0" w:color="auto"/>
      </w:divBdr>
    </w:div>
    <w:div w:id="1741364043">
      <w:bodyDiv w:val="1"/>
      <w:marLeft w:val="0"/>
      <w:marRight w:val="0"/>
      <w:marTop w:val="0"/>
      <w:marBottom w:val="0"/>
      <w:divBdr>
        <w:top w:val="none" w:sz="0" w:space="0" w:color="auto"/>
        <w:left w:val="none" w:sz="0" w:space="0" w:color="auto"/>
        <w:bottom w:val="none" w:sz="0" w:space="0" w:color="auto"/>
        <w:right w:val="none" w:sz="0" w:space="0" w:color="auto"/>
      </w:divBdr>
    </w:div>
    <w:div w:id="1767535433">
      <w:bodyDiv w:val="1"/>
      <w:marLeft w:val="0"/>
      <w:marRight w:val="0"/>
      <w:marTop w:val="0"/>
      <w:marBottom w:val="0"/>
      <w:divBdr>
        <w:top w:val="none" w:sz="0" w:space="0" w:color="auto"/>
        <w:left w:val="none" w:sz="0" w:space="0" w:color="auto"/>
        <w:bottom w:val="none" w:sz="0" w:space="0" w:color="auto"/>
        <w:right w:val="none" w:sz="0" w:space="0" w:color="auto"/>
      </w:divBdr>
    </w:div>
    <w:div w:id="1878160940">
      <w:bodyDiv w:val="1"/>
      <w:marLeft w:val="0"/>
      <w:marRight w:val="0"/>
      <w:marTop w:val="0"/>
      <w:marBottom w:val="0"/>
      <w:divBdr>
        <w:top w:val="none" w:sz="0" w:space="0" w:color="auto"/>
        <w:left w:val="none" w:sz="0" w:space="0" w:color="auto"/>
        <w:bottom w:val="none" w:sz="0" w:space="0" w:color="auto"/>
        <w:right w:val="none" w:sz="0" w:space="0" w:color="auto"/>
      </w:divBdr>
    </w:div>
    <w:div w:id="1906334339">
      <w:bodyDiv w:val="1"/>
      <w:marLeft w:val="0"/>
      <w:marRight w:val="0"/>
      <w:marTop w:val="0"/>
      <w:marBottom w:val="0"/>
      <w:divBdr>
        <w:top w:val="none" w:sz="0" w:space="0" w:color="auto"/>
        <w:left w:val="none" w:sz="0" w:space="0" w:color="auto"/>
        <w:bottom w:val="none" w:sz="0" w:space="0" w:color="auto"/>
        <w:right w:val="none" w:sz="0" w:space="0" w:color="auto"/>
      </w:divBdr>
    </w:div>
    <w:div w:id="1939750864">
      <w:bodyDiv w:val="1"/>
      <w:marLeft w:val="0"/>
      <w:marRight w:val="0"/>
      <w:marTop w:val="0"/>
      <w:marBottom w:val="0"/>
      <w:divBdr>
        <w:top w:val="none" w:sz="0" w:space="0" w:color="auto"/>
        <w:left w:val="none" w:sz="0" w:space="0" w:color="auto"/>
        <w:bottom w:val="none" w:sz="0" w:space="0" w:color="auto"/>
        <w:right w:val="none" w:sz="0" w:space="0" w:color="auto"/>
      </w:divBdr>
    </w:div>
    <w:div w:id="195154680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8825833">
      <w:bodyDiv w:val="1"/>
      <w:marLeft w:val="0"/>
      <w:marRight w:val="0"/>
      <w:marTop w:val="0"/>
      <w:marBottom w:val="0"/>
      <w:divBdr>
        <w:top w:val="none" w:sz="0" w:space="0" w:color="auto"/>
        <w:left w:val="none" w:sz="0" w:space="0" w:color="auto"/>
        <w:bottom w:val="none" w:sz="0" w:space="0" w:color="auto"/>
        <w:right w:val="none" w:sz="0" w:space="0" w:color="auto"/>
      </w:divBdr>
    </w:div>
    <w:div w:id="2002611961">
      <w:bodyDiv w:val="1"/>
      <w:marLeft w:val="0"/>
      <w:marRight w:val="0"/>
      <w:marTop w:val="0"/>
      <w:marBottom w:val="0"/>
      <w:divBdr>
        <w:top w:val="none" w:sz="0" w:space="0" w:color="auto"/>
        <w:left w:val="none" w:sz="0" w:space="0" w:color="auto"/>
        <w:bottom w:val="none" w:sz="0" w:space="0" w:color="auto"/>
        <w:right w:val="none" w:sz="0" w:space="0" w:color="auto"/>
      </w:divBdr>
    </w:div>
    <w:div w:id="2041274206">
      <w:bodyDiv w:val="1"/>
      <w:marLeft w:val="0"/>
      <w:marRight w:val="0"/>
      <w:marTop w:val="0"/>
      <w:marBottom w:val="0"/>
      <w:divBdr>
        <w:top w:val="none" w:sz="0" w:space="0" w:color="auto"/>
        <w:left w:val="none" w:sz="0" w:space="0" w:color="auto"/>
        <w:bottom w:val="none" w:sz="0" w:space="0" w:color="auto"/>
        <w:right w:val="none" w:sz="0" w:space="0" w:color="auto"/>
      </w:divBdr>
    </w:div>
    <w:div w:id="2068607922">
      <w:bodyDiv w:val="1"/>
      <w:marLeft w:val="0"/>
      <w:marRight w:val="0"/>
      <w:marTop w:val="0"/>
      <w:marBottom w:val="0"/>
      <w:divBdr>
        <w:top w:val="none" w:sz="0" w:space="0" w:color="auto"/>
        <w:left w:val="none" w:sz="0" w:space="0" w:color="auto"/>
        <w:bottom w:val="none" w:sz="0" w:space="0" w:color="auto"/>
        <w:right w:val="none" w:sz="0" w:space="0" w:color="auto"/>
      </w:divBdr>
    </w:div>
    <w:div w:id="2096900766">
      <w:bodyDiv w:val="1"/>
      <w:marLeft w:val="0"/>
      <w:marRight w:val="0"/>
      <w:marTop w:val="0"/>
      <w:marBottom w:val="0"/>
      <w:divBdr>
        <w:top w:val="none" w:sz="0" w:space="0" w:color="auto"/>
        <w:left w:val="none" w:sz="0" w:space="0" w:color="auto"/>
        <w:bottom w:val="none" w:sz="0" w:space="0" w:color="auto"/>
        <w:right w:val="none" w:sz="0" w:space="0" w:color="auto"/>
      </w:divBdr>
      <w:divsChild>
        <w:div w:id="612175853">
          <w:marLeft w:val="0"/>
          <w:marRight w:val="0"/>
          <w:marTop w:val="0"/>
          <w:marBottom w:val="0"/>
          <w:divBdr>
            <w:top w:val="none" w:sz="0" w:space="0" w:color="auto"/>
            <w:left w:val="none" w:sz="0" w:space="0" w:color="auto"/>
            <w:bottom w:val="none" w:sz="0" w:space="0" w:color="auto"/>
            <w:right w:val="none" w:sz="0" w:space="0" w:color="auto"/>
          </w:divBdr>
        </w:div>
      </w:divsChild>
    </w:div>
    <w:div w:id="21011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653489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clinicaltrials.gov/ct2/show/NCT0653489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acip/downloads/slides-2025-04-15-16/04-Ortega-Sanchez-Adult-RSV-508.pdf" TargetMode="External"/><Relationship Id="rId2" Type="http://schemas.openxmlformats.org/officeDocument/2006/relationships/hyperlink" Target="https://www.cdc.gov/acip/downloads/slides-2024-10-23-24/06-RSV-Adult-Melgar-508.pdf" TargetMode="External"/><Relationship Id="rId1" Type="http://schemas.openxmlformats.org/officeDocument/2006/relationships/hyperlink" Target="https://www.tga.gov.au/news/safety-updates/correct-administration-rsv-vaccine-and-antibody-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Datecreated xmlns="7f856f8d-13b3-495a-9a4b-41f8182eda4c" xsi:nil="true"/>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56FEC5F6-8FE9-43D2-9B84-FBB8811EDF58}"/>
</file>

<file path=customXml/itemProps3.xml><?xml version="1.0" encoding="utf-8"?>
<ds:datastoreItem xmlns:ds="http://schemas.openxmlformats.org/officeDocument/2006/customXml" ds:itemID="{8F03710B-03C7-4CA2-8651-6671A949A810}"/>
</file>

<file path=customXml/itemProps4.xml><?xml version="1.0" encoding="utf-8"?>
<ds:datastoreItem xmlns:ds="http://schemas.openxmlformats.org/officeDocument/2006/customXml" ds:itemID="{C5106F62-F0F0-48D2-9DD6-CA651FD17113}"/>
</file>

<file path=docMetadata/LabelInfo.xml><?xml version="1.0" encoding="utf-8"?>
<clbl:labelList xmlns:clbl="http://schemas.microsoft.com/office/2020/mipLabelMetadata">
  <clbl:label id="{0df3522f-8c42-44b0-bea3-7f162a60ea50}"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50</Pages>
  <Words>22983</Words>
  <Characters>122274</Characters>
  <Application>Microsoft Office Word</Application>
  <DocSecurity>0</DocSecurity>
  <Lines>3705</Lines>
  <Paragraphs>2420</Paragraphs>
  <ScaleCrop>false</ScaleCrop>
  <Company/>
  <LinksUpToDate>false</LinksUpToDate>
  <CharactersWithSpaces>142837</CharactersWithSpaces>
  <SharedDoc>false</SharedDoc>
  <HLinks>
    <vt:vector size="36" baseType="variant">
      <vt:variant>
        <vt:i4>6553662</vt:i4>
      </vt:variant>
      <vt:variant>
        <vt:i4>27</vt:i4>
      </vt:variant>
      <vt:variant>
        <vt:i4>0</vt:i4>
      </vt:variant>
      <vt:variant>
        <vt:i4>5</vt:i4>
      </vt:variant>
      <vt:variant>
        <vt:lpwstr>https://clinicaltrials.gov/ct2/show/NCT06534892</vt:lpwstr>
      </vt:variant>
      <vt:variant>
        <vt:lpwstr/>
      </vt:variant>
      <vt:variant>
        <vt:i4>6553662</vt:i4>
      </vt:variant>
      <vt:variant>
        <vt:i4>15</vt:i4>
      </vt:variant>
      <vt:variant>
        <vt:i4>0</vt:i4>
      </vt:variant>
      <vt:variant>
        <vt:i4>5</vt:i4>
      </vt:variant>
      <vt:variant>
        <vt:lpwstr>https://clinicaltrials.gov/ct2/show/NCT06534892</vt:lpwstr>
      </vt:variant>
      <vt:variant>
        <vt:lpwstr/>
      </vt:variant>
      <vt:variant>
        <vt:i4>7536742</vt:i4>
      </vt:variant>
      <vt:variant>
        <vt:i4>6</vt:i4>
      </vt:variant>
      <vt:variant>
        <vt:i4>0</vt:i4>
      </vt:variant>
      <vt:variant>
        <vt:i4>5</vt:i4>
      </vt:variant>
      <vt:variant>
        <vt:lpwstr>https://www.cdc.gov/acip/downloads/slides-2025-04-15-16/04-Ortega-Sanchez-Adult-RSV-508.pdf</vt:lpwstr>
      </vt:variant>
      <vt:variant>
        <vt:lpwstr/>
      </vt:variant>
      <vt:variant>
        <vt:i4>3997813</vt:i4>
      </vt:variant>
      <vt:variant>
        <vt:i4>3</vt:i4>
      </vt:variant>
      <vt:variant>
        <vt:i4>0</vt:i4>
      </vt:variant>
      <vt:variant>
        <vt:i4>5</vt:i4>
      </vt:variant>
      <vt:variant>
        <vt:lpwstr>https://www.cdc.gov/acip/downloads/slides-2024-10-23-24/06-RSV-Adult-Melgar-508.pdf</vt:lpwstr>
      </vt:variant>
      <vt:variant>
        <vt:lpwstr/>
      </vt:variant>
      <vt:variant>
        <vt:i4>5242880</vt:i4>
      </vt:variant>
      <vt:variant>
        <vt:i4>0</vt:i4>
      </vt:variant>
      <vt:variant>
        <vt:i4>0</vt:i4>
      </vt:variant>
      <vt:variant>
        <vt:i4>5</vt:i4>
      </vt:variant>
      <vt:variant>
        <vt:lpwstr>https://www.tga.gov.au/news/safety-updates/correct-administration-rsv-vaccine-and-antibody-products</vt:lpwstr>
      </vt:variant>
      <vt:variant>
        <vt:lpwstr>:~:text=About%20the%20administration%20errors,the%20administration%20errors%20outlined%20above</vt:lpwstr>
      </vt:variant>
      <vt:variant>
        <vt:i4>7995517</vt:i4>
      </vt:variant>
      <vt:variant>
        <vt:i4>0</vt:i4>
      </vt:variant>
      <vt:variant>
        <vt:i4>0</vt:i4>
      </vt:variant>
      <vt:variant>
        <vt:i4>5</vt:i4>
      </vt:variant>
      <vt:variant>
        <vt:lpwstr>https://ncirs.org.au/ncirs-webinar-series/07032024-rsv-vaccines-protection-older-adults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2026-06-11T06:52:00Z</dcterms:created>
  <dcterms:modified xsi:type="dcterms:W3CDTF">2026-06-11T06:53:00Z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749b003e,39363b93,728d63b4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426dfa41,385e479a,28444859</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2026-06-11T06:52:19Z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77668452-8a18-46a2-9d4e-59c2b08da947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ies>
</file>