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B204C35" w:rsidR="00B60939" w:rsidRPr="00A5291E" w:rsidRDefault="00135F8F" w:rsidP="004A6040">
      <w:pPr>
        <w:pStyle w:val="1-MainHeading"/>
      </w:pPr>
      <w:bookmarkStart w:id="0" w:name="_Toc193454306"/>
      <w:r>
        <w:t>6</w:t>
      </w:r>
      <w:r w:rsidR="00433044" w:rsidRPr="00A5291E">
        <w:t>.</w:t>
      </w:r>
      <w:r>
        <w:t>07</w:t>
      </w:r>
      <w:r w:rsidR="00163F66" w:rsidRPr="00A5291E">
        <w:tab/>
      </w:r>
      <w:r w:rsidR="00CB109D" w:rsidRPr="00A5291E">
        <w:t>TRASTUZUMAB DERUXTECAN,</w:t>
      </w:r>
      <w:r w:rsidR="00CB109D" w:rsidRPr="00A5291E">
        <w:br/>
        <w:t>Powder for I</w:t>
      </w:r>
      <w:r w:rsidR="00920505">
        <w:t>.</w:t>
      </w:r>
      <w:r w:rsidR="00CB109D" w:rsidRPr="00A5291E">
        <w:t>V</w:t>
      </w:r>
      <w:r w:rsidR="00920505">
        <w:t>.</w:t>
      </w:r>
      <w:r w:rsidR="00CB109D" w:rsidRPr="00A5291E">
        <w:t xml:space="preserve"> infusion</w:t>
      </w:r>
      <w:r w:rsidR="004F5AA6">
        <w:t xml:space="preserve"> </w:t>
      </w:r>
      <w:r w:rsidR="00CB109D" w:rsidRPr="00A5291E">
        <w:t>100</w:t>
      </w:r>
      <w:r w:rsidR="004F5AA6">
        <w:t> </w:t>
      </w:r>
      <w:r w:rsidR="00CB109D" w:rsidRPr="00A5291E">
        <w:t>mg,</w:t>
      </w:r>
      <w:r w:rsidR="00CB109D" w:rsidRPr="00A5291E">
        <w:br/>
      </w:r>
      <w:proofErr w:type="spellStart"/>
      <w:r w:rsidR="00A80AEA" w:rsidRPr="00A5291E">
        <w:t>E</w:t>
      </w:r>
      <w:r w:rsidR="00A80AEA">
        <w:t>nhertu</w:t>
      </w:r>
      <w:proofErr w:type="spellEnd"/>
      <w:r w:rsidR="00CB109D" w:rsidRPr="00A5291E">
        <w:rPr>
          <w:vertAlign w:val="superscript"/>
        </w:rPr>
        <w:t>®</w:t>
      </w:r>
      <w:r w:rsidR="00CB109D" w:rsidRPr="00A5291E">
        <w:t>,</w:t>
      </w:r>
      <w:r w:rsidR="00CB109D" w:rsidRPr="00A5291E">
        <w:br/>
        <w:t>ASTRAZENECA PTY LTD.</w:t>
      </w:r>
      <w:bookmarkEnd w:id="0"/>
    </w:p>
    <w:p w14:paraId="11C00795" w14:textId="3DFB6D23" w:rsidR="00B50DB8" w:rsidRPr="00A5291E" w:rsidRDefault="00B50DB8" w:rsidP="004A6040">
      <w:pPr>
        <w:pStyle w:val="2-SectionHeading"/>
      </w:pPr>
      <w:bookmarkStart w:id="1" w:name="_Toc193454308"/>
      <w:r w:rsidRPr="00A5291E">
        <w:t xml:space="preserve">Purpose of </w:t>
      </w:r>
      <w:r w:rsidR="00CD7193" w:rsidRPr="00A5291E">
        <w:t>s</w:t>
      </w:r>
      <w:r w:rsidR="00BB3A45" w:rsidRPr="00A5291E">
        <w:t>ubmission</w:t>
      </w:r>
      <w:bookmarkEnd w:id="1"/>
    </w:p>
    <w:p w14:paraId="710D34EC" w14:textId="68B79BA8" w:rsidR="00BF711F" w:rsidRDefault="00BF711F" w:rsidP="00BF711F">
      <w:pPr>
        <w:pStyle w:val="3-BodyText"/>
      </w:pPr>
      <w:r w:rsidRPr="0098262F">
        <w:t>The</w:t>
      </w:r>
      <w:r>
        <w:t xml:space="preserve"> </w:t>
      </w:r>
      <w:r w:rsidR="00FB399C">
        <w:t xml:space="preserve">Category 2 </w:t>
      </w:r>
      <w:r w:rsidRPr="0098262F">
        <w:t xml:space="preserve">submission requested </w:t>
      </w:r>
      <w:r w:rsidRPr="0021594E">
        <w:t xml:space="preserve">a Section 100 (Efficient Funding of Chemotherapy Program) Authority Required (Telephone/Online) listing for </w:t>
      </w:r>
      <w:r>
        <w:t xml:space="preserve">trastuzumab </w:t>
      </w:r>
      <w:proofErr w:type="spellStart"/>
      <w:r>
        <w:t>deruxtecan</w:t>
      </w:r>
      <w:proofErr w:type="spellEnd"/>
      <w:r>
        <w:t xml:space="preserve"> (T-</w:t>
      </w:r>
      <w:proofErr w:type="spellStart"/>
      <w:r>
        <w:t>DXd</w:t>
      </w:r>
      <w:proofErr w:type="spellEnd"/>
      <w:r>
        <w:t xml:space="preserve">) for </w:t>
      </w:r>
      <w:r w:rsidRPr="0021594E">
        <w:t xml:space="preserve">the treatment of metastatic human epidermal growth factor receptor 2-positive (HER2+) </w:t>
      </w:r>
      <w:r>
        <w:t>g</w:t>
      </w:r>
      <w:r w:rsidRPr="0021594E">
        <w:t>astric or gastroesophageal junction (G/GOJ) cancer following trastuzumab therapy.</w:t>
      </w:r>
    </w:p>
    <w:p w14:paraId="22B4253E" w14:textId="687AEECB" w:rsidR="00BF711F" w:rsidRPr="0098262F" w:rsidRDefault="00BF711F">
      <w:pPr>
        <w:pStyle w:val="3-BodyText"/>
      </w:pPr>
      <w:bookmarkStart w:id="2" w:name="_Hlk191728603"/>
      <w:r>
        <w:t>T</w:t>
      </w:r>
      <w:r w:rsidRPr="00271498">
        <w:t xml:space="preserve">he Sponsor submitted </w:t>
      </w:r>
      <w:r>
        <w:t xml:space="preserve">a </w:t>
      </w:r>
      <w:r w:rsidRPr="00271498">
        <w:t xml:space="preserve">streamlined co-dependent submission to </w:t>
      </w:r>
      <w:r>
        <w:t>the Medical Services Advisory Committee (</w:t>
      </w:r>
      <w:r w:rsidRPr="00271498">
        <w:t>MSAC</w:t>
      </w:r>
      <w:r>
        <w:t>), to</w:t>
      </w:r>
      <w:r w:rsidRPr="00271498">
        <w:t xml:space="preserve"> support </w:t>
      </w:r>
      <w:r>
        <w:t>this</w:t>
      </w:r>
      <w:r w:rsidRPr="00271498">
        <w:t xml:space="preserve"> Pharmaceutical Benefits Advisory Committee (PBAC) submission</w:t>
      </w:r>
      <w:r>
        <w:t>,</w:t>
      </w:r>
      <w:r w:rsidRPr="00271498">
        <w:t xml:space="preserve"> </w:t>
      </w:r>
      <w:r>
        <w:t>requesting</w:t>
      </w:r>
      <w:r w:rsidRPr="00271498">
        <w:t xml:space="preserve"> a minor change to the current in situ hybridisation (ISH) MBS </w:t>
      </w:r>
      <w:r>
        <w:t>i</w:t>
      </w:r>
      <w:r w:rsidRPr="00271498">
        <w:t>tem 73342 descriptor from “trastuzumab” to “a trastuzumab-containing agent</w:t>
      </w:r>
      <w:r w:rsidR="00600820" w:rsidRPr="000B4F3B">
        <w:rPr>
          <w:rStyle w:val="FootnoteReference"/>
        </w:rPr>
        <w:footnoteReference w:id="2"/>
      </w:r>
      <w:r w:rsidR="00BF5281">
        <w:t xml:space="preserve"> to allow </w:t>
      </w:r>
      <w:r w:rsidR="00596EDC">
        <w:t xml:space="preserve">re-testing </w:t>
      </w:r>
      <w:r w:rsidR="00857F0F">
        <w:t>prior to treatment with T-</w:t>
      </w:r>
      <w:proofErr w:type="spellStart"/>
      <w:r w:rsidR="00857F0F">
        <w:t>DXd</w:t>
      </w:r>
      <w:proofErr w:type="spellEnd"/>
      <w:r w:rsidR="00600820" w:rsidRPr="000B4F3B">
        <w:t>.</w:t>
      </w:r>
    </w:p>
    <w:bookmarkEnd w:id="2"/>
    <w:p w14:paraId="74057763" w14:textId="3096BF0B" w:rsidR="00BF711F" w:rsidRDefault="00BF711F" w:rsidP="00BF711F">
      <w:pPr>
        <w:pStyle w:val="3-BodyText"/>
      </w:pPr>
      <w:r w:rsidRPr="00D86D87">
        <w:t xml:space="preserve">Listing </w:t>
      </w:r>
      <w:r>
        <w:t>of T-</w:t>
      </w:r>
      <w:proofErr w:type="spellStart"/>
      <w:r>
        <w:t>DXd</w:t>
      </w:r>
      <w:proofErr w:type="spellEnd"/>
      <w:r>
        <w:t xml:space="preserve"> </w:t>
      </w:r>
      <w:r w:rsidRPr="00D86D87">
        <w:t xml:space="preserve">was requested </w:t>
      </w:r>
      <w:proofErr w:type="gramStart"/>
      <w:r w:rsidRPr="00D86D87">
        <w:t>on the basis of</w:t>
      </w:r>
      <w:proofErr w:type="gramEnd"/>
      <w:r w:rsidRPr="00D86D87">
        <w:t xml:space="preserve"> a </w:t>
      </w:r>
      <w:r>
        <w:t>cost utility analysis</w:t>
      </w:r>
      <w:r w:rsidRPr="00D86D87">
        <w:t xml:space="preserve"> versus </w:t>
      </w:r>
      <w:r>
        <w:t>standard of care (SoC) which is chemotherapy in the Australian setting</w:t>
      </w:r>
      <w:r w:rsidRPr="00D86D87">
        <w:t>.</w:t>
      </w:r>
      <w:r>
        <w:t xml:space="preserve"> The key components of the clinical issues addressed by the submission are summarised in </w:t>
      </w:r>
      <w:r>
        <w:fldChar w:fldCharType="begin"/>
      </w:r>
      <w:r>
        <w:instrText xml:space="preserve"> REF _Ref192230787 \h </w:instrText>
      </w:r>
      <w:r>
        <w:fldChar w:fldCharType="separate"/>
      </w:r>
      <w:r w:rsidR="00593619" w:rsidRPr="00D86D87">
        <w:t xml:space="preserve">Table </w:t>
      </w:r>
      <w:r w:rsidR="00593619">
        <w:rPr>
          <w:noProof/>
        </w:rPr>
        <w:t>1</w:t>
      </w:r>
      <w:r>
        <w:fldChar w:fldCharType="end"/>
      </w:r>
      <w:r>
        <w:t xml:space="preserve">. </w:t>
      </w:r>
    </w:p>
    <w:p w14:paraId="00DA07C8" w14:textId="7695EF82" w:rsidR="00BF711F" w:rsidRPr="00D86D87" w:rsidRDefault="00BF711F" w:rsidP="00206EC6">
      <w:pPr>
        <w:pStyle w:val="TableFigureHeading"/>
        <w:spacing w:before="120"/>
        <w:rPr>
          <w:rStyle w:val="CommentReference"/>
          <w:b/>
          <w:szCs w:val="24"/>
        </w:rPr>
      </w:pPr>
      <w:bookmarkStart w:id="3" w:name="_Ref192230787"/>
      <w:r w:rsidRPr="00D86D87">
        <w:t xml:space="preserve">Table </w:t>
      </w:r>
      <w:r w:rsidR="008B461E">
        <w:fldChar w:fldCharType="begin"/>
      </w:r>
      <w:r w:rsidR="008B461E">
        <w:instrText xml:space="preserve"> SEQ Table \* ARABIC </w:instrText>
      </w:r>
      <w:r w:rsidR="008B461E">
        <w:fldChar w:fldCharType="separate"/>
      </w:r>
      <w:r w:rsidR="00593619">
        <w:rPr>
          <w:noProof/>
        </w:rPr>
        <w:t>1</w:t>
      </w:r>
      <w:r w:rsidR="008B461E">
        <w:rPr>
          <w:noProof/>
        </w:rPr>
        <w:fldChar w:fldCharType="end"/>
      </w:r>
      <w:bookmarkEnd w:id="3"/>
      <w:r w:rsidRPr="00D86D87">
        <w:t>:</w:t>
      </w:r>
      <w:r w:rsidRPr="00D86D87">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BF711F" w:rsidRPr="00D86D87" w14:paraId="693DA965" w14:textId="77777777" w:rsidTr="008A6DD4">
        <w:trPr>
          <w:cantSplit/>
          <w:tblHeader/>
        </w:trPr>
        <w:tc>
          <w:tcPr>
            <w:tcW w:w="705" w:type="pct"/>
          </w:tcPr>
          <w:p w14:paraId="47693D0D" w14:textId="77777777" w:rsidR="00BF711F" w:rsidRPr="00D86D87" w:rsidRDefault="00BF711F">
            <w:pPr>
              <w:pStyle w:val="In-tableHeading"/>
              <w:rPr>
                <w:szCs w:val="20"/>
                <w:lang w:val="en-AU"/>
              </w:rPr>
            </w:pPr>
            <w:r w:rsidRPr="00D86D87">
              <w:rPr>
                <w:lang w:val="en-AU"/>
              </w:rPr>
              <w:t>Component</w:t>
            </w:r>
          </w:p>
        </w:tc>
        <w:tc>
          <w:tcPr>
            <w:tcW w:w="4295" w:type="pct"/>
          </w:tcPr>
          <w:p w14:paraId="2B57FACF" w14:textId="77777777" w:rsidR="00BF711F" w:rsidRPr="00D86D87" w:rsidRDefault="00BF711F">
            <w:pPr>
              <w:pStyle w:val="In-tableHeading"/>
              <w:rPr>
                <w:lang w:val="en-AU"/>
              </w:rPr>
            </w:pPr>
            <w:r w:rsidRPr="00D86D87">
              <w:rPr>
                <w:lang w:val="en-AU"/>
              </w:rPr>
              <w:t>Description</w:t>
            </w:r>
          </w:p>
        </w:tc>
      </w:tr>
      <w:tr w:rsidR="00BF711F" w:rsidRPr="00D86D87" w14:paraId="29878C31" w14:textId="77777777" w:rsidTr="008A6DD4">
        <w:trPr>
          <w:cantSplit/>
        </w:trPr>
        <w:tc>
          <w:tcPr>
            <w:tcW w:w="705" w:type="pct"/>
          </w:tcPr>
          <w:p w14:paraId="7D986B7E" w14:textId="77777777" w:rsidR="00BF711F" w:rsidRPr="00D86D87" w:rsidRDefault="00BF711F">
            <w:pPr>
              <w:pStyle w:val="TableText0"/>
            </w:pPr>
            <w:r w:rsidRPr="00D86D87">
              <w:t>Population</w:t>
            </w:r>
          </w:p>
        </w:tc>
        <w:tc>
          <w:tcPr>
            <w:tcW w:w="4295" w:type="pct"/>
          </w:tcPr>
          <w:p w14:paraId="5B60BEE0" w14:textId="77777777" w:rsidR="00BF711F" w:rsidRPr="00D86D87" w:rsidRDefault="00BF711F">
            <w:pPr>
              <w:pStyle w:val="TableText0"/>
              <w:rPr>
                <w:szCs w:val="20"/>
              </w:rPr>
            </w:pPr>
            <w:r w:rsidRPr="006A4EBA">
              <w:t xml:space="preserve">Patients with metastatic HER2-positive </w:t>
            </w:r>
            <w:r>
              <w:t>G/</w:t>
            </w:r>
            <w:r w:rsidRPr="006A4EBA">
              <w:t>GOJ adenocarcinoma who have progressed following treatment with a trastuzumab-containing regimen.</w:t>
            </w:r>
          </w:p>
        </w:tc>
      </w:tr>
      <w:tr w:rsidR="00BF711F" w:rsidRPr="00D86D87" w14:paraId="7DEB32AB" w14:textId="77777777" w:rsidTr="008A6DD4">
        <w:trPr>
          <w:cantSplit/>
        </w:trPr>
        <w:tc>
          <w:tcPr>
            <w:tcW w:w="705" w:type="pct"/>
          </w:tcPr>
          <w:p w14:paraId="5019EE18" w14:textId="77777777" w:rsidR="00BF711F" w:rsidRPr="00D86D87" w:rsidRDefault="00BF711F">
            <w:pPr>
              <w:pStyle w:val="TableText0"/>
            </w:pPr>
            <w:r w:rsidRPr="00D86D87">
              <w:t>Intervention</w:t>
            </w:r>
          </w:p>
        </w:tc>
        <w:tc>
          <w:tcPr>
            <w:tcW w:w="4295" w:type="pct"/>
          </w:tcPr>
          <w:p w14:paraId="0DCFF4B3" w14:textId="6BF6F9BA" w:rsidR="00BF711F" w:rsidRPr="00D86D87" w:rsidRDefault="00BF711F">
            <w:pPr>
              <w:pStyle w:val="TableText0"/>
            </w:pPr>
            <w:r w:rsidRPr="006A4EBA">
              <w:t xml:space="preserve">Trastuzumab </w:t>
            </w:r>
            <w:proofErr w:type="spellStart"/>
            <w:r w:rsidRPr="006A4EBA">
              <w:t>deruxtecan</w:t>
            </w:r>
            <w:proofErr w:type="spellEnd"/>
            <w:r w:rsidRPr="006A4EBA">
              <w:t xml:space="preserve"> (T-</w:t>
            </w:r>
            <w:proofErr w:type="spellStart"/>
            <w:r w:rsidRPr="006A4EBA">
              <w:t>DXd</w:t>
            </w:r>
            <w:proofErr w:type="spellEnd"/>
            <w:r w:rsidRPr="006A4EBA">
              <w:t xml:space="preserve">, </w:t>
            </w:r>
            <w:proofErr w:type="spellStart"/>
            <w:r w:rsidRPr="006A4EBA">
              <w:t>Enhertu</w:t>
            </w:r>
            <w:proofErr w:type="spellEnd"/>
            <w:r w:rsidRPr="006A4EBA">
              <w:t xml:space="preserve">) given as a 6.4 mg/kg infusion every three </w:t>
            </w:r>
            <w:r w:rsidR="00951049" w:rsidRPr="006A4EBA">
              <w:t>week</w:t>
            </w:r>
            <w:r w:rsidR="00951049">
              <w:t>s</w:t>
            </w:r>
            <w:r w:rsidR="00951049" w:rsidRPr="006A4EBA">
              <w:t xml:space="preserve"> </w:t>
            </w:r>
            <w:r w:rsidRPr="006A4EBA">
              <w:t>(Q3W) (21-day cycle) until disease progression or unacceptable toxicity.</w:t>
            </w:r>
          </w:p>
        </w:tc>
      </w:tr>
      <w:tr w:rsidR="00BF711F" w:rsidRPr="00D86D87" w14:paraId="00CDDE19" w14:textId="77777777" w:rsidTr="008A6DD4">
        <w:trPr>
          <w:cantSplit/>
        </w:trPr>
        <w:tc>
          <w:tcPr>
            <w:tcW w:w="705" w:type="pct"/>
          </w:tcPr>
          <w:p w14:paraId="4303BA70" w14:textId="77777777" w:rsidR="00BF711F" w:rsidRPr="00D86D87" w:rsidRDefault="00BF711F">
            <w:pPr>
              <w:pStyle w:val="TableText0"/>
            </w:pPr>
            <w:r w:rsidRPr="00D86D87">
              <w:t>Comparator</w:t>
            </w:r>
          </w:p>
        </w:tc>
        <w:tc>
          <w:tcPr>
            <w:tcW w:w="4295" w:type="pct"/>
          </w:tcPr>
          <w:p w14:paraId="01143F52" w14:textId="101235FB" w:rsidR="00BF711F" w:rsidRPr="00D86D87" w:rsidRDefault="00BF711F">
            <w:pPr>
              <w:pStyle w:val="TableText0"/>
            </w:pPr>
            <w:r w:rsidRPr="006A4EBA">
              <w:t xml:space="preserve">SoC chemotherapy consisting of either </w:t>
            </w:r>
            <w:r w:rsidR="0092244D">
              <w:t xml:space="preserve">monotherapy (with </w:t>
            </w:r>
            <w:r w:rsidRPr="006A4EBA">
              <w:t xml:space="preserve">paclitaxel, irinotecan, </w:t>
            </w:r>
            <w:r w:rsidR="0092244D">
              <w:t xml:space="preserve">or </w:t>
            </w:r>
            <w:r w:rsidRPr="006A4EBA">
              <w:t>docetaxel</w:t>
            </w:r>
            <w:r w:rsidR="0092244D">
              <w:t>)</w:t>
            </w:r>
            <w:r w:rsidRPr="006A4EBA">
              <w:t xml:space="preserve"> or FOLFIRI</w:t>
            </w:r>
          </w:p>
        </w:tc>
      </w:tr>
      <w:tr w:rsidR="00BF711F" w:rsidRPr="00D86D87" w14:paraId="5B87CC4E" w14:textId="77777777" w:rsidTr="008A6DD4">
        <w:trPr>
          <w:cantSplit/>
        </w:trPr>
        <w:tc>
          <w:tcPr>
            <w:tcW w:w="705" w:type="pct"/>
          </w:tcPr>
          <w:p w14:paraId="74CE0620" w14:textId="77777777" w:rsidR="00BF711F" w:rsidRPr="00D86D87" w:rsidRDefault="00BF711F">
            <w:pPr>
              <w:pStyle w:val="TableText0"/>
            </w:pPr>
            <w:r w:rsidRPr="00D86D87">
              <w:t>Outcomes</w:t>
            </w:r>
          </w:p>
        </w:tc>
        <w:tc>
          <w:tcPr>
            <w:tcW w:w="4295" w:type="pct"/>
          </w:tcPr>
          <w:p w14:paraId="1ECDE2F0" w14:textId="77777777" w:rsidR="00BF711F" w:rsidRPr="00D86D87" w:rsidRDefault="00BF711F">
            <w:pPr>
              <w:pStyle w:val="TableText0"/>
              <w:rPr>
                <w:rFonts w:eastAsia="Times New Roman" w:cs="Arial"/>
                <w:bCs w:val="0"/>
                <w:snapToGrid w:val="0"/>
                <w:color w:val="0066FF"/>
                <w:szCs w:val="20"/>
              </w:rPr>
            </w:pPr>
            <w:r w:rsidRPr="00D86F4E">
              <w:t>Objective response rate (ORR), overall survival (OS), progression-free survival (PFS), duration of response (</w:t>
            </w:r>
            <w:proofErr w:type="spellStart"/>
            <w:r w:rsidRPr="00D86F4E">
              <w:t>DoR</w:t>
            </w:r>
            <w:proofErr w:type="spellEnd"/>
            <w:r w:rsidRPr="00D86F4E">
              <w:t xml:space="preserve">), </w:t>
            </w:r>
            <w:r>
              <w:t xml:space="preserve">confirmed disease control, confirmed objective response, </w:t>
            </w:r>
            <w:r w:rsidRPr="00D86F4E">
              <w:t>quality of life (QoL), safety</w:t>
            </w:r>
          </w:p>
        </w:tc>
      </w:tr>
      <w:tr w:rsidR="00BF711F" w:rsidRPr="00D86D87" w14:paraId="11FED79B" w14:textId="77777777" w:rsidTr="008A6DD4">
        <w:trPr>
          <w:cantSplit/>
        </w:trPr>
        <w:tc>
          <w:tcPr>
            <w:tcW w:w="705" w:type="pct"/>
          </w:tcPr>
          <w:p w14:paraId="03B5B23E" w14:textId="77777777" w:rsidR="00BF711F" w:rsidRPr="00D86D87" w:rsidRDefault="00BF711F">
            <w:pPr>
              <w:pStyle w:val="TableText0"/>
            </w:pPr>
            <w:r w:rsidRPr="00D86D87">
              <w:t>Clinical claim</w:t>
            </w:r>
          </w:p>
        </w:tc>
        <w:tc>
          <w:tcPr>
            <w:tcW w:w="4295" w:type="pct"/>
          </w:tcPr>
          <w:p w14:paraId="6C83A932" w14:textId="47880F6E" w:rsidR="00BF711F" w:rsidRPr="00D86D87" w:rsidRDefault="00BF711F">
            <w:pPr>
              <w:pStyle w:val="TableText0"/>
              <w:rPr>
                <w:rFonts w:eastAsia="Times New Roman" w:cs="Arial"/>
                <w:bCs w:val="0"/>
                <w:snapToGrid w:val="0"/>
                <w:color w:val="0066FF"/>
                <w:szCs w:val="20"/>
              </w:rPr>
            </w:pPr>
            <w:r w:rsidRPr="006A4EBA">
              <w:t>T-</w:t>
            </w:r>
            <w:proofErr w:type="spellStart"/>
            <w:r w:rsidRPr="006A4EBA">
              <w:t>DXd</w:t>
            </w:r>
            <w:proofErr w:type="spellEnd"/>
            <w:r w:rsidRPr="006A4EBA">
              <w:t xml:space="preserve"> has superior </w:t>
            </w:r>
            <w:proofErr w:type="gramStart"/>
            <w:r w:rsidRPr="006A4EBA">
              <w:t>efficacy</w:t>
            </w:r>
            <w:proofErr w:type="gramEnd"/>
            <w:r w:rsidRPr="006A4EBA">
              <w:t xml:space="preserve"> and </w:t>
            </w:r>
            <w:r w:rsidR="00886886">
              <w:t xml:space="preserve">an </w:t>
            </w:r>
            <w:r w:rsidRPr="006A4EBA">
              <w:t>inferior but manageable safety profile compared to chemotherapy in patients with metastatic HER2-positive G/GOJ adenocarcinoma who have received a prior trastuzumab-based regimen.</w:t>
            </w:r>
          </w:p>
        </w:tc>
      </w:tr>
    </w:tbl>
    <w:p w14:paraId="78A21345" w14:textId="77777777" w:rsidR="00BF711F" w:rsidRDefault="00BF711F" w:rsidP="00BF711F">
      <w:pPr>
        <w:pStyle w:val="FooterTableFigure"/>
      </w:pPr>
      <w:bookmarkStart w:id="4" w:name="_Toc187925079"/>
      <w:r w:rsidRPr="0098262F">
        <w:t xml:space="preserve">Source: </w:t>
      </w:r>
      <w:r>
        <w:t>Table 1-1</w:t>
      </w:r>
      <w:r w:rsidRPr="0098262F">
        <w:t>, p</w:t>
      </w:r>
      <w:r>
        <w:t>5</w:t>
      </w:r>
      <w:r w:rsidRPr="0098262F">
        <w:t xml:space="preserve"> of the submission.</w:t>
      </w:r>
    </w:p>
    <w:p w14:paraId="7CCA4695" w14:textId="77777777" w:rsidR="00BF711F" w:rsidRPr="0098262F" w:rsidRDefault="00BF711F" w:rsidP="00BF711F">
      <w:pPr>
        <w:pStyle w:val="FooterTableFigure"/>
      </w:pPr>
      <w:r w:rsidRPr="00DD533D">
        <w:t>HER</w:t>
      </w:r>
      <w:r>
        <w:t>2 =</w:t>
      </w:r>
      <w:r w:rsidRPr="00DD533D">
        <w:t xml:space="preserve"> human epidermal growth factor receptor 2; </w:t>
      </w:r>
      <w:r>
        <w:t xml:space="preserve">FOLFIRI </w:t>
      </w:r>
      <w:r w:rsidRPr="00B01D16">
        <w:t xml:space="preserve">= </w:t>
      </w:r>
      <w:r w:rsidRPr="001255A2">
        <w:t>folinic acid, fluorouracil, and irinotecan combination regimen</w:t>
      </w:r>
      <w:r w:rsidRPr="00B01D16">
        <w:t xml:space="preserve">; </w:t>
      </w:r>
      <w:r>
        <w:t>G/</w:t>
      </w:r>
      <w:r w:rsidRPr="00B01D16">
        <w:t>GOJ</w:t>
      </w:r>
      <w:r>
        <w:t xml:space="preserve"> = gastric or </w:t>
      </w:r>
      <w:r w:rsidRPr="00DD533D">
        <w:t xml:space="preserve">gastro-oesophageal junction, </w:t>
      </w:r>
      <w:r>
        <w:t xml:space="preserve">SoC = standard of care; </w:t>
      </w:r>
      <w:r w:rsidRPr="00DD533D">
        <w:t>T-</w:t>
      </w:r>
      <w:proofErr w:type="spellStart"/>
      <w:r w:rsidRPr="00DD533D">
        <w:t>DXd</w:t>
      </w:r>
      <w:proofErr w:type="spellEnd"/>
      <w:r>
        <w:t xml:space="preserve"> = </w:t>
      </w:r>
      <w:r w:rsidRPr="00DD533D">
        <w:t xml:space="preserve">trastuzumab </w:t>
      </w:r>
      <w:proofErr w:type="spellStart"/>
      <w:r w:rsidRPr="00DD533D">
        <w:t>deruxtecan</w:t>
      </w:r>
      <w:proofErr w:type="spellEnd"/>
      <w:r w:rsidRPr="00DD533D">
        <w:t>.</w:t>
      </w:r>
    </w:p>
    <w:p w14:paraId="7702C088" w14:textId="77777777" w:rsidR="00BF711F" w:rsidRPr="00D86D87" w:rsidRDefault="00BF711F" w:rsidP="00BF711F">
      <w:pPr>
        <w:pStyle w:val="2-SectionHeading"/>
      </w:pPr>
      <w:bookmarkStart w:id="5" w:name="_Toc193454309"/>
      <w:r w:rsidRPr="00D86D87">
        <w:lastRenderedPageBreak/>
        <w:t>Background</w:t>
      </w:r>
      <w:bookmarkEnd w:id="4"/>
      <w:bookmarkEnd w:id="5"/>
    </w:p>
    <w:p w14:paraId="3FA10BBB" w14:textId="77777777" w:rsidR="00BF711F" w:rsidRPr="00D86D87" w:rsidRDefault="00BF711F" w:rsidP="00BF711F">
      <w:pPr>
        <w:pStyle w:val="4-SubsectionHeading"/>
      </w:pPr>
      <w:bookmarkStart w:id="6" w:name="_Toc22897638"/>
      <w:bookmarkStart w:id="7" w:name="_Toc187925080"/>
      <w:bookmarkStart w:id="8" w:name="_Toc193454310"/>
      <w:r w:rsidRPr="00D86D87">
        <w:t>Registration status</w:t>
      </w:r>
      <w:bookmarkEnd w:id="6"/>
      <w:bookmarkEnd w:id="7"/>
      <w:bookmarkEnd w:id="8"/>
    </w:p>
    <w:p w14:paraId="0EBAE410" w14:textId="0FEC15BE" w:rsidR="00570412" w:rsidRPr="008A6DD4" w:rsidRDefault="006013BF" w:rsidP="00BF711F">
      <w:pPr>
        <w:pStyle w:val="3-BodyText"/>
        <w:rPr>
          <w:color w:val="0066FF"/>
        </w:rPr>
      </w:pPr>
      <w:r w:rsidRPr="00544BA2">
        <w:rPr>
          <w:rFonts w:ascii="Calibri" w:eastAsia="Calibri" w:hAnsi="Calibri"/>
          <w:b/>
          <w:iCs/>
        </w:rPr>
        <w:t xml:space="preserve">The TGA status at the time of </w:t>
      </w:r>
      <w:r w:rsidR="00544BA2" w:rsidRPr="00544BA2">
        <w:rPr>
          <w:rFonts w:ascii="Calibri" w:eastAsia="Calibri" w:hAnsi="Calibri"/>
          <w:b/>
          <w:iCs/>
        </w:rPr>
        <w:t>PBAC</w:t>
      </w:r>
      <w:r w:rsidR="008267E9">
        <w:rPr>
          <w:rFonts w:ascii="Calibri" w:eastAsia="Calibri" w:hAnsi="Calibri"/>
          <w:b/>
          <w:iCs/>
        </w:rPr>
        <w:t xml:space="preserve"> consideration</w:t>
      </w:r>
      <w:r w:rsidRPr="00544BA2">
        <w:rPr>
          <w:rFonts w:ascii="Calibri" w:eastAsia="Calibri" w:hAnsi="Calibri"/>
          <w:b/>
          <w:iCs/>
        </w:rPr>
        <w:t xml:space="preserve">: </w:t>
      </w:r>
      <w:r w:rsidR="00D51968" w:rsidRPr="00544BA2">
        <w:rPr>
          <w:rFonts w:ascii="Calibri" w:eastAsia="Calibri" w:hAnsi="Calibri"/>
          <w:bCs/>
          <w:iCs/>
        </w:rPr>
        <w:t>Trastuzumab</w:t>
      </w:r>
      <w:r w:rsidR="00D51968" w:rsidRPr="00E55A74">
        <w:rPr>
          <w:rFonts w:ascii="Calibri" w:eastAsia="Calibri" w:hAnsi="Calibri"/>
          <w:bCs/>
          <w:iCs/>
        </w:rPr>
        <w:t xml:space="preserve"> </w:t>
      </w:r>
      <w:proofErr w:type="spellStart"/>
      <w:r w:rsidR="00D51968" w:rsidRPr="00E55A74">
        <w:rPr>
          <w:rFonts w:ascii="Calibri" w:eastAsia="Calibri" w:hAnsi="Calibri"/>
          <w:bCs/>
          <w:iCs/>
        </w:rPr>
        <w:t>deruxtecan</w:t>
      </w:r>
      <w:proofErr w:type="spellEnd"/>
      <w:r w:rsidR="00540BEB" w:rsidRPr="00E55A74">
        <w:rPr>
          <w:rFonts w:ascii="Calibri" w:eastAsia="Calibri" w:hAnsi="Calibri"/>
          <w:bCs/>
          <w:iCs/>
        </w:rPr>
        <w:t xml:space="preserve"> was provisionally included on the Australian Register of Therapeutic Goods</w:t>
      </w:r>
      <w:r w:rsidR="00206EC6">
        <w:rPr>
          <w:rFonts w:ascii="Calibri" w:eastAsia="Calibri" w:hAnsi="Calibri"/>
          <w:bCs/>
          <w:iCs/>
        </w:rPr>
        <w:t xml:space="preserve"> (ARTG)</w:t>
      </w:r>
      <w:r w:rsidR="00540BEB" w:rsidRPr="00E55A74">
        <w:rPr>
          <w:rFonts w:ascii="Calibri" w:eastAsia="Calibri" w:hAnsi="Calibri"/>
          <w:bCs/>
          <w:iCs/>
        </w:rPr>
        <w:t xml:space="preserve"> on 25</w:t>
      </w:r>
      <w:r w:rsidR="00DD11B9">
        <w:rPr>
          <w:rFonts w:ascii="Calibri" w:eastAsia="Calibri" w:hAnsi="Calibri"/>
          <w:bCs/>
          <w:iCs/>
        </w:rPr>
        <w:t> </w:t>
      </w:r>
      <w:r w:rsidR="00540BEB" w:rsidRPr="00E55A74">
        <w:rPr>
          <w:rFonts w:ascii="Calibri" w:eastAsia="Calibri" w:hAnsi="Calibri"/>
          <w:bCs/>
          <w:iCs/>
        </w:rPr>
        <w:t>March</w:t>
      </w:r>
      <w:r w:rsidR="00DD11B9">
        <w:rPr>
          <w:rFonts w:ascii="Calibri" w:eastAsia="Calibri" w:hAnsi="Calibri"/>
          <w:bCs/>
          <w:iCs/>
        </w:rPr>
        <w:t> </w:t>
      </w:r>
      <w:r w:rsidR="00540BEB" w:rsidRPr="00E55A74">
        <w:rPr>
          <w:rFonts w:ascii="Calibri" w:eastAsia="Calibri" w:hAnsi="Calibri"/>
          <w:bCs/>
          <w:iCs/>
        </w:rPr>
        <w:t xml:space="preserve">2025 </w:t>
      </w:r>
      <w:r w:rsidR="00B8022A" w:rsidRPr="00E55A74">
        <w:rPr>
          <w:rFonts w:ascii="Calibri" w:eastAsia="Calibri" w:hAnsi="Calibri"/>
          <w:bCs/>
          <w:iCs/>
        </w:rPr>
        <w:t xml:space="preserve">for the </w:t>
      </w:r>
      <w:r w:rsidR="00521C1E" w:rsidRPr="00E55A74">
        <w:rPr>
          <w:rFonts w:ascii="Calibri" w:eastAsia="Calibri" w:hAnsi="Calibri"/>
          <w:bCs/>
          <w:iCs/>
        </w:rPr>
        <w:t xml:space="preserve">treatment of </w:t>
      </w:r>
      <w:r w:rsidR="0069012D" w:rsidRPr="00E55A74">
        <w:rPr>
          <w:rFonts w:ascii="Calibri" w:eastAsia="Calibri" w:hAnsi="Calibri"/>
          <w:bCs/>
          <w:iCs/>
        </w:rPr>
        <w:t>adult patients with locally advanced or metastatic HER2-positive gastric or gastroesophageal junction (GEJ) adenocarcinoma who have received a prior anti-HER2-based regimen</w:t>
      </w:r>
      <w:r w:rsidR="008A6DD4" w:rsidRPr="00E55A74">
        <w:rPr>
          <w:rStyle w:val="FootnoteReference"/>
          <w:rFonts w:ascii="Calibri" w:eastAsia="Calibri" w:hAnsi="Calibri"/>
          <w:bCs/>
          <w:iCs/>
        </w:rPr>
        <w:footnoteReference w:id="3"/>
      </w:r>
      <w:r w:rsidR="0069012D" w:rsidRPr="00E55A74">
        <w:rPr>
          <w:rFonts w:ascii="Calibri" w:eastAsia="Calibri" w:hAnsi="Calibri"/>
          <w:bCs/>
          <w:iCs/>
        </w:rPr>
        <w:t>.</w:t>
      </w:r>
      <w:r w:rsidR="00D51968" w:rsidRPr="00E55A74">
        <w:rPr>
          <w:rFonts w:ascii="Calibri" w:eastAsia="Calibri" w:hAnsi="Calibri"/>
          <w:b/>
          <w:iCs/>
        </w:rPr>
        <w:t xml:space="preserve"> </w:t>
      </w:r>
    </w:p>
    <w:p w14:paraId="183E3428" w14:textId="2AB57FDD" w:rsidR="00BF711F" w:rsidRPr="008613CF" w:rsidRDefault="00BF711F" w:rsidP="002F0EC1">
      <w:pPr>
        <w:pStyle w:val="3-BodyText"/>
      </w:pPr>
      <w:r>
        <w:t xml:space="preserve">The </w:t>
      </w:r>
      <w:r w:rsidRPr="00E47DC4">
        <w:t xml:space="preserve">TGA clinical evaluator’s report </w:t>
      </w:r>
      <w:r>
        <w:t>and the Delegate</w:t>
      </w:r>
      <w:r w:rsidR="00C45A0C">
        <w:t>’</w:t>
      </w:r>
      <w:r>
        <w:t xml:space="preserve">s Overview </w:t>
      </w:r>
      <w:r w:rsidRPr="00D86D87">
        <w:t xml:space="preserve">were provided </w:t>
      </w:r>
      <w:r w:rsidR="00C45A0C">
        <w:t>with</w:t>
      </w:r>
      <w:r w:rsidR="00C45A0C" w:rsidRPr="00D86D87">
        <w:t xml:space="preserve"> </w:t>
      </w:r>
      <w:r w:rsidRPr="00D86D87">
        <w:t xml:space="preserve">the </w:t>
      </w:r>
      <w:r>
        <w:t xml:space="preserve">PBAC </w:t>
      </w:r>
      <w:r w:rsidRPr="00D86D87">
        <w:t xml:space="preserve">submission. </w:t>
      </w:r>
      <w:r w:rsidR="00262BDA">
        <w:t>On 10 September 2024, t</w:t>
      </w:r>
      <w:r>
        <w:t xml:space="preserve">he Delegate recommended approval </w:t>
      </w:r>
      <w:r w:rsidR="00C45A0C" w:rsidRPr="00C45A0C">
        <w:t>via the provisional approval</w:t>
      </w:r>
      <w:r w:rsidR="00C45A0C">
        <w:t xml:space="preserve"> </w:t>
      </w:r>
      <w:r w:rsidR="00C45A0C" w:rsidRPr="00C45A0C">
        <w:t>pathway based on objective response rate. Continued approval of this indication depends on</w:t>
      </w:r>
      <w:r w:rsidR="00C45A0C">
        <w:t xml:space="preserve"> </w:t>
      </w:r>
      <w:r w:rsidR="00C45A0C" w:rsidRPr="00C45A0C">
        <w:t>verification and description of benefit in a clinical trial.</w:t>
      </w:r>
    </w:p>
    <w:p w14:paraId="7CBD2B83" w14:textId="418E080D" w:rsidR="00BF711F" w:rsidRDefault="00BF711F" w:rsidP="00BF711F">
      <w:pPr>
        <w:pStyle w:val="3-BodyText"/>
      </w:pPr>
      <w:r>
        <w:t>T-</w:t>
      </w:r>
      <w:proofErr w:type="spellStart"/>
      <w:r>
        <w:t>DXd</w:t>
      </w:r>
      <w:proofErr w:type="spellEnd"/>
      <w:r>
        <w:t xml:space="preserve"> is </w:t>
      </w:r>
      <w:r w:rsidR="003A2F94">
        <w:t>also</w:t>
      </w:r>
      <w:r>
        <w:t xml:space="preserve"> registered in unresectable and metastatic breast cancer for use as:</w:t>
      </w:r>
    </w:p>
    <w:p w14:paraId="003B291E" w14:textId="77777777" w:rsidR="00BF711F" w:rsidRDefault="00BF711F" w:rsidP="00CA6253">
      <w:pPr>
        <w:pStyle w:val="3-BodyText"/>
        <w:numPr>
          <w:ilvl w:val="0"/>
          <w:numId w:val="7"/>
        </w:numPr>
        <w:ind w:left="993" w:hanging="284"/>
      </w:pPr>
      <w:r>
        <w:t xml:space="preserve">treatment of unresectable or metastatic HER2 positive breast cancer in patients who have previously received trastuzumab and a </w:t>
      </w:r>
      <w:proofErr w:type="spellStart"/>
      <w:r>
        <w:t>taxane</w:t>
      </w:r>
      <w:proofErr w:type="spellEnd"/>
      <w:r>
        <w:t xml:space="preserve"> for metastatic disease or one prior anti-HER2 based regimen and developed recurrence during or within six months of completing neo-adjuvant or adjuvant therapy. </w:t>
      </w:r>
    </w:p>
    <w:p w14:paraId="31CFA17E" w14:textId="77777777" w:rsidR="00210152" w:rsidRDefault="00BF711F" w:rsidP="00CA6253">
      <w:pPr>
        <w:pStyle w:val="3-BodyText"/>
        <w:numPr>
          <w:ilvl w:val="0"/>
          <w:numId w:val="7"/>
        </w:numPr>
        <w:ind w:left="993" w:hanging="284"/>
      </w:pPr>
      <w:r>
        <w:t>treatment of adult patients with unresectable or metastatic HER2-low (immunohistochemistry [IHC] 1+ or IHC 2+/ISH-negative) breast cancer who have received prior chemotherapy in the metastatic setting or developed disease recurrence during or within 6 months of completing adjuvant chemotherapy.</w:t>
      </w:r>
    </w:p>
    <w:p w14:paraId="32EFC59F" w14:textId="3493F272" w:rsidR="00210152" w:rsidRPr="00D86D87" w:rsidRDefault="00210152" w:rsidP="00210152">
      <w:pPr>
        <w:pStyle w:val="4-SubsectionHeading"/>
      </w:pPr>
      <w:bookmarkStart w:id="9" w:name="_Toc193454311"/>
      <w:r>
        <w:t>Previous PBAC considerations</w:t>
      </w:r>
      <w:bookmarkEnd w:id="9"/>
    </w:p>
    <w:p w14:paraId="1BB07267" w14:textId="71489335" w:rsidR="00210152" w:rsidRDefault="00210152" w:rsidP="00210152">
      <w:pPr>
        <w:pStyle w:val="3-BodyText"/>
      </w:pPr>
      <w:r w:rsidRPr="00DC2C26">
        <w:t xml:space="preserve">This is the first submission requesting </w:t>
      </w:r>
      <w:r>
        <w:t>Pharmaceutical Benefits Scheme (</w:t>
      </w:r>
      <w:r w:rsidRPr="00DC2C26">
        <w:t>PBS</w:t>
      </w:r>
      <w:r>
        <w:t>)</w:t>
      </w:r>
      <w:r w:rsidRPr="00DC2C26">
        <w:t xml:space="preserve"> listing for T-</w:t>
      </w:r>
      <w:proofErr w:type="spellStart"/>
      <w:r w:rsidRPr="00DC2C26">
        <w:t>DXd</w:t>
      </w:r>
      <w:proofErr w:type="spellEnd"/>
      <w:r w:rsidRPr="00DC2C26">
        <w:t xml:space="preserve"> in </w:t>
      </w:r>
      <w:r>
        <w:t>G/</w:t>
      </w:r>
      <w:r w:rsidRPr="00DC2C26">
        <w:t xml:space="preserve">GOJ </w:t>
      </w:r>
      <w:r>
        <w:t>adenocarcinoma</w:t>
      </w:r>
      <w:r w:rsidRPr="00DC2C26">
        <w:t>. T-</w:t>
      </w:r>
      <w:proofErr w:type="spellStart"/>
      <w:r w:rsidRPr="00DC2C26">
        <w:t>DXd</w:t>
      </w:r>
      <w:proofErr w:type="spellEnd"/>
      <w:r w:rsidRPr="00DC2C26">
        <w:t xml:space="preserve"> is currently PBS listed for unresectable and metastatic breast cancer.</w:t>
      </w:r>
    </w:p>
    <w:p w14:paraId="18AE23DD" w14:textId="775BD4E1" w:rsidR="00210152" w:rsidRDefault="00210152">
      <w:pPr>
        <w:pStyle w:val="3-BodyText"/>
      </w:pPr>
      <w:r>
        <w:t>P</w:t>
      </w:r>
      <w:r w:rsidR="00FD00A0">
        <w:t xml:space="preserve">BAC </w:t>
      </w:r>
      <w:r w:rsidR="0073074F">
        <w:t>considered</w:t>
      </w:r>
      <w:r w:rsidR="00154704">
        <w:t xml:space="preserve"> 1L trastuzumab for p</w:t>
      </w:r>
      <w:r>
        <w:t xml:space="preserve">atients with metastatic (Stage IV) HER2-positive G/GOJ adenocarcinoma </w:t>
      </w:r>
      <w:r w:rsidR="0073074F">
        <w:t xml:space="preserve">at </w:t>
      </w:r>
      <w:r w:rsidR="00A83A5B">
        <w:t xml:space="preserve">its July 2015 meeting </w:t>
      </w:r>
      <w:r>
        <w:t xml:space="preserve">(trastuzumab </w:t>
      </w:r>
      <w:r w:rsidR="00EC4FD7">
        <w:t>Public Summary Document [</w:t>
      </w:r>
      <w:r>
        <w:t>PSD</w:t>
      </w:r>
      <w:r w:rsidR="00EC4FD7">
        <w:t>]</w:t>
      </w:r>
      <w:r>
        <w:t>, July 2015 PBAC meeting). PBAC submissions for 1L pembrolizumab (pembrolizumab PSD, November 2021 PBAC Meeting with March 2022 Addendum), 1L nivolumab (nivolumab PSD, November 2021 PBAC Meeting with March</w:t>
      </w:r>
      <w:r w:rsidR="0043772B">
        <w:t> </w:t>
      </w:r>
      <w:r>
        <w:t>2022 Addendum), and 2L ramucirumab (ramucirumab PSD, March 2018 PBAC meeting) included patients with G/GOJ adenocarcinoma but without any restriction regarding HER2 status as these are not HER2-targeted therapies.</w:t>
      </w:r>
    </w:p>
    <w:p w14:paraId="20481381" w14:textId="155452B3" w:rsidR="00A80D0E" w:rsidRDefault="00A80D0E">
      <w:pPr>
        <w:pStyle w:val="3-BodyText"/>
      </w:pPr>
      <w:r>
        <w:t xml:space="preserve">At the November 2019 PBAC meeting, the PBAC recommended </w:t>
      </w:r>
      <w:r w:rsidR="006B13FF" w:rsidRPr="006B13FF">
        <w:t xml:space="preserve">listing of trifluridine with </w:t>
      </w:r>
      <w:proofErr w:type="spellStart"/>
      <w:r w:rsidR="006B13FF" w:rsidRPr="006B13FF">
        <w:t>tipiracil</w:t>
      </w:r>
      <w:proofErr w:type="spellEnd"/>
      <w:r w:rsidR="006B13FF" w:rsidRPr="006B13FF">
        <w:t>, in fixed dose combination</w:t>
      </w:r>
      <w:r w:rsidR="006B13FF">
        <w:t xml:space="preserve">s </w:t>
      </w:r>
      <w:r>
        <w:t xml:space="preserve">for third (or subsequent) line treatment of patients with metastatic </w:t>
      </w:r>
      <w:r w:rsidR="00AA0D53">
        <w:t>G/</w:t>
      </w:r>
      <w:r w:rsidR="00AA0D53" w:rsidRPr="00DC2C26">
        <w:t xml:space="preserve">GOJ </w:t>
      </w:r>
      <w:r>
        <w:t xml:space="preserve">previously treated with at least two prior lines of </w:t>
      </w:r>
      <w:r>
        <w:lastRenderedPageBreak/>
        <w:t xml:space="preserve">chemotherapy that included a fluoropyrimidine, a platinum, and either a </w:t>
      </w:r>
      <w:proofErr w:type="spellStart"/>
      <w:r>
        <w:t>taxane</w:t>
      </w:r>
      <w:proofErr w:type="spellEnd"/>
      <w:r>
        <w:t>- or irinotecan.</w:t>
      </w:r>
    </w:p>
    <w:p w14:paraId="3374DB0A" w14:textId="0D81A8D4" w:rsidR="00A7511D" w:rsidRDefault="004A538B">
      <w:pPr>
        <w:pStyle w:val="3-BodyText"/>
      </w:pPr>
      <w:r>
        <w:t>PBS listing of</w:t>
      </w:r>
      <w:r w:rsidR="00C21218">
        <w:t xml:space="preserve"> 1L tislelizumab </w:t>
      </w:r>
      <w:r w:rsidR="002275F4" w:rsidRPr="002275F4">
        <w:t>for the treatment of advanced or metastatic gastro-oesophageal cancer</w:t>
      </w:r>
      <w:r w:rsidR="002275F4">
        <w:t xml:space="preserve"> </w:t>
      </w:r>
      <w:r w:rsidR="00C21218">
        <w:t xml:space="preserve">was </w:t>
      </w:r>
      <w:r w:rsidR="009426A9">
        <w:t xml:space="preserve">recommended </w:t>
      </w:r>
      <w:r w:rsidR="00C21218">
        <w:t>by the PBAC in November 2024</w:t>
      </w:r>
      <w:r w:rsidR="00A7511D">
        <w:t>.</w:t>
      </w:r>
      <w:r w:rsidR="00C21218">
        <w:rPr>
          <w:rStyle w:val="FootnoteReference"/>
        </w:rPr>
        <w:footnoteReference w:id="4"/>
      </w:r>
      <w:r w:rsidR="009426A9">
        <w:t xml:space="preserve"> </w:t>
      </w:r>
      <w:r w:rsidR="000F6073">
        <w:t>At that time t</w:t>
      </w:r>
      <w:r w:rsidR="00A7511D">
        <w:t xml:space="preserve">he PBAC considered it was appropriate for tislelizumab to be included in the risk sharing arrangement currently in place for gastro-oesophageal cancers. The recommended </w:t>
      </w:r>
      <w:r w:rsidR="009426A9">
        <w:t>population</w:t>
      </w:r>
      <w:r w:rsidR="00A7511D">
        <w:t xml:space="preserve"> for tislelizumab </w:t>
      </w:r>
      <w:r w:rsidR="009426A9">
        <w:t xml:space="preserve">overlaps with the proposed population for </w:t>
      </w:r>
      <w:r w:rsidR="009426A9" w:rsidRPr="00DC2C26">
        <w:t>T-</w:t>
      </w:r>
      <w:proofErr w:type="spellStart"/>
      <w:r w:rsidR="009426A9" w:rsidRPr="00DC2C26">
        <w:t>DXd</w:t>
      </w:r>
      <w:proofErr w:type="spellEnd"/>
      <w:r w:rsidR="009426A9">
        <w:t xml:space="preserve"> in the current submission, as it does not exclude patients based on</w:t>
      </w:r>
      <w:r w:rsidR="00A7511D">
        <w:t xml:space="preserve"> HER2 </w:t>
      </w:r>
      <w:r w:rsidR="009426A9">
        <w:t>status (tislelizumab</w:t>
      </w:r>
      <w:r w:rsidR="009426A9" w:rsidRPr="000B4F3B">
        <w:t xml:space="preserve"> PSD, </w:t>
      </w:r>
      <w:r w:rsidR="009426A9">
        <w:t>November 2024</w:t>
      </w:r>
      <w:r w:rsidR="009426A9" w:rsidRPr="000B4F3B">
        <w:t xml:space="preserve"> PBAC meeting)</w:t>
      </w:r>
      <w:r w:rsidR="009426A9">
        <w:t>.</w:t>
      </w:r>
      <w:r w:rsidR="00A4480B" w:rsidRPr="00E55A74">
        <w:rPr>
          <w:iCs/>
        </w:rPr>
        <w:t xml:space="preserve"> The</w:t>
      </w:r>
      <w:r w:rsidR="00A4480B" w:rsidRPr="00E55A74" w:rsidDel="004930D1">
        <w:rPr>
          <w:iCs/>
        </w:rPr>
        <w:t xml:space="preserve"> </w:t>
      </w:r>
      <w:r w:rsidR="00A4480B" w:rsidRPr="00E55A74">
        <w:rPr>
          <w:iCs/>
        </w:rPr>
        <w:t>PBS listing for tislelizumab was implemented on 1 April 2025.</w:t>
      </w:r>
    </w:p>
    <w:p w14:paraId="5002CECE" w14:textId="19835CCE" w:rsidR="00C21218" w:rsidRPr="008613CF" w:rsidRDefault="009426A9">
      <w:pPr>
        <w:pStyle w:val="3-BodyText"/>
      </w:pPr>
      <w:r>
        <w:t>A</w:t>
      </w:r>
      <w:r w:rsidR="00C21218">
        <w:t xml:space="preserve"> submission for </w:t>
      </w:r>
      <w:proofErr w:type="spellStart"/>
      <w:r w:rsidR="00C21218">
        <w:t>zolbetuximab</w:t>
      </w:r>
      <w:proofErr w:type="spellEnd"/>
      <w:r w:rsidR="00C21218">
        <w:t xml:space="preserve"> </w:t>
      </w:r>
      <w:r w:rsidR="00C21218" w:rsidRPr="00C21218">
        <w:t xml:space="preserve">for the </w:t>
      </w:r>
      <w:r w:rsidR="00C21218">
        <w:t>1L</w:t>
      </w:r>
      <w:r w:rsidR="00C21218" w:rsidRPr="00C21218">
        <w:t xml:space="preserve"> treatment of locally advanced unresectable or metastatic </w:t>
      </w:r>
      <w:r w:rsidR="00C21218">
        <w:t>HER</w:t>
      </w:r>
      <w:r w:rsidR="00C21218" w:rsidRPr="00C21218">
        <w:t>2 negative G/GOJ adenocarcinoma</w:t>
      </w:r>
      <w:r w:rsidR="00C21218">
        <w:t xml:space="preserve"> was considered at the March</w:t>
      </w:r>
      <w:r w:rsidR="002A0386">
        <w:t> </w:t>
      </w:r>
      <w:r w:rsidR="00C21218">
        <w:t>2025 PBAC meeting</w:t>
      </w:r>
      <w:r w:rsidR="00C21218">
        <w:rPr>
          <w:rStyle w:val="FootnoteReference"/>
        </w:rPr>
        <w:footnoteReference w:id="5"/>
      </w:r>
      <w:r w:rsidR="002275F4">
        <w:t>.</w:t>
      </w:r>
    </w:p>
    <w:p w14:paraId="72BD75AE" w14:textId="77777777" w:rsidR="00BF711F" w:rsidRPr="00D86D87" w:rsidRDefault="00BF711F" w:rsidP="00BF711F">
      <w:pPr>
        <w:pStyle w:val="2-SectionHeading"/>
      </w:pPr>
      <w:bookmarkStart w:id="10" w:name="_Toc107902078"/>
      <w:bookmarkStart w:id="11" w:name="_Toc187925082"/>
      <w:bookmarkStart w:id="12" w:name="_Toc193454312"/>
      <w:bookmarkEnd w:id="10"/>
      <w:r w:rsidRPr="00D86D87">
        <w:t>Requested listing</w:t>
      </w:r>
      <w:bookmarkEnd w:id="11"/>
      <w:bookmarkEnd w:id="12"/>
    </w:p>
    <w:p w14:paraId="0905D1C0" w14:textId="18BC82B6" w:rsidR="00926210" w:rsidRPr="0043772B" w:rsidRDefault="00927543" w:rsidP="0043772B">
      <w:pPr>
        <w:pStyle w:val="3-BodyText"/>
        <w:rPr>
          <w:rStyle w:val="CommentReference"/>
          <w:b w:val="0"/>
          <w:bCs/>
          <w:szCs w:val="24"/>
        </w:rPr>
      </w:pPr>
      <w:r>
        <w:rPr>
          <w:rFonts w:cstheme="minorHAnsi"/>
          <w:iCs/>
        </w:rPr>
        <w:t>The sponsor’s proposed restrictions are shown below, with s</w:t>
      </w:r>
      <w:r w:rsidR="00CC5942" w:rsidRPr="00F91542">
        <w:rPr>
          <w:rFonts w:cstheme="minorHAnsi"/>
          <w:iCs/>
        </w:rPr>
        <w:t xml:space="preserve">uggestions and additions proposed by the Secretariat </w:t>
      </w:r>
      <w:r w:rsidR="001B1E09">
        <w:rPr>
          <w:rFonts w:cstheme="minorHAnsi"/>
          <w:iCs/>
        </w:rPr>
        <w:t xml:space="preserve">and PBAC </w:t>
      </w:r>
      <w:r w:rsidR="00CC5942" w:rsidRPr="00F91542">
        <w:rPr>
          <w:rFonts w:cstheme="minorHAnsi"/>
          <w:iCs/>
        </w:rPr>
        <w:t xml:space="preserve">added in italics and suggested deletions </w:t>
      </w:r>
      <w:r>
        <w:rPr>
          <w:rFonts w:cstheme="minorHAnsi"/>
          <w:iCs/>
        </w:rPr>
        <w:t>in</w:t>
      </w:r>
      <w:r w:rsidR="00CC5942" w:rsidRPr="00F91542">
        <w:rPr>
          <w:rFonts w:cstheme="minorHAnsi"/>
          <w:iCs/>
        </w:rPr>
        <w:t xml:space="preserve"> strikethrough</w:t>
      </w:r>
      <w:r w:rsidR="00101947">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8"/>
        <w:gridCol w:w="1725"/>
        <w:gridCol w:w="2016"/>
        <w:gridCol w:w="1538"/>
      </w:tblGrid>
      <w:tr w:rsidR="00927543" w:rsidRPr="00927543" w14:paraId="0FF0FDE0" w14:textId="77777777" w:rsidTr="00650354">
        <w:trPr>
          <w:trHeight w:val="227"/>
        </w:trPr>
        <w:tc>
          <w:tcPr>
            <w:tcW w:w="3738" w:type="dxa"/>
            <w:hideMark/>
          </w:tcPr>
          <w:p w14:paraId="001C9999" w14:textId="77777777" w:rsidR="00AE0489" w:rsidRPr="00927543" w:rsidRDefault="00AE0489">
            <w:pPr>
              <w:ind w:left="57"/>
              <w:textAlignment w:val="baseline"/>
              <w:rPr>
                <w:rFonts w:ascii="Arial Narrow" w:hAnsi="Arial Narrow" w:cs="Segoe UI"/>
                <w:sz w:val="20"/>
                <w:szCs w:val="20"/>
              </w:rPr>
            </w:pPr>
            <w:r w:rsidRPr="00927543">
              <w:rPr>
                <w:rFonts w:ascii="Arial Narrow" w:hAnsi="Arial Narrow" w:cs="Segoe UI"/>
                <w:b/>
                <w:bCs/>
                <w:sz w:val="20"/>
                <w:szCs w:val="20"/>
              </w:rPr>
              <w:t>MEDICINAL PRODUCT</w:t>
            </w:r>
            <w:r w:rsidRPr="00927543">
              <w:rPr>
                <w:rFonts w:ascii="Arial Narrow" w:hAnsi="Arial Narrow" w:cs="Segoe UI"/>
                <w:sz w:val="20"/>
                <w:szCs w:val="20"/>
              </w:rPr>
              <w:t> </w:t>
            </w:r>
          </w:p>
          <w:p w14:paraId="643D4065" w14:textId="77777777" w:rsidR="00AE0489" w:rsidRPr="00927543" w:rsidRDefault="00AE0489">
            <w:pPr>
              <w:ind w:left="57"/>
              <w:textAlignment w:val="baseline"/>
              <w:rPr>
                <w:rFonts w:ascii="Arial Narrow" w:hAnsi="Arial Narrow" w:cs="Segoe UI"/>
                <w:b/>
                <w:bCs/>
                <w:sz w:val="20"/>
                <w:szCs w:val="20"/>
              </w:rPr>
            </w:pPr>
            <w:r w:rsidRPr="00927543">
              <w:rPr>
                <w:rFonts w:ascii="Arial Narrow" w:hAnsi="Arial Narrow" w:cs="Segoe UI"/>
                <w:b/>
                <w:bCs/>
                <w:sz w:val="20"/>
                <w:szCs w:val="20"/>
              </w:rPr>
              <w:t>Form</w:t>
            </w:r>
          </w:p>
        </w:tc>
        <w:tc>
          <w:tcPr>
            <w:tcW w:w="1725" w:type="dxa"/>
            <w:hideMark/>
          </w:tcPr>
          <w:p w14:paraId="1CDC5D47" w14:textId="77777777" w:rsidR="00AE0489" w:rsidRPr="00927543" w:rsidRDefault="00AE0489">
            <w:pPr>
              <w:ind w:left="-120"/>
              <w:jc w:val="center"/>
              <w:textAlignment w:val="baseline"/>
              <w:rPr>
                <w:rFonts w:ascii="Arial Narrow" w:hAnsi="Arial Narrow" w:cs="Segoe UI"/>
                <w:sz w:val="20"/>
                <w:szCs w:val="20"/>
              </w:rPr>
            </w:pPr>
            <w:r w:rsidRPr="00927543">
              <w:rPr>
                <w:rFonts w:ascii="Arial Narrow" w:hAnsi="Arial Narrow" w:cs="Segoe UI"/>
                <w:b/>
                <w:bCs/>
                <w:sz w:val="20"/>
                <w:szCs w:val="20"/>
                <w:lang w:val="en-GB"/>
              </w:rPr>
              <w:t>PBS item code</w:t>
            </w:r>
            <w:r w:rsidRPr="00927543">
              <w:rPr>
                <w:rFonts w:ascii="Arial Narrow" w:hAnsi="Arial Narrow" w:cs="Segoe UI"/>
                <w:sz w:val="20"/>
                <w:szCs w:val="20"/>
              </w:rPr>
              <w:t> </w:t>
            </w:r>
          </w:p>
        </w:tc>
        <w:tc>
          <w:tcPr>
            <w:tcW w:w="2016" w:type="dxa"/>
            <w:hideMark/>
          </w:tcPr>
          <w:p w14:paraId="4CF334F3" w14:textId="77777777" w:rsidR="00AE0489" w:rsidRPr="00927543" w:rsidRDefault="00AE0489">
            <w:pPr>
              <w:ind w:left="-120"/>
              <w:jc w:val="center"/>
              <w:textAlignment w:val="baseline"/>
              <w:rPr>
                <w:rFonts w:ascii="Arial Narrow" w:hAnsi="Arial Narrow" w:cs="Segoe UI"/>
                <w:sz w:val="20"/>
                <w:szCs w:val="20"/>
              </w:rPr>
            </w:pPr>
            <w:r w:rsidRPr="00927543">
              <w:rPr>
                <w:rFonts w:ascii="Arial Narrow" w:hAnsi="Arial Narrow" w:cs="Segoe UI"/>
                <w:b/>
                <w:bCs/>
                <w:sz w:val="20"/>
                <w:szCs w:val="20"/>
                <w:lang w:val="en-GB"/>
              </w:rPr>
              <w:t>Max. Amount</w:t>
            </w:r>
            <w:r w:rsidRPr="00927543">
              <w:rPr>
                <w:rFonts w:ascii="Arial Narrow" w:hAnsi="Arial Narrow" w:cs="Segoe UI"/>
                <w:sz w:val="20"/>
                <w:szCs w:val="20"/>
              </w:rPr>
              <w:t> </w:t>
            </w:r>
          </w:p>
        </w:tc>
        <w:tc>
          <w:tcPr>
            <w:tcW w:w="1538" w:type="dxa"/>
            <w:hideMark/>
          </w:tcPr>
          <w:p w14:paraId="2943250C" w14:textId="77777777" w:rsidR="00AE0489" w:rsidRPr="00927543" w:rsidRDefault="00AE0489">
            <w:pPr>
              <w:ind w:left="-120"/>
              <w:jc w:val="center"/>
              <w:textAlignment w:val="baseline"/>
              <w:rPr>
                <w:rFonts w:ascii="Arial Narrow" w:hAnsi="Arial Narrow" w:cs="Segoe UI"/>
                <w:sz w:val="20"/>
                <w:szCs w:val="20"/>
              </w:rPr>
            </w:pPr>
            <w:proofErr w:type="gramStart"/>
            <w:r w:rsidRPr="00927543">
              <w:rPr>
                <w:rFonts w:ascii="Arial Narrow" w:hAnsi="Arial Narrow" w:cs="Segoe UI"/>
                <w:b/>
                <w:bCs/>
                <w:sz w:val="20"/>
                <w:szCs w:val="20"/>
                <w:lang w:val="en-GB"/>
              </w:rPr>
              <w:t>№.of</w:t>
            </w:r>
            <w:proofErr w:type="gramEnd"/>
            <w:r w:rsidRPr="00927543">
              <w:rPr>
                <w:rFonts w:ascii="Arial Narrow" w:hAnsi="Arial Narrow" w:cs="Segoe UI"/>
                <w:b/>
                <w:bCs/>
                <w:sz w:val="20"/>
                <w:szCs w:val="20"/>
                <w:lang w:val="en-GB"/>
              </w:rPr>
              <w:t xml:space="preserve"> </w:t>
            </w:r>
            <w:proofErr w:type="spellStart"/>
            <w:r w:rsidRPr="00927543">
              <w:rPr>
                <w:rFonts w:ascii="Arial Narrow" w:hAnsi="Arial Narrow" w:cs="Segoe UI"/>
                <w:b/>
                <w:bCs/>
                <w:sz w:val="20"/>
                <w:szCs w:val="20"/>
                <w:lang w:val="en-GB"/>
              </w:rPr>
              <w:t>Rpts</w:t>
            </w:r>
            <w:proofErr w:type="spellEnd"/>
            <w:r w:rsidRPr="00927543">
              <w:rPr>
                <w:rFonts w:ascii="Arial Narrow" w:hAnsi="Arial Narrow" w:cs="Segoe UI"/>
                <w:sz w:val="20"/>
                <w:szCs w:val="20"/>
              </w:rPr>
              <w:t> </w:t>
            </w:r>
          </w:p>
        </w:tc>
      </w:tr>
      <w:tr w:rsidR="00927543" w:rsidRPr="00927543" w14:paraId="38AD8195" w14:textId="77777777" w:rsidTr="00650354">
        <w:trPr>
          <w:trHeight w:val="227"/>
        </w:trPr>
        <w:tc>
          <w:tcPr>
            <w:tcW w:w="3738" w:type="dxa"/>
            <w:vAlign w:val="center"/>
            <w:hideMark/>
          </w:tcPr>
          <w:p w14:paraId="2B483CEA" w14:textId="77777777" w:rsidR="00AE0489" w:rsidRPr="00927543" w:rsidRDefault="00AE0489">
            <w:pPr>
              <w:ind w:left="-120"/>
              <w:textAlignment w:val="baseline"/>
              <w:rPr>
                <w:rFonts w:ascii="Arial Narrow" w:hAnsi="Arial Narrow" w:cs="Segoe UI"/>
                <w:sz w:val="20"/>
                <w:szCs w:val="20"/>
              </w:rPr>
            </w:pPr>
            <w:r w:rsidRPr="00927543">
              <w:rPr>
                <w:rFonts w:ascii="Arial Narrow" w:hAnsi="Arial Narrow" w:cs="Segoe UI"/>
                <w:sz w:val="20"/>
                <w:szCs w:val="20"/>
                <w:lang w:val="en-GB"/>
              </w:rPr>
              <w:t>    TRASTUZUMAB DERUXTECAN</w:t>
            </w:r>
          </w:p>
          <w:p w14:paraId="0D559BE0" w14:textId="3FDE1F22" w:rsidR="00AE0489" w:rsidRPr="00927543" w:rsidRDefault="00AE0489">
            <w:pPr>
              <w:textAlignment w:val="baseline"/>
              <w:rPr>
                <w:rFonts w:ascii="Arial Narrow" w:hAnsi="Arial Narrow" w:cs="Segoe UI"/>
                <w:sz w:val="20"/>
                <w:szCs w:val="20"/>
              </w:rPr>
            </w:pPr>
            <w:r w:rsidRPr="00927543">
              <w:rPr>
                <w:rFonts w:ascii="Arial Narrow" w:hAnsi="Arial Narrow" w:cs="Segoe UI"/>
                <w:sz w:val="20"/>
                <w:szCs w:val="20"/>
                <w:lang w:val="en-GB"/>
              </w:rPr>
              <w:t>  Injection</w:t>
            </w:r>
          </w:p>
        </w:tc>
        <w:tc>
          <w:tcPr>
            <w:tcW w:w="1725" w:type="dxa"/>
            <w:hideMark/>
          </w:tcPr>
          <w:p w14:paraId="2849A310" w14:textId="77777777" w:rsidR="00AE0489" w:rsidRPr="00927543" w:rsidRDefault="00AE0489">
            <w:pPr>
              <w:ind w:left="-120"/>
              <w:jc w:val="center"/>
              <w:textAlignment w:val="baseline"/>
              <w:rPr>
                <w:rFonts w:ascii="Arial Narrow" w:hAnsi="Arial Narrow" w:cs="Segoe UI"/>
                <w:sz w:val="20"/>
                <w:szCs w:val="20"/>
              </w:rPr>
            </w:pPr>
            <w:r w:rsidRPr="00927543">
              <w:rPr>
                <w:rFonts w:ascii="Arial Narrow" w:hAnsi="Arial Narrow" w:cs="Segoe UI"/>
                <w:sz w:val="20"/>
                <w:szCs w:val="20"/>
                <w:lang w:val="en-GB"/>
              </w:rPr>
              <w:t>NEW (Public)</w:t>
            </w:r>
            <w:r w:rsidRPr="00927543">
              <w:rPr>
                <w:rFonts w:ascii="Arial Narrow" w:hAnsi="Arial Narrow" w:cs="Segoe UI"/>
                <w:sz w:val="20"/>
                <w:szCs w:val="20"/>
              </w:rPr>
              <w:t> </w:t>
            </w:r>
          </w:p>
          <w:p w14:paraId="2C01699E" w14:textId="77777777" w:rsidR="00AE0489" w:rsidRPr="00927543" w:rsidRDefault="00AE0489">
            <w:pPr>
              <w:ind w:left="-120"/>
              <w:jc w:val="center"/>
              <w:textAlignment w:val="baseline"/>
              <w:rPr>
                <w:rFonts w:ascii="Arial Narrow" w:hAnsi="Arial Narrow" w:cs="Segoe UI"/>
                <w:sz w:val="20"/>
                <w:szCs w:val="20"/>
              </w:rPr>
            </w:pPr>
            <w:r w:rsidRPr="00927543">
              <w:rPr>
                <w:rFonts w:ascii="Arial Narrow" w:hAnsi="Arial Narrow" w:cs="Segoe UI"/>
                <w:sz w:val="20"/>
                <w:szCs w:val="20"/>
                <w:lang w:val="en-GB"/>
              </w:rPr>
              <w:t>NEW (Private)</w:t>
            </w:r>
            <w:r w:rsidRPr="00927543">
              <w:rPr>
                <w:rFonts w:ascii="Arial Narrow" w:hAnsi="Arial Narrow" w:cs="Segoe UI"/>
                <w:sz w:val="20"/>
                <w:szCs w:val="20"/>
              </w:rPr>
              <w:t> </w:t>
            </w:r>
          </w:p>
        </w:tc>
        <w:tc>
          <w:tcPr>
            <w:tcW w:w="2016" w:type="dxa"/>
            <w:vAlign w:val="center"/>
            <w:hideMark/>
          </w:tcPr>
          <w:p w14:paraId="4D3D8CD8" w14:textId="0923EDAF" w:rsidR="00AE0489" w:rsidRPr="00927543" w:rsidRDefault="00AE0489">
            <w:pPr>
              <w:ind w:left="-120"/>
              <w:jc w:val="center"/>
              <w:textAlignment w:val="baseline"/>
              <w:rPr>
                <w:rFonts w:ascii="Arial Narrow" w:hAnsi="Arial Narrow" w:cs="Segoe UI"/>
                <w:sz w:val="20"/>
                <w:szCs w:val="20"/>
              </w:rPr>
            </w:pPr>
            <w:r w:rsidRPr="00490FE4">
              <w:rPr>
                <w:rFonts w:ascii="Arial Narrow" w:hAnsi="Arial Narrow" w:cs="Segoe UI"/>
                <w:strike/>
                <w:sz w:val="20"/>
                <w:szCs w:val="20"/>
                <w:lang w:val="en-GB"/>
              </w:rPr>
              <w:t>700</w:t>
            </w:r>
            <w:r w:rsidRPr="00927543">
              <w:rPr>
                <w:rFonts w:ascii="Arial Narrow" w:hAnsi="Arial Narrow" w:cs="Segoe UI"/>
                <w:sz w:val="20"/>
                <w:szCs w:val="20"/>
                <w:lang w:val="en-GB"/>
              </w:rPr>
              <w:t xml:space="preserve"> </w:t>
            </w:r>
            <w:r w:rsidR="00490FE4" w:rsidRPr="00490FE4">
              <w:rPr>
                <w:rFonts w:ascii="Arial Narrow" w:hAnsi="Arial Narrow" w:cs="Segoe UI"/>
                <w:i/>
                <w:iCs/>
                <w:sz w:val="20"/>
                <w:szCs w:val="20"/>
                <w:lang w:val="en-GB"/>
              </w:rPr>
              <w:t>800</w:t>
            </w:r>
            <w:r w:rsidR="00490FE4">
              <w:rPr>
                <w:rFonts w:ascii="Arial Narrow" w:hAnsi="Arial Narrow" w:cs="Segoe UI"/>
                <w:sz w:val="20"/>
                <w:szCs w:val="20"/>
                <w:lang w:val="en-GB"/>
              </w:rPr>
              <w:t xml:space="preserve"> </w:t>
            </w:r>
            <w:r w:rsidRPr="00927543">
              <w:rPr>
                <w:rFonts w:ascii="Arial Narrow" w:hAnsi="Arial Narrow" w:cs="Segoe UI"/>
                <w:sz w:val="20"/>
                <w:szCs w:val="20"/>
                <w:lang w:val="en-GB"/>
              </w:rPr>
              <w:t>mg</w:t>
            </w:r>
            <w:r w:rsidRPr="00927543">
              <w:rPr>
                <w:rFonts w:ascii="Arial Narrow" w:hAnsi="Arial Narrow" w:cs="Segoe UI"/>
                <w:sz w:val="20"/>
                <w:szCs w:val="20"/>
              </w:rPr>
              <w:t> </w:t>
            </w:r>
          </w:p>
        </w:tc>
        <w:tc>
          <w:tcPr>
            <w:tcW w:w="1538" w:type="dxa"/>
            <w:vAlign w:val="center"/>
            <w:hideMark/>
          </w:tcPr>
          <w:p w14:paraId="4D510805" w14:textId="77777777" w:rsidR="00AE0489" w:rsidRPr="00927543" w:rsidRDefault="00AE0489">
            <w:pPr>
              <w:jc w:val="center"/>
              <w:textAlignment w:val="baseline"/>
              <w:rPr>
                <w:rFonts w:ascii="Arial Narrow" w:hAnsi="Arial Narrow" w:cs="Segoe UI"/>
                <w:sz w:val="20"/>
                <w:szCs w:val="20"/>
              </w:rPr>
            </w:pPr>
            <w:r w:rsidRPr="00927543">
              <w:rPr>
                <w:rFonts w:ascii="Arial Narrow" w:hAnsi="Arial Narrow" w:cs="Segoe UI"/>
                <w:sz w:val="20"/>
                <w:szCs w:val="20"/>
              </w:rPr>
              <w:t>8 </w:t>
            </w:r>
          </w:p>
        </w:tc>
      </w:tr>
      <w:tr w:rsidR="00927543" w:rsidRPr="00927543" w14:paraId="04D9F7E5" w14:textId="77777777" w:rsidTr="00650354">
        <w:trPr>
          <w:trHeight w:val="227"/>
        </w:trPr>
        <w:tc>
          <w:tcPr>
            <w:tcW w:w="9017" w:type="dxa"/>
            <w:gridSpan w:val="4"/>
          </w:tcPr>
          <w:p w14:paraId="7350FBD4" w14:textId="77777777" w:rsidR="00AE0489" w:rsidRPr="00927543" w:rsidRDefault="00AE0489">
            <w:pPr>
              <w:ind w:left="57"/>
              <w:textAlignment w:val="baseline"/>
              <w:rPr>
                <w:rFonts w:ascii="Arial Narrow" w:hAnsi="Arial Narrow" w:cs="Segoe UI"/>
                <w:b/>
                <w:bCs/>
                <w:sz w:val="20"/>
                <w:szCs w:val="20"/>
                <w:lang w:val="en-GB"/>
              </w:rPr>
            </w:pPr>
            <w:r w:rsidRPr="00927543">
              <w:rPr>
                <w:rFonts w:ascii="Arial Narrow" w:hAnsi="Arial Narrow" w:cs="Segoe UI"/>
                <w:b/>
                <w:bCs/>
                <w:sz w:val="20"/>
                <w:szCs w:val="20"/>
                <w:lang w:val="en-GB"/>
              </w:rPr>
              <w:t>Available brands</w:t>
            </w:r>
          </w:p>
        </w:tc>
      </w:tr>
      <w:tr w:rsidR="00927543" w:rsidRPr="00927543" w14:paraId="40FE1AA1" w14:textId="77777777" w:rsidTr="00650354">
        <w:trPr>
          <w:trHeight w:val="227"/>
        </w:trPr>
        <w:tc>
          <w:tcPr>
            <w:tcW w:w="9017" w:type="dxa"/>
            <w:gridSpan w:val="4"/>
            <w:hideMark/>
          </w:tcPr>
          <w:p w14:paraId="3907B3AE" w14:textId="77777777" w:rsidR="00AE0489" w:rsidRPr="00927543" w:rsidRDefault="00AE0489">
            <w:pPr>
              <w:ind w:left="57"/>
              <w:textAlignment w:val="baseline"/>
              <w:rPr>
                <w:rFonts w:ascii="Arial Narrow" w:hAnsi="Arial Narrow" w:cs="Segoe UI"/>
                <w:sz w:val="20"/>
                <w:szCs w:val="20"/>
                <w:lang w:val="en-GB"/>
              </w:rPr>
            </w:pPr>
            <w:proofErr w:type="spellStart"/>
            <w:r w:rsidRPr="00927543">
              <w:rPr>
                <w:rFonts w:ascii="Arial Narrow" w:hAnsi="Arial Narrow" w:cs="Segoe UI"/>
                <w:sz w:val="20"/>
                <w:szCs w:val="20"/>
                <w:lang w:val="en-GB"/>
              </w:rPr>
              <w:t>Enhertu</w:t>
            </w:r>
            <w:proofErr w:type="spellEnd"/>
          </w:p>
          <w:p w14:paraId="7784E97B" w14:textId="77777777" w:rsidR="00AE0489" w:rsidRPr="00927543" w:rsidRDefault="00AE0489">
            <w:pPr>
              <w:ind w:left="57"/>
              <w:textAlignment w:val="baseline"/>
              <w:rPr>
                <w:rFonts w:ascii="Arial Narrow" w:hAnsi="Arial Narrow" w:cs="Segoe UI"/>
                <w:sz w:val="20"/>
                <w:szCs w:val="20"/>
              </w:rPr>
            </w:pPr>
            <w:r w:rsidRPr="00927543">
              <w:rPr>
                <w:rFonts w:ascii="Arial Narrow" w:hAnsi="Arial Narrow" w:cs="Segoe UI"/>
                <w:sz w:val="20"/>
                <w:szCs w:val="20"/>
                <w:lang w:val="en-GB"/>
              </w:rPr>
              <w:t xml:space="preserve">trastuzumab </w:t>
            </w:r>
            <w:proofErr w:type="spellStart"/>
            <w:r w:rsidRPr="00927543">
              <w:rPr>
                <w:rFonts w:ascii="Arial Narrow" w:hAnsi="Arial Narrow" w:cs="Segoe UI"/>
                <w:sz w:val="20"/>
                <w:szCs w:val="20"/>
                <w:lang w:val="en-GB"/>
              </w:rPr>
              <w:t>deruxtecan</w:t>
            </w:r>
            <w:proofErr w:type="spellEnd"/>
            <w:r w:rsidRPr="00927543">
              <w:rPr>
                <w:rFonts w:ascii="Arial Narrow" w:hAnsi="Arial Narrow" w:cs="Segoe UI"/>
                <w:sz w:val="20"/>
                <w:szCs w:val="20"/>
                <w:lang w:val="en-GB"/>
              </w:rPr>
              <w:t xml:space="preserve"> 100 mg injection, 1 vial</w:t>
            </w:r>
          </w:p>
        </w:tc>
      </w:tr>
      <w:tr w:rsidR="00927543" w:rsidRPr="00927543" w14:paraId="7C21DB22" w14:textId="77777777" w:rsidTr="00650354">
        <w:trPr>
          <w:trHeight w:val="227"/>
        </w:trPr>
        <w:tc>
          <w:tcPr>
            <w:tcW w:w="9017" w:type="dxa"/>
            <w:gridSpan w:val="4"/>
          </w:tcPr>
          <w:p w14:paraId="6F507192" w14:textId="77777777" w:rsidR="00AE0489" w:rsidRPr="00927543" w:rsidRDefault="00AE0489">
            <w:pPr>
              <w:textAlignment w:val="baseline"/>
              <w:rPr>
                <w:rFonts w:ascii="Arial Narrow" w:hAnsi="Arial Narrow" w:cs="Segoe UI"/>
                <w:sz w:val="20"/>
                <w:szCs w:val="20"/>
                <w:lang w:val="en-GB"/>
              </w:rPr>
            </w:pPr>
          </w:p>
        </w:tc>
      </w:tr>
      <w:tr w:rsidR="00927543" w:rsidRPr="00927543" w14:paraId="777AE782" w14:textId="77777777" w:rsidTr="00650354">
        <w:trPr>
          <w:trHeight w:val="227"/>
        </w:trPr>
        <w:tc>
          <w:tcPr>
            <w:tcW w:w="9017" w:type="dxa"/>
            <w:gridSpan w:val="4"/>
            <w:vAlign w:val="center"/>
          </w:tcPr>
          <w:p w14:paraId="39E0932D" w14:textId="77777777" w:rsidR="00AE0489" w:rsidRPr="00927543" w:rsidRDefault="00AE0489">
            <w:pPr>
              <w:textAlignment w:val="baseline"/>
              <w:rPr>
                <w:rFonts w:ascii="Arial Narrow" w:hAnsi="Arial Narrow" w:cs="Segoe UI"/>
                <w:sz w:val="20"/>
                <w:szCs w:val="20"/>
                <w:lang w:val="en-GB"/>
              </w:rPr>
            </w:pPr>
            <w:r w:rsidRPr="00927543">
              <w:rPr>
                <w:rFonts w:ascii="Arial Narrow" w:hAnsi="Arial Narrow"/>
                <w:b/>
                <w:bCs/>
                <w:sz w:val="20"/>
                <w:szCs w:val="20"/>
              </w:rPr>
              <w:t>Restriction Summary [new] / Treatment of Concept: [new]</w:t>
            </w:r>
          </w:p>
        </w:tc>
      </w:tr>
      <w:tr w:rsidR="00927543" w:rsidRPr="00927543" w14:paraId="45547734" w14:textId="77777777" w:rsidTr="0065035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227"/>
        </w:trPr>
        <w:tc>
          <w:tcPr>
            <w:tcW w:w="9017" w:type="dxa"/>
            <w:gridSpan w:val="4"/>
            <w:tcBorders>
              <w:top w:val="single" w:sz="6" w:space="0" w:color="auto"/>
              <w:left w:val="single" w:sz="6" w:space="0" w:color="auto"/>
              <w:bottom w:val="single" w:sz="6" w:space="0" w:color="auto"/>
              <w:right w:val="single" w:sz="6" w:space="0" w:color="auto"/>
            </w:tcBorders>
            <w:hideMark/>
          </w:tcPr>
          <w:p w14:paraId="29B2A443"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b/>
                <w:bCs/>
                <w:sz w:val="20"/>
                <w:szCs w:val="20"/>
              </w:rPr>
              <w:t>Category / Program:</w:t>
            </w:r>
            <w:r w:rsidRPr="00927543">
              <w:rPr>
                <w:rFonts w:ascii="Arial Narrow" w:hAnsi="Arial Narrow"/>
                <w:sz w:val="20"/>
                <w:szCs w:val="20"/>
              </w:rPr>
              <w:t xml:space="preserve"> Section 100 – Efficient Funding of Chemotherapy Public/Private hospitals</w:t>
            </w:r>
          </w:p>
        </w:tc>
      </w:tr>
      <w:tr w:rsidR="00927543" w:rsidRPr="00927543" w14:paraId="39C171DD" w14:textId="77777777" w:rsidTr="0065035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227"/>
        </w:trPr>
        <w:tc>
          <w:tcPr>
            <w:tcW w:w="9017" w:type="dxa"/>
            <w:gridSpan w:val="4"/>
            <w:tcBorders>
              <w:top w:val="single" w:sz="6" w:space="0" w:color="auto"/>
              <w:left w:val="single" w:sz="6" w:space="0" w:color="auto"/>
              <w:bottom w:val="single" w:sz="6" w:space="0" w:color="auto"/>
              <w:right w:val="single" w:sz="6" w:space="0" w:color="auto"/>
            </w:tcBorders>
            <w:hideMark/>
          </w:tcPr>
          <w:p w14:paraId="189F7E6A" w14:textId="165F427F" w:rsidR="00927543" w:rsidRPr="00927543" w:rsidRDefault="00927543">
            <w:pPr>
              <w:ind w:left="57"/>
              <w:textAlignment w:val="baseline"/>
              <w:rPr>
                <w:rFonts w:ascii="Arial Narrow" w:hAnsi="Arial Narrow" w:cs="Segoe UI"/>
                <w:sz w:val="20"/>
                <w:szCs w:val="20"/>
              </w:rPr>
            </w:pPr>
            <w:r w:rsidRPr="00927543">
              <w:rPr>
                <w:rFonts w:ascii="Arial Narrow" w:hAnsi="Arial Narrow"/>
                <w:b/>
                <w:bCs/>
                <w:sz w:val="20"/>
                <w:szCs w:val="20"/>
              </w:rPr>
              <w:t>Prescriber type</w:t>
            </w:r>
            <w:r w:rsidRPr="00927543">
              <w:rPr>
                <w:rFonts w:ascii="Arial Narrow" w:hAnsi="Arial Narrow"/>
                <w:sz w:val="20"/>
                <w:szCs w:val="20"/>
              </w:rPr>
              <w:t>:</w:t>
            </w:r>
            <w:r w:rsidR="00CA6253">
              <w:rPr>
                <w:rFonts w:ascii="Arial Narrow" w:hAnsi="Arial Narrow"/>
                <w:sz w:val="20"/>
                <w:szCs w:val="20"/>
              </w:rPr>
              <w:t xml:space="preserve"> </w:t>
            </w:r>
            <w:r w:rsidRPr="00927543">
              <w:rPr>
                <w:rFonts w:ascii="Arial Narrow" w:hAnsi="Arial Narrow"/>
                <w:sz w:val="20"/>
                <w:szCs w:val="20"/>
              </w:rPr>
              <w:t xml:space="preserve"> </w:t>
            </w:r>
            <w:r w:rsidRPr="00927543">
              <w:rPr>
                <w:rFonts w:ascii="Arial Narrow" w:hAnsi="Arial Narrow"/>
                <w:sz w:val="20"/>
                <w:szCs w:val="20"/>
              </w:rPr>
              <w:fldChar w:fldCharType="begin">
                <w:ffData>
                  <w:name w:val=""/>
                  <w:enabled/>
                  <w:calcOnExit w:val="0"/>
                  <w:checkBox>
                    <w:sizeAuto/>
                    <w:default w:val="1"/>
                  </w:checkBox>
                </w:ffData>
              </w:fldChar>
            </w:r>
            <w:r w:rsidRPr="00927543">
              <w:rPr>
                <w:rFonts w:ascii="Arial Narrow" w:hAnsi="Arial Narrow"/>
                <w:sz w:val="20"/>
                <w:szCs w:val="20"/>
              </w:rPr>
              <w:instrText xml:space="preserve"> FORMCHECKBOX </w:instrText>
            </w:r>
            <w:r w:rsidRPr="00927543">
              <w:rPr>
                <w:rFonts w:ascii="Arial Narrow" w:hAnsi="Arial Narrow"/>
                <w:sz w:val="20"/>
                <w:szCs w:val="20"/>
              </w:rPr>
            </w:r>
            <w:r w:rsidRPr="00927543">
              <w:rPr>
                <w:rFonts w:ascii="Arial Narrow" w:hAnsi="Arial Narrow"/>
                <w:sz w:val="20"/>
                <w:szCs w:val="20"/>
              </w:rPr>
              <w:fldChar w:fldCharType="separate"/>
            </w:r>
            <w:r w:rsidRPr="00927543">
              <w:rPr>
                <w:rFonts w:ascii="Arial Narrow" w:hAnsi="Arial Narrow"/>
                <w:sz w:val="20"/>
                <w:szCs w:val="20"/>
              </w:rPr>
              <w:fldChar w:fldCharType="end"/>
            </w:r>
            <w:r w:rsidRPr="00927543">
              <w:rPr>
                <w:rFonts w:ascii="Arial Narrow" w:hAnsi="Arial Narrow"/>
                <w:sz w:val="20"/>
                <w:szCs w:val="20"/>
              </w:rPr>
              <w:t>Medical Practitioners</w:t>
            </w:r>
          </w:p>
        </w:tc>
      </w:tr>
      <w:tr w:rsidR="00927543" w:rsidRPr="00927543" w14:paraId="6A9062BA" w14:textId="77777777" w:rsidTr="0065035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227"/>
        </w:trPr>
        <w:tc>
          <w:tcPr>
            <w:tcW w:w="9017" w:type="dxa"/>
            <w:gridSpan w:val="4"/>
            <w:tcBorders>
              <w:top w:val="single" w:sz="6" w:space="0" w:color="auto"/>
              <w:left w:val="single" w:sz="6" w:space="0" w:color="auto"/>
              <w:bottom w:val="single" w:sz="6" w:space="0" w:color="auto"/>
              <w:right w:val="single" w:sz="6" w:space="0" w:color="auto"/>
            </w:tcBorders>
          </w:tcPr>
          <w:p w14:paraId="44E399CF"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b/>
                <w:bCs/>
                <w:sz w:val="20"/>
                <w:szCs w:val="20"/>
              </w:rPr>
              <w:t>Restriction type</w:t>
            </w:r>
            <w:r w:rsidRPr="00927543">
              <w:rPr>
                <w:rFonts w:ascii="Arial Narrow" w:hAnsi="Arial Narrow"/>
                <w:sz w:val="20"/>
                <w:szCs w:val="20"/>
              </w:rPr>
              <w:t xml:space="preserve">: </w:t>
            </w:r>
            <w:r w:rsidRPr="00927543">
              <w:rPr>
                <w:rFonts w:ascii="Arial Narrow" w:hAnsi="Arial Narrow"/>
                <w:sz w:val="20"/>
                <w:szCs w:val="20"/>
              </w:rPr>
              <w:fldChar w:fldCharType="begin">
                <w:ffData>
                  <w:name w:val=""/>
                  <w:enabled/>
                  <w:calcOnExit w:val="0"/>
                  <w:checkBox>
                    <w:sizeAuto/>
                    <w:default w:val="1"/>
                  </w:checkBox>
                </w:ffData>
              </w:fldChar>
            </w:r>
            <w:r w:rsidRPr="00927543">
              <w:rPr>
                <w:rFonts w:ascii="Arial Narrow" w:hAnsi="Arial Narrow"/>
                <w:sz w:val="20"/>
                <w:szCs w:val="20"/>
              </w:rPr>
              <w:instrText xml:space="preserve"> FORMCHECKBOX </w:instrText>
            </w:r>
            <w:r w:rsidRPr="00927543">
              <w:rPr>
                <w:rFonts w:ascii="Arial Narrow" w:hAnsi="Arial Narrow"/>
                <w:sz w:val="20"/>
                <w:szCs w:val="20"/>
              </w:rPr>
            </w:r>
            <w:r w:rsidRPr="00927543">
              <w:rPr>
                <w:rFonts w:ascii="Arial Narrow" w:hAnsi="Arial Narrow"/>
                <w:sz w:val="20"/>
                <w:szCs w:val="20"/>
              </w:rPr>
              <w:fldChar w:fldCharType="separate"/>
            </w:r>
            <w:r w:rsidRPr="00927543">
              <w:rPr>
                <w:rFonts w:ascii="Arial Narrow" w:hAnsi="Arial Narrow"/>
                <w:sz w:val="20"/>
                <w:szCs w:val="20"/>
              </w:rPr>
              <w:fldChar w:fldCharType="end"/>
            </w:r>
            <w:r w:rsidRPr="00927543">
              <w:rPr>
                <w:rFonts w:ascii="Arial Narrow" w:hAnsi="Arial Narrow"/>
                <w:sz w:val="20"/>
                <w:szCs w:val="20"/>
              </w:rPr>
              <w:t>Authority Required (telephone/online PBS Authorities system)</w:t>
            </w:r>
          </w:p>
        </w:tc>
      </w:tr>
      <w:tr w:rsidR="00927543" w:rsidRPr="00927543" w14:paraId="0CF138A8" w14:textId="77777777" w:rsidTr="00650354">
        <w:trPr>
          <w:trHeight w:val="227"/>
        </w:trPr>
        <w:tc>
          <w:tcPr>
            <w:tcW w:w="9017" w:type="dxa"/>
            <w:gridSpan w:val="4"/>
            <w:vAlign w:val="center"/>
            <w:hideMark/>
          </w:tcPr>
          <w:p w14:paraId="0EBD3D9C" w14:textId="667B3CD3"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Severity:</w:t>
            </w:r>
            <w:r w:rsidRPr="00927543">
              <w:rPr>
                <w:rFonts w:ascii="Arial Narrow" w:hAnsi="Arial Narrow" w:cs="Segoe UI"/>
                <w:sz w:val="20"/>
                <w:szCs w:val="20"/>
              </w:rPr>
              <w:t> </w:t>
            </w:r>
            <w:r w:rsidR="00AB2D32" w:rsidRPr="006B6054">
              <w:rPr>
                <w:rFonts w:ascii="Arial Narrow" w:hAnsi="Arial Narrow" w:cs="Segoe UI"/>
                <w:i/>
                <w:iCs/>
                <w:sz w:val="20"/>
                <w:szCs w:val="20"/>
              </w:rPr>
              <w:t>Locally advanced</w:t>
            </w:r>
            <w:r w:rsidR="006B6054" w:rsidRPr="006B6054">
              <w:rPr>
                <w:rFonts w:ascii="Arial Narrow" w:hAnsi="Arial Narrow" w:cs="Segoe UI"/>
                <w:i/>
                <w:iCs/>
                <w:sz w:val="20"/>
                <w:szCs w:val="20"/>
              </w:rPr>
              <w:t xml:space="preserve"> </w:t>
            </w:r>
            <w:r w:rsidR="00991FF1" w:rsidRPr="006B6054">
              <w:rPr>
                <w:rFonts w:ascii="Arial Narrow" w:hAnsi="Arial Narrow" w:cs="Segoe UI"/>
                <w:i/>
                <w:iCs/>
                <w:sz w:val="20"/>
                <w:szCs w:val="20"/>
              </w:rPr>
              <w:t>unresectable or</w:t>
            </w:r>
            <w:r w:rsidR="00991FF1">
              <w:rPr>
                <w:rFonts w:ascii="Arial Narrow" w:hAnsi="Arial Narrow" w:cs="Segoe UI"/>
                <w:sz w:val="20"/>
                <w:szCs w:val="20"/>
              </w:rPr>
              <w:t xml:space="preserve"> </w:t>
            </w:r>
            <w:r w:rsidRPr="00927543">
              <w:rPr>
                <w:rFonts w:ascii="Arial Narrow" w:hAnsi="Arial Narrow" w:cs="Segoe UI"/>
                <w:sz w:val="20"/>
                <w:szCs w:val="20"/>
                <w:lang w:val="en-GB"/>
              </w:rPr>
              <w:t>Metastatic (Stage IV)</w:t>
            </w:r>
            <w:r w:rsidRPr="00927543">
              <w:rPr>
                <w:rFonts w:ascii="Arial Narrow" w:hAnsi="Arial Narrow" w:cs="Segoe UI"/>
                <w:sz w:val="20"/>
                <w:szCs w:val="20"/>
              </w:rPr>
              <w:t> </w:t>
            </w:r>
          </w:p>
        </w:tc>
      </w:tr>
      <w:tr w:rsidR="00927543" w:rsidRPr="00927543" w14:paraId="7718512C" w14:textId="77777777" w:rsidTr="00650354">
        <w:trPr>
          <w:trHeight w:val="227"/>
        </w:trPr>
        <w:tc>
          <w:tcPr>
            <w:tcW w:w="9017" w:type="dxa"/>
            <w:gridSpan w:val="4"/>
            <w:vAlign w:val="center"/>
            <w:hideMark/>
          </w:tcPr>
          <w:p w14:paraId="1E3BCC46"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Condition:</w:t>
            </w:r>
            <w:r w:rsidRPr="00927543">
              <w:rPr>
                <w:rFonts w:ascii="Arial Narrow" w:hAnsi="Arial Narrow" w:cs="Segoe UI"/>
                <w:sz w:val="20"/>
                <w:szCs w:val="20"/>
              </w:rPr>
              <w:t> </w:t>
            </w:r>
            <w:r w:rsidRPr="00927543">
              <w:rPr>
                <w:rFonts w:ascii="Arial Narrow" w:hAnsi="Arial Narrow" w:cs="Segoe UI"/>
                <w:i/>
                <w:iCs/>
                <w:sz w:val="20"/>
                <w:szCs w:val="20"/>
              </w:rPr>
              <w:t>A</w:t>
            </w:r>
            <w:proofErr w:type="spellStart"/>
            <w:r w:rsidRPr="00927543">
              <w:rPr>
                <w:rFonts w:ascii="Arial Narrow" w:hAnsi="Arial Narrow" w:cs="Segoe UI"/>
                <w:i/>
                <w:iCs/>
                <w:sz w:val="20"/>
                <w:szCs w:val="20"/>
                <w:lang w:val="en-GB"/>
              </w:rPr>
              <w:t>denocarcinoma</w:t>
            </w:r>
            <w:proofErr w:type="spellEnd"/>
            <w:r w:rsidRPr="00927543">
              <w:rPr>
                <w:rFonts w:ascii="Arial Narrow" w:hAnsi="Arial Narrow" w:cs="Segoe UI"/>
                <w:i/>
                <w:iCs/>
                <w:sz w:val="20"/>
                <w:szCs w:val="20"/>
                <w:lang w:val="en-GB"/>
              </w:rPr>
              <w:t xml:space="preserve"> </w:t>
            </w:r>
            <w:r w:rsidRPr="00927543">
              <w:rPr>
                <w:rFonts w:ascii="Arial Narrow" w:hAnsi="Arial Narrow" w:cs="Segoe UI"/>
                <w:i/>
                <w:iCs/>
                <w:sz w:val="20"/>
                <w:szCs w:val="20"/>
              </w:rPr>
              <w:t>of the stomach</w:t>
            </w:r>
            <w:r w:rsidRPr="00927543">
              <w:rPr>
                <w:rFonts w:ascii="Arial Narrow" w:hAnsi="Arial Narrow" w:cs="Segoe UI"/>
                <w:sz w:val="20"/>
                <w:szCs w:val="20"/>
                <w:lang w:val="en-GB"/>
              </w:rPr>
              <w:t xml:space="preserve"> </w:t>
            </w:r>
            <w:r w:rsidRPr="00927543">
              <w:rPr>
                <w:rFonts w:ascii="Arial Narrow" w:hAnsi="Arial Narrow" w:cs="Segoe UI"/>
                <w:strike/>
                <w:sz w:val="20"/>
                <w:szCs w:val="20"/>
                <w:lang w:val="en-GB"/>
              </w:rPr>
              <w:t>Gastric</w:t>
            </w:r>
            <w:r w:rsidRPr="00927543">
              <w:rPr>
                <w:rFonts w:ascii="Arial Narrow" w:hAnsi="Arial Narrow" w:cs="Segoe UI"/>
                <w:sz w:val="20"/>
                <w:szCs w:val="20"/>
                <w:lang w:val="en-GB"/>
              </w:rPr>
              <w:t xml:space="preserve"> or gastro-oesophageal junction </w:t>
            </w:r>
            <w:r w:rsidRPr="00927543">
              <w:rPr>
                <w:rFonts w:ascii="Arial Narrow" w:hAnsi="Arial Narrow" w:cs="Segoe UI"/>
                <w:strike/>
                <w:sz w:val="20"/>
                <w:szCs w:val="20"/>
                <w:lang w:val="en-GB"/>
              </w:rPr>
              <w:t>adenocarcinoma</w:t>
            </w:r>
            <w:r w:rsidRPr="00927543">
              <w:rPr>
                <w:rFonts w:ascii="Arial Narrow" w:hAnsi="Arial Narrow" w:cs="Segoe UI"/>
                <w:sz w:val="20"/>
                <w:szCs w:val="20"/>
              </w:rPr>
              <w:t> </w:t>
            </w:r>
          </w:p>
        </w:tc>
      </w:tr>
      <w:tr w:rsidR="00927543" w:rsidRPr="00927543" w14:paraId="24F4B7A3" w14:textId="77777777" w:rsidTr="00650354">
        <w:trPr>
          <w:trHeight w:val="227"/>
        </w:trPr>
        <w:tc>
          <w:tcPr>
            <w:tcW w:w="9017" w:type="dxa"/>
            <w:gridSpan w:val="4"/>
            <w:vAlign w:val="center"/>
            <w:hideMark/>
          </w:tcPr>
          <w:p w14:paraId="3F75CAE0" w14:textId="5F4ECB93" w:rsidR="00927543" w:rsidRPr="00927543" w:rsidRDefault="00927543">
            <w:pPr>
              <w:ind w:left="57"/>
              <w:textAlignment w:val="baseline"/>
              <w:rPr>
                <w:rFonts w:ascii="Arial Narrow" w:hAnsi="Arial Narrow" w:cs="Segoe UI"/>
                <w:sz w:val="20"/>
                <w:szCs w:val="20"/>
                <w:lang w:val="en-GB"/>
              </w:rPr>
            </w:pPr>
            <w:r w:rsidRPr="00927543">
              <w:rPr>
                <w:rFonts w:ascii="Arial Narrow" w:hAnsi="Arial Narrow" w:cs="Segoe UI"/>
                <w:b/>
                <w:bCs/>
                <w:sz w:val="20"/>
                <w:szCs w:val="20"/>
                <w:lang w:val="en-GB"/>
              </w:rPr>
              <w:t>Indication:</w:t>
            </w:r>
            <w:r w:rsidRPr="00927543">
              <w:rPr>
                <w:rFonts w:ascii="Arial Narrow" w:hAnsi="Arial Narrow" w:cs="Segoe UI"/>
                <w:sz w:val="20"/>
                <w:szCs w:val="20"/>
              </w:rPr>
              <w:t> </w:t>
            </w:r>
            <w:r w:rsidR="006B6054" w:rsidRPr="006B6054">
              <w:rPr>
                <w:rFonts w:ascii="Arial Narrow" w:hAnsi="Arial Narrow" w:cs="Segoe UI"/>
                <w:i/>
                <w:iCs/>
                <w:sz w:val="20"/>
                <w:szCs w:val="20"/>
              </w:rPr>
              <w:t>Locally advanced unresectable or</w:t>
            </w:r>
            <w:r w:rsidR="006B6054">
              <w:rPr>
                <w:rFonts w:ascii="Arial Narrow" w:hAnsi="Arial Narrow" w:cs="Segoe UI"/>
                <w:sz w:val="20"/>
                <w:szCs w:val="20"/>
              </w:rPr>
              <w:t xml:space="preserve"> </w:t>
            </w:r>
            <w:r w:rsidR="006B6054">
              <w:rPr>
                <w:rFonts w:ascii="Arial Narrow" w:hAnsi="Arial Narrow" w:cs="Segoe UI"/>
                <w:sz w:val="20"/>
                <w:szCs w:val="20"/>
                <w:lang w:val="en-GB"/>
              </w:rPr>
              <w:t>m</w:t>
            </w:r>
            <w:r w:rsidRPr="00927543">
              <w:rPr>
                <w:rFonts w:ascii="Arial Narrow" w:hAnsi="Arial Narrow" w:cs="Segoe UI"/>
                <w:sz w:val="20"/>
                <w:szCs w:val="20"/>
                <w:lang w:val="en-GB"/>
              </w:rPr>
              <w:t xml:space="preserve">etastatic (Stage IV) HER2 positive </w:t>
            </w:r>
            <w:r w:rsidRPr="00927543">
              <w:rPr>
                <w:rFonts w:ascii="Arial Narrow" w:hAnsi="Arial Narrow" w:cs="Segoe UI"/>
                <w:i/>
                <w:iCs/>
                <w:sz w:val="20"/>
                <w:szCs w:val="20"/>
                <w:lang w:val="en-GB"/>
              </w:rPr>
              <w:t xml:space="preserve">adenocarcinoma </w:t>
            </w:r>
            <w:r w:rsidRPr="00927543">
              <w:rPr>
                <w:rFonts w:ascii="Arial Narrow" w:hAnsi="Arial Narrow" w:cs="Segoe UI"/>
                <w:i/>
                <w:iCs/>
                <w:sz w:val="20"/>
                <w:szCs w:val="20"/>
              </w:rPr>
              <w:t>of the stomach</w:t>
            </w:r>
            <w:r w:rsidRPr="00927543">
              <w:rPr>
                <w:rFonts w:ascii="Arial Narrow" w:hAnsi="Arial Narrow" w:cs="Segoe UI"/>
                <w:sz w:val="20"/>
                <w:szCs w:val="20"/>
                <w:lang w:val="en-GB"/>
              </w:rPr>
              <w:t xml:space="preserve"> </w:t>
            </w:r>
            <w:r w:rsidRPr="00927543">
              <w:rPr>
                <w:rFonts w:ascii="Arial Narrow" w:hAnsi="Arial Narrow" w:cs="Segoe UI"/>
                <w:strike/>
                <w:sz w:val="20"/>
                <w:szCs w:val="20"/>
                <w:lang w:val="en-GB"/>
              </w:rPr>
              <w:t>gastric</w:t>
            </w:r>
            <w:r w:rsidRPr="00927543">
              <w:rPr>
                <w:rFonts w:ascii="Arial Narrow" w:hAnsi="Arial Narrow" w:cs="Segoe UI"/>
                <w:sz w:val="20"/>
                <w:szCs w:val="20"/>
                <w:lang w:val="en-GB"/>
              </w:rPr>
              <w:t xml:space="preserve"> or gastro-oesophageal junction </w:t>
            </w:r>
            <w:r w:rsidRPr="00927543">
              <w:rPr>
                <w:rFonts w:ascii="Arial Narrow" w:hAnsi="Arial Narrow" w:cs="Segoe UI"/>
                <w:strike/>
                <w:sz w:val="20"/>
                <w:szCs w:val="20"/>
                <w:lang w:val="en-GB"/>
              </w:rPr>
              <w:t>adenocarcinoma</w:t>
            </w:r>
            <w:r w:rsidRPr="00927543">
              <w:rPr>
                <w:rFonts w:ascii="Arial Narrow" w:hAnsi="Arial Narrow" w:cs="Segoe UI"/>
                <w:strike/>
                <w:sz w:val="20"/>
                <w:szCs w:val="20"/>
              </w:rPr>
              <w:t> </w:t>
            </w:r>
          </w:p>
        </w:tc>
      </w:tr>
      <w:tr w:rsidR="00927543" w:rsidRPr="00927543" w14:paraId="51C2FB47" w14:textId="77777777" w:rsidTr="00650354">
        <w:trPr>
          <w:trHeight w:val="227"/>
        </w:trPr>
        <w:tc>
          <w:tcPr>
            <w:tcW w:w="9017" w:type="dxa"/>
            <w:gridSpan w:val="4"/>
            <w:vAlign w:val="center"/>
            <w:hideMark/>
          </w:tcPr>
          <w:p w14:paraId="355D278C" w14:textId="77777777" w:rsidR="00927543" w:rsidRPr="00927543" w:rsidRDefault="00927543">
            <w:pPr>
              <w:ind w:left="57"/>
              <w:textAlignment w:val="baseline"/>
              <w:rPr>
                <w:rFonts w:ascii="Arial Narrow" w:hAnsi="Arial Narrow" w:cs="Segoe UI"/>
                <w:strike/>
                <w:sz w:val="20"/>
                <w:szCs w:val="20"/>
              </w:rPr>
            </w:pPr>
            <w:r w:rsidRPr="00927543">
              <w:rPr>
                <w:rFonts w:ascii="Arial Narrow" w:hAnsi="Arial Narrow" w:cs="Segoe UI"/>
                <w:b/>
                <w:bCs/>
                <w:strike/>
                <w:sz w:val="20"/>
                <w:szCs w:val="20"/>
                <w:lang w:val="en-GB"/>
              </w:rPr>
              <w:t>Treatment Phase:</w:t>
            </w:r>
            <w:r w:rsidRPr="00927543">
              <w:rPr>
                <w:rFonts w:ascii="Arial Narrow" w:hAnsi="Arial Narrow" w:cs="Segoe UI"/>
                <w:strike/>
                <w:sz w:val="20"/>
                <w:szCs w:val="20"/>
              </w:rPr>
              <w:t> </w:t>
            </w:r>
            <w:r w:rsidRPr="00927543">
              <w:rPr>
                <w:rFonts w:ascii="Arial Narrow" w:hAnsi="Arial Narrow" w:cs="Segoe UI"/>
                <w:strike/>
                <w:sz w:val="20"/>
                <w:szCs w:val="20"/>
                <w:lang w:val="en-GB"/>
              </w:rPr>
              <w:t>Initial and continuing</w:t>
            </w:r>
            <w:r w:rsidRPr="00927543">
              <w:rPr>
                <w:rFonts w:ascii="Arial Narrow" w:hAnsi="Arial Narrow" w:cs="Segoe UI"/>
                <w:strike/>
                <w:sz w:val="20"/>
                <w:szCs w:val="20"/>
              </w:rPr>
              <w:t> </w:t>
            </w:r>
          </w:p>
        </w:tc>
      </w:tr>
      <w:tr w:rsidR="00927543" w:rsidRPr="00927543" w14:paraId="28B29622" w14:textId="77777777" w:rsidTr="00650354">
        <w:trPr>
          <w:trHeight w:val="227"/>
        </w:trPr>
        <w:tc>
          <w:tcPr>
            <w:tcW w:w="9017" w:type="dxa"/>
            <w:gridSpan w:val="4"/>
          </w:tcPr>
          <w:p w14:paraId="5A090FDE"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927543" w:rsidRPr="00927543" w14:paraId="35D6279D" w14:textId="77777777" w:rsidTr="00650354">
        <w:trPr>
          <w:trHeight w:val="227"/>
        </w:trPr>
        <w:tc>
          <w:tcPr>
            <w:tcW w:w="9017" w:type="dxa"/>
            <w:gridSpan w:val="4"/>
          </w:tcPr>
          <w:p w14:paraId="51C2B63D" w14:textId="77777777" w:rsidR="00927543" w:rsidRPr="00927543" w:rsidRDefault="00927543">
            <w:pPr>
              <w:ind w:left="57"/>
              <w:textAlignment w:val="baseline"/>
              <w:rPr>
                <w:rFonts w:ascii="Arial Narrow" w:hAnsi="Arial Narrow" w:cs="Segoe UI"/>
                <w:sz w:val="20"/>
                <w:szCs w:val="20"/>
              </w:rPr>
            </w:pPr>
            <w:proofErr w:type="gramStart"/>
            <w:r w:rsidRPr="00927543">
              <w:rPr>
                <w:rFonts w:ascii="Arial Narrow" w:hAnsi="Arial Narrow" w:cs="Segoe UI"/>
                <w:sz w:val="20"/>
                <w:szCs w:val="20"/>
                <w:lang w:val="en-US"/>
              </w:rPr>
              <w:t>Patient</w:t>
            </w:r>
            <w:proofErr w:type="gramEnd"/>
            <w:r w:rsidRPr="00927543">
              <w:rPr>
                <w:rFonts w:ascii="Arial Narrow" w:hAnsi="Arial Narrow" w:cs="Segoe UI"/>
                <w:sz w:val="20"/>
                <w:szCs w:val="20"/>
                <w:lang w:val="en-US"/>
              </w:rPr>
              <w:t xml:space="preserve"> must have evidence of human epidermal growth factor 2 (HER2) gene amplification</w:t>
            </w:r>
          </w:p>
        </w:tc>
      </w:tr>
      <w:tr w:rsidR="00927543" w:rsidRPr="00927543" w14:paraId="3C705708" w14:textId="77777777" w:rsidTr="00650354">
        <w:trPr>
          <w:trHeight w:val="227"/>
        </w:trPr>
        <w:tc>
          <w:tcPr>
            <w:tcW w:w="9017" w:type="dxa"/>
            <w:gridSpan w:val="4"/>
          </w:tcPr>
          <w:p w14:paraId="563EA5ED"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US"/>
              </w:rPr>
              <w:t>AND</w:t>
            </w:r>
          </w:p>
        </w:tc>
      </w:tr>
      <w:tr w:rsidR="00927543" w:rsidRPr="00927543" w14:paraId="760C1C2F" w14:textId="77777777" w:rsidTr="00650354">
        <w:trPr>
          <w:trHeight w:val="227"/>
        </w:trPr>
        <w:tc>
          <w:tcPr>
            <w:tcW w:w="9017" w:type="dxa"/>
            <w:gridSpan w:val="4"/>
          </w:tcPr>
          <w:p w14:paraId="4F0E6381"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927543" w:rsidRPr="00927543" w14:paraId="0261AE3D" w14:textId="77777777" w:rsidTr="00650354">
        <w:trPr>
          <w:trHeight w:val="227"/>
        </w:trPr>
        <w:tc>
          <w:tcPr>
            <w:tcW w:w="9017" w:type="dxa"/>
            <w:gridSpan w:val="4"/>
          </w:tcPr>
          <w:p w14:paraId="6D918329"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lang w:val="en-US"/>
              </w:rPr>
              <w:t xml:space="preserve">The condition must have progressed following treatment with </w:t>
            </w:r>
            <w:r w:rsidRPr="00927543">
              <w:rPr>
                <w:rFonts w:ascii="Arial Narrow" w:hAnsi="Arial Narrow" w:cs="Segoe UI"/>
                <w:i/>
                <w:iCs/>
                <w:sz w:val="20"/>
                <w:szCs w:val="20"/>
                <w:lang w:val="en-US"/>
              </w:rPr>
              <w:t>a</w:t>
            </w:r>
            <w:proofErr w:type="spellStart"/>
            <w:r w:rsidRPr="00927543">
              <w:rPr>
                <w:rFonts w:ascii="Arial Narrow" w:hAnsi="Arial Narrow" w:cs="Segoe UI"/>
                <w:i/>
                <w:iCs/>
                <w:sz w:val="20"/>
                <w:szCs w:val="20"/>
              </w:rPr>
              <w:t>t</w:t>
            </w:r>
            <w:proofErr w:type="spellEnd"/>
            <w:r w:rsidRPr="00927543">
              <w:rPr>
                <w:rFonts w:ascii="Arial Narrow" w:hAnsi="Arial Narrow" w:cs="Segoe UI"/>
                <w:i/>
                <w:iCs/>
                <w:sz w:val="20"/>
                <w:szCs w:val="20"/>
              </w:rPr>
              <w:t xml:space="preserve"> least one prior</w:t>
            </w:r>
            <w:r w:rsidRPr="00927543">
              <w:rPr>
                <w:rFonts w:ascii="Arial Narrow" w:hAnsi="Arial Narrow" w:cs="Segoe UI"/>
                <w:sz w:val="20"/>
                <w:szCs w:val="20"/>
              </w:rPr>
              <w:t xml:space="preserve"> </w:t>
            </w:r>
            <w:r w:rsidRPr="00927543">
              <w:rPr>
                <w:rFonts w:ascii="Arial Narrow" w:hAnsi="Arial Narrow" w:cs="Segoe UI"/>
                <w:strike/>
                <w:sz w:val="20"/>
                <w:szCs w:val="20"/>
                <w:lang w:val="en-US"/>
              </w:rPr>
              <w:t xml:space="preserve">a </w:t>
            </w:r>
            <w:r w:rsidRPr="00927543">
              <w:rPr>
                <w:rFonts w:ascii="Arial Narrow" w:hAnsi="Arial Narrow" w:cs="Segoe UI"/>
                <w:sz w:val="20"/>
                <w:szCs w:val="20"/>
                <w:lang w:val="en-US"/>
              </w:rPr>
              <w:t xml:space="preserve">trastuzumab-containing regimen for metastatic </w:t>
            </w:r>
            <w:r w:rsidRPr="00927543">
              <w:rPr>
                <w:rFonts w:ascii="Arial Narrow" w:hAnsi="Arial Narrow" w:cs="Segoe UI"/>
                <w:i/>
                <w:iCs/>
                <w:sz w:val="20"/>
                <w:szCs w:val="20"/>
              </w:rPr>
              <w:t>adenocarcinoma of the stomach</w:t>
            </w:r>
            <w:r w:rsidRPr="00927543">
              <w:rPr>
                <w:rFonts w:ascii="Arial Narrow" w:hAnsi="Arial Narrow" w:cs="Segoe UI"/>
                <w:sz w:val="20"/>
                <w:szCs w:val="20"/>
                <w:lang w:val="en-US"/>
              </w:rPr>
              <w:t xml:space="preserve"> </w:t>
            </w:r>
            <w:r w:rsidRPr="00927543">
              <w:rPr>
                <w:rFonts w:ascii="Arial Narrow" w:hAnsi="Arial Narrow" w:cs="Segoe UI"/>
                <w:strike/>
                <w:sz w:val="20"/>
                <w:szCs w:val="20"/>
                <w:lang w:val="en-US"/>
              </w:rPr>
              <w:t>gastric</w:t>
            </w:r>
            <w:r w:rsidRPr="00927543">
              <w:rPr>
                <w:rFonts w:ascii="Arial Narrow" w:hAnsi="Arial Narrow" w:cs="Segoe UI"/>
                <w:sz w:val="20"/>
                <w:szCs w:val="20"/>
                <w:lang w:val="en-US"/>
              </w:rPr>
              <w:t xml:space="preserve"> or gastro-</w:t>
            </w:r>
            <w:proofErr w:type="spellStart"/>
            <w:r w:rsidRPr="00927543">
              <w:rPr>
                <w:rFonts w:ascii="Arial Narrow" w:hAnsi="Arial Narrow" w:cs="Segoe UI"/>
                <w:sz w:val="20"/>
                <w:szCs w:val="20"/>
                <w:lang w:val="en-US"/>
              </w:rPr>
              <w:t>oesophageal</w:t>
            </w:r>
            <w:proofErr w:type="spellEnd"/>
            <w:r w:rsidRPr="00927543">
              <w:rPr>
                <w:rFonts w:ascii="Arial Narrow" w:hAnsi="Arial Narrow" w:cs="Segoe UI"/>
                <w:sz w:val="20"/>
                <w:szCs w:val="20"/>
                <w:lang w:val="en-US"/>
              </w:rPr>
              <w:t xml:space="preserve"> junction </w:t>
            </w:r>
            <w:r w:rsidRPr="00927543">
              <w:rPr>
                <w:rFonts w:ascii="Arial Narrow" w:hAnsi="Arial Narrow" w:cs="Segoe UI"/>
                <w:strike/>
                <w:sz w:val="20"/>
                <w:szCs w:val="20"/>
                <w:lang w:val="en-US"/>
              </w:rPr>
              <w:t>adenocarcinoma </w:t>
            </w:r>
            <w:r w:rsidRPr="00927543">
              <w:rPr>
                <w:rFonts w:ascii="Arial Narrow" w:hAnsi="Arial Narrow" w:cs="Segoe UI"/>
                <w:strike/>
                <w:sz w:val="20"/>
                <w:szCs w:val="20"/>
              </w:rPr>
              <w:t> </w:t>
            </w:r>
          </w:p>
        </w:tc>
      </w:tr>
      <w:tr w:rsidR="00927543" w:rsidRPr="00927543" w14:paraId="6C0B656F" w14:textId="77777777" w:rsidTr="00650354">
        <w:trPr>
          <w:trHeight w:val="227"/>
        </w:trPr>
        <w:tc>
          <w:tcPr>
            <w:tcW w:w="9017" w:type="dxa"/>
            <w:gridSpan w:val="4"/>
          </w:tcPr>
          <w:p w14:paraId="7F39EB78"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US"/>
              </w:rPr>
              <w:lastRenderedPageBreak/>
              <w:t>AND</w:t>
            </w:r>
            <w:r w:rsidRPr="00927543">
              <w:rPr>
                <w:rFonts w:ascii="Arial Narrow" w:hAnsi="Arial Narrow" w:cs="Segoe UI"/>
                <w:sz w:val="20"/>
                <w:szCs w:val="20"/>
              </w:rPr>
              <w:t> </w:t>
            </w:r>
          </w:p>
        </w:tc>
      </w:tr>
      <w:tr w:rsidR="00927543" w:rsidRPr="00927543" w14:paraId="7A172823" w14:textId="77777777" w:rsidTr="00650354">
        <w:trPr>
          <w:trHeight w:val="227"/>
        </w:trPr>
        <w:tc>
          <w:tcPr>
            <w:tcW w:w="9017" w:type="dxa"/>
            <w:gridSpan w:val="4"/>
          </w:tcPr>
          <w:p w14:paraId="720D0F76" w14:textId="77777777" w:rsidR="00927543" w:rsidRPr="00927543" w:rsidRDefault="00927543">
            <w:pPr>
              <w:ind w:left="57"/>
              <w:textAlignment w:val="baseline"/>
              <w:rPr>
                <w:rFonts w:ascii="Arial Narrow" w:hAnsi="Arial Narrow" w:cs="Segoe UI"/>
                <w:sz w:val="20"/>
                <w:szCs w:val="20"/>
                <w:lang w:val="en-US"/>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927543" w:rsidRPr="00927543" w14:paraId="433D363F" w14:textId="77777777" w:rsidTr="00650354">
        <w:trPr>
          <w:trHeight w:val="227"/>
        </w:trPr>
        <w:tc>
          <w:tcPr>
            <w:tcW w:w="9017" w:type="dxa"/>
            <w:gridSpan w:val="4"/>
          </w:tcPr>
          <w:p w14:paraId="6FDB1839"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lang w:val="en-US"/>
              </w:rPr>
              <w:t xml:space="preserve">Patient </w:t>
            </w:r>
            <w:proofErr w:type="gramStart"/>
            <w:r w:rsidRPr="00927543">
              <w:rPr>
                <w:rFonts w:ascii="Arial Narrow" w:hAnsi="Arial Narrow" w:cs="Segoe UI"/>
                <w:sz w:val="20"/>
                <w:szCs w:val="20"/>
                <w:lang w:val="en-US"/>
              </w:rPr>
              <w:t>must have,</w:t>
            </w:r>
            <w:proofErr w:type="gramEnd"/>
            <w:r w:rsidRPr="00927543">
              <w:rPr>
                <w:rFonts w:ascii="Arial Narrow" w:hAnsi="Arial Narrow" w:cs="Segoe UI"/>
                <w:sz w:val="20"/>
                <w:szCs w:val="20"/>
                <w:lang w:val="en-US"/>
              </w:rPr>
              <w:t xml:space="preserve"> at the time of initiating treatment with this drug, a WHO performance status no higher than 1</w:t>
            </w:r>
          </w:p>
        </w:tc>
      </w:tr>
      <w:tr w:rsidR="00927543" w:rsidRPr="00927543" w14:paraId="43DC73AA" w14:textId="77777777" w:rsidTr="00650354">
        <w:trPr>
          <w:trHeight w:val="227"/>
        </w:trPr>
        <w:tc>
          <w:tcPr>
            <w:tcW w:w="9017" w:type="dxa"/>
            <w:gridSpan w:val="4"/>
          </w:tcPr>
          <w:p w14:paraId="07B4F30A" w14:textId="77777777" w:rsidR="00927543" w:rsidRPr="00927543" w:rsidRDefault="00927543">
            <w:pPr>
              <w:ind w:left="57"/>
              <w:textAlignment w:val="baseline"/>
              <w:rPr>
                <w:rFonts w:ascii="Arial Narrow" w:hAnsi="Arial Narrow" w:cs="Segoe UI"/>
                <w:b/>
                <w:bCs/>
                <w:sz w:val="20"/>
                <w:szCs w:val="20"/>
                <w:lang w:val="en-GB"/>
              </w:rPr>
            </w:pPr>
            <w:r w:rsidRPr="00927543">
              <w:rPr>
                <w:rFonts w:ascii="Arial Narrow" w:hAnsi="Arial Narrow" w:cs="Segoe UI"/>
                <w:b/>
                <w:bCs/>
                <w:sz w:val="20"/>
                <w:szCs w:val="20"/>
                <w:lang w:val="en-US"/>
              </w:rPr>
              <w:t>AND</w:t>
            </w:r>
            <w:r w:rsidRPr="00927543">
              <w:rPr>
                <w:rFonts w:ascii="Arial Narrow" w:hAnsi="Arial Narrow" w:cs="Segoe UI"/>
                <w:sz w:val="20"/>
                <w:szCs w:val="20"/>
              </w:rPr>
              <w:t> </w:t>
            </w:r>
          </w:p>
        </w:tc>
      </w:tr>
      <w:tr w:rsidR="00927543" w:rsidRPr="00927543" w14:paraId="42528CC9" w14:textId="77777777" w:rsidTr="00650354">
        <w:trPr>
          <w:trHeight w:val="227"/>
        </w:trPr>
        <w:tc>
          <w:tcPr>
            <w:tcW w:w="9017" w:type="dxa"/>
            <w:gridSpan w:val="4"/>
          </w:tcPr>
          <w:p w14:paraId="7F538642" w14:textId="77777777" w:rsidR="00927543" w:rsidRPr="00927543" w:rsidRDefault="00927543">
            <w:pPr>
              <w:ind w:left="57"/>
              <w:textAlignment w:val="baseline"/>
              <w:rPr>
                <w:rFonts w:ascii="Arial Narrow" w:hAnsi="Arial Narrow" w:cs="Segoe UI"/>
                <w:b/>
                <w:bCs/>
                <w:sz w:val="20"/>
                <w:szCs w:val="20"/>
                <w:lang w:val="en-US"/>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927543" w:rsidRPr="00927543" w14:paraId="48B7E1F1" w14:textId="77777777" w:rsidTr="00650354">
        <w:trPr>
          <w:trHeight w:val="227"/>
        </w:trPr>
        <w:tc>
          <w:tcPr>
            <w:tcW w:w="9017" w:type="dxa"/>
            <w:gridSpan w:val="4"/>
          </w:tcPr>
          <w:p w14:paraId="511C60BC"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lang w:val="en-US"/>
              </w:rPr>
              <w:t>The treatment must be the sole PBS-</w:t>
            </w:r>
            <w:proofErr w:type="spellStart"/>
            <w:r w:rsidRPr="00927543">
              <w:rPr>
                <w:rFonts w:ascii="Arial Narrow" w:hAnsi="Arial Narrow" w:cs="Segoe UI"/>
                <w:sz w:val="20"/>
                <w:szCs w:val="20"/>
                <w:lang w:val="en-US"/>
              </w:rPr>
              <w:t>subsidised</w:t>
            </w:r>
            <w:proofErr w:type="spellEnd"/>
            <w:r w:rsidRPr="00927543">
              <w:rPr>
                <w:rFonts w:ascii="Arial Narrow" w:hAnsi="Arial Narrow" w:cs="Segoe UI"/>
                <w:sz w:val="20"/>
                <w:szCs w:val="20"/>
                <w:lang w:val="en-US"/>
              </w:rPr>
              <w:t xml:space="preserve"> </w:t>
            </w:r>
            <w:r w:rsidRPr="00927543">
              <w:rPr>
                <w:rFonts w:ascii="Arial Narrow" w:hAnsi="Arial Narrow" w:cs="Segoe UI"/>
                <w:i/>
                <w:iCs/>
                <w:sz w:val="20"/>
                <w:szCs w:val="20"/>
              </w:rPr>
              <w:t>systemic anti-cancer</w:t>
            </w:r>
            <w:r w:rsidRPr="00927543">
              <w:rPr>
                <w:rFonts w:ascii="Arial Narrow" w:hAnsi="Arial Narrow" w:cs="Segoe UI"/>
                <w:sz w:val="20"/>
                <w:szCs w:val="20"/>
              </w:rPr>
              <w:t> </w:t>
            </w:r>
            <w:r w:rsidRPr="00927543">
              <w:rPr>
                <w:rFonts w:ascii="Arial Narrow" w:hAnsi="Arial Narrow" w:cs="Segoe UI"/>
                <w:sz w:val="20"/>
                <w:szCs w:val="20"/>
                <w:lang w:val="en-US"/>
              </w:rPr>
              <w:t>therapy for this PBS indication </w:t>
            </w:r>
            <w:r w:rsidRPr="00927543">
              <w:rPr>
                <w:rFonts w:ascii="Arial Narrow" w:hAnsi="Arial Narrow" w:cs="Segoe UI"/>
                <w:sz w:val="20"/>
                <w:szCs w:val="20"/>
              </w:rPr>
              <w:t> </w:t>
            </w:r>
          </w:p>
        </w:tc>
      </w:tr>
      <w:tr w:rsidR="00927543" w:rsidRPr="00927543" w14:paraId="07B786EF" w14:textId="77777777" w:rsidTr="00650354">
        <w:trPr>
          <w:trHeight w:val="227"/>
        </w:trPr>
        <w:tc>
          <w:tcPr>
            <w:tcW w:w="9017" w:type="dxa"/>
            <w:gridSpan w:val="4"/>
          </w:tcPr>
          <w:p w14:paraId="76D5EB79"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US"/>
              </w:rPr>
              <w:t>AND</w:t>
            </w:r>
            <w:r w:rsidRPr="00927543">
              <w:rPr>
                <w:rFonts w:ascii="Arial Narrow" w:hAnsi="Arial Narrow" w:cs="Segoe UI"/>
                <w:sz w:val="20"/>
                <w:szCs w:val="20"/>
              </w:rPr>
              <w:t> </w:t>
            </w:r>
          </w:p>
        </w:tc>
      </w:tr>
      <w:tr w:rsidR="00927543" w:rsidRPr="00927543" w14:paraId="3869E904" w14:textId="77777777" w:rsidTr="00650354">
        <w:trPr>
          <w:trHeight w:val="227"/>
        </w:trPr>
        <w:tc>
          <w:tcPr>
            <w:tcW w:w="9017" w:type="dxa"/>
            <w:gridSpan w:val="4"/>
          </w:tcPr>
          <w:p w14:paraId="350914A6"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927543" w:rsidRPr="00927543" w14:paraId="513AC124" w14:textId="77777777" w:rsidTr="00650354">
        <w:trPr>
          <w:trHeight w:val="227"/>
        </w:trPr>
        <w:tc>
          <w:tcPr>
            <w:tcW w:w="9017" w:type="dxa"/>
            <w:gridSpan w:val="4"/>
          </w:tcPr>
          <w:p w14:paraId="3EB8C3C2"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rPr>
              <w:t>The treatment must not be prescribed where any of the following is present: (</w:t>
            </w:r>
            <w:proofErr w:type="spellStart"/>
            <w:r w:rsidRPr="00927543">
              <w:rPr>
                <w:rFonts w:ascii="Arial Narrow" w:hAnsi="Arial Narrow" w:cs="Segoe UI"/>
                <w:sz w:val="20"/>
                <w:szCs w:val="20"/>
              </w:rPr>
              <w:t>i</w:t>
            </w:r>
            <w:proofErr w:type="spellEnd"/>
            <w:r w:rsidRPr="00927543">
              <w:rPr>
                <w:rFonts w:ascii="Arial Narrow" w:hAnsi="Arial Narrow" w:cs="Segoe UI"/>
                <w:sz w:val="20"/>
                <w:szCs w:val="20"/>
              </w:rPr>
              <w:t>) left ventricular ejection fraction of less than 50% (ii) symptomatic heart failure; confirm cardiac function testing for the first prescription only </w:t>
            </w:r>
          </w:p>
        </w:tc>
      </w:tr>
      <w:tr w:rsidR="00927543" w:rsidRPr="00927543" w14:paraId="3D083E4D" w14:textId="77777777" w:rsidTr="00650354">
        <w:trPr>
          <w:trHeight w:val="227"/>
        </w:trPr>
        <w:tc>
          <w:tcPr>
            <w:tcW w:w="9017" w:type="dxa"/>
            <w:gridSpan w:val="4"/>
          </w:tcPr>
          <w:p w14:paraId="4F9FB5A4"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Treatment criteria:</w:t>
            </w:r>
            <w:r w:rsidRPr="00927543">
              <w:rPr>
                <w:rFonts w:ascii="Arial Narrow" w:hAnsi="Arial Narrow" w:cs="Segoe UI"/>
                <w:sz w:val="20"/>
                <w:szCs w:val="20"/>
              </w:rPr>
              <w:t> </w:t>
            </w:r>
          </w:p>
        </w:tc>
      </w:tr>
      <w:tr w:rsidR="00927543" w:rsidRPr="00927543" w14:paraId="6CFD26AD" w14:textId="77777777" w:rsidTr="00650354">
        <w:trPr>
          <w:trHeight w:val="227"/>
        </w:trPr>
        <w:tc>
          <w:tcPr>
            <w:tcW w:w="9017" w:type="dxa"/>
            <w:gridSpan w:val="4"/>
          </w:tcPr>
          <w:p w14:paraId="56AAAEB4"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rPr>
              <w:t>Patient must be undergoing initial treatment with this drug – the following is true: (</w:t>
            </w:r>
            <w:proofErr w:type="spellStart"/>
            <w:r w:rsidRPr="00927543">
              <w:rPr>
                <w:rFonts w:ascii="Arial Narrow" w:hAnsi="Arial Narrow" w:cs="Segoe UI"/>
                <w:sz w:val="20"/>
                <w:szCs w:val="20"/>
              </w:rPr>
              <w:t>i</w:t>
            </w:r>
            <w:proofErr w:type="spellEnd"/>
            <w:r w:rsidRPr="00927543">
              <w:rPr>
                <w:rFonts w:ascii="Arial Narrow" w:hAnsi="Arial Narrow" w:cs="Segoe UI"/>
                <w:sz w:val="20"/>
                <w:szCs w:val="20"/>
              </w:rPr>
              <w:t>) this is the first prescription for this drug, (ii) this prescription seeks no more than 3 repeats prescriptions; or   </w:t>
            </w:r>
          </w:p>
        </w:tc>
      </w:tr>
      <w:tr w:rsidR="00927543" w:rsidRPr="00927543" w14:paraId="4AEEEC51" w14:textId="77777777" w:rsidTr="00650354">
        <w:trPr>
          <w:trHeight w:val="227"/>
        </w:trPr>
        <w:tc>
          <w:tcPr>
            <w:tcW w:w="9017" w:type="dxa"/>
            <w:gridSpan w:val="4"/>
          </w:tcPr>
          <w:p w14:paraId="0E96D17A"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rPr>
              <w:t>Patients must be undergoing continuing treatment with this drug – the following are true (</w:t>
            </w:r>
            <w:proofErr w:type="spellStart"/>
            <w:r w:rsidRPr="00927543">
              <w:rPr>
                <w:rFonts w:ascii="Arial Narrow" w:hAnsi="Arial Narrow" w:cs="Segoe UI"/>
                <w:sz w:val="20"/>
                <w:szCs w:val="20"/>
              </w:rPr>
              <w:t>i</w:t>
            </w:r>
            <w:proofErr w:type="spellEnd"/>
            <w:r w:rsidRPr="00927543">
              <w:rPr>
                <w:rFonts w:ascii="Arial Narrow" w:hAnsi="Arial Narrow" w:cs="Segoe UI"/>
                <w:sz w:val="20"/>
                <w:szCs w:val="20"/>
              </w:rPr>
              <w:t>) there has been an absence of disease progression whilst on active treatment with this drug (ii) this prescription does not seek to re-treat after disease progression, (iii) this prescription seeks no more than 8 repeat prescriptions </w:t>
            </w:r>
          </w:p>
        </w:tc>
      </w:tr>
      <w:tr w:rsidR="00927543" w:rsidRPr="00927543" w14:paraId="489EB04B" w14:textId="77777777" w:rsidTr="00650354">
        <w:trPr>
          <w:trHeight w:val="227"/>
        </w:trPr>
        <w:tc>
          <w:tcPr>
            <w:tcW w:w="9017" w:type="dxa"/>
            <w:gridSpan w:val="4"/>
            <w:hideMark/>
          </w:tcPr>
          <w:p w14:paraId="786961E7"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lang w:val="en-GB"/>
              </w:rPr>
              <w:t>Prescribing Instructions:</w:t>
            </w:r>
            <w:r w:rsidRPr="00927543">
              <w:rPr>
                <w:rFonts w:ascii="Arial Narrow" w:hAnsi="Arial Narrow" w:cs="Segoe UI"/>
                <w:sz w:val="20"/>
                <w:szCs w:val="20"/>
              </w:rPr>
              <w:t> </w:t>
            </w:r>
          </w:p>
          <w:p w14:paraId="7DDDE11C" w14:textId="77777777" w:rsidR="00927543" w:rsidRPr="00F85BE4" w:rsidRDefault="00927543">
            <w:pPr>
              <w:ind w:left="57"/>
              <w:textAlignment w:val="baseline"/>
              <w:rPr>
                <w:rFonts w:ascii="Arial Narrow" w:hAnsi="Arial Narrow" w:cs="Segoe UI"/>
                <w:sz w:val="20"/>
                <w:szCs w:val="20"/>
              </w:rPr>
            </w:pPr>
            <w:r w:rsidRPr="00927543">
              <w:rPr>
                <w:rFonts w:ascii="Arial Narrow" w:hAnsi="Arial Narrow" w:cs="Segoe UI"/>
                <w:sz w:val="20"/>
                <w:szCs w:val="20"/>
              </w:rPr>
              <w:t xml:space="preserve">Confirm that the following information is documented/retained in the patient's medical records once only with the first PBS </w:t>
            </w:r>
            <w:r w:rsidRPr="00F85BE4">
              <w:rPr>
                <w:rFonts w:ascii="Arial Narrow" w:hAnsi="Arial Narrow" w:cs="Segoe UI"/>
                <w:sz w:val="20"/>
                <w:szCs w:val="20"/>
              </w:rPr>
              <w:t>prescription:</w:t>
            </w:r>
          </w:p>
          <w:p w14:paraId="4411FBAA" w14:textId="3264898B" w:rsidR="00927543" w:rsidRPr="00927543" w:rsidRDefault="00927543">
            <w:pPr>
              <w:ind w:left="57"/>
              <w:textAlignment w:val="baseline"/>
              <w:rPr>
                <w:rFonts w:ascii="Arial Narrow" w:hAnsi="Arial Narrow" w:cs="Segoe UI"/>
                <w:sz w:val="20"/>
                <w:szCs w:val="20"/>
              </w:rPr>
            </w:pPr>
            <w:r w:rsidRPr="00F85BE4">
              <w:rPr>
                <w:rFonts w:ascii="Arial Narrow" w:hAnsi="Arial Narrow" w:cs="Segoe UI"/>
                <w:sz w:val="20"/>
                <w:szCs w:val="20"/>
              </w:rPr>
              <w:t xml:space="preserve">1) </w:t>
            </w:r>
            <w:r w:rsidRPr="00F85BE4">
              <w:rPr>
                <w:rFonts w:ascii="Arial Narrow" w:hAnsi="Arial Narrow" w:cs="Segoe UI"/>
                <w:i/>
                <w:iCs/>
                <w:sz w:val="20"/>
                <w:szCs w:val="20"/>
              </w:rPr>
              <w:t xml:space="preserve">Confirmation </w:t>
            </w:r>
            <w:r w:rsidRPr="00F85BE4">
              <w:rPr>
                <w:rFonts w:ascii="Arial Narrow" w:hAnsi="Arial Narrow" w:cs="Segoe UI"/>
                <w:strike/>
                <w:sz w:val="20"/>
                <w:szCs w:val="20"/>
              </w:rPr>
              <w:t>Evidence</w:t>
            </w:r>
            <w:r w:rsidRPr="00927543">
              <w:rPr>
                <w:rFonts w:ascii="Arial Narrow" w:hAnsi="Arial Narrow" w:cs="Segoe UI"/>
                <w:sz w:val="20"/>
                <w:szCs w:val="20"/>
              </w:rPr>
              <w:t xml:space="preserve"> of HER2 gene amplification (evidence obtained in relation to past PBS treatment is acceptable).</w:t>
            </w:r>
          </w:p>
          <w:p w14:paraId="00F0726B"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sz w:val="20"/>
                <w:szCs w:val="20"/>
              </w:rPr>
              <w:t>2) Details of prior HER2 directed drug regimens prescribed for the patient.</w:t>
            </w:r>
          </w:p>
          <w:p w14:paraId="04D3B3A0" w14:textId="19607E77" w:rsidR="00927543" w:rsidRPr="00927543" w:rsidRDefault="00927543" w:rsidP="00700D89">
            <w:pPr>
              <w:ind w:left="57"/>
              <w:textAlignment w:val="baseline"/>
              <w:rPr>
                <w:rFonts w:ascii="Arial Narrow" w:hAnsi="Arial Narrow" w:cs="Segoe UI"/>
                <w:sz w:val="20"/>
                <w:szCs w:val="20"/>
              </w:rPr>
            </w:pPr>
            <w:r w:rsidRPr="00927543">
              <w:rPr>
                <w:rFonts w:ascii="Arial Narrow" w:hAnsi="Arial Narrow" w:cs="Segoe UI"/>
                <w:sz w:val="20"/>
                <w:szCs w:val="20"/>
              </w:rPr>
              <w:t>3) Cardiac function test results (evidence obtained in relation to past PBS treatment is acceptable).</w:t>
            </w:r>
          </w:p>
        </w:tc>
      </w:tr>
      <w:tr w:rsidR="00927543" w:rsidRPr="00927543" w14:paraId="7E44778E" w14:textId="77777777" w:rsidTr="00650354">
        <w:trPr>
          <w:trHeight w:val="227"/>
        </w:trPr>
        <w:tc>
          <w:tcPr>
            <w:tcW w:w="9017" w:type="dxa"/>
            <w:gridSpan w:val="4"/>
          </w:tcPr>
          <w:p w14:paraId="53AA7EE2" w14:textId="77777777" w:rsidR="00927543" w:rsidRPr="00927543" w:rsidRDefault="00927543">
            <w:pPr>
              <w:ind w:left="57"/>
              <w:textAlignment w:val="baseline"/>
              <w:rPr>
                <w:rFonts w:ascii="Arial Narrow" w:hAnsi="Arial Narrow" w:cs="Segoe UI"/>
                <w:sz w:val="20"/>
                <w:szCs w:val="20"/>
              </w:rPr>
            </w:pPr>
            <w:r w:rsidRPr="00927543">
              <w:rPr>
                <w:rFonts w:ascii="Arial Narrow" w:hAnsi="Arial Narrow" w:cs="Segoe UI"/>
                <w:b/>
                <w:bCs/>
                <w:sz w:val="20"/>
                <w:szCs w:val="20"/>
              </w:rPr>
              <w:t>Prescribing Instructions:</w:t>
            </w:r>
          </w:p>
          <w:p w14:paraId="4ED28BA7" w14:textId="65A8A278" w:rsidR="00927543" w:rsidRPr="00927543" w:rsidRDefault="00927543">
            <w:pPr>
              <w:ind w:left="57"/>
              <w:textAlignment w:val="baseline"/>
              <w:rPr>
                <w:rFonts w:ascii="Arial Narrow" w:hAnsi="Arial Narrow" w:cs="Segoe UI"/>
                <w:b/>
                <w:bCs/>
                <w:sz w:val="20"/>
                <w:szCs w:val="20"/>
                <w:lang w:val="en-GB"/>
              </w:rPr>
            </w:pPr>
            <w:r w:rsidRPr="00927543">
              <w:rPr>
                <w:rFonts w:ascii="Arial Narrow" w:hAnsi="Arial Narrow" w:cs="Segoe UI"/>
                <w:sz w:val="20"/>
                <w:szCs w:val="20"/>
              </w:rPr>
              <w:t>Increased maximum amounts may only be authorised where a patient’s weight is greater than 1</w:t>
            </w:r>
            <w:r w:rsidR="00665E71">
              <w:rPr>
                <w:rFonts w:ascii="Arial Narrow" w:hAnsi="Arial Narrow" w:cs="Segoe UI"/>
                <w:sz w:val="20"/>
                <w:szCs w:val="20"/>
              </w:rPr>
              <w:t>25</w:t>
            </w:r>
            <w:r w:rsidRPr="00927543">
              <w:rPr>
                <w:rFonts w:ascii="Arial Narrow" w:hAnsi="Arial Narrow" w:cs="Segoe UI"/>
                <w:sz w:val="20"/>
                <w:szCs w:val="20"/>
              </w:rPr>
              <w:t xml:space="preserve"> kg </w:t>
            </w:r>
          </w:p>
        </w:tc>
      </w:tr>
    </w:tbl>
    <w:p w14:paraId="509BFB12" w14:textId="77777777" w:rsidR="001D6007" w:rsidRDefault="001D6007" w:rsidP="00BF711F">
      <w:pPr>
        <w:pStyle w:val="TableFigureHeading"/>
        <w:rPr>
          <w:rStyle w:val="CommentReference"/>
          <w:b/>
          <w:bCs w:val="0"/>
          <w:szCs w:val="24"/>
        </w:rPr>
      </w:pPr>
    </w:p>
    <w:p w14:paraId="3155C661" w14:textId="0D3BD640" w:rsidR="00BF711F" w:rsidRPr="000B4F3B" w:rsidRDefault="00BF711F" w:rsidP="00650354">
      <w:pPr>
        <w:pStyle w:val="3-BodyText"/>
        <w:spacing w:before="0"/>
      </w:pPr>
      <w:r w:rsidRPr="000B4F3B">
        <w:t>The recommended T-</w:t>
      </w:r>
      <w:proofErr w:type="spellStart"/>
      <w:r w:rsidRPr="000B4F3B">
        <w:t>DXd</w:t>
      </w:r>
      <w:proofErr w:type="spellEnd"/>
      <w:r w:rsidRPr="000B4F3B">
        <w:t xml:space="preserve"> dose in G/GOJ adenocarcinoma is 6.4 mg/kg IV administered every 3 weeks (Q3W), until disease progression or unacceptable toxicity. </w:t>
      </w:r>
      <w:r w:rsidR="00AF73D5">
        <w:t xml:space="preserve">The proposed max amount </w:t>
      </w:r>
      <w:r w:rsidR="00F13737">
        <w:t xml:space="preserve">of 700 mg </w:t>
      </w:r>
      <w:r w:rsidR="00AF73D5">
        <w:t xml:space="preserve">would allow for treatment of patients up to </w:t>
      </w:r>
      <w:r w:rsidR="00650354">
        <w:t>110 </w:t>
      </w:r>
      <w:proofErr w:type="gramStart"/>
      <w:r w:rsidR="00A8082A">
        <w:t>kg,</w:t>
      </w:r>
      <w:proofErr w:type="gramEnd"/>
      <w:r w:rsidR="00A8082A">
        <w:t xml:space="preserve"> however an additional vial would be required for patients weighing more than </w:t>
      </w:r>
      <w:r w:rsidR="00650354">
        <w:t>110 </w:t>
      </w:r>
      <w:r w:rsidR="00A8082A">
        <w:t xml:space="preserve">kg. </w:t>
      </w:r>
      <w:r w:rsidR="006A4323">
        <w:t xml:space="preserve">The </w:t>
      </w:r>
      <w:r w:rsidR="00605EE8">
        <w:t>PBAC considered it would be appropriate</w:t>
      </w:r>
      <w:r w:rsidR="006A4323">
        <w:t xml:space="preserve"> for the maximum amount to be increased to </w:t>
      </w:r>
      <w:r w:rsidR="00F13737">
        <w:t xml:space="preserve">800 mg to </w:t>
      </w:r>
      <w:r w:rsidR="006A4323">
        <w:t>allow for patients weighing up to 125</w:t>
      </w:r>
      <w:r w:rsidR="003E627A">
        <w:t> </w:t>
      </w:r>
      <w:r w:rsidR="006A4323">
        <w:t>kg, with increases to the maximum amount allo</w:t>
      </w:r>
      <w:r w:rsidR="00F22582">
        <w:t>wable where</w:t>
      </w:r>
      <w:r w:rsidR="00DC522E">
        <w:t xml:space="preserve"> a</w:t>
      </w:r>
      <w:r w:rsidR="00F22582">
        <w:t xml:space="preserve"> patient</w:t>
      </w:r>
      <w:r w:rsidR="00DC522E">
        <w:t>’</w:t>
      </w:r>
      <w:r w:rsidR="00F22582">
        <w:t>s weigh</w:t>
      </w:r>
      <w:r w:rsidR="00DC522E">
        <w:t>t is</w:t>
      </w:r>
      <w:r w:rsidR="00F22582">
        <w:t xml:space="preserve"> &gt;1</w:t>
      </w:r>
      <w:r w:rsidR="00041AF7">
        <w:t>25</w:t>
      </w:r>
      <w:r w:rsidR="00F22582">
        <w:t xml:space="preserve"> kg.</w:t>
      </w:r>
    </w:p>
    <w:p w14:paraId="4A922819" w14:textId="5B35F0EF" w:rsidR="00BF711F" w:rsidRPr="000B4F3B" w:rsidRDefault="00BF711F">
      <w:pPr>
        <w:pStyle w:val="3-BodyText"/>
        <w:rPr>
          <w:color w:val="0066FF"/>
        </w:rPr>
      </w:pPr>
      <w:r w:rsidRPr="000B4F3B">
        <w:t>The submission proposed a special pricing arrangement</w:t>
      </w:r>
      <w:r w:rsidR="00F42EFA" w:rsidRPr="000B4F3B">
        <w:t xml:space="preserve"> (SPA)</w:t>
      </w:r>
      <w:r w:rsidRPr="000B4F3B">
        <w:t>.</w:t>
      </w:r>
      <w:r w:rsidR="00F42EFA" w:rsidRPr="000B4F3B">
        <w:t xml:space="preserve"> The effective ex-manufacturer price proposed in the submission for G/GOJ adenocarcinoma is $</w:t>
      </w:r>
      <w:proofErr w:type="gramStart"/>
      <w:r w:rsidR="002D5F61" w:rsidRPr="00593619">
        <w:rPr>
          <w:color w:val="000000"/>
          <w:w w:val="15"/>
          <w:shd w:val="solid" w:color="000000" w:fill="000000"/>
          <w:fitText w:val="-20" w:id="-663002112"/>
          <w14:textFill>
            <w14:solidFill>
              <w14:srgbClr w14:val="000000">
                <w14:alpha w14:val="100000"/>
              </w14:srgbClr>
            </w14:solidFill>
          </w14:textFill>
        </w:rPr>
        <w:t xml:space="preserve">|  </w:t>
      </w:r>
      <w:r w:rsidR="002D5F61" w:rsidRPr="00593619">
        <w:rPr>
          <w:color w:val="000000"/>
          <w:spacing w:val="-69"/>
          <w:w w:val="15"/>
          <w:shd w:val="solid" w:color="000000" w:fill="000000"/>
          <w:fitText w:val="-20" w:id="-663002112"/>
          <w14:textFill>
            <w14:solidFill>
              <w14:srgbClr w14:val="000000">
                <w14:alpha w14:val="100000"/>
              </w14:srgbClr>
            </w14:solidFill>
          </w14:textFill>
        </w:rPr>
        <w:t>|</w:t>
      </w:r>
      <w:proofErr w:type="gramEnd"/>
      <w:r w:rsidR="00F42EFA" w:rsidRPr="000B4F3B">
        <w:t xml:space="preserve"> per 100 mg vial</w:t>
      </w:r>
      <w:r w:rsidR="00C87AC0">
        <w:t>.</w:t>
      </w:r>
    </w:p>
    <w:p w14:paraId="64192138" w14:textId="4B971D42" w:rsidR="00BF711F" w:rsidRPr="000B4F3B" w:rsidRDefault="00BF711F" w:rsidP="00BF711F">
      <w:pPr>
        <w:pStyle w:val="3-BodyText"/>
      </w:pPr>
      <w:r w:rsidRPr="000B4F3B">
        <w:t xml:space="preserve">The requested listing allows grandfathered patients using the Sponsor’s Co-pay Access Program to </w:t>
      </w:r>
      <w:proofErr w:type="gramStart"/>
      <w:r w:rsidRPr="000B4F3B">
        <w:t>continue on</w:t>
      </w:r>
      <w:proofErr w:type="gramEnd"/>
      <w:r w:rsidRPr="000B4F3B">
        <w:t xml:space="preserve"> PBS-funded T-</w:t>
      </w:r>
      <w:proofErr w:type="spellStart"/>
      <w:r w:rsidRPr="000B4F3B">
        <w:t>DXd</w:t>
      </w:r>
      <w:proofErr w:type="spellEnd"/>
      <w:r w:rsidRPr="000B4F3B">
        <w:t>.</w:t>
      </w:r>
      <w:r w:rsidR="00542561" w:rsidRPr="000B4F3B">
        <w:t xml:space="preserve"> The submission assumed there would be </w:t>
      </w:r>
      <w:r w:rsidR="00650354">
        <w:t>&lt;</w:t>
      </w:r>
      <w:r w:rsidR="00D46303">
        <w:t> 500</w:t>
      </w:r>
      <w:r w:rsidR="00650354" w:rsidRPr="000B4F3B">
        <w:t xml:space="preserve"> </w:t>
      </w:r>
      <w:r w:rsidR="00542561" w:rsidRPr="000B4F3B">
        <w:t>grandfathered patients.</w:t>
      </w:r>
    </w:p>
    <w:p w14:paraId="331C4EE4" w14:textId="504C612F" w:rsidR="00BF711F" w:rsidRPr="00D41E03" w:rsidRDefault="00BF711F" w:rsidP="00D41E03">
      <w:pPr>
        <w:pStyle w:val="3-BodyText"/>
        <w:rPr>
          <w:color w:val="0066FF"/>
        </w:rPr>
      </w:pPr>
      <w:r w:rsidRPr="000B4F3B">
        <w:t xml:space="preserve">The requested </w:t>
      </w:r>
      <w:r w:rsidR="00FB3BE9">
        <w:t>indication</w:t>
      </w:r>
      <w:r w:rsidRPr="000B4F3B">
        <w:t xml:space="preserve"> for T-</w:t>
      </w:r>
      <w:proofErr w:type="spellStart"/>
      <w:r w:rsidRPr="000B4F3B">
        <w:t>DXd</w:t>
      </w:r>
      <w:proofErr w:type="spellEnd"/>
      <w:r w:rsidRPr="000B4F3B">
        <w:t xml:space="preserve"> </w:t>
      </w:r>
      <w:r w:rsidR="008617F8">
        <w:t>(M</w:t>
      </w:r>
      <w:r w:rsidR="008617F8" w:rsidRPr="008617F8">
        <w:t>etastatic (Stage IV) HER2 positive gastric or gastro-oesophageal junction adenocarcinoma)</w:t>
      </w:r>
      <w:r w:rsidR="008617F8" w:rsidRPr="000B4F3B">
        <w:t xml:space="preserve"> </w:t>
      </w:r>
      <w:r w:rsidR="00F23B23">
        <w:t>is consistent with</w:t>
      </w:r>
      <w:r w:rsidR="00F23B23" w:rsidRPr="000B4F3B">
        <w:t xml:space="preserve"> </w:t>
      </w:r>
      <w:r w:rsidRPr="000B4F3B">
        <w:t xml:space="preserve">the current restriction for </w:t>
      </w:r>
      <w:r w:rsidR="000113D2">
        <w:t xml:space="preserve">1L </w:t>
      </w:r>
      <w:r w:rsidRPr="000B4F3B">
        <w:t>trastuzumab</w:t>
      </w:r>
      <w:r w:rsidR="00F23B23">
        <w:t xml:space="preserve"> (</w:t>
      </w:r>
      <w:r w:rsidR="00F23B23" w:rsidRPr="00F23B23">
        <w:t>Metastatic (Stage IV) HER2 positive adenocarcinoma of the stomach or gastro-oesophageal junction</w:t>
      </w:r>
      <w:r w:rsidR="00F23B23">
        <w:t>)</w:t>
      </w:r>
      <w:r w:rsidRPr="000B4F3B">
        <w:t xml:space="preserve">. </w:t>
      </w:r>
      <w:r w:rsidR="00D36A8F">
        <w:t xml:space="preserve">The Secretariat has proposed wording that matches the </w:t>
      </w:r>
      <w:r w:rsidR="008F0A7C">
        <w:t xml:space="preserve">indication for 1L trastuzumab, for consistency. </w:t>
      </w:r>
      <w:r w:rsidR="00D41E03">
        <w:t>However, t</w:t>
      </w:r>
      <w:r w:rsidR="008F0A7C">
        <w:t xml:space="preserve">he proposed indication </w:t>
      </w:r>
      <w:r w:rsidRPr="000B4F3B">
        <w:t xml:space="preserve">is narrower than the TGA indication and the populations enrolled in the two supporting studies, Destiny Gastric 1 (DG-01) and Destiny Gastric 2 (DG-02) </w:t>
      </w:r>
      <w:r w:rsidR="00DA12DF" w:rsidRPr="000B4F3B">
        <w:t xml:space="preserve">in that </w:t>
      </w:r>
      <w:r w:rsidRPr="000B4F3B">
        <w:t>use for locally advanced G/GOJ adenocarcinoma was not requested.</w:t>
      </w:r>
      <w:r w:rsidR="00D41E03">
        <w:t xml:space="preserve"> The PBAC considered the </w:t>
      </w:r>
      <w:r w:rsidR="002E3B20">
        <w:t>PBS listing</w:t>
      </w:r>
      <w:r w:rsidR="00D41E03">
        <w:t xml:space="preserve"> should include patients with locally </w:t>
      </w:r>
      <w:r w:rsidR="00D41E03">
        <w:lastRenderedPageBreak/>
        <w:t xml:space="preserve">advanced/unresectable </w:t>
      </w:r>
      <w:r w:rsidR="00D41E03" w:rsidRPr="000B4F3B">
        <w:t>G/GOJ adenocarcinoma</w:t>
      </w:r>
      <w:r w:rsidR="00D41E03">
        <w:t xml:space="preserve"> consistent with the TGA indication and clinical evidence. </w:t>
      </w:r>
    </w:p>
    <w:p w14:paraId="600B49BB" w14:textId="646F18F6" w:rsidR="00BF711F" w:rsidRDefault="004D73C0" w:rsidP="00BF711F">
      <w:pPr>
        <w:pStyle w:val="3-BodyText"/>
      </w:pPr>
      <w:r>
        <w:t xml:space="preserve">The requested restrictions require </w:t>
      </w:r>
      <w:r w:rsidR="0003748F">
        <w:t>prior use of a trastuzumab-containing regimen</w:t>
      </w:r>
      <w:r w:rsidR="00910EFB">
        <w:t xml:space="preserve"> (consistent with studies DG-01 and DG-02</w:t>
      </w:r>
      <w:r w:rsidR="0003748F">
        <w:t xml:space="preserve">, whereas </w:t>
      </w:r>
      <w:r w:rsidR="003B1D0B">
        <w:t xml:space="preserve">the </w:t>
      </w:r>
      <w:r w:rsidR="00F27A2A">
        <w:t xml:space="preserve">TGA indication is for patients </w:t>
      </w:r>
      <w:r w:rsidR="0011226E" w:rsidRPr="00E55A74">
        <w:rPr>
          <w:rFonts w:ascii="Calibri" w:eastAsia="Calibri" w:hAnsi="Calibri"/>
          <w:bCs/>
          <w:iCs/>
        </w:rPr>
        <w:t>who have received a prior anti-HER2-based regimen</w:t>
      </w:r>
      <w:r w:rsidR="0011226E">
        <w:rPr>
          <w:rFonts w:ascii="Calibri" w:eastAsia="Calibri" w:hAnsi="Calibri"/>
          <w:bCs/>
          <w:iCs/>
        </w:rPr>
        <w:t>.</w:t>
      </w:r>
      <w:r w:rsidR="0011226E" w:rsidRPr="000B4F3B" w:rsidDel="009B1588">
        <w:t xml:space="preserve"> </w:t>
      </w:r>
      <w:r w:rsidR="00BF711F" w:rsidRPr="000B4F3B">
        <w:t>The requested restrictions did not exclude patients with a history of interstitial lung disease (ILD) or pneumonitis requiring corticosteroids; these patients were excluded from studies DG</w:t>
      </w:r>
      <w:r w:rsidR="00DA12DF" w:rsidRPr="000B4F3B">
        <w:noBreakHyphen/>
      </w:r>
      <w:r w:rsidR="00BF711F" w:rsidRPr="000B4F3B">
        <w:t>01 and DG-02. However, prior history of ILD or pneumonitis is not contraindicated in the PI for T-</w:t>
      </w:r>
      <w:proofErr w:type="spellStart"/>
      <w:r w:rsidR="00BF711F" w:rsidRPr="000B4F3B">
        <w:t>DXd</w:t>
      </w:r>
      <w:proofErr w:type="spellEnd"/>
      <w:r w:rsidR="00F56EE4">
        <w:t>,</w:t>
      </w:r>
      <w:r w:rsidR="00BF711F" w:rsidRPr="000B4F3B">
        <w:t xml:space="preserve"> although it is </w:t>
      </w:r>
      <w:r w:rsidR="00F56EE4">
        <w:t>included under</w:t>
      </w:r>
      <w:r w:rsidR="00BF711F" w:rsidRPr="000B4F3B">
        <w:t xml:space="preserve"> </w:t>
      </w:r>
      <w:r w:rsidR="00F56EE4">
        <w:t>“</w:t>
      </w:r>
      <w:r w:rsidR="00BF711F" w:rsidRPr="000B4F3B">
        <w:t>Precautions for Use</w:t>
      </w:r>
      <w:r w:rsidR="00F56EE4">
        <w:t>”</w:t>
      </w:r>
      <w:r w:rsidR="00BF711F" w:rsidRPr="000B4F3B">
        <w:t xml:space="preserve">. </w:t>
      </w:r>
    </w:p>
    <w:p w14:paraId="229C7A68" w14:textId="773D8B73" w:rsidR="0003327F" w:rsidRPr="0003327F" w:rsidRDefault="0003327F" w:rsidP="0003327F">
      <w:pPr>
        <w:ind w:firstLine="709"/>
        <w:rPr>
          <w:rFonts w:asciiTheme="minorHAnsi" w:hAnsiTheme="minorHAnsi"/>
          <w:i/>
        </w:rPr>
      </w:pPr>
      <w:bookmarkStart w:id="13" w:name="_Hlk76375324"/>
      <w:r w:rsidRPr="00C33D30">
        <w:rPr>
          <w:rFonts w:asciiTheme="minorHAnsi" w:hAnsiTheme="minorHAnsi"/>
          <w:i/>
        </w:rPr>
        <w:t>For more detail on PBAC’s view, see section 7 PBAC outcome.</w:t>
      </w:r>
      <w:bookmarkEnd w:id="13"/>
    </w:p>
    <w:p w14:paraId="2C188106" w14:textId="77777777" w:rsidR="00BF711F" w:rsidRPr="00D86D87" w:rsidDel="00195452" w:rsidRDefault="00BF711F" w:rsidP="00BF711F">
      <w:pPr>
        <w:pStyle w:val="2-SectionHeading"/>
      </w:pPr>
      <w:bookmarkStart w:id="14" w:name="_Toc187925083"/>
      <w:bookmarkStart w:id="15" w:name="_Toc193454313"/>
      <w:r w:rsidRPr="00D86D87" w:rsidDel="00195452">
        <w:t>Population and disease</w:t>
      </w:r>
      <w:bookmarkEnd w:id="14"/>
      <w:bookmarkEnd w:id="15"/>
    </w:p>
    <w:p w14:paraId="431A80D9" w14:textId="7AB4A0B4" w:rsidR="00BF711F" w:rsidRPr="000B4F3B" w:rsidRDefault="00BF711F" w:rsidP="00BF711F">
      <w:pPr>
        <w:pStyle w:val="3-BodyText"/>
      </w:pPr>
      <w:r w:rsidRPr="000B4F3B">
        <w:t>Metastatic G/GOJ adenocarcinomas comprise 90% of gastric cancers. They are aggressive and difficult to treat, with a significant impact on patients’ quality of life. Most patients with metastatic G/GOJ adenocarcinomas progress rapidly after 1L treatment with limited options available for second and subsequent lines of therapy. The 5-year survival rate for metastatic disease is currently ~5%.</w:t>
      </w:r>
      <w:r w:rsidRPr="000B4F3B">
        <w:rPr>
          <w:rStyle w:val="FootnoteReference"/>
        </w:rPr>
        <w:footnoteReference w:id="6"/>
      </w:r>
    </w:p>
    <w:p w14:paraId="6ACDCB1D" w14:textId="25073AB6" w:rsidR="00BF711F" w:rsidRPr="000B4F3B" w:rsidRDefault="00BF711F" w:rsidP="00BF711F">
      <w:pPr>
        <w:pStyle w:val="3-BodyText"/>
      </w:pPr>
      <w:r w:rsidRPr="000B4F3B">
        <w:t>HER2 is a biomarker in G/GOJ cancer which is over-expressed in approximately 18% of patients.</w:t>
      </w:r>
      <w:r w:rsidRPr="000B4F3B">
        <w:rPr>
          <w:rStyle w:val="FootnoteReference"/>
        </w:rPr>
        <w:footnoteReference w:id="7"/>
      </w:r>
      <w:r w:rsidRPr="000B4F3B" w:rsidDel="00AB29C6">
        <w:t xml:space="preserve"> </w:t>
      </w:r>
      <w:r w:rsidRPr="000B4F3B">
        <w:t>The prevalence of HER2 positivity in advanced G/GOJ adenocarcinoma ranges from 10% – 20%, depending on the definition of HER2 positivity applied, which varies in different global jurisdictions</w:t>
      </w:r>
      <w:r w:rsidR="005E582B">
        <w:t>.</w:t>
      </w:r>
      <w:r w:rsidR="00FC56D0" w:rsidRPr="000B4F3B">
        <w:rPr>
          <w:rStyle w:val="FootnoteReference"/>
        </w:rPr>
        <w:footnoteReference w:id="8"/>
      </w:r>
      <w:r w:rsidRPr="000B4F3B">
        <w:t xml:space="preserve"> </w:t>
      </w:r>
    </w:p>
    <w:p w14:paraId="29C92935" w14:textId="2C74222E" w:rsidR="00632F31" w:rsidRPr="000B4F3B" w:rsidRDefault="007D7081">
      <w:pPr>
        <w:pStyle w:val="3-BodyText"/>
      </w:pPr>
      <w:r w:rsidRPr="000B4F3B">
        <w:t>HER2 status is tested to determine eligibility to 1L PBS-funded trastuzumab using IHC (MBS Item 72848) and ISH testing (MBS Item 73342).</w:t>
      </w:r>
      <w:r w:rsidR="00F533F1">
        <w:t xml:space="preserve"> </w:t>
      </w:r>
      <w:bookmarkStart w:id="16" w:name="_Ref193227335"/>
      <w:r w:rsidR="001A43AA">
        <w:t>However, p</w:t>
      </w:r>
      <w:r w:rsidR="00BF711F" w:rsidRPr="000B4F3B">
        <w:t>atients receiving 1L trastuzumab</w:t>
      </w:r>
      <w:r w:rsidR="00D728D9">
        <w:t xml:space="preserve"> may</w:t>
      </w:r>
      <w:r w:rsidR="00BF711F" w:rsidRPr="000B4F3B">
        <w:t xml:space="preserve"> develop HER2 resistance leading to loss of treatment response</w:t>
      </w:r>
      <w:r w:rsidR="00A273C8" w:rsidRPr="000B4F3B">
        <w:t xml:space="preserve">. </w:t>
      </w:r>
      <w:r w:rsidR="00F533F1" w:rsidRPr="000B4F3B">
        <w:t>Potential mechanisms for resistance to trastuzumab treatment have been identified in exploratory studies, including reduction or loss of HER2 overexpression or gene amplification</w:t>
      </w:r>
      <w:r w:rsidR="00F533F1">
        <w:t xml:space="preserve">. </w:t>
      </w:r>
      <w:r w:rsidR="00632F31" w:rsidRPr="000B4F3B">
        <w:t>This observation could potentially impact on response to subsequent HER2-targeted therapy, such as T-</w:t>
      </w:r>
      <w:proofErr w:type="spellStart"/>
      <w:r w:rsidR="00632F31" w:rsidRPr="000B4F3B">
        <w:t>DXd</w:t>
      </w:r>
      <w:proofErr w:type="spellEnd"/>
      <w:r w:rsidR="00632F31" w:rsidRPr="000B4F3B">
        <w:t>. The DG-01 study protocol highlighted that a reduction in HER2 expression from HER2-positive to HER2-negative has been reported in approximately 29% of patients with gastric cancer after receiving trastuzumab treatment.</w:t>
      </w:r>
      <w:r w:rsidR="00632F31" w:rsidRPr="000B4F3B">
        <w:rPr>
          <w:noProof/>
        </w:rPr>
        <w:t xml:space="preserve"> However, estimates in the literature for loss of HER2 positive status post </w:t>
      </w:r>
      <w:r w:rsidR="00632F31" w:rsidRPr="000B4F3B">
        <w:rPr>
          <w:noProof/>
        </w:rPr>
        <w:lastRenderedPageBreak/>
        <w:t>trastuzumab identified during the evaluation varied from 29% to 47% (Seo et al (2019)</w:t>
      </w:r>
      <w:r w:rsidR="00632F31" w:rsidRPr="000B4F3B">
        <w:rPr>
          <w:rStyle w:val="FootnoteReference"/>
          <w:noProof/>
        </w:rPr>
        <w:footnoteReference w:id="9"/>
      </w:r>
      <w:r w:rsidR="00632F31" w:rsidRPr="000B4F3B">
        <w:rPr>
          <w:noProof/>
        </w:rPr>
        <w:t>, Saeki et al (2018)</w:t>
      </w:r>
      <w:r w:rsidR="00632F31" w:rsidRPr="000B4F3B">
        <w:rPr>
          <w:rStyle w:val="FootnoteReference"/>
          <w:noProof/>
        </w:rPr>
        <w:footnoteReference w:id="10"/>
      </w:r>
      <w:r w:rsidR="00632F31" w:rsidRPr="000B4F3B">
        <w:rPr>
          <w:noProof/>
        </w:rPr>
        <w:t>.</w:t>
      </w:r>
    </w:p>
    <w:bookmarkEnd w:id="16"/>
    <w:p w14:paraId="7D220FFB" w14:textId="3049BC0A" w:rsidR="00BF711F" w:rsidRPr="000B4F3B" w:rsidDel="00195452" w:rsidRDefault="00BF711F" w:rsidP="00BF711F">
      <w:pPr>
        <w:pStyle w:val="3-BodyText"/>
      </w:pPr>
      <w:r w:rsidRPr="000B4F3B">
        <w:t>The proposed treatment algorithm included in the submission provided an option for tumour tissue re-profiling by obtaining a new tumour sample/biopsy and retesting for HER2 status. The submission stated that HER2 re-testing prior to treatment with T</w:t>
      </w:r>
      <w:r w:rsidR="00B64760">
        <w:noBreakHyphen/>
      </w:r>
      <w:proofErr w:type="spellStart"/>
      <w:r w:rsidRPr="000B4F3B">
        <w:t>DXd</w:t>
      </w:r>
      <w:proofErr w:type="spellEnd"/>
      <w:r w:rsidRPr="000B4F3B">
        <w:t xml:space="preserve"> would be limited to </w:t>
      </w:r>
      <w:r w:rsidR="004744F3" w:rsidRPr="000B4F3B">
        <w:t xml:space="preserve">approximately </w:t>
      </w:r>
      <w:proofErr w:type="gramStart"/>
      <w:r w:rsidR="002D5F61" w:rsidRPr="00593619">
        <w:rPr>
          <w:color w:val="000000"/>
          <w:w w:val="15"/>
          <w:shd w:val="solid" w:color="000000" w:fill="000000"/>
          <w:fitText w:val="-20" w:id="-663002111"/>
          <w14:textFill>
            <w14:solidFill>
              <w14:srgbClr w14:val="000000">
                <w14:alpha w14:val="100000"/>
              </w14:srgbClr>
            </w14:solidFill>
          </w14:textFill>
        </w:rPr>
        <w:t xml:space="preserve">|  </w:t>
      </w:r>
      <w:r w:rsidR="002D5F61" w:rsidRPr="00593619">
        <w:rPr>
          <w:color w:val="000000"/>
          <w:spacing w:val="-69"/>
          <w:w w:val="15"/>
          <w:shd w:val="solid" w:color="000000" w:fill="000000"/>
          <w:fitText w:val="-20" w:id="-663002111"/>
          <w14:textFill>
            <w14:solidFill>
              <w14:srgbClr w14:val="000000">
                <w14:alpha w14:val="100000"/>
              </w14:srgbClr>
            </w14:solidFill>
          </w14:textFill>
        </w:rPr>
        <w:t>|</w:t>
      </w:r>
      <w:proofErr w:type="gramEnd"/>
      <w:r w:rsidRPr="000B4F3B">
        <w:t>% of patients and clinicians considered it was unlikely to be carried out prior to initiation of T-</w:t>
      </w:r>
      <w:proofErr w:type="spellStart"/>
      <w:r w:rsidRPr="000B4F3B">
        <w:t>DXd</w:t>
      </w:r>
      <w:proofErr w:type="spellEnd"/>
      <w:r w:rsidRPr="000B4F3B">
        <w:t xml:space="preserve"> treatment due to patient-related and logistical challenges with obtaining new biopsies in the proposed population.</w:t>
      </w:r>
    </w:p>
    <w:p w14:paraId="1ECC0393" w14:textId="334C730F" w:rsidR="00BF711F" w:rsidRPr="000B4F3B" w:rsidRDefault="00BF711F" w:rsidP="00BF711F">
      <w:pPr>
        <w:pStyle w:val="3-BodyText"/>
      </w:pPr>
      <w:r w:rsidRPr="000B4F3B">
        <w:t xml:space="preserve">There are no standard Australian guidelines for treating G/GOJ adenocarcinoma patients. Patients who test positive for HER2 were likely be treated with trastuzumab which is PBS funded as a first-line therapy. There are no anti-HER2 therapies currently TGA approved for 2L treatment of patients with disease progression on 1L trastuzumab therapy. </w:t>
      </w:r>
      <w:r w:rsidR="003446DE">
        <w:t>The submission stated that, i</w:t>
      </w:r>
      <w:r w:rsidRPr="000B4F3B">
        <w:t xml:space="preserve">n Australia, current treatment options in the 2L or later setting are chemotherapies with 29% of patients receiving paclitaxel, 28% receiving irinotecan, 7% receiving docetaxel and 36% receiving </w:t>
      </w:r>
      <w:r w:rsidR="00E732DD" w:rsidRPr="000B4F3B">
        <w:t>folinic acid, fluorouracil, and irinotecan combination regimen (</w:t>
      </w:r>
      <w:r w:rsidRPr="000B4F3B">
        <w:t>FOLFIRI</w:t>
      </w:r>
      <w:r w:rsidR="00E732DD" w:rsidRPr="000B4F3B">
        <w:t>)</w:t>
      </w:r>
      <w:r w:rsidRPr="000B4F3B">
        <w:t>. Treatments not previously received are used in the 3L or later setting. Trifluridine/</w:t>
      </w:r>
      <w:proofErr w:type="spellStart"/>
      <w:r w:rsidRPr="000B4F3B">
        <w:t>tipiracil</w:t>
      </w:r>
      <w:proofErr w:type="spellEnd"/>
      <w:r w:rsidRPr="000B4F3B">
        <w:t xml:space="preserve"> combination therapy is PBS reimbursed for use in the 3L setting but PBS data indicates that use is minimal due to </w:t>
      </w:r>
      <w:r w:rsidR="0071767E">
        <w:t>an unfavourable efficacy and</w:t>
      </w:r>
      <w:r w:rsidRPr="000B4F3B">
        <w:t xml:space="preserve"> toxicity</w:t>
      </w:r>
      <w:r w:rsidR="006035CF">
        <w:t xml:space="preserve"> profile</w:t>
      </w:r>
      <w:r w:rsidRPr="000B4F3B">
        <w:t xml:space="preserve">. </w:t>
      </w:r>
    </w:p>
    <w:p w14:paraId="2BFAC64D" w14:textId="5A82CC89" w:rsidR="00BF711F" w:rsidRDefault="00BF711F" w:rsidP="00BF711F">
      <w:pPr>
        <w:pStyle w:val="3-BodyText"/>
      </w:pPr>
      <w:r w:rsidRPr="000B4F3B">
        <w:t>T-</w:t>
      </w:r>
      <w:proofErr w:type="spellStart"/>
      <w:r w:rsidRPr="000B4F3B">
        <w:t>DXd</w:t>
      </w:r>
      <w:proofErr w:type="spellEnd"/>
      <w:r w:rsidRPr="000B4F3B">
        <w:t xml:space="preserve"> is a novel antibody-drug conjugate (ADC) comprising trastuzumab linked covalently to a topoisomerase I inhibitor </w:t>
      </w:r>
      <w:proofErr w:type="spellStart"/>
      <w:r w:rsidRPr="000B4F3B">
        <w:t>deruxtecan</w:t>
      </w:r>
      <w:proofErr w:type="spellEnd"/>
      <w:r w:rsidRPr="000B4F3B">
        <w:t xml:space="preserve"> (</w:t>
      </w:r>
      <w:proofErr w:type="spellStart"/>
      <w:r w:rsidRPr="000B4F3B">
        <w:t>DXd</w:t>
      </w:r>
      <w:proofErr w:type="spellEnd"/>
      <w:r w:rsidRPr="000B4F3B">
        <w:t xml:space="preserve">) via a tetrapeptide based cleavable linker. The ADC delivers cytotoxic </w:t>
      </w:r>
      <w:proofErr w:type="spellStart"/>
      <w:r w:rsidRPr="000B4F3B">
        <w:t>DXd</w:t>
      </w:r>
      <w:proofErr w:type="spellEnd"/>
      <w:r w:rsidRPr="000B4F3B">
        <w:t xml:space="preserve"> directly to HER2-expressing tumour cells. </w:t>
      </w:r>
      <w:proofErr w:type="spellStart"/>
      <w:r w:rsidRPr="000B4F3B">
        <w:t>DXd</w:t>
      </w:r>
      <w:proofErr w:type="spellEnd"/>
      <w:r w:rsidRPr="000B4F3B">
        <w:t xml:space="preserve"> released from lysed tumour cells is subsequently absorbed by and </w:t>
      </w:r>
      <w:r w:rsidR="0056395B">
        <w:t xml:space="preserve">may be cytotoxic to </w:t>
      </w:r>
      <w:r w:rsidRPr="000B4F3B">
        <w:t>adjacent tumour cells regardless of their HER2 status; this is known as a bystander effect.</w:t>
      </w:r>
    </w:p>
    <w:p w14:paraId="267F0641" w14:textId="4214ED3B" w:rsidR="0003327F" w:rsidRPr="0003327F" w:rsidDel="00195452" w:rsidRDefault="0003327F" w:rsidP="0003327F">
      <w:pPr>
        <w:ind w:firstLine="709"/>
        <w:rPr>
          <w:rFonts w:asciiTheme="minorHAnsi" w:hAnsiTheme="minorHAnsi"/>
          <w:i/>
        </w:rPr>
      </w:pPr>
      <w:r w:rsidRPr="00C33D30">
        <w:rPr>
          <w:rFonts w:asciiTheme="minorHAnsi" w:hAnsiTheme="minorHAnsi"/>
          <w:i/>
        </w:rPr>
        <w:t>For more detail on PBAC’s view, see section 7 PBAC outcome.</w:t>
      </w:r>
    </w:p>
    <w:p w14:paraId="4E9652DC" w14:textId="77777777" w:rsidR="00BF711F" w:rsidRPr="00CD2EF8" w:rsidRDefault="00BF711F" w:rsidP="00BF711F">
      <w:pPr>
        <w:pStyle w:val="2-SectionHeading"/>
      </w:pPr>
      <w:bookmarkStart w:id="17" w:name="_Toc187925084"/>
      <w:bookmarkStart w:id="18" w:name="_Toc193454314"/>
      <w:r w:rsidRPr="00D86D87">
        <w:t>Comparator</w:t>
      </w:r>
      <w:bookmarkEnd w:id="17"/>
      <w:bookmarkEnd w:id="18"/>
    </w:p>
    <w:p w14:paraId="1987CD1D" w14:textId="62156788" w:rsidR="0027167D" w:rsidRPr="000B4F3B" w:rsidRDefault="0051520C">
      <w:pPr>
        <w:pStyle w:val="3-BodyText"/>
      </w:pPr>
      <w:r w:rsidRPr="000B4F3B">
        <w:t xml:space="preserve">The submission nominated standard of care (SoC) chemotherapy, consisting of paclitaxel, irinotecan, docetaxel or FOLFIRI, as the comparator. </w:t>
      </w:r>
      <w:r w:rsidR="00EA12B1" w:rsidRPr="000B4F3B">
        <w:t>The nominated comparator is appropriate</w:t>
      </w:r>
      <w:r w:rsidR="00043D91" w:rsidRPr="000B4F3B">
        <w:t xml:space="preserve"> however only two of the nominated SoC chemotherapies were included in the pivotal DG-01 study. </w:t>
      </w:r>
      <w:r w:rsidR="00CC70C6" w:rsidRPr="000B4F3B">
        <w:t xml:space="preserve">The submission stated that current 2L chemotherapy utilisation in Australia is 36% FOLFIRI, 29% paclitaxel, 28% irinotecan, and 7% docetaxel based on advice from a clinician Advisory Board. </w:t>
      </w:r>
      <w:r w:rsidR="00043D91" w:rsidRPr="000B4F3B">
        <w:t xml:space="preserve">Of 187 treated patients in DG-01, 125 received trastuzumab </w:t>
      </w:r>
      <w:proofErr w:type="spellStart"/>
      <w:r w:rsidR="00043D91" w:rsidRPr="000B4F3B">
        <w:t>deruxtecan</w:t>
      </w:r>
      <w:proofErr w:type="spellEnd"/>
      <w:r w:rsidR="00043D91" w:rsidRPr="000B4F3B">
        <w:t xml:space="preserve"> and 62 received physician’s choice of chemotherapy (55 received irinotecan 150 mg/m</w:t>
      </w:r>
      <w:r w:rsidR="00043D91" w:rsidRPr="003D6F50">
        <w:rPr>
          <w:vertAlign w:val="superscript"/>
        </w:rPr>
        <w:t>2</w:t>
      </w:r>
      <w:r w:rsidR="00043D91" w:rsidRPr="000B4F3B">
        <w:t xml:space="preserve"> Q2W and 7 received </w:t>
      </w:r>
      <w:r w:rsidR="00043D91" w:rsidRPr="000B4F3B">
        <w:lastRenderedPageBreak/>
        <w:t>paclitaxel 80</w:t>
      </w:r>
      <w:r w:rsidR="0027167D" w:rsidRPr="000B4F3B">
        <w:t> </w:t>
      </w:r>
      <w:r w:rsidR="00043D91" w:rsidRPr="000B4F3B">
        <w:t>mg/m</w:t>
      </w:r>
      <w:r w:rsidR="00043D91" w:rsidRPr="003D6F50">
        <w:rPr>
          <w:vertAlign w:val="superscript"/>
        </w:rPr>
        <w:t>2</w:t>
      </w:r>
      <w:r w:rsidR="00043D91" w:rsidRPr="000B4F3B">
        <w:t xml:space="preserve"> QW for 3 weeks followed by a 2-week rest period). The chemotherapy selected for each participant was dependent upon prior treatment received.</w:t>
      </w:r>
    </w:p>
    <w:p w14:paraId="0D206BC8" w14:textId="0EE303A1" w:rsidR="003133F0" w:rsidRDefault="0027167D" w:rsidP="0027167D">
      <w:pPr>
        <w:pStyle w:val="3-BodyText"/>
      </w:pPr>
      <w:r w:rsidRPr="000B4F3B">
        <w:t xml:space="preserve">The submission stated that the PBAC and international guidelines have previously accepted these chemotherapies have </w:t>
      </w:r>
      <w:r w:rsidR="00650A1C">
        <w:t>similar</w:t>
      </w:r>
      <w:r w:rsidR="00650A1C" w:rsidRPr="000B4F3B">
        <w:t xml:space="preserve"> </w:t>
      </w:r>
      <w:r w:rsidRPr="000B4F3B">
        <w:t>efficacy but different toxicity profiles and therefore, irinotecan and paclitaxel were considered appropriate proxies for SoC chemotherapies. The PBAC’s advice regarding the equivalent efficacy for these chemotherapies for treatment of G/GOJ adenocarcinoma could not be located during the evaluation. The European Society for Medical Oncology (ESMO) clinical guidelines for gastric cancer state that paclitaxel, docetaxel and irinotecan have equivalent efficacy but different toxicity profiles, based on clinical evidence from a meta-analysis and a comparative clinical trial. However, there were limited data to show the comparative efficacy and safety of FOLFIRI relative to other chemotherapies</w:t>
      </w:r>
      <w:r w:rsidR="003E411C" w:rsidRPr="000B4F3B">
        <w:rPr>
          <w:rStyle w:val="FootnoteReference"/>
        </w:rPr>
        <w:footnoteReference w:id="11"/>
      </w:r>
      <w:r w:rsidR="003E411C" w:rsidRPr="000B4F3B">
        <w:t>.</w:t>
      </w:r>
    </w:p>
    <w:p w14:paraId="66A1BCA1" w14:textId="48F8086C" w:rsidR="0027167D" w:rsidRPr="000B4F3B" w:rsidRDefault="003133F0">
      <w:pPr>
        <w:pStyle w:val="3-BodyText"/>
      </w:pPr>
      <w:r w:rsidRPr="00E55A74">
        <w:rPr>
          <w:iCs/>
        </w:rPr>
        <w:t xml:space="preserve">The </w:t>
      </w:r>
      <w:r w:rsidR="00177C7D">
        <w:rPr>
          <w:iCs/>
        </w:rPr>
        <w:t>Pre-Sub-Commi</w:t>
      </w:r>
      <w:r w:rsidR="003E25C1">
        <w:rPr>
          <w:iCs/>
        </w:rPr>
        <w:t>ttee Response (</w:t>
      </w:r>
      <w:r w:rsidRPr="00E55A74">
        <w:rPr>
          <w:iCs/>
        </w:rPr>
        <w:t>PSCR</w:t>
      </w:r>
      <w:r w:rsidR="003E25C1">
        <w:rPr>
          <w:iCs/>
        </w:rPr>
        <w:t>)</w:t>
      </w:r>
      <w:r w:rsidRPr="00E55A74">
        <w:rPr>
          <w:iCs/>
        </w:rPr>
        <w:t xml:space="preserve"> maintained that there was sufficient clinical evidence to support equivalent efficacy of the nominated comparators, and that the two DG-01 comparators, irinotecan and paclitaxel, could be considered as proxies for the efficacy of FOLFIRI. </w:t>
      </w:r>
      <w:r w:rsidR="00E5422A">
        <w:rPr>
          <w:iCs/>
        </w:rPr>
        <w:t>T</w:t>
      </w:r>
      <w:r w:rsidRPr="00E55A74">
        <w:rPr>
          <w:iCs/>
        </w:rPr>
        <w:t xml:space="preserve">he PSCR provided additional evidence from two small studies: a Phase 2 study and a retrospective review (Sym SJ et al., 2013; </w:t>
      </w:r>
      <w:proofErr w:type="spellStart"/>
      <w:r w:rsidRPr="00E55A74">
        <w:rPr>
          <w:iCs/>
        </w:rPr>
        <w:t>Ürün</w:t>
      </w:r>
      <w:proofErr w:type="spellEnd"/>
      <w:r w:rsidRPr="00E55A74">
        <w:rPr>
          <w:iCs/>
        </w:rPr>
        <w:t>, M. et al., 2023)</w:t>
      </w:r>
      <w:r w:rsidR="004D76F1" w:rsidRPr="00E55A74">
        <w:rPr>
          <w:iCs/>
        </w:rPr>
        <w:t xml:space="preserve"> for FOLFIRI vs irinotecan monotherapy and FOLFIRI vs paclitaxel to demonstrate that FOLFIRI has equivalent efficacy to the other three nominated comparators in the submission. </w:t>
      </w:r>
      <w:r w:rsidR="00CC70C6" w:rsidRPr="00E55A74">
        <w:rPr>
          <w:iCs/>
        </w:rPr>
        <w:t xml:space="preserve">The ESC considered </w:t>
      </w:r>
      <w:r w:rsidR="00F4571C" w:rsidRPr="00E55A74">
        <w:rPr>
          <w:iCs/>
        </w:rPr>
        <w:t xml:space="preserve">that similar efficacy was seen with the available 2L chemotherapy options, and that </w:t>
      </w:r>
      <w:r w:rsidR="00CC70C6" w:rsidRPr="00E55A74">
        <w:rPr>
          <w:iCs/>
        </w:rPr>
        <w:t>the nominated comparator was appropriate.</w:t>
      </w:r>
    </w:p>
    <w:p w14:paraId="66977388" w14:textId="360EF468" w:rsidR="00EB68EE" w:rsidRDefault="00BF711F">
      <w:pPr>
        <w:pStyle w:val="3-BodyText"/>
      </w:pPr>
      <w:r w:rsidRPr="000B4F3B">
        <w:t>Although RAM + PAC was recommended by PBAC at the March 2018 PBAC meeting</w:t>
      </w:r>
      <w:r w:rsidR="007160F5" w:rsidRPr="000B4F3B">
        <w:rPr>
          <w:rFonts w:ascii="Calibri" w:eastAsia="Times New Roman" w:hAnsi="Calibri" w:cs="Arial"/>
          <w:szCs w:val="24"/>
        </w:rPr>
        <w:t xml:space="preserve"> </w:t>
      </w:r>
      <w:r w:rsidR="007160F5" w:rsidRPr="000B4F3B">
        <w:t>for the treatment of G/GOJ adenocarcinoma, the PBS listing of ramucirumab did not proceed</w:t>
      </w:r>
      <w:r w:rsidR="005363E3" w:rsidRPr="000B4F3B">
        <w:t xml:space="preserve">. The PBAC had advised that a price reduction would be required for ramucirumab to be cost-effective </w:t>
      </w:r>
      <w:r w:rsidR="00084B8F">
        <w:t>when compared with</w:t>
      </w:r>
      <w:r w:rsidR="00084B8F" w:rsidRPr="000B4F3B">
        <w:t xml:space="preserve"> </w:t>
      </w:r>
      <w:r w:rsidR="005363E3" w:rsidRPr="000B4F3B">
        <w:t xml:space="preserve">paclitaxel in the proposed PBS population. </w:t>
      </w:r>
      <w:r w:rsidR="00AA0D53" w:rsidRPr="000B4F3B">
        <w:t xml:space="preserve">In March 2018, the PBAC </w:t>
      </w:r>
      <w:r w:rsidR="00792961" w:rsidRPr="000B4F3B">
        <w:t xml:space="preserve">considered paclitaxel monotherapy was the appropriate main comparator and </w:t>
      </w:r>
      <w:r w:rsidR="00AA0D53" w:rsidRPr="000B4F3B">
        <w:t xml:space="preserve">advised that </w:t>
      </w:r>
      <w:proofErr w:type="spellStart"/>
      <w:r w:rsidR="00AA0D53" w:rsidRPr="000B4F3B">
        <w:t>taxanes</w:t>
      </w:r>
      <w:proofErr w:type="spellEnd"/>
      <w:r w:rsidR="00AA0D53" w:rsidRPr="000B4F3B">
        <w:t xml:space="preserve"> or irinotecan were the most common second-line treatment used in the Australian clinical practice</w:t>
      </w:r>
      <w:r w:rsidR="00C360A3" w:rsidRPr="000B4F3B">
        <w:t xml:space="preserve"> (</w:t>
      </w:r>
      <w:r w:rsidR="00084B8F" w:rsidRPr="000B4F3B">
        <w:t>paragraph 7.5 and 7.6</w:t>
      </w:r>
      <w:r w:rsidR="00084B8F">
        <w:t xml:space="preserve">, </w:t>
      </w:r>
      <w:r w:rsidR="00C360A3" w:rsidRPr="000B4F3B">
        <w:t>ramucirumab PSD, March 2018 PBAC meeting)</w:t>
      </w:r>
      <w:r w:rsidR="00AA0D53" w:rsidRPr="000B4F3B">
        <w:t>.</w:t>
      </w:r>
      <w:r w:rsidR="00C360A3" w:rsidRPr="000B4F3B">
        <w:t xml:space="preserve"> </w:t>
      </w:r>
      <w:r w:rsidR="005363E3" w:rsidRPr="000B4F3B">
        <w:rPr>
          <w:rStyle w:val="CommentReference"/>
          <w:rFonts w:eastAsia="Times New Roman" w:cs="Times New Roman"/>
        </w:rPr>
        <w:t>T</w:t>
      </w:r>
      <w:r w:rsidR="003F4DDD" w:rsidRPr="000B4F3B">
        <w:t xml:space="preserve">he submission </w:t>
      </w:r>
      <w:r w:rsidR="0027167D" w:rsidRPr="000B4F3B">
        <w:t xml:space="preserve">reasonably </w:t>
      </w:r>
      <w:r w:rsidR="003F4DDD" w:rsidRPr="000B4F3B">
        <w:t>proposed that</w:t>
      </w:r>
      <w:r w:rsidRPr="000B4F3B">
        <w:t xml:space="preserve"> ramucirumab was not an appropriate comparator for T-</w:t>
      </w:r>
      <w:proofErr w:type="spellStart"/>
      <w:r w:rsidRPr="000B4F3B">
        <w:t>DXd</w:t>
      </w:r>
      <w:proofErr w:type="spellEnd"/>
      <w:r w:rsidRPr="000B4F3B">
        <w:t xml:space="preserve"> in the Australian setting.</w:t>
      </w:r>
      <w:r w:rsidR="00C930B1" w:rsidRPr="000B4F3B">
        <w:t xml:space="preserve"> </w:t>
      </w:r>
    </w:p>
    <w:p w14:paraId="5359A6A0" w14:textId="28868CDF" w:rsidR="0003327F" w:rsidRPr="0003327F" w:rsidRDefault="0003327F" w:rsidP="0003327F">
      <w:pPr>
        <w:ind w:firstLine="709"/>
        <w:rPr>
          <w:rFonts w:asciiTheme="minorHAnsi" w:hAnsiTheme="minorHAnsi"/>
          <w:i/>
        </w:rPr>
      </w:pPr>
      <w:r w:rsidRPr="00C33D30">
        <w:rPr>
          <w:rFonts w:asciiTheme="minorHAnsi" w:hAnsiTheme="minorHAnsi"/>
          <w:i/>
        </w:rPr>
        <w:t>For more detail on PBAC’s view, see section 7 PBAC outcome.</w:t>
      </w:r>
    </w:p>
    <w:p w14:paraId="42C6708C" w14:textId="77777777" w:rsidR="00BF711F" w:rsidRPr="00D86D87" w:rsidRDefault="00BF711F" w:rsidP="00BF711F">
      <w:pPr>
        <w:pStyle w:val="2-SectionHeading"/>
      </w:pPr>
      <w:bookmarkStart w:id="19" w:name="_Toc187925085"/>
      <w:bookmarkStart w:id="20" w:name="_Toc193454315"/>
      <w:bookmarkStart w:id="21" w:name="_Toc22897640"/>
      <w:r w:rsidRPr="00CD2EF8">
        <w:t>Consideration of the evidence</w:t>
      </w:r>
      <w:bookmarkEnd w:id="19"/>
      <w:bookmarkEnd w:id="20"/>
    </w:p>
    <w:p w14:paraId="646BC999" w14:textId="77777777" w:rsidR="009F14FF" w:rsidRPr="006E1229" w:rsidRDefault="009F14FF" w:rsidP="00D22E20">
      <w:pPr>
        <w:pStyle w:val="4-SubsectionHeading"/>
      </w:pPr>
      <w:bookmarkStart w:id="22" w:name="_Hlk76375935"/>
      <w:bookmarkStart w:id="23" w:name="_Toc187925086"/>
      <w:bookmarkStart w:id="24" w:name="_Toc193454316"/>
      <w:r w:rsidRPr="006E1229">
        <w:t>Sponsor hearing</w:t>
      </w:r>
    </w:p>
    <w:p w14:paraId="7018BCD8" w14:textId="3D8C60C5" w:rsidR="009F14FF" w:rsidRPr="00440A66" w:rsidRDefault="00263F15" w:rsidP="00EE27EC">
      <w:pPr>
        <w:widowControl w:val="0"/>
        <w:numPr>
          <w:ilvl w:val="1"/>
          <w:numId w:val="5"/>
        </w:numPr>
        <w:spacing w:after="120"/>
        <w:rPr>
          <w:rFonts w:asciiTheme="minorHAnsi" w:hAnsiTheme="minorHAnsi"/>
          <w:bCs/>
          <w:snapToGrid w:val="0"/>
        </w:rPr>
      </w:pPr>
      <w:r>
        <w:rPr>
          <w:rFonts w:asciiTheme="minorHAnsi" w:hAnsiTheme="minorHAnsi"/>
          <w:bCs/>
          <w:snapToGrid w:val="0"/>
        </w:rPr>
        <w:t>There was no hearing for this item.</w:t>
      </w:r>
    </w:p>
    <w:p w14:paraId="00119DCA" w14:textId="50143FA9" w:rsidR="009F14FF" w:rsidRPr="006E1229" w:rsidRDefault="009F14FF" w:rsidP="00D22E20">
      <w:pPr>
        <w:pStyle w:val="4-SubsectionHeading"/>
      </w:pPr>
      <w:r w:rsidRPr="006E1229">
        <w:lastRenderedPageBreak/>
        <w:t>Consumer comments</w:t>
      </w:r>
    </w:p>
    <w:p w14:paraId="63E178E5" w14:textId="76C3071B" w:rsidR="007F0A3E" w:rsidRPr="00600E0E" w:rsidRDefault="007F0A3E" w:rsidP="00EE27EC">
      <w:pPr>
        <w:widowControl w:val="0"/>
        <w:numPr>
          <w:ilvl w:val="1"/>
          <w:numId w:val="5"/>
        </w:numPr>
        <w:spacing w:after="120"/>
        <w:rPr>
          <w:rFonts w:asciiTheme="minorHAnsi" w:hAnsiTheme="minorHAnsi"/>
          <w:bCs/>
          <w:snapToGrid w:val="0"/>
        </w:rPr>
      </w:pPr>
      <w:bookmarkStart w:id="25" w:name="_Hlk76382618"/>
      <w:r w:rsidRPr="00836F75">
        <w:rPr>
          <w:rFonts w:asciiTheme="minorHAnsi" w:hAnsiTheme="minorHAnsi"/>
          <w:bCs/>
          <w:snapToGrid w:val="0"/>
        </w:rPr>
        <w:t>The PBAC noted and welcomed the input from health care professionals (</w:t>
      </w:r>
      <w:r w:rsidR="00691982">
        <w:rPr>
          <w:rFonts w:asciiTheme="minorHAnsi" w:hAnsiTheme="minorHAnsi"/>
          <w:bCs/>
          <w:snapToGrid w:val="0"/>
        </w:rPr>
        <w:t>1</w:t>
      </w:r>
      <w:r w:rsidRPr="00836F75">
        <w:rPr>
          <w:rFonts w:asciiTheme="minorHAnsi" w:hAnsiTheme="minorHAnsi"/>
          <w:bCs/>
          <w:snapToGrid w:val="0"/>
        </w:rPr>
        <w:t>) and organisations (</w:t>
      </w:r>
      <w:r w:rsidR="008D13F9">
        <w:rPr>
          <w:rFonts w:asciiTheme="minorHAnsi" w:hAnsiTheme="minorHAnsi"/>
          <w:bCs/>
          <w:snapToGrid w:val="0"/>
        </w:rPr>
        <w:t>3</w:t>
      </w:r>
      <w:r w:rsidRPr="00836F75">
        <w:rPr>
          <w:rFonts w:asciiTheme="minorHAnsi" w:hAnsiTheme="minorHAnsi"/>
          <w:bCs/>
          <w:snapToGrid w:val="0"/>
        </w:rPr>
        <w:t xml:space="preserve">) via the Consumer Comments facility on the PBS website. </w:t>
      </w:r>
      <w:r w:rsidR="00A722FE" w:rsidRPr="00F00744">
        <w:rPr>
          <w:rFonts w:asciiTheme="minorHAnsi" w:hAnsiTheme="minorHAnsi"/>
          <w:bCs/>
          <w:snapToGrid w:val="0"/>
        </w:rPr>
        <w:t xml:space="preserve">The comments </w:t>
      </w:r>
      <w:r w:rsidR="00616053">
        <w:rPr>
          <w:rFonts w:asciiTheme="minorHAnsi" w:hAnsiTheme="minorHAnsi"/>
          <w:bCs/>
          <w:snapToGrid w:val="0"/>
        </w:rPr>
        <w:t xml:space="preserve">from Rare Cancers Australia and the </w:t>
      </w:r>
      <w:proofErr w:type="spellStart"/>
      <w:r w:rsidR="00435A90">
        <w:rPr>
          <w:rFonts w:asciiTheme="minorHAnsi" w:hAnsiTheme="minorHAnsi"/>
          <w:bCs/>
          <w:snapToGrid w:val="0"/>
        </w:rPr>
        <w:t>P</w:t>
      </w:r>
      <w:r w:rsidR="00616053">
        <w:rPr>
          <w:rFonts w:asciiTheme="minorHAnsi" w:hAnsiTheme="minorHAnsi"/>
          <w:bCs/>
          <w:snapToGrid w:val="0"/>
        </w:rPr>
        <w:t>ancare</w:t>
      </w:r>
      <w:proofErr w:type="spellEnd"/>
      <w:r w:rsidR="00616053">
        <w:rPr>
          <w:rFonts w:asciiTheme="minorHAnsi" w:hAnsiTheme="minorHAnsi"/>
          <w:bCs/>
          <w:snapToGrid w:val="0"/>
        </w:rPr>
        <w:t xml:space="preserve"> foundation</w:t>
      </w:r>
      <w:r w:rsidR="00A722FE" w:rsidRPr="00F00744">
        <w:rPr>
          <w:rFonts w:asciiTheme="minorHAnsi" w:hAnsiTheme="minorHAnsi"/>
          <w:bCs/>
          <w:snapToGrid w:val="0"/>
        </w:rPr>
        <w:t xml:space="preserve"> highlighted </w:t>
      </w:r>
      <w:r w:rsidR="00942E85">
        <w:rPr>
          <w:rFonts w:asciiTheme="minorHAnsi" w:hAnsiTheme="minorHAnsi"/>
          <w:bCs/>
          <w:snapToGrid w:val="0"/>
        </w:rPr>
        <w:t>the</w:t>
      </w:r>
      <w:r w:rsidR="00092622" w:rsidRPr="00F00744">
        <w:rPr>
          <w:rFonts w:asciiTheme="minorHAnsi" w:hAnsiTheme="minorHAnsi"/>
          <w:bCs/>
          <w:snapToGrid w:val="0"/>
        </w:rPr>
        <w:t xml:space="preserve"> poor prognosis </w:t>
      </w:r>
      <w:r w:rsidR="008B6AF4">
        <w:rPr>
          <w:rFonts w:asciiTheme="minorHAnsi" w:hAnsiTheme="minorHAnsi"/>
          <w:bCs/>
          <w:snapToGrid w:val="0"/>
        </w:rPr>
        <w:t xml:space="preserve">for HER2+ </w:t>
      </w:r>
      <w:r w:rsidR="008B6AF4" w:rsidRPr="000B4F3B">
        <w:t>G/GOJ adenocarcinoma</w:t>
      </w:r>
      <w:r w:rsidR="008B6AF4" w:rsidRPr="00F00744">
        <w:rPr>
          <w:rFonts w:asciiTheme="minorHAnsi" w:hAnsiTheme="minorHAnsi"/>
          <w:bCs/>
          <w:snapToGrid w:val="0"/>
        </w:rPr>
        <w:t xml:space="preserve"> </w:t>
      </w:r>
      <w:r w:rsidR="00177AE4" w:rsidRPr="00F00744">
        <w:rPr>
          <w:rFonts w:asciiTheme="minorHAnsi" w:hAnsiTheme="minorHAnsi"/>
          <w:bCs/>
          <w:snapToGrid w:val="0"/>
        </w:rPr>
        <w:t xml:space="preserve">and </w:t>
      </w:r>
      <w:r w:rsidR="008B6AF4">
        <w:rPr>
          <w:rFonts w:asciiTheme="minorHAnsi" w:hAnsiTheme="minorHAnsi"/>
          <w:bCs/>
          <w:snapToGrid w:val="0"/>
        </w:rPr>
        <w:t xml:space="preserve">the </w:t>
      </w:r>
      <w:r w:rsidR="00A92F66" w:rsidRPr="00F00744">
        <w:rPr>
          <w:rFonts w:asciiTheme="minorHAnsi" w:hAnsiTheme="minorHAnsi"/>
          <w:bCs/>
          <w:snapToGrid w:val="0"/>
        </w:rPr>
        <w:t>benefits of increased choice of treatment for the population.</w:t>
      </w:r>
      <w:r w:rsidR="00600E0E">
        <w:rPr>
          <w:rFonts w:asciiTheme="minorHAnsi" w:hAnsiTheme="minorHAnsi"/>
          <w:bCs/>
          <w:snapToGrid w:val="0"/>
        </w:rPr>
        <w:t xml:space="preserve"> </w:t>
      </w:r>
      <w:r w:rsidR="00895DD4">
        <w:rPr>
          <w:rFonts w:asciiTheme="minorHAnsi" w:hAnsiTheme="minorHAnsi"/>
          <w:bCs/>
          <w:snapToGrid w:val="0"/>
        </w:rPr>
        <w:t xml:space="preserve">The </w:t>
      </w:r>
      <w:proofErr w:type="spellStart"/>
      <w:r w:rsidR="00435A90">
        <w:rPr>
          <w:rFonts w:asciiTheme="minorHAnsi" w:hAnsiTheme="minorHAnsi"/>
          <w:bCs/>
          <w:snapToGrid w:val="0"/>
        </w:rPr>
        <w:t>P</w:t>
      </w:r>
      <w:r w:rsidR="00895DD4">
        <w:rPr>
          <w:rFonts w:asciiTheme="minorHAnsi" w:hAnsiTheme="minorHAnsi"/>
          <w:bCs/>
          <w:snapToGrid w:val="0"/>
        </w:rPr>
        <w:t>ancare</w:t>
      </w:r>
      <w:proofErr w:type="spellEnd"/>
      <w:r w:rsidR="00895DD4">
        <w:rPr>
          <w:rFonts w:asciiTheme="minorHAnsi" w:hAnsiTheme="minorHAnsi"/>
          <w:bCs/>
          <w:snapToGrid w:val="0"/>
        </w:rPr>
        <w:t xml:space="preserve"> foundation noted improved response rates and overall survival for T-</w:t>
      </w:r>
      <w:proofErr w:type="spellStart"/>
      <w:r w:rsidR="00895DD4">
        <w:rPr>
          <w:rFonts w:asciiTheme="minorHAnsi" w:hAnsiTheme="minorHAnsi"/>
          <w:bCs/>
          <w:snapToGrid w:val="0"/>
        </w:rPr>
        <w:t>DXd</w:t>
      </w:r>
      <w:proofErr w:type="spellEnd"/>
      <w:r w:rsidR="00895DD4">
        <w:rPr>
          <w:rFonts w:asciiTheme="minorHAnsi" w:hAnsiTheme="minorHAnsi"/>
          <w:bCs/>
          <w:snapToGrid w:val="0"/>
        </w:rPr>
        <w:t xml:space="preserve"> compared to chemotherapy, as well as the potential for hope and reduced financial burden and equitable access if it is PBS listed. </w:t>
      </w:r>
      <w:r w:rsidR="00CD482F">
        <w:rPr>
          <w:rFonts w:asciiTheme="minorHAnsi" w:hAnsiTheme="minorHAnsi"/>
          <w:bCs/>
          <w:snapToGrid w:val="0"/>
        </w:rPr>
        <w:t>Consumer input also noted the potential for significant side effects from T-</w:t>
      </w:r>
      <w:proofErr w:type="spellStart"/>
      <w:r w:rsidR="00CD482F">
        <w:rPr>
          <w:rFonts w:asciiTheme="minorHAnsi" w:hAnsiTheme="minorHAnsi"/>
          <w:bCs/>
          <w:snapToGrid w:val="0"/>
        </w:rPr>
        <w:t>DXd</w:t>
      </w:r>
      <w:proofErr w:type="spellEnd"/>
      <w:r w:rsidR="00CD482F">
        <w:rPr>
          <w:rFonts w:asciiTheme="minorHAnsi" w:hAnsiTheme="minorHAnsi"/>
          <w:bCs/>
          <w:snapToGrid w:val="0"/>
        </w:rPr>
        <w:t>, and the health professional described the importance of educating clinicians regarding monitoring and early intervention for pneumonitis.</w:t>
      </w:r>
    </w:p>
    <w:p w14:paraId="20C7796C" w14:textId="52FA85B4" w:rsidR="007F0A3E" w:rsidRPr="00D0338E" w:rsidRDefault="00600E0E" w:rsidP="00EE27EC">
      <w:pPr>
        <w:widowControl w:val="0"/>
        <w:numPr>
          <w:ilvl w:val="1"/>
          <w:numId w:val="5"/>
        </w:numPr>
        <w:spacing w:after="120"/>
        <w:rPr>
          <w:rFonts w:asciiTheme="minorHAnsi" w:hAnsiTheme="minorHAnsi"/>
          <w:bCs/>
          <w:snapToGrid w:val="0"/>
        </w:rPr>
      </w:pPr>
      <w:r w:rsidRPr="00A74363">
        <w:rPr>
          <w:rFonts w:asciiTheme="minorHAnsi" w:hAnsiTheme="minorHAnsi"/>
          <w:bCs/>
          <w:snapToGrid w:val="0"/>
        </w:rPr>
        <w:t xml:space="preserve">The Medical Oncology Group of Australia (MOGA) also expressed its support for the </w:t>
      </w:r>
      <w:r>
        <w:rPr>
          <w:rFonts w:asciiTheme="minorHAnsi" w:hAnsiTheme="minorHAnsi"/>
          <w:bCs/>
          <w:snapToGrid w:val="0"/>
        </w:rPr>
        <w:t>T</w:t>
      </w:r>
      <w:r w:rsidR="00286196">
        <w:rPr>
          <w:rFonts w:asciiTheme="minorHAnsi" w:hAnsiTheme="minorHAnsi"/>
          <w:bCs/>
          <w:snapToGrid w:val="0"/>
        </w:rPr>
        <w:t>-</w:t>
      </w:r>
      <w:proofErr w:type="spellStart"/>
      <w:r>
        <w:rPr>
          <w:rFonts w:asciiTheme="minorHAnsi" w:hAnsiTheme="minorHAnsi"/>
          <w:bCs/>
          <w:snapToGrid w:val="0"/>
        </w:rPr>
        <w:t>DXd</w:t>
      </w:r>
      <w:proofErr w:type="spellEnd"/>
      <w:r w:rsidRPr="00A74363">
        <w:rPr>
          <w:rFonts w:asciiTheme="minorHAnsi" w:hAnsiTheme="minorHAnsi"/>
          <w:bCs/>
          <w:snapToGrid w:val="0"/>
        </w:rPr>
        <w:t xml:space="preserve"> submission. The PBAC noted that the MOGA presented a European Society for Medical Oncology Magnitude of Clinical Benefit Scale (ESMO-MCBS) </w:t>
      </w:r>
      <w:r w:rsidRPr="00525B39">
        <w:rPr>
          <w:rFonts w:asciiTheme="minorHAnsi" w:hAnsiTheme="minorHAnsi"/>
          <w:bCs/>
          <w:snapToGrid w:val="0"/>
        </w:rPr>
        <w:t xml:space="preserve">for </w:t>
      </w:r>
      <w:r>
        <w:rPr>
          <w:rFonts w:asciiTheme="minorHAnsi" w:hAnsiTheme="minorHAnsi"/>
          <w:bCs/>
          <w:snapToGrid w:val="0"/>
        </w:rPr>
        <w:t>T</w:t>
      </w:r>
      <w:r w:rsidR="00EF655E">
        <w:rPr>
          <w:rFonts w:asciiTheme="minorHAnsi" w:hAnsiTheme="minorHAnsi"/>
          <w:bCs/>
          <w:snapToGrid w:val="0"/>
        </w:rPr>
        <w:noBreakHyphen/>
      </w:r>
      <w:proofErr w:type="spellStart"/>
      <w:r w:rsidR="00B46407">
        <w:rPr>
          <w:rFonts w:asciiTheme="minorHAnsi" w:hAnsiTheme="minorHAnsi"/>
          <w:bCs/>
          <w:snapToGrid w:val="0"/>
        </w:rPr>
        <w:t>DXd</w:t>
      </w:r>
      <w:proofErr w:type="spellEnd"/>
      <w:r w:rsidRPr="00525B39">
        <w:rPr>
          <w:rFonts w:asciiTheme="minorHAnsi" w:hAnsiTheme="minorHAnsi"/>
          <w:bCs/>
          <w:snapToGrid w:val="0"/>
        </w:rPr>
        <w:t xml:space="preserve">, which was limited to </w:t>
      </w:r>
      <w:r w:rsidR="00B46407">
        <w:rPr>
          <w:rFonts w:asciiTheme="minorHAnsi" w:hAnsiTheme="minorHAnsi"/>
          <w:bCs/>
          <w:snapToGrid w:val="0"/>
        </w:rPr>
        <w:t>2</w:t>
      </w:r>
      <w:r w:rsidRPr="00525B39">
        <w:rPr>
          <w:rFonts w:asciiTheme="minorHAnsi" w:hAnsiTheme="minorHAnsi"/>
          <w:bCs/>
          <w:snapToGrid w:val="0"/>
        </w:rPr>
        <w:t xml:space="preserve"> (out of a maximum of 5, where 5 and 4 represent the grades with substantial improvement)</w:t>
      </w:r>
      <w:r w:rsidR="005A4679">
        <w:rPr>
          <w:rStyle w:val="FootnoteReference"/>
          <w:rFonts w:asciiTheme="minorHAnsi" w:hAnsiTheme="minorHAnsi"/>
          <w:bCs/>
          <w:snapToGrid w:val="0"/>
        </w:rPr>
        <w:footnoteReference w:id="12"/>
      </w:r>
      <w:r w:rsidRPr="00525B39">
        <w:rPr>
          <w:rFonts w:asciiTheme="minorHAnsi" w:hAnsiTheme="minorHAnsi"/>
          <w:bCs/>
          <w:snapToGrid w:val="0"/>
        </w:rPr>
        <w:t xml:space="preserve">, based on </w:t>
      </w:r>
      <w:r w:rsidR="00F5160E">
        <w:rPr>
          <w:rFonts w:asciiTheme="minorHAnsi" w:hAnsiTheme="minorHAnsi"/>
          <w:bCs/>
          <w:snapToGrid w:val="0"/>
        </w:rPr>
        <w:t>the</w:t>
      </w:r>
      <w:r w:rsidR="002E1D1A">
        <w:rPr>
          <w:rFonts w:asciiTheme="minorHAnsi" w:hAnsiTheme="minorHAnsi"/>
          <w:bCs/>
          <w:snapToGrid w:val="0"/>
        </w:rPr>
        <w:t xml:space="preserve"> single</w:t>
      </w:r>
      <w:r w:rsidR="00814EDE">
        <w:rPr>
          <w:rFonts w:asciiTheme="minorHAnsi" w:hAnsiTheme="minorHAnsi"/>
          <w:bCs/>
          <w:snapToGrid w:val="0"/>
        </w:rPr>
        <w:t xml:space="preserve"> arm</w:t>
      </w:r>
      <w:r w:rsidR="00F5160E">
        <w:rPr>
          <w:rFonts w:asciiTheme="minorHAnsi" w:hAnsiTheme="minorHAnsi"/>
          <w:bCs/>
          <w:snapToGrid w:val="0"/>
        </w:rPr>
        <w:t xml:space="preserve"> DG-0</w:t>
      </w:r>
      <w:r w:rsidR="002E2E82">
        <w:rPr>
          <w:rFonts w:asciiTheme="minorHAnsi" w:hAnsiTheme="minorHAnsi"/>
          <w:bCs/>
          <w:snapToGrid w:val="0"/>
        </w:rPr>
        <w:t>2</w:t>
      </w:r>
      <w:r w:rsidR="00F5160E">
        <w:rPr>
          <w:rFonts w:asciiTheme="minorHAnsi" w:hAnsiTheme="minorHAnsi"/>
          <w:bCs/>
          <w:snapToGrid w:val="0"/>
        </w:rPr>
        <w:t xml:space="preserve"> study</w:t>
      </w:r>
      <w:r w:rsidRPr="00525B39">
        <w:rPr>
          <w:rFonts w:asciiTheme="minorHAnsi" w:hAnsiTheme="minorHAnsi"/>
          <w:bCs/>
          <w:snapToGrid w:val="0"/>
        </w:rPr>
        <w:t xml:space="preserve">. </w:t>
      </w:r>
      <w:r w:rsidR="00F4278D">
        <w:rPr>
          <w:rFonts w:asciiTheme="minorHAnsi" w:hAnsiTheme="minorHAnsi"/>
          <w:bCs/>
          <w:snapToGrid w:val="0"/>
        </w:rPr>
        <w:t xml:space="preserve">The PBAC noted that the ESMO-MCBS score </w:t>
      </w:r>
      <w:r w:rsidR="007F30F2">
        <w:rPr>
          <w:rFonts w:asciiTheme="minorHAnsi" w:hAnsiTheme="minorHAnsi"/>
          <w:bCs/>
          <w:snapToGrid w:val="0"/>
        </w:rPr>
        <w:t>is</w:t>
      </w:r>
      <w:r w:rsidR="002E2E82">
        <w:rPr>
          <w:rFonts w:asciiTheme="minorHAnsi" w:hAnsiTheme="minorHAnsi"/>
          <w:bCs/>
          <w:snapToGrid w:val="0"/>
        </w:rPr>
        <w:t xml:space="preserve"> 4</w:t>
      </w:r>
      <w:r w:rsidR="00F13704">
        <w:rPr>
          <w:rFonts w:asciiTheme="minorHAnsi" w:hAnsiTheme="minorHAnsi"/>
          <w:bCs/>
          <w:snapToGrid w:val="0"/>
        </w:rPr>
        <w:t xml:space="preserve"> out of </w:t>
      </w:r>
      <w:r w:rsidR="002E2E82">
        <w:rPr>
          <w:rFonts w:asciiTheme="minorHAnsi" w:hAnsiTheme="minorHAnsi"/>
          <w:bCs/>
          <w:snapToGrid w:val="0"/>
        </w:rPr>
        <w:t>5 based on the DG-01 study.</w:t>
      </w:r>
      <w:r w:rsidRPr="00525B39">
        <w:rPr>
          <w:rFonts w:asciiTheme="minorHAnsi" w:hAnsiTheme="minorHAnsi"/>
          <w:bCs/>
          <w:snapToGrid w:val="0"/>
        </w:rPr>
        <w:t xml:space="preserve"> </w:t>
      </w:r>
    </w:p>
    <w:bookmarkEnd w:id="22"/>
    <w:bookmarkEnd w:id="25"/>
    <w:p w14:paraId="51D88526" w14:textId="77777777" w:rsidR="00BF711F" w:rsidRPr="00D86D87" w:rsidRDefault="00BF711F" w:rsidP="00BF711F">
      <w:pPr>
        <w:pStyle w:val="4-SubsectionHeading"/>
      </w:pPr>
      <w:r w:rsidRPr="00D86D87">
        <w:t>Clinical studies</w:t>
      </w:r>
      <w:bookmarkEnd w:id="21"/>
      <w:bookmarkEnd w:id="23"/>
      <w:bookmarkEnd w:id="24"/>
    </w:p>
    <w:p w14:paraId="7A78D7EC" w14:textId="6463B672" w:rsidR="00BF711F" w:rsidRPr="000B4F3B" w:rsidRDefault="00BF711F" w:rsidP="00BF711F">
      <w:pPr>
        <w:pStyle w:val="3-BodyText"/>
        <w:rPr>
          <w:color w:val="0066FF"/>
        </w:rPr>
      </w:pPr>
      <w:r w:rsidRPr="000B4F3B">
        <w:t>The submission included two studies. Pivotal evidence was from an open-label, 2:1 randomised controlled trial (RCT) that evaluated the safety and efficacy of T-</w:t>
      </w:r>
      <w:proofErr w:type="spellStart"/>
      <w:r w:rsidRPr="000B4F3B">
        <w:t>DXd</w:t>
      </w:r>
      <w:proofErr w:type="spellEnd"/>
      <w:r w:rsidRPr="000B4F3B">
        <w:t xml:space="preserve"> (N=126)</w:t>
      </w:r>
      <w:r w:rsidRPr="000B4F3B" w:rsidDel="005F337D">
        <w:t xml:space="preserve"> </w:t>
      </w:r>
      <w:r w:rsidRPr="000B4F3B">
        <w:t>compared to SoC (N=62), either irinotecan (N=55) or paclitaxel (N=7), in HER2-positive East-Asian patients with advanced G/GOJ adenocarcinoma, who had progressed on at least two prior regimens (Destiny Gastric 01; DG-01)</w:t>
      </w:r>
      <w:r w:rsidR="005A7737">
        <w:t>, including one trastuzumab-based regimen</w:t>
      </w:r>
      <w:r w:rsidRPr="000B4F3B">
        <w:t>. Randomisation was stratified by region (Japan or Korea), Eastern Cooperative Oncology Group Performance Status (ECOG PS) 0 or 1, and HER2 status (HER2 IHC 3+ or IHC 2+/ISH+). The primary endpoint was objective response rate (ORR) assessed by independent central review (ICR) based on Response Evaluation Criteria in Solid Tumours (RECIST) Version 1.1. Secondary efficacy outcomes included OS, PFS and health-related quality of life (</w:t>
      </w:r>
      <w:proofErr w:type="spellStart"/>
      <w:r w:rsidRPr="000B4F3B">
        <w:t>HRQoL</w:t>
      </w:r>
      <w:proofErr w:type="spellEnd"/>
      <w:r w:rsidRPr="000B4F3B">
        <w:t>).</w:t>
      </w:r>
      <w:r w:rsidRPr="000B4F3B">
        <w:rPr>
          <w:rStyle w:val="FootnoteReference"/>
        </w:rPr>
        <w:footnoteReference w:id="13"/>
      </w:r>
    </w:p>
    <w:p w14:paraId="09005FC4" w14:textId="77777777" w:rsidR="00BF711F" w:rsidRPr="000B4F3B" w:rsidRDefault="00BF711F" w:rsidP="00BF711F">
      <w:pPr>
        <w:pStyle w:val="3-BodyText"/>
        <w:rPr>
          <w:color w:val="0066FF"/>
        </w:rPr>
      </w:pPr>
      <w:r w:rsidRPr="000B4F3B">
        <w:t>Supporting evidence was provided by a single arm study evaluating the safety and efficacy of T-</w:t>
      </w:r>
      <w:proofErr w:type="spellStart"/>
      <w:r w:rsidRPr="000B4F3B">
        <w:t>DXd</w:t>
      </w:r>
      <w:proofErr w:type="spellEnd"/>
      <w:r w:rsidRPr="000B4F3B">
        <w:t xml:space="preserve"> (N=79) in patients with HER2-positive advanced or metastatic G/GOJ adenocarcinoma who had progressed on a prior trastuzumab-containing regimen </w:t>
      </w:r>
      <w:r w:rsidRPr="000B4F3B">
        <w:lastRenderedPageBreak/>
        <w:t>(Destiny Gastric 02; DG-02); the study population was recruited from Europe and North America.</w:t>
      </w:r>
      <w:r w:rsidRPr="000B4F3B">
        <w:rPr>
          <w:rStyle w:val="FootnoteReference"/>
        </w:rPr>
        <w:footnoteReference w:id="14"/>
      </w:r>
    </w:p>
    <w:p w14:paraId="6E668C63" w14:textId="30714A28" w:rsidR="00BF711F" w:rsidRPr="000B4F3B" w:rsidRDefault="00BF711F" w:rsidP="00BF711F">
      <w:pPr>
        <w:pStyle w:val="3-BodyText"/>
        <w:rPr>
          <w:color w:val="0066FF"/>
        </w:rPr>
      </w:pPr>
      <w:r w:rsidRPr="000B4F3B">
        <w:t xml:space="preserve">In study DG-01, patients were required to meet inclusion criteria for HER2 positivity (centrally confirmed HER2 IHC 3+ or IHC 2+/ISH+) using archival tumour samples obtained prior to trastuzumab treatment, or fresh samples where archival tissue was not available. In study DG-02, criteria for HER2 positive status were the same but based on fresh tumour tissue obtained after progression on or after a prior trastuzumab-containing regimen. The time that tumour samples or biopsies were obtained in </w:t>
      </w:r>
      <w:r w:rsidR="00A56BEC">
        <w:t>DG-01</w:t>
      </w:r>
      <w:r w:rsidRPr="000B4F3B">
        <w:t xml:space="preserve"> (before </w:t>
      </w:r>
      <w:r w:rsidR="00CD0CFD">
        <w:t xml:space="preserve">prior </w:t>
      </w:r>
      <w:r w:rsidRPr="000B4F3B">
        <w:t xml:space="preserve">treatment with </w:t>
      </w:r>
      <w:bookmarkStart w:id="26" w:name="_Hlk191822984"/>
      <w:r w:rsidRPr="000B4F3B">
        <w:t>trastuzumab</w:t>
      </w:r>
      <w:bookmarkEnd w:id="26"/>
      <w:r w:rsidRPr="000B4F3B">
        <w:t>) means that it was not possible to accurately determine the HER2 positive status of patients at the point of T</w:t>
      </w:r>
      <w:r w:rsidR="00557B1B" w:rsidRPr="000B4F3B">
        <w:noBreakHyphen/>
      </w:r>
      <w:proofErr w:type="spellStart"/>
      <w:r w:rsidRPr="000B4F3B">
        <w:t>DXd</w:t>
      </w:r>
      <w:proofErr w:type="spellEnd"/>
      <w:r w:rsidRPr="000B4F3B">
        <w:t xml:space="preserve"> treatment initiation due to the potential development of HER2 resistance following prior trastuzumab treatment, as discussed in para.</w:t>
      </w:r>
      <w:r w:rsidR="00A40B46" w:rsidRPr="000B4F3B">
        <w:t xml:space="preserve"> </w:t>
      </w:r>
      <w:r w:rsidR="00A40B46" w:rsidRPr="000B4F3B">
        <w:fldChar w:fldCharType="begin"/>
      </w:r>
      <w:r w:rsidR="00A40B46" w:rsidRPr="000B4F3B">
        <w:instrText xml:space="preserve"> REF _Ref193227335 \r \h </w:instrText>
      </w:r>
      <w:r w:rsidR="000B4F3B" w:rsidRPr="000B4F3B">
        <w:instrText xml:space="preserve"> \* MERGEFORMAT </w:instrText>
      </w:r>
      <w:r w:rsidR="00A40B46" w:rsidRPr="000B4F3B">
        <w:fldChar w:fldCharType="separate"/>
      </w:r>
      <w:r w:rsidR="00593619">
        <w:t>4.3</w:t>
      </w:r>
      <w:r w:rsidR="00A40B46" w:rsidRPr="000B4F3B">
        <w:fldChar w:fldCharType="end"/>
      </w:r>
      <w:r w:rsidRPr="000B4F3B">
        <w:t>.</w:t>
      </w:r>
      <w:r w:rsidR="00A56BEC">
        <w:t xml:space="preserve"> However, </w:t>
      </w:r>
      <w:r w:rsidR="00CE7050">
        <w:t xml:space="preserve">testing prior to </w:t>
      </w:r>
      <w:r w:rsidR="002E6158">
        <w:t>1L trastuzumab</w:t>
      </w:r>
      <w:r w:rsidR="00A56BEC">
        <w:t xml:space="preserve"> is consistent with how testing would occur in clinical practice as </w:t>
      </w:r>
      <w:r w:rsidR="00814C9B">
        <w:t xml:space="preserve">no requirement for </w:t>
      </w:r>
      <w:r w:rsidR="002E6158">
        <w:t>re-biopsy/</w:t>
      </w:r>
      <w:r w:rsidR="00A56BEC">
        <w:t>re-testing is proposed</w:t>
      </w:r>
      <w:r w:rsidR="00814C9B">
        <w:t>.</w:t>
      </w:r>
      <w:r w:rsidR="00A56BEC">
        <w:t xml:space="preserve"> </w:t>
      </w:r>
    </w:p>
    <w:p w14:paraId="7A7CB6C0" w14:textId="1C929F42" w:rsidR="00613F3C" w:rsidRPr="000B4F3B" w:rsidRDefault="00613F3C" w:rsidP="00BF711F">
      <w:pPr>
        <w:pStyle w:val="3-BodyText"/>
        <w:rPr>
          <w:color w:val="0066FF"/>
        </w:rPr>
      </w:pPr>
      <w:r w:rsidRPr="000B4F3B">
        <w:t>The s</w:t>
      </w:r>
      <w:r w:rsidR="00BF711F" w:rsidRPr="000B4F3B">
        <w:t xml:space="preserve">tudies </w:t>
      </w:r>
      <w:r w:rsidRPr="000B4F3B">
        <w:t xml:space="preserve">presented </w:t>
      </w:r>
      <w:r w:rsidR="00BF711F" w:rsidRPr="000B4F3B">
        <w:t>in the submission</w:t>
      </w:r>
      <w:r w:rsidR="004A6495" w:rsidRPr="000B4F3B">
        <w:t>,</w:t>
      </w:r>
      <w:r w:rsidR="00BF711F" w:rsidRPr="000B4F3B">
        <w:t xml:space="preserve"> </w:t>
      </w:r>
      <w:r w:rsidR="004A6495" w:rsidRPr="000B4F3B">
        <w:t xml:space="preserve">and their associated reports </w:t>
      </w:r>
      <w:r w:rsidR="00BF711F" w:rsidRPr="000B4F3B">
        <w:t xml:space="preserve">are provided in </w:t>
      </w:r>
      <w:r w:rsidR="00BF711F" w:rsidRPr="000B4F3B">
        <w:fldChar w:fldCharType="begin"/>
      </w:r>
      <w:r w:rsidR="00BF711F" w:rsidRPr="000B4F3B">
        <w:instrText xml:space="preserve"> REF _Ref104803956 \h </w:instrText>
      </w:r>
      <w:r w:rsidR="000B4F3B" w:rsidRPr="000B4F3B">
        <w:instrText xml:space="preserve"> \* MERGEFORMAT </w:instrText>
      </w:r>
      <w:r w:rsidR="00BF711F" w:rsidRPr="000B4F3B">
        <w:fldChar w:fldCharType="separate"/>
      </w:r>
      <w:r w:rsidR="00593619" w:rsidRPr="00D86D87">
        <w:t xml:space="preserve">Table </w:t>
      </w:r>
      <w:r w:rsidR="00593619">
        <w:rPr>
          <w:noProof/>
        </w:rPr>
        <w:t>2</w:t>
      </w:r>
      <w:r w:rsidR="00BF711F" w:rsidRPr="000B4F3B">
        <w:fldChar w:fldCharType="end"/>
      </w:r>
      <w:r w:rsidR="00BF711F" w:rsidRPr="000B4F3B">
        <w:t xml:space="preserve">. </w:t>
      </w:r>
    </w:p>
    <w:p w14:paraId="6F2495EB" w14:textId="1E23C318" w:rsidR="00BF711F" w:rsidRPr="000B4F3B" w:rsidRDefault="00BF711F" w:rsidP="00BF711F">
      <w:pPr>
        <w:pStyle w:val="3-BodyText"/>
        <w:rPr>
          <w:color w:val="0066FF"/>
        </w:rPr>
      </w:pPr>
      <w:r w:rsidRPr="000B4F3B">
        <w:t xml:space="preserve">The key features of studies DG-01 and DG-02 are summarised in </w:t>
      </w:r>
      <w:r w:rsidRPr="000B4F3B">
        <w:fldChar w:fldCharType="begin"/>
      </w:r>
      <w:r w:rsidRPr="000B4F3B">
        <w:instrText xml:space="preserve"> REF _Ref104804098 \h  \* MERGEFORMAT </w:instrText>
      </w:r>
      <w:r w:rsidRPr="000B4F3B">
        <w:fldChar w:fldCharType="separate"/>
      </w:r>
      <w:r w:rsidR="00593619" w:rsidRPr="00593619">
        <w:t>Table 3</w:t>
      </w:r>
      <w:r w:rsidRPr="000B4F3B">
        <w:fldChar w:fldCharType="end"/>
      </w:r>
      <w:r w:rsidRPr="000B4F3B">
        <w:t>.</w:t>
      </w:r>
    </w:p>
    <w:p w14:paraId="69983E32" w14:textId="2E5C363E" w:rsidR="00BF711F" w:rsidRPr="00D86D87" w:rsidRDefault="00BF711F" w:rsidP="00BF711F">
      <w:pPr>
        <w:pStyle w:val="TableFigureHeading"/>
        <w:rPr>
          <w:rStyle w:val="CommentReference"/>
          <w:b/>
          <w:szCs w:val="24"/>
        </w:rPr>
      </w:pPr>
      <w:bookmarkStart w:id="27" w:name="_Ref104803956"/>
      <w:r w:rsidRPr="00D86D87">
        <w:lastRenderedPageBreak/>
        <w:t xml:space="preserve">Table </w:t>
      </w:r>
      <w:r w:rsidR="008B461E">
        <w:fldChar w:fldCharType="begin"/>
      </w:r>
      <w:r w:rsidR="008B461E">
        <w:instrText xml:space="preserve"> SEQ Table \* ARABIC </w:instrText>
      </w:r>
      <w:r w:rsidR="008B461E">
        <w:fldChar w:fldCharType="separate"/>
      </w:r>
      <w:r w:rsidR="00593619">
        <w:rPr>
          <w:noProof/>
        </w:rPr>
        <w:t>2</w:t>
      </w:r>
      <w:r w:rsidR="008B461E">
        <w:rPr>
          <w:noProof/>
        </w:rPr>
        <w:fldChar w:fldCharType="end"/>
      </w:r>
      <w:bookmarkEnd w:id="27"/>
      <w:r w:rsidRPr="00D86D87">
        <w:t>:</w:t>
      </w:r>
      <w:r w:rsidRPr="00D86D87">
        <w:rPr>
          <w:rStyle w:val="CommentReference"/>
          <w:b/>
          <w:szCs w:val="24"/>
        </w:rPr>
        <w:t xml:space="preserve"> </w:t>
      </w:r>
      <w:r>
        <w:rPr>
          <w:rStyle w:val="CommentReference"/>
          <w:b/>
          <w:szCs w:val="24"/>
        </w:rPr>
        <w:t>Trials</w:t>
      </w:r>
      <w:r w:rsidRPr="00D86D87">
        <w:rPr>
          <w:rStyle w:val="CommentReference"/>
          <w:b/>
          <w:szCs w:val="24"/>
        </w:rPr>
        <w:t xml:space="preserve"> and associated reports presented in the submission</w:t>
      </w:r>
    </w:p>
    <w:tbl>
      <w:tblPr>
        <w:tblStyle w:val="TableGrid"/>
        <w:tblW w:w="5000" w:type="pct"/>
        <w:tblLook w:val="01E0" w:firstRow="1" w:lastRow="1" w:firstColumn="1" w:lastColumn="1" w:noHBand="0" w:noVBand="0"/>
      </w:tblPr>
      <w:tblGrid>
        <w:gridCol w:w="1435"/>
        <w:gridCol w:w="5459"/>
        <w:gridCol w:w="2123"/>
      </w:tblGrid>
      <w:tr w:rsidR="00BF711F" w:rsidRPr="0098262F" w14:paraId="2B5BF207" w14:textId="77777777">
        <w:tc>
          <w:tcPr>
            <w:tcW w:w="796" w:type="pct"/>
          </w:tcPr>
          <w:p w14:paraId="1096FEAD" w14:textId="77777777" w:rsidR="00BF711F" w:rsidRPr="0098262F" w:rsidRDefault="00BF711F">
            <w:pPr>
              <w:pStyle w:val="In-tableHeading"/>
            </w:pPr>
            <w:r w:rsidRPr="0098262F">
              <w:t>Trial ID</w:t>
            </w:r>
          </w:p>
        </w:tc>
        <w:tc>
          <w:tcPr>
            <w:tcW w:w="3027" w:type="pct"/>
            <w:tcBorders>
              <w:bottom w:val="single" w:sz="4" w:space="0" w:color="auto"/>
            </w:tcBorders>
          </w:tcPr>
          <w:p w14:paraId="0BB4E5A7" w14:textId="77777777" w:rsidR="00BF711F" w:rsidRPr="0098262F" w:rsidRDefault="00BF711F">
            <w:pPr>
              <w:pStyle w:val="In-tableHeading"/>
            </w:pPr>
            <w:r w:rsidRPr="0098262F">
              <w:t>Protocol title/ Publication title</w:t>
            </w:r>
          </w:p>
        </w:tc>
        <w:tc>
          <w:tcPr>
            <w:tcW w:w="1177" w:type="pct"/>
            <w:tcBorders>
              <w:bottom w:val="single" w:sz="4" w:space="0" w:color="auto"/>
            </w:tcBorders>
          </w:tcPr>
          <w:p w14:paraId="35DAF0FD" w14:textId="77777777" w:rsidR="00BF711F" w:rsidRPr="0098262F" w:rsidRDefault="00BF711F">
            <w:pPr>
              <w:pStyle w:val="In-tableHeading"/>
            </w:pPr>
            <w:r w:rsidRPr="0098262F">
              <w:t>Publication citation</w:t>
            </w:r>
          </w:p>
        </w:tc>
      </w:tr>
      <w:tr w:rsidR="00BF711F" w:rsidRPr="0098262F" w14:paraId="765EAF7E" w14:textId="77777777">
        <w:tc>
          <w:tcPr>
            <w:tcW w:w="796" w:type="pct"/>
            <w:vMerge w:val="restart"/>
          </w:tcPr>
          <w:p w14:paraId="0160C167" w14:textId="77777777" w:rsidR="00BF711F" w:rsidRDefault="00BF711F">
            <w:pPr>
              <w:pStyle w:val="TableText0"/>
            </w:pPr>
            <w:r>
              <w:t>Destiny Gastric 01 (</w:t>
            </w:r>
            <w:r w:rsidRPr="00593EA9">
              <w:t>DG-01</w:t>
            </w:r>
            <w:r>
              <w:t>)</w:t>
            </w:r>
          </w:p>
          <w:p w14:paraId="77E82B23" w14:textId="77777777" w:rsidR="00BF711F" w:rsidRPr="00593EA9" w:rsidRDefault="00BF711F">
            <w:pPr>
              <w:pStyle w:val="TableText0"/>
            </w:pPr>
          </w:p>
          <w:p w14:paraId="20CBC9B1" w14:textId="77777777" w:rsidR="00BF711F" w:rsidRPr="0098262F" w:rsidRDefault="00BF711F">
            <w:pPr>
              <w:pStyle w:val="TableText0"/>
            </w:pPr>
            <w:r w:rsidRPr="00593EA9">
              <w:t>N</w:t>
            </w:r>
            <w:r>
              <w:t>CT</w:t>
            </w:r>
            <w:r w:rsidRPr="00593EA9">
              <w:t>03329690</w:t>
            </w:r>
          </w:p>
        </w:tc>
        <w:tc>
          <w:tcPr>
            <w:tcW w:w="3027" w:type="pct"/>
            <w:tcBorders>
              <w:bottom w:val="nil"/>
            </w:tcBorders>
          </w:tcPr>
          <w:p w14:paraId="45054093" w14:textId="77777777" w:rsidR="00BF711F" w:rsidRPr="0098262F" w:rsidRDefault="00BF711F">
            <w:pPr>
              <w:pStyle w:val="TableText0"/>
            </w:pPr>
            <w:r w:rsidRPr="00593EA9">
              <w:t>DG-01 CSR DCO1 (8 November 2019)</w:t>
            </w:r>
          </w:p>
        </w:tc>
        <w:tc>
          <w:tcPr>
            <w:tcW w:w="1177" w:type="pct"/>
            <w:tcBorders>
              <w:bottom w:val="nil"/>
            </w:tcBorders>
          </w:tcPr>
          <w:p w14:paraId="758B26DC" w14:textId="77777777" w:rsidR="00BF711F" w:rsidRPr="0098262F" w:rsidRDefault="00BF711F">
            <w:pPr>
              <w:pStyle w:val="TableText0"/>
            </w:pPr>
            <w:r>
              <w:rPr>
                <w:iCs/>
              </w:rPr>
              <w:t>NA</w:t>
            </w:r>
          </w:p>
        </w:tc>
      </w:tr>
      <w:tr w:rsidR="00BF711F" w:rsidRPr="0098262F" w14:paraId="593F977A" w14:textId="77777777">
        <w:tc>
          <w:tcPr>
            <w:tcW w:w="796" w:type="pct"/>
            <w:vMerge/>
          </w:tcPr>
          <w:p w14:paraId="297F726E" w14:textId="77777777" w:rsidR="00BF711F" w:rsidRPr="0098262F" w:rsidRDefault="00BF711F">
            <w:pPr>
              <w:pStyle w:val="TableText0"/>
            </w:pPr>
          </w:p>
        </w:tc>
        <w:tc>
          <w:tcPr>
            <w:tcW w:w="3027" w:type="pct"/>
            <w:tcBorders>
              <w:top w:val="nil"/>
              <w:bottom w:val="nil"/>
            </w:tcBorders>
          </w:tcPr>
          <w:p w14:paraId="1955B0F8" w14:textId="77777777" w:rsidR="00BF711F" w:rsidRPr="0098262F" w:rsidRDefault="00BF711F">
            <w:pPr>
              <w:pStyle w:val="TableText0"/>
            </w:pPr>
            <w:r w:rsidRPr="00593EA9">
              <w:t>DG-01 CSR DCO2 (3 June 2020)</w:t>
            </w:r>
          </w:p>
        </w:tc>
        <w:tc>
          <w:tcPr>
            <w:tcW w:w="1177" w:type="pct"/>
            <w:tcBorders>
              <w:top w:val="nil"/>
              <w:bottom w:val="nil"/>
            </w:tcBorders>
          </w:tcPr>
          <w:p w14:paraId="0772C6C1" w14:textId="77777777" w:rsidR="00BF711F" w:rsidRPr="00593EA9" w:rsidRDefault="00BF711F">
            <w:pPr>
              <w:pStyle w:val="TableText0"/>
              <w:rPr>
                <w:iCs/>
              </w:rPr>
            </w:pPr>
            <w:r>
              <w:rPr>
                <w:iCs/>
              </w:rPr>
              <w:t>NA</w:t>
            </w:r>
          </w:p>
        </w:tc>
      </w:tr>
      <w:tr w:rsidR="00BF711F" w:rsidRPr="0098262F" w14:paraId="2080948E" w14:textId="77777777">
        <w:tc>
          <w:tcPr>
            <w:tcW w:w="796" w:type="pct"/>
            <w:vMerge/>
          </w:tcPr>
          <w:p w14:paraId="77A31A74" w14:textId="77777777" w:rsidR="00BF711F" w:rsidRPr="0098262F" w:rsidRDefault="00BF711F">
            <w:pPr>
              <w:pStyle w:val="TableText0"/>
            </w:pPr>
          </w:p>
        </w:tc>
        <w:tc>
          <w:tcPr>
            <w:tcW w:w="3027" w:type="pct"/>
            <w:tcBorders>
              <w:top w:val="nil"/>
              <w:bottom w:val="nil"/>
            </w:tcBorders>
          </w:tcPr>
          <w:p w14:paraId="473ACD00" w14:textId="77777777" w:rsidR="00BF711F" w:rsidRPr="0098262F" w:rsidRDefault="00BF711F">
            <w:pPr>
              <w:pStyle w:val="TableText0"/>
            </w:pPr>
            <w:r w:rsidRPr="00593EA9">
              <w:t>DG-01 Protocol v6.0</w:t>
            </w:r>
          </w:p>
        </w:tc>
        <w:tc>
          <w:tcPr>
            <w:tcW w:w="1177" w:type="pct"/>
            <w:tcBorders>
              <w:top w:val="nil"/>
              <w:bottom w:val="nil"/>
            </w:tcBorders>
          </w:tcPr>
          <w:p w14:paraId="35D75264" w14:textId="77777777" w:rsidR="00BF711F" w:rsidRPr="0098262F" w:rsidRDefault="00BF711F">
            <w:pPr>
              <w:pStyle w:val="TableText0"/>
              <w:rPr>
                <w:i/>
              </w:rPr>
            </w:pPr>
            <w:r>
              <w:rPr>
                <w:iCs/>
              </w:rPr>
              <w:t>NA</w:t>
            </w:r>
          </w:p>
        </w:tc>
      </w:tr>
      <w:tr w:rsidR="00BF711F" w:rsidRPr="0098262F" w14:paraId="094BB85B" w14:textId="77777777">
        <w:tc>
          <w:tcPr>
            <w:tcW w:w="796" w:type="pct"/>
            <w:vMerge/>
          </w:tcPr>
          <w:p w14:paraId="7FCFD756" w14:textId="77777777" w:rsidR="00BF711F" w:rsidRPr="0098262F" w:rsidRDefault="00BF711F">
            <w:pPr>
              <w:pStyle w:val="TableText0"/>
            </w:pPr>
          </w:p>
        </w:tc>
        <w:tc>
          <w:tcPr>
            <w:tcW w:w="3027" w:type="pct"/>
            <w:tcBorders>
              <w:top w:val="nil"/>
              <w:bottom w:val="nil"/>
            </w:tcBorders>
          </w:tcPr>
          <w:p w14:paraId="6384F095" w14:textId="77777777" w:rsidR="00BF711F" w:rsidRPr="0098262F" w:rsidRDefault="00BF711F">
            <w:pPr>
              <w:pStyle w:val="TableText0"/>
            </w:pPr>
            <w:r w:rsidRPr="00593EA9">
              <w:t xml:space="preserve">Shitara, K., Bang, Y. J., Iwasa, S., et al. Trastuzumab </w:t>
            </w:r>
            <w:proofErr w:type="spellStart"/>
            <w:r w:rsidRPr="00593EA9">
              <w:t>deruxtecan</w:t>
            </w:r>
            <w:proofErr w:type="spellEnd"/>
            <w:r w:rsidRPr="00593EA9">
              <w:t xml:space="preserve"> (T-</w:t>
            </w:r>
            <w:proofErr w:type="spellStart"/>
            <w:r w:rsidRPr="00593EA9">
              <w:t>DXd</w:t>
            </w:r>
            <w:proofErr w:type="spellEnd"/>
            <w:r w:rsidRPr="00593EA9">
              <w:t>; DS-8201) in patients with HER2-positive advanced gastric or gastroesophageal junction (</w:t>
            </w:r>
            <w:r>
              <w:t>GOJ</w:t>
            </w:r>
            <w:r w:rsidRPr="00593EA9">
              <w:t xml:space="preserve">) adenocarcinoma: A randomized, phase II, </w:t>
            </w:r>
            <w:proofErr w:type="spellStart"/>
            <w:r w:rsidRPr="00593EA9">
              <w:t>multicenter</w:t>
            </w:r>
            <w:proofErr w:type="spellEnd"/>
            <w:r w:rsidRPr="00593EA9">
              <w:t>, open-label study (DESTINY-Gastric01).</w:t>
            </w:r>
          </w:p>
        </w:tc>
        <w:tc>
          <w:tcPr>
            <w:tcW w:w="1177" w:type="pct"/>
            <w:tcBorders>
              <w:top w:val="nil"/>
              <w:bottom w:val="nil"/>
            </w:tcBorders>
          </w:tcPr>
          <w:p w14:paraId="7E0E6528" w14:textId="77777777" w:rsidR="00BF711F" w:rsidRPr="0098262F" w:rsidRDefault="00BF711F">
            <w:pPr>
              <w:pStyle w:val="TableText0"/>
            </w:pPr>
            <w:r w:rsidRPr="003F0384">
              <w:t>J Clin Oncol</w:t>
            </w:r>
            <w:r>
              <w:t xml:space="preserve">, 2020; </w:t>
            </w:r>
            <w:r w:rsidRPr="00593EA9">
              <w:t>Conference, 38</w:t>
            </w:r>
          </w:p>
        </w:tc>
      </w:tr>
      <w:tr w:rsidR="00BF711F" w:rsidRPr="0098262F" w14:paraId="212CCB06" w14:textId="77777777">
        <w:tc>
          <w:tcPr>
            <w:tcW w:w="796" w:type="pct"/>
            <w:vMerge/>
          </w:tcPr>
          <w:p w14:paraId="38EC223F" w14:textId="77777777" w:rsidR="00BF711F" w:rsidRPr="0098262F" w:rsidRDefault="00BF711F">
            <w:pPr>
              <w:pStyle w:val="TableText0"/>
            </w:pPr>
          </w:p>
        </w:tc>
        <w:tc>
          <w:tcPr>
            <w:tcW w:w="3027" w:type="pct"/>
            <w:tcBorders>
              <w:top w:val="nil"/>
              <w:bottom w:val="nil"/>
            </w:tcBorders>
          </w:tcPr>
          <w:p w14:paraId="55EAA4A6" w14:textId="77777777" w:rsidR="00BF711F" w:rsidRPr="0098262F" w:rsidRDefault="00BF711F">
            <w:pPr>
              <w:pStyle w:val="TableText0"/>
            </w:pPr>
            <w:r w:rsidRPr="00593EA9">
              <w:t xml:space="preserve">Shitara, K., Bang, Y. J., Iwasa, S., et al. Trastuzumab </w:t>
            </w:r>
            <w:proofErr w:type="spellStart"/>
            <w:r w:rsidRPr="00593EA9">
              <w:t>deruxtecan</w:t>
            </w:r>
            <w:proofErr w:type="spellEnd"/>
            <w:r w:rsidRPr="00593EA9">
              <w:t xml:space="preserve"> in previously treated HER2-positive gastric cancer.</w:t>
            </w:r>
          </w:p>
        </w:tc>
        <w:tc>
          <w:tcPr>
            <w:tcW w:w="1177" w:type="pct"/>
            <w:tcBorders>
              <w:top w:val="nil"/>
              <w:bottom w:val="nil"/>
            </w:tcBorders>
          </w:tcPr>
          <w:p w14:paraId="25BB6560" w14:textId="77777777" w:rsidR="00BF711F" w:rsidRPr="0098262F" w:rsidRDefault="00BF711F">
            <w:pPr>
              <w:pStyle w:val="TableText0"/>
            </w:pPr>
            <w:r w:rsidRPr="00593EA9">
              <w:t>NE</w:t>
            </w:r>
            <w:r>
              <w:t>J</w:t>
            </w:r>
            <w:r w:rsidRPr="00593EA9">
              <w:t xml:space="preserve">M, </w:t>
            </w:r>
            <w:r>
              <w:t xml:space="preserve">2020; </w:t>
            </w:r>
            <w:r w:rsidRPr="00593EA9">
              <w:t>382(25), 2419-2430</w:t>
            </w:r>
          </w:p>
        </w:tc>
      </w:tr>
      <w:tr w:rsidR="00BF711F" w:rsidRPr="0098262F" w14:paraId="07217E42" w14:textId="77777777">
        <w:tc>
          <w:tcPr>
            <w:tcW w:w="796" w:type="pct"/>
            <w:vMerge/>
          </w:tcPr>
          <w:p w14:paraId="4E757308" w14:textId="77777777" w:rsidR="00BF711F" w:rsidRPr="0098262F" w:rsidRDefault="00BF711F">
            <w:pPr>
              <w:pStyle w:val="TableText0"/>
            </w:pPr>
          </w:p>
        </w:tc>
        <w:tc>
          <w:tcPr>
            <w:tcW w:w="3027" w:type="pct"/>
            <w:tcBorders>
              <w:top w:val="nil"/>
              <w:bottom w:val="nil"/>
            </w:tcBorders>
          </w:tcPr>
          <w:p w14:paraId="0ACAC92F" w14:textId="77777777" w:rsidR="00BF711F" w:rsidRPr="0098262F" w:rsidRDefault="00BF711F">
            <w:pPr>
              <w:pStyle w:val="TableText0"/>
            </w:pPr>
            <w:r w:rsidRPr="00354C79">
              <w:t xml:space="preserve">Shitara, K., Bang, Y. J., Chung, H. C., et al. A phase II, </w:t>
            </w:r>
            <w:proofErr w:type="spellStart"/>
            <w:r w:rsidRPr="00354C79">
              <w:t>multicenter</w:t>
            </w:r>
            <w:proofErr w:type="spellEnd"/>
            <w:r w:rsidRPr="00354C79">
              <w:t xml:space="preserve">, open-label study of [fam-] trastuzumab </w:t>
            </w:r>
            <w:proofErr w:type="spellStart"/>
            <w:r w:rsidRPr="00354C79">
              <w:t>deruxtecan</w:t>
            </w:r>
            <w:proofErr w:type="spellEnd"/>
            <w:r w:rsidRPr="00354C79">
              <w:t xml:space="preserve"> (DS-8201a) in subjects with HER2-expressing gastric cancer.</w:t>
            </w:r>
          </w:p>
        </w:tc>
        <w:tc>
          <w:tcPr>
            <w:tcW w:w="1177" w:type="pct"/>
            <w:tcBorders>
              <w:top w:val="nil"/>
              <w:bottom w:val="nil"/>
            </w:tcBorders>
          </w:tcPr>
          <w:p w14:paraId="2094CA4C" w14:textId="77777777" w:rsidR="00BF711F" w:rsidRPr="0098262F" w:rsidRDefault="00BF711F">
            <w:pPr>
              <w:pStyle w:val="TableText0"/>
            </w:pPr>
            <w:r w:rsidRPr="003360A2">
              <w:rPr>
                <w:bCs w:val="0"/>
              </w:rPr>
              <w:t>J Clin Oncol</w:t>
            </w:r>
            <w:r>
              <w:t xml:space="preserve">, 2019; </w:t>
            </w:r>
            <w:r w:rsidRPr="00354C79">
              <w:t>Conference, 37</w:t>
            </w:r>
          </w:p>
        </w:tc>
      </w:tr>
      <w:tr w:rsidR="00BF711F" w:rsidRPr="0098262F" w14:paraId="717A101E" w14:textId="77777777">
        <w:tc>
          <w:tcPr>
            <w:tcW w:w="796" w:type="pct"/>
            <w:vMerge/>
          </w:tcPr>
          <w:p w14:paraId="2AF569BE" w14:textId="77777777" w:rsidR="00BF711F" w:rsidRPr="0098262F" w:rsidRDefault="00BF711F">
            <w:pPr>
              <w:pStyle w:val="TableText0"/>
            </w:pPr>
          </w:p>
        </w:tc>
        <w:tc>
          <w:tcPr>
            <w:tcW w:w="3027" w:type="pct"/>
            <w:tcBorders>
              <w:top w:val="nil"/>
              <w:bottom w:val="nil"/>
            </w:tcBorders>
          </w:tcPr>
          <w:p w14:paraId="23E6679B" w14:textId="77777777" w:rsidR="00BF711F" w:rsidRPr="0098262F" w:rsidRDefault="00BF711F">
            <w:pPr>
              <w:pStyle w:val="TableText0"/>
            </w:pPr>
            <w:r w:rsidRPr="00641985">
              <w:rPr>
                <w:szCs w:val="20"/>
              </w:rPr>
              <w:t xml:space="preserve">Shitara, K., Bang, Y. J., Sakai, D., et al. A randomized, phase II, </w:t>
            </w:r>
            <w:proofErr w:type="spellStart"/>
            <w:r w:rsidRPr="00641985">
              <w:rPr>
                <w:szCs w:val="20"/>
              </w:rPr>
              <w:t>multicenter</w:t>
            </w:r>
            <w:proofErr w:type="spellEnd"/>
            <w:r w:rsidRPr="00641985">
              <w:rPr>
                <w:szCs w:val="20"/>
              </w:rPr>
              <w:t xml:space="preserve">, open-label study of trastuzumab </w:t>
            </w:r>
            <w:proofErr w:type="spellStart"/>
            <w:r w:rsidRPr="00641985">
              <w:rPr>
                <w:szCs w:val="20"/>
              </w:rPr>
              <w:t>deruxtecan</w:t>
            </w:r>
            <w:proofErr w:type="spellEnd"/>
            <w:r w:rsidRPr="00641985">
              <w:rPr>
                <w:szCs w:val="20"/>
              </w:rPr>
              <w:t xml:space="preserve"> (DS-8201a) in subjects with HER2-expressing gastric cancer. </w:t>
            </w:r>
          </w:p>
        </w:tc>
        <w:tc>
          <w:tcPr>
            <w:tcW w:w="1177" w:type="pct"/>
            <w:tcBorders>
              <w:top w:val="nil"/>
              <w:bottom w:val="nil"/>
            </w:tcBorders>
          </w:tcPr>
          <w:p w14:paraId="59216705" w14:textId="77777777" w:rsidR="00BF711F" w:rsidRPr="0098262F" w:rsidRDefault="00BF711F">
            <w:pPr>
              <w:pStyle w:val="TableText0"/>
            </w:pPr>
            <w:r w:rsidRPr="00261ECF">
              <w:rPr>
                <w:szCs w:val="20"/>
              </w:rPr>
              <w:t xml:space="preserve">Ann Oncol, </w:t>
            </w:r>
            <w:r>
              <w:rPr>
                <w:szCs w:val="20"/>
              </w:rPr>
              <w:t>2018;</w:t>
            </w:r>
            <w:r w:rsidRPr="00641985">
              <w:rPr>
                <w:szCs w:val="20"/>
              </w:rPr>
              <w:t xml:space="preserve"> 29</w:t>
            </w:r>
          </w:p>
        </w:tc>
      </w:tr>
      <w:tr w:rsidR="00BF711F" w:rsidRPr="0098262F" w14:paraId="6A3BB512" w14:textId="77777777">
        <w:tc>
          <w:tcPr>
            <w:tcW w:w="796" w:type="pct"/>
            <w:vMerge/>
          </w:tcPr>
          <w:p w14:paraId="72C93EEA" w14:textId="77777777" w:rsidR="00BF711F" w:rsidRPr="0098262F" w:rsidRDefault="00BF711F">
            <w:pPr>
              <w:pStyle w:val="TableText0"/>
            </w:pPr>
          </w:p>
        </w:tc>
        <w:tc>
          <w:tcPr>
            <w:tcW w:w="3027" w:type="pct"/>
            <w:tcBorders>
              <w:top w:val="nil"/>
              <w:bottom w:val="nil"/>
            </w:tcBorders>
          </w:tcPr>
          <w:p w14:paraId="2D7F8621" w14:textId="77777777" w:rsidR="00BF711F" w:rsidRPr="0098262F" w:rsidRDefault="00BF711F">
            <w:pPr>
              <w:pStyle w:val="TableText0"/>
            </w:pPr>
            <w:r w:rsidRPr="00641985">
              <w:rPr>
                <w:szCs w:val="20"/>
              </w:rPr>
              <w:t xml:space="preserve">Yamaguchi, K., Bang, Y. J., Iwasa, S., et al. Trastuzumab </w:t>
            </w:r>
            <w:proofErr w:type="spellStart"/>
            <w:r w:rsidRPr="00641985">
              <w:rPr>
                <w:szCs w:val="20"/>
              </w:rPr>
              <w:t>deruxtecan</w:t>
            </w:r>
            <w:proofErr w:type="spellEnd"/>
            <w:r w:rsidRPr="00641985">
              <w:rPr>
                <w:szCs w:val="20"/>
              </w:rPr>
              <w:t xml:space="preserve"> (T-</w:t>
            </w:r>
            <w:proofErr w:type="spellStart"/>
            <w:r w:rsidRPr="00641985">
              <w:rPr>
                <w:szCs w:val="20"/>
              </w:rPr>
              <w:t>DXd</w:t>
            </w:r>
            <w:proofErr w:type="spellEnd"/>
            <w:r w:rsidRPr="00641985">
              <w:rPr>
                <w:szCs w:val="20"/>
              </w:rPr>
              <w:t>; DS-8201) in patients with HER2-positive advanced gastric or gastroesophageal junction (</w:t>
            </w:r>
            <w:r>
              <w:rPr>
                <w:szCs w:val="20"/>
              </w:rPr>
              <w:t>GOJ</w:t>
            </w:r>
            <w:r w:rsidRPr="00641985">
              <w:rPr>
                <w:szCs w:val="20"/>
              </w:rPr>
              <w:t xml:space="preserve">) adenocarcinoma: Final overall survival (OS) results from a Randomized, </w:t>
            </w:r>
            <w:proofErr w:type="spellStart"/>
            <w:r w:rsidRPr="00641985">
              <w:rPr>
                <w:szCs w:val="20"/>
              </w:rPr>
              <w:t>multicenter</w:t>
            </w:r>
            <w:proofErr w:type="spellEnd"/>
            <w:r w:rsidRPr="00641985">
              <w:rPr>
                <w:szCs w:val="20"/>
              </w:rPr>
              <w:t xml:space="preserve">, open-label, phase 2 study (DESTINYGastric01). </w:t>
            </w:r>
          </w:p>
        </w:tc>
        <w:tc>
          <w:tcPr>
            <w:tcW w:w="1177" w:type="pct"/>
            <w:tcBorders>
              <w:top w:val="nil"/>
              <w:bottom w:val="nil"/>
            </w:tcBorders>
          </w:tcPr>
          <w:p w14:paraId="104961DA" w14:textId="77777777" w:rsidR="00BF711F" w:rsidRPr="0098262F" w:rsidRDefault="00BF711F">
            <w:pPr>
              <w:pStyle w:val="TableText0"/>
            </w:pPr>
            <w:r w:rsidRPr="003360A2">
              <w:rPr>
                <w:szCs w:val="20"/>
              </w:rPr>
              <w:t>J Clin Oncol</w:t>
            </w:r>
            <w:r>
              <w:rPr>
                <w:szCs w:val="20"/>
              </w:rPr>
              <w:t>, 2022;</w:t>
            </w:r>
            <w:r w:rsidRPr="00641985">
              <w:rPr>
                <w:szCs w:val="20"/>
              </w:rPr>
              <w:t xml:space="preserve"> Conference, 40</w:t>
            </w:r>
          </w:p>
        </w:tc>
      </w:tr>
      <w:tr w:rsidR="00BF711F" w:rsidRPr="0098262F" w14:paraId="091DCC37" w14:textId="77777777">
        <w:tc>
          <w:tcPr>
            <w:tcW w:w="796" w:type="pct"/>
            <w:vMerge/>
          </w:tcPr>
          <w:p w14:paraId="0F9E5B51" w14:textId="77777777" w:rsidR="00BF711F" w:rsidRPr="0098262F" w:rsidRDefault="00BF711F">
            <w:pPr>
              <w:pStyle w:val="TableText0"/>
            </w:pPr>
          </w:p>
        </w:tc>
        <w:tc>
          <w:tcPr>
            <w:tcW w:w="3027" w:type="pct"/>
            <w:tcBorders>
              <w:top w:val="nil"/>
              <w:bottom w:val="nil"/>
            </w:tcBorders>
          </w:tcPr>
          <w:p w14:paraId="4921FBDB" w14:textId="77777777" w:rsidR="00BF711F" w:rsidRPr="0098262F" w:rsidRDefault="00BF711F">
            <w:pPr>
              <w:pStyle w:val="TableText0"/>
            </w:pPr>
            <w:r w:rsidRPr="00641985">
              <w:rPr>
                <w:szCs w:val="20"/>
              </w:rPr>
              <w:t xml:space="preserve">Yamaguchi, K., Bang, Y., Iwasa, S., et al. O-11 Trastuzumab </w:t>
            </w:r>
            <w:proofErr w:type="spellStart"/>
            <w:r w:rsidRPr="00641985">
              <w:rPr>
                <w:szCs w:val="20"/>
              </w:rPr>
              <w:t>deruxtecan</w:t>
            </w:r>
            <w:proofErr w:type="spellEnd"/>
            <w:r w:rsidRPr="00641985">
              <w:rPr>
                <w:szCs w:val="20"/>
              </w:rPr>
              <w:t xml:space="preserve"> (T-</w:t>
            </w:r>
            <w:proofErr w:type="spellStart"/>
            <w:r w:rsidRPr="00641985">
              <w:rPr>
                <w:szCs w:val="20"/>
              </w:rPr>
              <w:t>DXd</w:t>
            </w:r>
            <w:proofErr w:type="spellEnd"/>
            <w:r w:rsidRPr="00641985">
              <w:rPr>
                <w:szCs w:val="20"/>
              </w:rPr>
              <w:t xml:space="preserve">; DS-8201) in patients with HER2-positive advanced gastric or gastroesophageal junction adenocarcinoma: a randomized, phase 2, </w:t>
            </w:r>
            <w:proofErr w:type="spellStart"/>
            <w:r w:rsidRPr="00641985">
              <w:rPr>
                <w:szCs w:val="20"/>
              </w:rPr>
              <w:t>multicenter</w:t>
            </w:r>
            <w:proofErr w:type="spellEnd"/>
            <w:r w:rsidRPr="00641985">
              <w:rPr>
                <w:szCs w:val="20"/>
              </w:rPr>
              <w:t xml:space="preserve">, open-label study (DESTINY-Gastric01). </w:t>
            </w:r>
          </w:p>
        </w:tc>
        <w:tc>
          <w:tcPr>
            <w:tcW w:w="1177" w:type="pct"/>
            <w:tcBorders>
              <w:top w:val="nil"/>
              <w:bottom w:val="nil"/>
            </w:tcBorders>
          </w:tcPr>
          <w:p w14:paraId="37C7DAB3" w14:textId="77777777" w:rsidR="00BF711F" w:rsidRPr="0098262F" w:rsidRDefault="00BF711F">
            <w:pPr>
              <w:pStyle w:val="TableText0"/>
            </w:pPr>
            <w:r w:rsidRPr="00641985">
              <w:rPr>
                <w:szCs w:val="20"/>
              </w:rPr>
              <w:t>Ann</w:t>
            </w:r>
            <w:r>
              <w:rPr>
                <w:szCs w:val="20"/>
              </w:rPr>
              <w:t xml:space="preserve"> </w:t>
            </w:r>
            <w:r w:rsidRPr="00641985">
              <w:rPr>
                <w:szCs w:val="20"/>
              </w:rPr>
              <w:t>Oncol</w:t>
            </w:r>
            <w:r>
              <w:rPr>
                <w:szCs w:val="20"/>
              </w:rPr>
              <w:t>,</w:t>
            </w:r>
            <w:r w:rsidRPr="00641985">
              <w:rPr>
                <w:szCs w:val="20"/>
              </w:rPr>
              <w:t xml:space="preserve"> </w:t>
            </w:r>
            <w:r>
              <w:rPr>
                <w:szCs w:val="20"/>
              </w:rPr>
              <w:t xml:space="preserve">2020; </w:t>
            </w:r>
            <w:r w:rsidRPr="00641985">
              <w:rPr>
                <w:szCs w:val="20"/>
              </w:rPr>
              <w:t>31, 235</w:t>
            </w:r>
          </w:p>
        </w:tc>
      </w:tr>
      <w:tr w:rsidR="00BF711F" w:rsidRPr="0098262F" w14:paraId="3EB1190F" w14:textId="77777777">
        <w:tc>
          <w:tcPr>
            <w:tcW w:w="796" w:type="pct"/>
            <w:vMerge/>
          </w:tcPr>
          <w:p w14:paraId="572FFC85" w14:textId="77777777" w:rsidR="00BF711F" w:rsidRPr="0098262F" w:rsidRDefault="00BF711F">
            <w:pPr>
              <w:pStyle w:val="TableText0"/>
            </w:pPr>
          </w:p>
        </w:tc>
        <w:tc>
          <w:tcPr>
            <w:tcW w:w="3027" w:type="pct"/>
            <w:tcBorders>
              <w:top w:val="nil"/>
              <w:bottom w:val="single" w:sz="4" w:space="0" w:color="auto"/>
            </w:tcBorders>
          </w:tcPr>
          <w:p w14:paraId="66F77067" w14:textId="77777777" w:rsidR="00BF711F" w:rsidRPr="0098262F" w:rsidRDefault="00BF711F">
            <w:pPr>
              <w:pStyle w:val="TableText0"/>
            </w:pPr>
            <w:r w:rsidRPr="00641985">
              <w:rPr>
                <w:szCs w:val="20"/>
              </w:rPr>
              <w:t xml:space="preserve">Yamaguchi, K., Bang, Y. J., Sakai, D., et al. 2018. A randomized phase 2, </w:t>
            </w:r>
            <w:proofErr w:type="spellStart"/>
            <w:r w:rsidRPr="00641985">
              <w:rPr>
                <w:szCs w:val="20"/>
              </w:rPr>
              <w:t>multicenter</w:t>
            </w:r>
            <w:proofErr w:type="spellEnd"/>
            <w:r w:rsidRPr="00641985">
              <w:rPr>
                <w:szCs w:val="20"/>
              </w:rPr>
              <w:t xml:space="preserve">, open-label study of trastuzumab </w:t>
            </w:r>
            <w:proofErr w:type="spellStart"/>
            <w:r w:rsidRPr="00641985">
              <w:rPr>
                <w:szCs w:val="20"/>
              </w:rPr>
              <w:t>deruxtecan</w:t>
            </w:r>
            <w:proofErr w:type="spellEnd"/>
            <w:r w:rsidRPr="00641985">
              <w:rPr>
                <w:szCs w:val="20"/>
              </w:rPr>
              <w:t xml:space="preserve"> (DS-8201a) in subjects with HER2-expressing gastric cancer. </w:t>
            </w:r>
          </w:p>
        </w:tc>
        <w:tc>
          <w:tcPr>
            <w:tcW w:w="1177" w:type="pct"/>
            <w:tcBorders>
              <w:top w:val="nil"/>
              <w:bottom w:val="single" w:sz="4" w:space="0" w:color="auto"/>
            </w:tcBorders>
          </w:tcPr>
          <w:p w14:paraId="3DA00373" w14:textId="77777777" w:rsidR="00BF711F" w:rsidRPr="0098262F" w:rsidRDefault="00BF711F">
            <w:pPr>
              <w:pStyle w:val="TableText0"/>
            </w:pPr>
            <w:r w:rsidRPr="003360A2">
              <w:rPr>
                <w:szCs w:val="20"/>
              </w:rPr>
              <w:t>J Clin Oncol</w:t>
            </w:r>
            <w:r w:rsidRPr="00641985">
              <w:rPr>
                <w:szCs w:val="20"/>
              </w:rPr>
              <w:t>,</w:t>
            </w:r>
            <w:r>
              <w:rPr>
                <w:szCs w:val="20"/>
              </w:rPr>
              <w:t xml:space="preserve"> 2018;</w:t>
            </w:r>
            <w:r w:rsidRPr="00641985">
              <w:rPr>
                <w:szCs w:val="20"/>
              </w:rPr>
              <w:t xml:space="preserve"> 36</w:t>
            </w:r>
          </w:p>
        </w:tc>
      </w:tr>
      <w:tr w:rsidR="00BF711F" w:rsidRPr="0098262F" w14:paraId="594EDB5C" w14:textId="77777777">
        <w:tc>
          <w:tcPr>
            <w:tcW w:w="796" w:type="pct"/>
            <w:vMerge w:val="restart"/>
          </w:tcPr>
          <w:p w14:paraId="2B1B3CD3" w14:textId="77777777" w:rsidR="00BF711F" w:rsidRPr="000F5B1C" w:rsidRDefault="00BF711F">
            <w:pPr>
              <w:pStyle w:val="TableText0"/>
            </w:pPr>
            <w:r w:rsidRPr="00C2787D">
              <w:t>Destiny Gastric 0</w:t>
            </w:r>
            <w:r>
              <w:t>2 (</w:t>
            </w:r>
            <w:r w:rsidRPr="000F5B1C">
              <w:t>DG-02</w:t>
            </w:r>
            <w:r>
              <w:t>)</w:t>
            </w:r>
          </w:p>
          <w:p w14:paraId="4EF94577" w14:textId="77777777" w:rsidR="00BF711F" w:rsidRDefault="00BF711F">
            <w:pPr>
              <w:pStyle w:val="TableText0"/>
            </w:pPr>
          </w:p>
          <w:p w14:paraId="4BEAC5C3" w14:textId="77777777" w:rsidR="00BF711F" w:rsidRPr="0098262F" w:rsidRDefault="00BF711F">
            <w:pPr>
              <w:pStyle w:val="TableText0"/>
            </w:pPr>
            <w:r w:rsidRPr="000F5B1C">
              <w:t>N</w:t>
            </w:r>
            <w:r>
              <w:t>CT</w:t>
            </w:r>
            <w:r w:rsidRPr="000F5B1C">
              <w:t>04014075</w:t>
            </w:r>
          </w:p>
        </w:tc>
        <w:tc>
          <w:tcPr>
            <w:tcW w:w="3027" w:type="pct"/>
            <w:tcBorders>
              <w:bottom w:val="nil"/>
            </w:tcBorders>
          </w:tcPr>
          <w:p w14:paraId="08B1BA63" w14:textId="77777777" w:rsidR="00BF711F" w:rsidRPr="0098262F" w:rsidRDefault="00BF711F">
            <w:pPr>
              <w:pStyle w:val="TableText0"/>
            </w:pPr>
            <w:r w:rsidRPr="00641985">
              <w:rPr>
                <w:szCs w:val="20"/>
              </w:rPr>
              <w:t>DG-02 CSR DCO1 (9 April 2021)</w:t>
            </w:r>
          </w:p>
        </w:tc>
        <w:tc>
          <w:tcPr>
            <w:tcW w:w="1177" w:type="pct"/>
            <w:tcBorders>
              <w:bottom w:val="nil"/>
            </w:tcBorders>
          </w:tcPr>
          <w:p w14:paraId="254814B3" w14:textId="77777777" w:rsidR="00BF711F" w:rsidRPr="000F5B1C" w:rsidRDefault="00BF711F">
            <w:pPr>
              <w:pStyle w:val="TableText0"/>
              <w:rPr>
                <w:iCs/>
              </w:rPr>
            </w:pPr>
            <w:r>
              <w:rPr>
                <w:iCs/>
              </w:rPr>
              <w:t>NA</w:t>
            </w:r>
          </w:p>
        </w:tc>
      </w:tr>
      <w:tr w:rsidR="00BF711F" w:rsidRPr="0098262F" w14:paraId="391ED30A" w14:textId="77777777">
        <w:tc>
          <w:tcPr>
            <w:tcW w:w="796" w:type="pct"/>
            <w:vMerge/>
          </w:tcPr>
          <w:p w14:paraId="41424B70" w14:textId="77777777" w:rsidR="00BF711F" w:rsidRPr="0098262F" w:rsidRDefault="00BF711F">
            <w:pPr>
              <w:pStyle w:val="TableText0"/>
            </w:pPr>
          </w:p>
        </w:tc>
        <w:tc>
          <w:tcPr>
            <w:tcW w:w="3027" w:type="pct"/>
            <w:tcBorders>
              <w:top w:val="nil"/>
              <w:bottom w:val="nil"/>
            </w:tcBorders>
          </w:tcPr>
          <w:p w14:paraId="2754DA8F" w14:textId="77777777" w:rsidR="00BF711F" w:rsidRPr="0098262F" w:rsidRDefault="00BF711F">
            <w:pPr>
              <w:pStyle w:val="TableText0"/>
            </w:pPr>
            <w:r w:rsidRPr="00641985">
              <w:rPr>
                <w:szCs w:val="20"/>
              </w:rPr>
              <w:t>DG-02 CSR DCO2 (8 November 2021)</w:t>
            </w:r>
          </w:p>
        </w:tc>
        <w:tc>
          <w:tcPr>
            <w:tcW w:w="1177" w:type="pct"/>
            <w:tcBorders>
              <w:top w:val="nil"/>
              <w:bottom w:val="nil"/>
            </w:tcBorders>
          </w:tcPr>
          <w:p w14:paraId="7D5175BD" w14:textId="77777777" w:rsidR="00BF711F" w:rsidRPr="0098262F" w:rsidRDefault="00BF711F">
            <w:pPr>
              <w:pStyle w:val="TableText0"/>
            </w:pPr>
            <w:r>
              <w:rPr>
                <w:iCs/>
              </w:rPr>
              <w:t>NA</w:t>
            </w:r>
          </w:p>
        </w:tc>
      </w:tr>
      <w:tr w:rsidR="00BF711F" w:rsidRPr="0098262F" w14:paraId="02F9AFCF" w14:textId="77777777">
        <w:tc>
          <w:tcPr>
            <w:tcW w:w="796" w:type="pct"/>
            <w:vMerge/>
          </w:tcPr>
          <w:p w14:paraId="6E92F861" w14:textId="77777777" w:rsidR="00BF711F" w:rsidRPr="0098262F" w:rsidRDefault="00BF711F">
            <w:pPr>
              <w:pStyle w:val="TableText0"/>
            </w:pPr>
          </w:p>
        </w:tc>
        <w:tc>
          <w:tcPr>
            <w:tcW w:w="3027" w:type="pct"/>
            <w:tcBorders>
              <w:top w:val="nil"/>
              <w:bottom w:val="nil"/>
            </w:tcBorders>
          </w:tcPr>
          <w:p w14:paraId="174F8199" w14:textId="77777777" w:rsidR="00BF711F" w:rsidRPr="0098262F" w:rsidRDefault="00BF711F">
            <w:pPr>
              <w:pStyle w:val="TableText0"/>
            </w:pPr>
            <w:r w:rsidRPr="00641985">
              <w:rPr>
                <w:szCs w:val="20"/>
              </w:rPr>
              <w:t>DG-02 Protocol v1.0 (23 April 2019)</w:t>
            </w:r>
          </w:p>
        </w:tc>
        <w:tc>
          <w:tcPr>
            <w:tcW w:w="1177" w:type="pct"/>
            <w:tcBorders>
              <w:top w:val="nil"/>
              <w:bottom w:val="nil"/>
            </w:tcBorders>
          </w:tcPr>
          <w:p w14:paraId="602B94D6" w14:textId="77777777" w:rsidR="00BF711F" w:rsidRPr="0098262F" w:rsidRDefault="00BF711F">
            <w:pPr>
              <w:pStyle w:val="TableText0"/>
            </w:pPr>
            <w:r>
              <w:rPr>
                <w:iCs/>
              </w:rPr>
              <w:t>NA</w:t>
            </w:r>
          </w:p>
        </w:tc>
      </w:tr>
      <w:tr w:rsidR="00BF711F" w:rsidRPr="0098262F" w14:paraId="504698BF" w14:textId="77777777">
        <w:tc>
          <w:tcPr>
            <w:tcW w:w="796" w:type="pct"/>
            <w:vMerge/>
          </w:tcPr>
          <w:p w14:paraId="3FDA586A" w14:textId="77777777" w:rsidR="00BF711F" w:rsidRPr="0098262F" w:rsidRDefault="00BF711F">
            <w:pPr>
              <w:pStyle w:val="TableText0"/>
            </w:pPr>
          </w:p>
        </w:tc>
        <w:tc>
          <w:tcPr>
            <w:tcW w:w="3027" w:type="pct"/>
            <w:tcBorders>
              <w:top w:val="nil"/>
              <w:bottom w:val="nil"/>
            </w:tcBorders>
          </w:tcPr>
          <w:p w14:paraId="367EA78A" w14:textId="77777777" w:rsidR="00BF711F" w:rsidRPr="0098262F" w:rsidRDefault="00BF711F">
            <w:pPr>
              <w:pStyle w:val="TableText0"/>
            </w:pPr>
            <w:r w:rsidRPr="00641985">
              <w:rPr>
                <w:szCs w:val="20"/>
              </w:rPr>
              <w:t xml:space="preserve">Ku, G.Y., et al. 1205MO Updated analysis of DESTINY-Gastric02: A phase II single-arm trial of trastuzumab </w:t>
            </w:r>
            <w:proofErr w:type="spellStart"/>
            <w:r w:rsidRPr="00641985">
              <w:rPr>
                <w:szCs w:val="20"/>
              </w:rPr>
              <w:t>deruxtecan</w:t>
            </w:r>
            <w:proofErr w:type="spellEnd"/>
            <w:r w:rsidRPr="00641985">
              <w:rPr>
                <w:szCs w:val="20"/>
              </w:rPr>
              <w:t xml:space="preserve"> (T-</w:t>
            </w:r>
            <w:proofErr w:type="spellStart"/>
            <w:r w:rsidRPr="00641985">
              <w:rPr>
                <w:szCs w:val="20"/>
              </w:rPr>
              <w:t>DXd</w:t>
            </w:r>
            <w:proofErr w:type="spellEnd"/>
            <w:r w:rsidRPr="00641985">
              <w:rPr>
                <w:szCs w:val="20"/>
              </w:rPr>
              <w:t xml:space="preserve">) in </w:t>
            </w:r>
            <w:r>
              <w:rPr>
                <w:szCs w:val="20"/>
              </w:rPr>
              <w:t>W</w:t>
            </w:r>
            <w:r w:rsidRPr="00641985">
              <w:rPr>
                <w:szCs w:val="20"/>
              </w:rPr>
              <w:t>estern patients (Pts) with HER2-positive unresectable/metastatic gastric/gastroesophageal junction (</w:t>
            </w:r>
            <w:r>
              <w:rPr>
                <w:szCs w:val="20"/>
              </w:rPr>
              <w:t>GOJ</w:t>
            </w:r>
            <w:r w:rsidRPr="00641985">
              <w:rPr>
                <w:szCs w:val="20"/>
              </w:rPr>
              <w:t xml:space="preserve">) cancer who progressed on or after trastuzumab-containing regimen. </w:t>
            </w:r>
          </w:p>
        </w:tc>
        <w:tc>
          <w:tcPr>
            <w:tcW w:w="1177" w:type="pct"/>
            <w:tcBorders>
              <w:top w:val="nil"/>
              <w:bottom w:val="nil"/>
            </w:tcBorders>
          </w:tcPr>
          <w:p w14:paraId="33EE191F" w14:textId="77777777" w:rsidR="00BF711F" w:rsidRPr="0098262F" w:rsidRDefault="00BF711F">
            <w:pPr>
              <w:pStyle w:val="TableText0"/>
            </w:pPr>
            <w:r w:rsidRPr="00261ECF">
              <w:t xml:space="preserve">Ann. Oncol., </w:t>
            </w:r>
            <w:r w:rsidRPr="00A43E69">
              <w:t>2022</w:t>
            </w:r>
            <w:r>
              <w:t>;</w:t>
            </w:r>
            <w:r w:rsidRPr="00A43E69">
              <w:t xml:space="preserve"> 33: p. S1100</w:t>
            </w:r>
          </w:p>
        </w:tc>
      </w:tr>
      <w:tr w:rsidR="00BF711F" w:rsidRPr="0098262F" w14:paraId="2ABDD6CE" w14:textId="77777777">
        <w:tc>
          <w:tcPr>
            <w:tcW w:w="796" w:type="pct"/>
            <w:vMerge/>
          </w:tcPr>
          <w:p w14:paraId="3F5EB319" w14:textId="77777777" w:rsidR="00BF711F" w:rsidRPr="0098262F" w:rsidRDefault="00BF711F">
            <w:pPr>
              <w:pStyle w:val="TableText0"/>
            </w:pPr>
          </w:p>
        </w:tc>
        <w:tc>
          <w:tcPr>
            <w:tcW w:w="3027" w:type="pct"/>
            <w:tcBorders>
              <w:top w:val="nil"/>
              <w:bottom w:val="nil"/>
            </w:tcBorders>
          </w:tcPr>
          <w:p w14:paraId="2F09AC83" w14:textId="77777777" w:rsidR="00BF711F" w:rsidRPr="0098262F" w:rsidRDefault="00BF711F">
            <w:pPr>
              <w:pStyle w:val="TableText0"/>
            </w:pPr>
            <w:r w:rsidRPr="00641985">
              <w:rPr>
                <w:szCs w:val="20"/>
              </w:rPr>
              <w:t xml:space="preserve">Van </w:t>
            </w:r>
            <w:proofErr w:type="spellStart"/>
            <w:r w:rsidRPr="00641985">
              <w:rPr>
                <w:szCs w:val="20"/>
              </w:rPr>
              <w:t>Cutsem</w:t>
            </w:r>
            <w:proofErr w:type="spellEnd"/>
            <w:r w:rsidRPr="00641985">
              <w:rPr>
                <w:szCs w:val="20"/>
              </w:rPr>
              <w:t xml:space="preserve">, E., Di Bartolomeo, M., Smyth, E., et al. LBA55 Primary analysis of a phase II single-arm trial of trastuzumab </w:t>
            </w:r>
            <w:proofErr w:type="spellStart"/>
            <w:r w:rsidRPr="00641985">
              <w:rPr>
                <w:szCs w:val="20"/>
              </w:rPr>
              <w:t>deruxtecan</w:t>
            </w:r>
            <w:proofErr w:type="spellEnd"/>
            <w:r w:rsidRPr="00641985">
              <w:rPr>
                <w:szCs w:val="20"/>
              </w:rPr>
              <w:t xml:space="preserve"> (T-</w:t>
            </w:r>
            <w:proofErr w:type="spellStart"/>
            <w:r w:rsidRPr="00641985">
              <w:rPr>
                <w:szCs w:val="20"/>
              </w:rPr>
              <w:t>DXd</w:t>
            </w:r>
            <w:proofErr w:type="spellEnd"/>
            <w:r w:rsidRPr="00641985">
              <w:rPr>
                <w:szCs w:val="20"/>
              </w:rPr>
              <w:t xml:space="preserve">) in </w:t>
            </w:r>
            <w:r>
              <w:rPr>
                <w:szCs w:val="20"/>
              </w:rPr>
              <w:t>W</w:t>
            </w:r>
            <w:r w:rsidRPr="00641985">
              <w:rPr>
                <w:szCs w:val="20"/>
              </w:rPr>
              <w:t>estern patients (Pts) with HER2-positive (HER2+) unresectable or metastatic gastric or gastroesophageal junction (</w:t>
            </w:r>
            <w:r>
              <w:rPr>
                <w:szCs w:val="20"/>
              </w:rPr>
              <w:t>GOJ</w:t>
            </w:r>
            <w:r w:rsidRPr="00641985">
              <w:rPr>
                <w:szCs w:val="20"/>
              </w:rPr>
              <w:t xml:space="preserve">) cancer who progressed on or after a trastuzumab-containing regimen. </w:t>
            </w:r>
          </w:p>
        </w:tc>
        <w:tc>
          <w:tcPr>
            <w:tcW w:w="1177" w:type="pct"/>
            <w:tcBorders>
              <w:top w:val="nil"/>
              <w:bottom w:val="nil"/>
            </w:tcBorders>
          </w:tcPr>
          <w:p w14:paraId="212BDCAF" w14:textId="77777777" w:rsidR="00BF711F" w:rsidRPr="0098262F" w:rsidRDefault="00BF711F">
            <w:pPr>
              <w:pStyle w:val="TableText0"/>
            </w:pPr>
            <w:r w:rsidRPr="00261ECF">
              <w:rPr>
                <w:szCs w:val="20"/>
              </w:rPr>
              <w:t xml:space="preserve">Ann Oncol, </w:t>
            </w:r>
            <w:r>
              <w:rPr>
                <w:szCs w:val="20"/>
              </w:rPr>
              <w:t xml:space="preserve">2021; </w:t>
            </w:r>
            <w:r w:rsidRPr="00641985">
              <w:rPr>
                <w:szCs w:val="20"/>
              </w:rPr>
              <w:t>32(Supp</w:t>
            </w:r>
            <w:r>
              <w:rPr>
                <w:szCs w:val="20"/>
              </w:rPr>
              <w:t>.</w:t>
            </w:r>
            <w:r w:rsidRPr="00641985">
              <w:rPr>
                <w:szCs w:val="20"/>
              </w:rPr>
              <w:t xml:space="preserve"> 5), S1332</w:t>
            </w:r>
          </w:p>
        </w:tc>
      </w:tr>
      <w:tr w:rsidR="00BF711F" w:rsidRPr="0098262F" w14:paraId="00ED803F" w14:textId="77777777">
        <w:tc>
          <w:tcPr>
            <w:tcW w:w="796" w:type="pct"/>
            <w:vMerge/>
          </w:tcPr>
          <w:p w14:paraId="4FE65D46" w14:textId="77777777" w:rsidR="00BF711F" w:rsidRPr="0098262F" w:rsidRDefault="00BF711F">
            <w:pPr>
              <w:pStyle w:val="TableText0"/>
            </w:pPr>
          </w:p>
        </w:tc>
        <w:tc>
          <w:tcPr>
            <w:tcW w:w="3027" w:type="pct"/>
            <w:tcBorders>
              <w:top w:val="nil"/>
            </w:tcBorders>
          </w:tcPr>
          <w:p w14:paraId="5395285C" w14:textId="77777777" w:rsidR="00BF711F" w:rsidRPr="0098262F" w:rsidRDefault="00BF711F">
            <w:pPr>
              <w:pStyle w:val="TableText0"/>
            </w:pPr>
            <w:r w:rsidRPr="00641985">
              <w:rPr>
                <w:szCs w:val="20"/>
              </w:rPr>
              <w:t xml:space="preserve">Van </w:t>
            </w:r>
            <w:proofErr w:type="spellStart"/>
            <w:r w:rsidRPr="00641985">
              <w:rPr>
                <w:szCs w:val="20"/>
              </w:rPr>
              <w:t>Cutsem</w:t>
            </w:r>
            <w:proofErr w:type="spellEnd"/>
            <w:r w:rsidRPr="00641985">
              <w:rPr>
                <w:szCs w:val="20"/>
              </w:rPr>
              <w:t xml:space="preserve">, E., Di Bartolomeo, M., Smyth, E., et al. Trastuzumab </w:t>
            </w:r>
            <w:proofErr w:type="spellStart"/>
            <w:r w:rsidRPr="00641985">
              <w:rPr>
                <w:szCs w:val="20"/>
              </w:rPr>
              <w:t>deruxtecan</w:t>
            </w:r>
            <w:proofErr w:type="spellEnd"/>
            <w:r w:rsidRPr="00641985">
              <w:rPr>
                <w:szCs w:val="20"/>
              </w:rPr>
              <w:t xml:space="preserve"> in patients in the USA and Europe with HER2-positive advanced gastric or gastroesophageal junction cancer with disease progression on or after a trastuzumab-containing regimen (DESTINY-Gastric02): primary and updated analyses from a single-arm, phase 2 study. </w:t>
            </w:r>
          </w:p>
        </w:tc>
        <w:tc>
          <w:tcPr>
            <w:tcW w:w="1177" w:type="pct"/>
            <w:tcBorders>
              <w:top w:val="nil"/>
            </w:tcBorders>
          </w:tcPr>
          <w:p w14:paraId="1C3A3AC6" w14:textId="77777777" w:rsidR="00BF711F" w:rsidRPr="0098262F" w:rsidRDefault="00BF711F">
            <w:pPr>
              <w:pStyle w:val="TableText0"/>
            </w:pPr>
            <w:r w:rsidRPr="00641985">
              <w:rPr>
                <w:szCs w:val="20"/>
              </w:rPr>
              <w:t>Lancet Oncol</w:t>
            </w:r>
            <w:r>
              <w:rPr>
                <w:szCs w:val="20"/>
              </w:rPr>
              <w:t xml:space="preserve">, 2023; </w:t>
            </w:r>
            <w:r w:rsidRPr="00641985">
              <w:rPr>
                <w:szCs w:val="20"/>
              </w:rPr>
              <w:t>24(7): 744-756</w:t>
            </w:r>
          </w:p>
        </w:tc>
      </w:tr>
    </w:tbl>
    <w:p w14:paraId="325D9AD9" w14:textId="77777777" w:rsidR="00BF711F" w:rsidRDefault="00BF711F" w:rsidP="00BF711F">
      <w:pPr>
        <w:pStyle w:val="FooterTableFigure"/>
      </w:pPr>
      <w:r w:rsidRPr="0098262F">
        <w:t xml:space="preserve">Source: </w:t>
      </w:r>
      <w:r>
        <w:t xml:space="preserve">Table 2-4, pp 40-41 </w:t>
      </w:r>
      <w:r w:rsidRPr="0098262F">
        <w:t>of the submission</w:t>
      </w:r>
      <w:r>
        <w:t>.</w:t>
      </w:r>
    </w:p>
    <w:p w14:paraId="4127C648" w14:textId="7094AA2F" w:rsidR="00BF711F" w:rsidRDefault="00BF711F" w:rsidP="00BF711F">
      <w:pPr>
        <w:pStyle w:val="FooterTableFigure"/>
      </w:pPr>
      <w:r w:rsidRPr="00D461AC">
        <w:t>CSR = Clinical Study Reports; DCO1 = data cut-off 01; DCO2 = data cut-off 02; DG-01 = DESTINY-Gastric</w:t>
      </w:r>
      <w:r>
        <w:t xml:space="preserve"> 0</w:t>
      </w:r>
      <w:r w:rsidRPr="00D461AC">
        <w:t>1; DG-02 = DESTINY-Gastric</w:t>
      </w:r>
      <w:r>
        <w:t xml:space="preserve"> 0</w:t>
      </w:r>
      <w:r w:rsidRPr="00D461AC">
        <w:t>2; NCT = National Clinical Trial.</w:t>
      </w:r>
    </w:p>
    <w:p w14:paraId="2DEE8BC7" w14:textId="173FAF2D" w:rsidR="00BF711F" w:rsidRPr="00D86D87" w:rsidRDefault="00BF711F" w:rsidP="00BF711F">
      <w:pPr>
        <w:pStyle w:val="TableFigureHeading"/>
        <w:rPr>
          <w:rStyle w:val="CommentReference"/>
          <w:b/>
          <w:szCs w:val="24"/>
        </w:rPr>
      </w:pPr>
      <w:bookmarkStart w:id="28" w:name="_Ref104804098"/>
      <w:r w:rsidRPr="00D86D87">
        <w:rPr>
          <w:rStyle w:val="CommentReference"/>
          <w:b/>
          <w:szCs w:val="24"/>
        </w:rPr>
        <w:lastRenderedPageBreak/>
        <w:t xml:space="preserve">Table </w:t>
      </w:r>
      <w:r w:rsidRPr="00D86D87">
        <w:rPr>
          <w:rStyle w:val="CommentReference"/>
          <w:b/>
          <w:szCs w:val="24"/>
        </w:rPr>
        <w:fldChar w:fldCharType="begin"/>
      </w:r>
      <w:r w:rsidRPr="00D86D87">
        <w:rPr>
          <w:rStyle w:val="CommentReference"/>
          <w:b/>
          <w:szCs w:val="24"/>
        </w:rPr>
        <w:instrText xml:space="preserve"> SEQ Table \* ARABIC </w:instrText>
      </w:r>
      <w:r w:rsidRPr="00D86D87">
        <w:rPr>
          <w:rStyle w:val="CommentReference"/>
          <w:b/>
          <w:szCs w:val="24"/>
        </w:rPr>
        <w:fldChar w:fldCharType="separate"/>
      </w:r>
      <w:r w:rsidR="00593619">
        <w:rPr>
          <w:rStyle w:val="CommentReference"/>
          <w:b/>
          <w:noProof/>
          <w:szCs w:val="24"/>
        </w:rPr>
        <w:t>3</w:t>
      </w:r>
      <w:r w:rsidRPr="00D86D87">
        <w:rPr>
          <w:rStyle w:val="CommentReference"/>
          <w:b/>
          <w:szCs w:val="24"/>
        </w:rPr>
        <w:fldChar w:fldCharType="end"/>
      </w:r>
      <w:bookmarkEnd w:id="28"/>
      <w:r w:rsidRPr="00D86D87">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BF711F" w:rsidRPr="001C6D5B" w14:paraId="58CC3C93" w14:textId="77777777">
        <w:trPr>
          <w:cantSplit/>
          <w:tblHeader/>
        </w:trPr>
        <w:tc>
          <w:tcPr>
            <w:tcW w:w="713" w:type="pct"/>
            <w:vAlign w:val="center"/>
          </w:tcPr>
          <w:p w14:paraId="3375200B" w14:textId="77777777" w:rsidR="00BF711F" w:rsidRPr="001C6D5B" w:rsidRDefault="00BF711F">
            <w:pPr>
              <w:pStyle w:val="In-tableHeading"/>
              <w:rPr>
                <w:lang w:val="en-AU"/>
              </w:rPr>
            </w:pPr>
            <w:r w:rsidRPr="001C6D5B">
              <w:rPr>
                <w:lang w:val="en-AU"/>
              </w:rPr>
              <w:t>Trial</w:t>
            </w:r>
          </w:p>
        </w:tc>
        <w:tc>
          <w:tcPr>
            <w:tcW w:w="466" w:type="pct"/>
            <w:vAlign w:val="center"/>
          </w:tcPr>
          <w:p w14:paraId="2F5B1C2A" w14:textId="77777777" w:rsidR="00BF711F" w:rsidRPr="001C6D5B" w:rsidRDefault="00BF711F">
            <w:pPr>
              <w:pStyle w:val="In-tableHeading"/>
              <w:jc w:val="center"/>
              <w:rPr>
                <w:lang w:val="en-AU"/>
              </w:rPr>
            </w:pPr>
            <w:r w:rsidRPr="001C6D5B">
              <w:rPr>
                <w:lang w:val="en-AU"/>
              </w:rPr>
              <w:t>N</w:t>
            </w:r>
          </w:p>
        </w:tc>
        <w:tc>
          <w:tcPr>
            <w:tcW w:w="782" w:type="pct"/>
            <w:vAlign w:val="center"/>
          </w:tcPr>
          <w:p w14:paraId="55544CC0" w14:textId="77777777" w:rsidR="00BF711F" w:rsidRPr="001C6D5B" w:rsidRDefault="00BF711F">
            <w:pPr>
              <w:pStyle w:val="In-tableHeading"/>
              <w:jc w:val="center"/>
              <w:rPr>
                <w:lang w:val="en-AU"/>
              </w:rPr>
            </w:pPr>
            <w:r w:rsidRPr="001C6D5B">
              <w:rPr>
                <w:lang w:val="en-AU"/>
              </w:rPr>
              <w:t>Design/ duration</w:t>
            </w:r>
          </w:p>
        </w:tc>
        <w:tc>
          <w:tcPr>
            <w:tcW w:w="621" w:type="pct"/>
            <w:vAlign w:val="center"/>
          </w:tcPr>
          <w:p w14:paraId="1E114542" w14:textId="77777777" w:rsidR="00BF711F" w:rsidRPr="001C6D5B" w:rsidRDefault="00BF711F">
            <w:pPr>
              <w:pStyle w:val="In-tableHeading"/>
              <w:jc w:val="center"/>
              <w:rPr>
                <w:lang w:val="en-AU"/>
              </w:rPr>
            </w:pPr>
            <w:r w:rsidRPr="001C6D5B">
              <w:rPr>
                <w:lang w:val="en-AU"/>
              </w:rPr>
              <w:t>Risk of bias</w:t>
            </w:r>
          </w:p>
        </w:tc>
        <w:tc>
          <w:tcPr>
            <w:tcW w:w="857" w:type="pct"/>
            <w:vAlign w:val="center"/>
          </w:tcPr>
          <w:p w14:paraId="179AB0D9" w14:textId="77777777" w:rsidR="00BF711F" w:rsidRPr="001C6D5B" w:rsidRDefault="00BF711F">
            <w:pPr>
              <w:pStyle w:val="In-tableHeading"/>
              <w:jc w:val="center"/>
              <w:rPr>
                <w:lang w:val="en-AU"/>
              </w:rPr>
            </w:pPr>
            <w:r w:rsidRPr="001C6D5B">
              <w:rPr>
                <w:lang w:val="en-AU"/>
              </w:rPr>
              <w:t>Patient population</w:t>
            </w:r>
          </w:p>
        </w:tc>
        <w:tc>
          <w:tcPr>
            <w:tcW w:w="622" w:type="pct"/>
            <w:vAlign w:val="center"/>
          </w:tcPr>
          <w:p w14:paraId="247F2D54" w14:textId="77777777" w:rsidR="00BF711F" w:rsidRPr="001C6D5B" w:rsidRDefault="00BF711F">
            <w:pPr>
              <w:pStyle w:val="In-tableHeading"/>
              <w:jc w:val="center"/>
              <w:rPr>
                <w:lang w:val="en-AU"/>
              </w:rPr>
            </w:pPr>
            <w:r w:rsidRPr="001C6D5B">
              <w:rPr>
                <w:lang w:val="en-AU"/>
              </w:rPr>
              <w:t>Outcome(s)</w:t>
            </w:r>
          </w:p>
        </w:tc>
        <w:tc>
          <w:tcPr>
            <w:tcW w:w="939" w:type="pct"/>
            <w:vAlign w:val="center"/>
          </w:tcPr>
          <w:p w14:paraId="3DFAC7B5" w14:textId="77777777" w:rsidR="00BF711F" w:rsidRPr="001C6D5B" w:rsidRDefault="00BF711F">
            <w:pPr>
              <w:pStyle w:val="In-tableHeading"/>
              <w:jc w:val="center"/>
              <w:rPr>
                <w:lang w:val="en-AU"/>
              </w:rPr>
            </w:pPr>
            <w:r w:rsidRPr="001C6D5B">
              <w:rPr>
                <w:lang w:val="en-AU"/>
              </w:rPr>
              <w:t>Use in modelled evaluation</w:t>
            </w:r>
          </w:p>
        </w:tc>
      </w:tr>
      <w:tr w:rsidR="00BF711F" w:rsidRPr="001C6D5B" w14:paraId="6AD45DEA" w14:textId="77777777">
        <w:trPr>
          <w:cantSplit/>
        </w:trPr>
        <w:tc>
          <w:tcPr>
            <w:tcW w:w="5000" w:type="pct"/>
            <w:gridSpan w:val="7"/>
            <w:vAlign w:val="center"/>
          </w:tcPr>
          <w:p w14:paraId="2E3CBABB" w14:textId="77777777" w:rsidR="00BF711F" w:rsidRPr="001C6D5B" w:rsidRDefault="00BF711F">
            <w:pPr>
              <w:pStyle w:val="TableText0"/>
              <w:rPr>
                <w:b/>
                <w:bCs w:val="0"/>
              </w:rPr>
            </w:pPr>
            <w:r w:rsidRPr="001C6D5B">
              <w:rPr>
                <w:b/>
                <w:bCs w:val="0"/>
              </w:rPr>
              <w:t>T-</w:t>
            </w:r>
            <w:proofErr w:type="spellStart"/>
            <w:r w:rsidRPr="001C6D5B">
              <w:rPr>
                <w:b/>
                <w:bCs w:val="0"/>
              </w:rPr>
              <w:t>DXd</w:t>
            </w:r>
            <w:proofErr w:type="spellEnd"/>
            <w:r w:rsidRPr="001C6D5B">
              <w:rPr>
                <w:b/>
                <w:bCs w:val="0"/>
              </w:rPr>
              <w:t xml:space="preserve"> vs. SoC (irinotecan or paclitaxel)</w:t>
            </w:r>
          </w:p>
        </w:tc>
      </w:tr>
      <w:tr w:rsidR="00BF711F" w:rsidRPr="001C6D5B" w14:paraId="595944DC" w14:textId="77777777">
        <w:trPr>
          <w:cantSplit/>
        </w:trPr>
        <w:tc>
          <w:tcPr>
            <w:tcW w:w="713" w:type="pct"/>
            <w:vAlign w:val="center"/>
          </w:tcPr>
          <w:p w14:paraId="7023CCDF" w14:textId="77777777" w:rsidR="00BF711F" w:rsidRPr="001C6D5B" w:rsidRDefault="00BF711F">
            <w:pPr>
              <w:pStyle w:val="TableText0"/>
            </w:pPr>
            <w:r w:rsidRPr="001C6D5B">
              <w:t>DG-01</w:t>
            </w:r>
          </w:p>
          <w:p w14:paraId="28777263" w14:textId="77777777" w:rsidR="00BF711F" w:rsidRPr="001C6D5B" w:rsidRDefault="00BF711F">
            <w:pPr>
              <w:pStyle w:val="TableText0"/>
            </w:pPr>
            <w:r w:rsidRPr="001C6D5B">
              <w:t>NCT03329690</w:t>
            </w:r>
          </w:p>
          <w:p w14:paraId="096BFEAF" w14:textId="77777777" w:rsidR="00BF711F" w:rsidRPr="001C6D5B" w:rsidRDefault="00BF711F">
            <w:pPr>
              <w:pStyle w:val="TableText0"/>
            </w:pPr>
          </w:p>
          <w:p w14:paraId="0F163454" w14:textId="77777777" w:rsidR="00BF711F" w:rsidRPr="001C6D5B" w:rsidRDefault="00BF711F">
            <w:pPr>
              <w:pStyle w:val="TableText0"/>
            </w:pPr>
            <w:r w:rsidRPr="001C6D5B">
              <w:t>Shitara 2020</w:t>
            </w:r>
          </w:p>
        </w:tc>
        <w:tc>
          <w:tcPr>
            <w:tcW w:w="466" w:type="pct"/>
            <w:vAlign w:val="center"/>
          </w:tcPr>
          <w:p w14:paraId="61E22932" w14:textId="77777777" w:rsidR="00BF711F" w:rsidRPr="001C6D5B" w:rsidRDefault="00BF711F">
            <w:pPr>
              <w:pStyle w:val="TableText0"/>
              <w:jc w:val="center"/>
            </w:pPr>
            <w:r w:rsidRPr="001C6D5B">
              <w:t>188</w:t>
            </w:r>
          </w:p>
        </w:tc>
        <w:tc>
          <w:tcPr>
            <w:tcW w:w="782" w:type="pct"/>
            <w:vAlign w:val="center"/>
          </w:tcPr>
          <w:p w14:paraId="3C534339" w14:textId="77777777" w:rsidR="00BF711F" w:rsidRPr="001C6D5B" w:rsidRDefault="00BF711F">
            <w:pPr>
              <w:pStyle w:val="TableText0"/>
              <w:jc w:val="center"/>
              <w:rPr>
                <w:lang w:val="en-US"/>
              </w:rPr>
            </w:pPr>
            <w:r w:rsidRPr="001C6D5B">
              <w:rPr>
                <w:lang w:val="en-US"/>
              </w:rPr>
              <w:t>Phase II, OL, MC, RCT</w:t>
            </w:r>
          </w:p>
          <w:p w14:paraId="6146B64D" w14:textId="77777777" w:rsidR="00BF711F" w:rsidRPr="001C6D5B" w:rsidRDefault="00BF711F">
            <w:pPr>
              <w:pStyle w:val="TableText0"/>
              <w:jc w:val="center"/>
              <w:rPr>
                <w:lang w:val="en-US"/>
              </w:rPr>
            </w:pPr>
            <w:r w:rsidRPr="001C6D5B">
              <w:rPr>
                <w:lang w:val="en-US"/>
              </w:rPr>
              <w:t>Conducted in Korea and Japan</w:t>
            </w:r>
          </w:p>
          <w:p w14:paraId="70CC8495" w14:textId="77777777" w:rsidR="00BF711F" w:rsidRPr="001C6D5B" w:rsidRDefault="00BF711F">
            <w:pPr>
              <w:pStyle w:val="TableText0"/>
              <w:jc w:val="center"/>
              <w:rPr>
                <w:lang w:val="en-US"/>
              </w:rPr>
            </w:pPr>
            <w:r w:rsidRPr="001C6D5B">
              <w:rPr>
                <w:lang w:val="en-US"/>
              </w:rPr>
              <w:t>All comers (ITT):</w:t>
            </w:r>
          </w:p>
          <w:p w14:paraId="71073572" w14:textId="77777777" w:rsidR="00BF711F" w:rsidRPr="001C6D5B" w:rsidRDefault="00BF711F">
            <w:pPr>
              <w:pStyle w:val="TableText0"/>
              <w:jc w:val="center"/>
              <w:rPr>
                <w:lang w:val="en-US"/>
              </w:rPr>
            </w:pPr>
            <w:r w:rsidRPr="001C6D5B">
              <w:rPr>
                <w:lang w:val="en-US"/>
              </w:rPr>
              <w:t>DCO1 (8 November 2019): Primary ORR and first interim OS analysis</w:t>
            </w:r>
          </w:p>
          <w:p w14:paraId="3C9A5737" w14:textId="77777777" w:rsidR="00BF711F" w:rsidRPr="001C6D5B" w:rsidRDefault="00BF711F">
            <w:pPr>
              <w:pStyle w:val="TableText0"/>
              <w:jc w:val="center"/>
            </w:pPr>
            <w:r w:rsidRPr="001C6D5B">
              <w:t>DCO2 (3 June 2020): Final OS analysis</w:t>
            </w:r>
          </w:p>
        </w:tc>
        <w:tc>
          <w:tcPr>
            <w:tcW w:w="621" w:type="pct"/>
            <w:vAlign w:val="center"/>
          </w:tcPr>
          <w:p w14:paraId="0810BC1D" w14:textId="77777777" w:rsidR="00BF711F" w:rsidRPr="001C6D5B" w:rsidRDefault="00BF711F">
            <w:pPr>
              <w:pStyle w:val="TableText0"/>
              <w:jc w:val="center"/>
            </w:pPr>
            <w:r w:rsidRPr="001C6D5B">
              <w:t>Low</w:t>
            </w:r>
          </w:p>
        </w:tc>
        <w:tc>
          <w:tcPr>
            <w:tcW w:w="857" w:type="pct"/>
            <w:vAlign w:val="center"/>
          </w:tcPr>
          <w:p w14:paraId="050D63EE" w14:textId="77777777" w:rsidR="00BF711F" w:rsidRPr="001C6D5B" w:rsidRDefault="00BF711F">
            <w:pPr>
              <w:pStyle w:val="TableText0"/>
              <w:jc w:val="center"/>
            </w:pPr>
            <w:r w:rsidRPr="001C6D5B">
              <w:t>HER2-positive 3L+ locally advanced and metastatic G/GOJ adenocarcinoma after failure on prior trastuzumab</w:t>
            </w:r>
          </w:p>
          <w:p w14:paraId="6DBF4832" w14:textId="77777777" w:rsidR="00BF711F" w:rsidRPr="001C6D5B" w:rsidRDefault="00BF711F">
            <w:pPr>
              <w:pStyle w:val="TableText0"/>
              <w:jc w:val="center"/>
            </w:pPr>
          </w:p>
          <w:p w14:paraId="5E41A2D8" w14:textId="77777777" w:rsidR="00BF711F" w:rsidRPr="001C6D5B" w:rsidRDefault="00BF711F">
            <w:pPr>
              <w:pStyle w:val="TableText0"/>
              <w:jc w:val="center"/>
            </w:pPr>
            <w:r w:rsidRPr="001C6D5B">
              <w:t>HER2 testing based on archived tissue or fresh tissue if not available.</w:t>
            </w:r>
          </w:p>
        </w:tc>
        <w:tc>
          <w:tcPr>
            <w:tcW w:w="622" w:type="pct"/>
            <w:vAlign w:val="center"/>
          </w:tcPr>
          <w:p w14:paraId="17111BE7" w14:textId="77777777" w:rsidR="00BF711F" w:rsidRPr="001C6D5B" w:rsidRDefault="00BF711F">
            <w:pPr>
              <w:pStyle w:val="TableText0"/>
              <w:jc w:val="center"/>
            </w:pPr>
            <w:r w:rsidRPr="001C6D5B">
              <w:t>ORR</w:t>
            </w:r>
          </w:p>
          <w:p w14:paraId="066821D2" w14:textId="77777777" w:rsidR="00BF711F" w:rsidRPr="001C6D5B" w:rsidRDefault="00BF711F">
            <w:pPr>
              <w:pStyle w:val="TableText0"/>
              <w:jc w:val="center"/>
            </w:pPr>
            <w:r w:rsidRPr="001C6D5B">
              <w:t>OS</w:t>
            </w:r>
          </w:p>
          <w:p w14:paraId="63E631E7" w14:textId="77777777" w:rsidR="00BF711F" w:rsidRPr="001C6D5B" w:rsidRDefault="00BF711F">
            <w:pPr>
              <w:pStyle w:val="TableText0"/>
              <w:jc w:val="center"/>
            </w:pPr>
            <w:r w:rsidRPr="001C6D5B">
              <w:t>PFS</w:t>
            </w:r>
          </w:p>
          <w:p w14:paraId="1115691A" w14:textId="77777777" w:rsidR="00BF711F" w:rsidRPr="001C6D5B" w:rsidRDefault="00BF711F">
            <w:pPr>
              <w:pStyle w:val="TableText0"/>
              <w:jc w:val="center"/>
            </w:pPr>
            <w:proofErr w:type="spellStart"/>
            <w:r w:rsidRPr="001C6D5B">
              <w:t>DoR</w:t>
            </w:r>
            <w:proofErr w:type="spellEnd"/>
          </w:p>
          <w:p w14:paraId="7D6DB96C" w14:textId="77777777" w:rsidR="00BF711F" w:rsidRPr="001C6D5B" w:rsidRDefault="00BF711F">
            <w:pPr>
              <w:pStyle w:val="TableText0"/>
              <w:jc w:val="center"/>
            </w:pPr>
            <w:proofErr w:type="spellStart"/>
            <w:r w:rsidRPr="001C6D5B">
              <w:t>HRQoL</w:t>
            </w:r>
            <w:proofErr w:type="spellEnd"/>
          </w:p>
          <w:p w14:paraId="756F602A" w14:textId="77777777" w:rsidR="00BF711F" w:rsidRPr="001C6D5B" w:rsidRDefault="00BF711F">
            <w:pPr>
              <w:pStyle w:val="TableText0"/>
              <w:jc w:val="center"/>
            </w:pPr>
            <w:r w:rsidRPr="001C6D5B">
              <w:t>Safety</w:t>
            </w:r>
          </w:p>
        </w:tc>
        <w:tc>
          <w:tcPr>
            <w:tcW w:w="939" w:type="pct"/>
            <w:vAlign w:val="center"/>
          </w:tcPr>
          <w:p w14:paraId="4CC915E1" w14:textId="77777777" w:rsidR="00BF711F" w:rsidRPr="001C6D5B" w:rsidRDefault="00BF711F">
            <w:pPr>
              <w:pStyle w:val="TableText0"/>
              <w:jc w:val="center"/>
            </w:pPr>
            <w:r w:rsidRPr="001C6D5B">
              <w:t>Used</w:t>
            </w:r>
          </w:p>
        </w:tc>
      </w:tr>
      <w:tr w:rsidR="00BF711F" w:rsidRPr="001C6D5B" w14:paraId="12BD7467" w14:textId="77777777">
        <w:trPr>
          <w:cantSplit/>
        </w:trPr>
        <w:tc>
          <w:tcPr>
            <w:tcW w:w="5000" w:type="pct"/>
            <w:gridSpan w:val="7"/>
            <w:vAlign w:val="center"/>
          </w:tcPr>
          <w:p w14:paraId="50B389E2" w14:textId="77777777" w:rsidR="00BF711F" w:rsidRPr="001C6D5B" w:rsidRDefault="00BF711F">
            <w:pPr>
              <w:pStyle w:val="TableText0"/>
              <w:rPr>
                <w:b/>
                <w:bCs w:val="0"/>
              </w:rPr>
            </w:pPr>
            <w:r w:rsidRPr="001C6D5B">
              <w:rPr>
                <w:b/>
                <w:bCs w:val="0"/>
              </w:rPr>
              <w:t>T-</w:t>
            </w:r>
            <w:proofErr w:type="spellStart"/>
            <w:r w:rsidRPr="001C6D5B">
              <w:rPr>
                <w:b/>
                <w:bCs w:val="0"/>
              </w:rPr>
              <w:t>DXd</w:t>
            </w:r>
            <w:proofErr w:type="spellEnd"/>
            <w:r w:rsidRPr="001C6D5B">
              <w:rPr>
                <w:b/>
                <w:bCs w:val="0"/>
              </w:rPr>
              <w:t xml:space="preserve"> (no comparator)</w:t>
            </w:r>
          </w:p>
        </w:tc>
      </w:tr>
      <w:tr w:rsidR="00BF711F" w:rsidRPr="001C6D5B" w14:paraId="4BB12F8B" w14:textId="77777777">
        <w:trPr>
          <w:cantSplit/>
        </w:trPr>
        <w:tc>
          <w:tcPr>
            <w:tcW w:w="713" w:type="pct"/>
            <w:vAlign w:val="center"/>
          </w:tcPr>
          <w:p w14:paraId="092749F8" w14:textId="77777777" w:rsidR="00BF711F" w:rsidRPr="001C6D5B" w:rsidRDefault="00BF711F">
            <w:pPr>
              <w:pStyle w:val="TableText0"/>
            </w:pPr>
            <w:r w:rsidRPr="001C6D5B">
              <w:t>DG-02</w:t>
            </w:r>
          </w:p>
          <w:p w14:paraId="434D6B90" w14:textId="77777777" w:rsidR="00BF711F" w:rsidRPr="001C6D5B" w:rsidRDefault="00BF711F">
            <w:pPr>
              <w:pStyle w:val="TableText0"/>
              <w:rPr>
                <w:lang w:val="en-US"/>
              </w:rPr>
            </w:pPr>
            <w:r w:rsidRPr="001C6D5B">
              <w:rPr>
                <w:lang w:val="en-US"/>
              </w:rPr>
              <w:t>NCT04014075</w:t>
            </w:r>
          </w:p>
          <w:p w14:paraId="0C243D32" w14:textId="77777777" w:rsidR="00BF711F" w:rsidRPr="001C6D5B" w:rsidRDefault="00BF711F">
            <w:pPr>
              <w:pStyle w:val="TableText0"/>
            </w:pPr>
          </w:p>
          <w:p w14:paraId="654C5E62" w14:textId="77777777" w:rsidR="00BF711F" w:rsidRPr="001C6D5B" w:rsidRDefault="00BF711F">
            <w:pPr>
              <w:pStyle w:val="TableText0"/>
            </w:pPr>
            <w:r w:rsidRPr="001C6D5B">
              <w:t xml:space="preserve">Van </w:t>
            </w:r>
            <w:proofErr w:type="spellStart"/>
            <w:r w:rsidRPr="001C6D5B">
              <w:t>Cutsem</w:t>
            </w:r>
            <w:proofErr w:type="spellEnd"/>
            <w:r w:rsidRPr="001C6D5B">
              <w:t>, 2023</w:t>
            </w:r>
          </w:p>
        </w:tc>
        <w:tc>
          <w:tcPr>
            <w:tcW w:w="466" w:type="pct"/>
            <w:vAlign w:val="center"/>
          </w:tcPr>
          <w:p w14:paraId="3DCDD0C9" w14:textId="77777777" w:rsidR="00BF711F" w:rsidRPr="001C6D5B" w:rsidRDefault="00BF711F">
            <w:pPr>
              <w:pStyle w:val="TableText0"/>
              <w:jc w:val="center"/>
            </w:pPr>
            <w:r w:rsidRPr="001C6D5B">
              <w:t>79</w:t>
            </w:r>
          </w:p>
        </w:tc>
        <w:tc>
          <w:tcPr>
            <w:tcW w:w="782" w:type="pct"/>
            <w:vAlign w:val="center"/>
          </w:tcPr>
          <w:p w14:paraId="1BCF7A2D" w14:textId="77777777" w:rsidR="00BF711F" w:rsidRPr="001C6D5B" w:rsidRDefault="00BF711F">
            <w:pPr>
              <w:pStyle w:val="TableText0"/>
              <w:jc w:val="center"/>
              <w:rPr>
                <w:lang w:val="en-US"/>
              </w:rPr>
            </w:pPr>
            <w:r w:rsidRPr="001C6D5B">
              <w:rPr>
                <w:lang w:val="en-US"/>
              </w:rPr>
              <w:t>Phase II, OL, MC, SA</w:t>
            </w:r>
          </w:p>
          <w:p w14:paraId="018ECAF2" w14:textId="77777777" w:rsidR="00BF711F" w:rsidRPr="001C6D5B" w:rsidRDefault="00BF711F">
            <w:pPr>
              <w:pStyle w:val="TableText0"/>
              <w:jc w:val="center"/>
              <w:rPr>
                <w:lang w:val="en-US"/>
              </w:rPr>
            </w:pPr>
            <w:r w:rsidRPr="001C6D5B">
              <w:rPr>
                <w:lang w:val="en-US"/>
              </w:rPr>
              <w:t xml:space="preserve">Conducted in Europe and </w:t>
            </w:r>
            <w:proofErr w:type="gramStart"/>
            <w:r w:rsidRPr="001C6D5B">
              <w:rPr>
                <w:lang w:val="en-US"/>
              </w:rPr>
              <w:t>US</w:t>
            </w:r>
            <w:proofErr w:type="gramEnd"/>
          </w:p>
          <w:p w14:paraId="5E0C5B09" w14:textId="77777777" w:rsidR="00BF711F" w:rsidRPr="001C6D5B" w:rsidRDefault="00BF711F">
            <w:pPr>
              <w:pStyle w:val="TableText0"/>
              <w:jc w:val="center"/>
              <w:rPr>
                <w:lang w:val="en-US"/>
              </w:rPr>
            </w:pPr>
            <w:r w:rsidRPr="001C6D5B">
              <w:rPr>
                <w:lang w:val="en-US"/>
              </w:rPr>
              <w:t>Full analysis set (ITT):</w:t>
            </w:r>
          </w:p>
          <w:p w14:paraId="1B0D6029" w14:textId="77777777" w:rsidR="00BF711F" w:rsidRPr="001C6D5B" w:rsidRDefault="00BF711F">
            <w:pPr>
              <w:pStyle w:val="TableText0"/>
              <w:jc w:val="center"/>
              <w:rPr>
                <w:lang w:val="en-US"/>
              </w:rPr>
            </w:pPr>
            <w:r w:rsidRPr="001C6D5B">
              <w:rPr>
                <w:lang w:val="en-US"/>
              </w:rPr>
              <w:t>DCO1 (9 April 2021): Primary ORR analysis</w:t>
            </w:r>
          </w:p>
          <w:p w14:paraId="6B2EB572" w14:textId="77777777" w:rsidR="00BF711F" w:rsidRPr="001C6D5B" w:rsidRDefault="00BF711F">
            <w:pPr>
              <w:pStyle w:val="TableText0"/>
              <w:jc w:val="center"/>
            </w:pPr>
            <w:r w:rsidRPr="001C6D5B">
              <w:t>DCO2 (8 Nov 2021): Updated analysis*</w:t>
            </w:r>
          </w:p>
        </w:tc>
        <w:tc>
          <w:tcPr>
            <w:tcW w:w="621" w:type="pct"/>
            <w:vAlign w:val="center"/>
          </w:tcPr>
          <w:p w14:paraId="79F3CB39" w14:textId="77777777" w:rsidR="00BF711F" w:rsidRPr="001C6D5B" w:rsidRDefault="00BF711F">
            <w:pPr>
              <w:pStyle w:val="TableText0"/>
              <w:jc w:val="center"/>
            </w:pPr>
            <w:r w:rsidRPr="001C6D5B">
              <w:t>High</w:t>
            </w:r>
          </w:p>
        </w:tc>
        <w:tc>
          <w:tcPr>
            <w:tcW w:w="857" w:type="pct"/>
            <w:vAlign w:val="center"/>
          </w:tcPr>
          <w:p w14:paraId="18C850CE" w14:textId="77777777" w:rsidR="00BF711F" w:rsidRPr="001C6D5B" w:rsidRDefault="00BF711F">
            <w:pPr>
              <w:pStyle w:val="TableText0"/>
              <w:jc w:val="center"/>
            </w:pPr>
            <w:r w:rsidRPr="001C6D5B">
              <w:t>HER2 positive 2L advanced G/GOJ cancer after failure on prior trastuzumab</w:t>
            </w:r>
          </w:p>
          <w:p w14:paraId="57D0B57E" w14:textId="77777777" w:rsidR="00BF711F" w:rsidRPr="001C6D5B" w:rsidRDefault="00BF711F">
            <w:pPr>
              <w:pStyle w:val="TableText0"/>
              <w:jc w:val="center"/>
            </w:pPr>
          </w:p>
          <w:p w14:paraId="7CCF87A0" w14:textId="77777777" w:rsidR="00BF711F" w:rsidRPr="001C6D5B" w:rsidRDefault="00BF711F">
            <w:pPr>
              <w:pStyle w:val="TableText0"/>
              <w:jc w:val="center"/>
            </w:pPr>
            <w:r w:rsidRPr="001C6D5B">
              <w:t>HER2 testing based on fresh tissue after progression on or after a prior trastuzumab-containing regimen</w:t>
            </w:r>
          </w:p>
        </w:tc>
        <w:tc>
          <w:tcPr>
            <w:tcW w:w="622" w:type="pct"/>
            <w:vAlign w:val="center"/>
          </w:tcPr>
          <w:p w14:paraId="4092F1B2" w14:textId="77777777" w:rsidR="00BF711F" w:rsidRPr="001C6D5B" w:rsidRDefault="00BF711F">
            <w:pPr>
              <w:pStyle w:val="TableText0"/>
              <w:jc w:val="center"/>
            </w:pPr>
            <w:r w:rsidRPr="001C6D5B">
              <w:t>ORR</w:t>
            </w:r>
          </w:p>
          <w:p w14:paraId="604F1B25" w14:textId="77777777" w:rsidR="00BF711F" w:rsidRPr="001C6D5B" w:rsidRDefault="00BF711F">
            <w:pPr>
              <w:pStyle w:val="TableText0"/>
              <w:jc w:val="center"/>
            </w:pPr>
            <w:r w:rsidRPr="001C6D5B">
              <w:t>OS</w:t>
            </w:r>
          </w:p>
          <w:p w14:paraId="55D14058" w14:textId="77777777" w:rsidR="00BF711F" w:rsidRPr="001C6D5B" w:rsidRDefault="00BF711F">
            <w:pPr>
              <w:pStyle w:val="TableText0"/>
              <w:jc w:val="center"/>
            </w:pPr>
            <w:r w:rsidRPr="001C6D5B">
              <w:t>PFS</w:t>
            </w:r>
          </w:p>
          <w:p w14:paraId="579E4B01" w14:textId="77777777" w:rsidR="00BF711F" w:rsidRPr="001C6D5B" w:rsidRDefault="00BF711F">
            <w:pPr>
              <w:pStyle w:val="TableText0"/>
              <w:jc w:val="center"/>
            </w:pPr>
            <w:r w:rsidRPr="001C6D5B">
              <w:t>DCR</w:t>
            </w:r>
          </w:p>
          <w:p w14:paraId="6EB059CD" w14:textId="77777777" w:rsidR="00BF711F" w:rsidRPr="001C6D5B" w:rsidRDefault="00BF711F">
            <w:pPr>
              <w:pStyle w:val="TableText0"/>
              <w:jc w:val="center"/>
            </w:pPr>
            <w:proofErr w:type="spellStart"/>
            <w:r w:rsidRPr="001C6D5B">
              <w:t>HRQoL</w:t>
            </w:r>
            <w:proofErr w:type="spellEnd"/>
          </w:p>
          <w:p w14:paraId="7E71F1A6" w14:textId="77777777" w:rsidR="00BF711F" w:rsidRPr="001C6D5B" w:rsidRDefault="00BF711F">
            <w:pPr>
              <w:pStyle w:val="TableText0"/>
              <w:jc w:val="center"/>
            </w:pPr>
            <w:r w:rsidRPr="001C6D5B">
              <w:t>Safety</w:t>
            </w:r>
          </w:p>
        </w:tc>
        <w:tc>
          <w:tcPr>
            <w:tcW w:w="939" w:type="pct"/>
            <w:vAlign w:val="center"/>
          </w:tcPr>
          <w:p w14:paraId="745067F6" w14:textId="77777777" w:rsidR="00BF711F" w:rsidRPr="001C6D5B" w:rsidRDefault="00BF711F">
            <w:pPr>
              <w:pStyle w:val="TableText0"/>
              <w:jc w:val="center"/>
            </w:pPr>
            <w:r w:rsidRPr="001C6D5B">
              <w:t>Used</w:t>
            </w:r>
          </w:p>
        </w:tc>
      </w:tr>
    </w:tbl>
    <w:p w14:paraId="6779C5FB" w14:textId="77777777" w:rsidR="00BF711F" w:rsidRDefault="00BF711F" w:rsidP="00BF711F">
      <w:pPr>
        <w:pStyle w:val="FooterTableFigure"/>
      </w:pPr>
      <w:r w:rsidRPr="00CB2671">
        <w:t>Source: Table 2-5, p 43 of the submission; Table 6</w:t>
      </w:r>
      <w:r>
        <w:t>,</w:t>
      </w:r>
      <w:r w:rsidRPr="00CB2671">
        <w:t xml:space="preserve"> p vii of the executive summary </w:t>
      </w:r>
    </w:p>
    <w:p w14:paraId="45AD09E5" w14:textId="77777777" w:rsidR="00BF711F" w:rsidRDefault="00BF711F" w:rsidP="00BF711F">
      <w:pPr>
        <w:pStyle w:val="FooterTableFigure"/>
      </w:pPr>
      <w:r w:rsidRPr="007F6D1D">
        <w:t>2L</w:t>
      </w:r>
      <w:r>
        <w:t xml:space="preserve"> = </w:t>
      </w:r>
      <w:r w:rsidRPr="007F6D1D">
        <w:t>second-line</w:t>
      </w:r>
      <w:r>
        <w:t>;</w:t>
      </w:r>
      <w:r w:rsidRPr="007F6D1D">
        <w:t xml:space="preserve"> 3L+</w:t>
      </w:r>
      <w:r>
        <w:t xml:space="preserve"> = </w:t>
      </w:r>
      <w:r w:rsidRPr="007F6D1D">
        <w:t>third-line or later</w:t>
      </w:r>
      <w:r>
        <w:t xml:space="preserve">; DCO = data cut-off; </w:t>
      </w:r>
      <w:r w:rsidRPr="007F6D1D">
        <w:t>DCR</w:t>
      </w:r>
      <w:r>
        <w:t xml:space="preserve"> = d</w:t>
      </w:r>
      <w:r w:rsidRPr="007F6D1D">
        <w:t>isease control rate</w:t>
      </w:r>
      <w:r>
        <w:t>;</w:t>
      </w:r>
      <w:r w:rsidRPr="007F6D1D">
        <w:t xml:space="preserve"> </w:t>
      </w:r>
      <w:proofErr w:type="spellStart"/>
      <w:r w:rsidRPr="007F6D1D">
        <w:t>DoR</w:t>
      </w:r>
      <w:proofErr w:type="spellEnd"/>
      <w:r>
        <w:t xml:space="preserve"> = </w:t>
      </w:r>
      <w:r w:rsidRPr="007F6D1D">
        <w:t xml:space="preserve">duration of response; </w:t>
      </w:r>
      <w:r>
        <w:t xml:space="preserve">G/GOJ = gastric and </w:t>
      </w:r>
      <w:r w:rsidRPr="007F6D1D">
        <w:t>gastro-oesophageal</w:t>
      </w:r>
      <w:r>
        <w:t>;</w:t>
      </w:r>
      <w:r w:rsidRPr="007F6D1D">
        <w:t xml:space="preserve"> </w:t>
      </w:r>
      <w:proofErr w:type="spellStart"/>
      <w:r w:rsidRPr="007F6D1D">
        <w:t>HRQoL</w:t>
      </w:r>
      <w:proofErr w:type="spellEnd"/>
      <w:r>
        <w:t xml:space="preserve"> = </w:t>
      </w:r>
      <w:r w:rsidRPr="007F6D1D">
        <w:t>health-related quality of life</w:t>
      </w:r>
      <w:r>
        <w:t>;</w:t>
      </w:r>
      <w:r w:rsidRPr="007F6D1D">
        <w:t xml:space="preserve"> IO</w:t>
      </w:r>
      <w:r>
        <w:t xml:space="preserve"> = </w:t>
      </w:r>
      <w:r w:rsidRPr="007F6D1D">
        <w:t>immunotherapy</w:t>
      </w:r>
      <w:r>
        <w:t>;</w:t>
      </w:r>
      <w:r w:rsidRPr="007F6D1D">
        <w:t xml:space="preserve"> MC</w:t>
      </w:r>
      <w:r>
        <w:t xml:space="preserve"> = </w:t>
      </w:r>
      <w:r w:rsidRPr="007F6D1D">
        <w:t>multicentre</w:t>
      </w:r>
      <w:r>
        <w:t>;</w:t>
      </w:r>
      <w:r w:rsidRPr="007F6D1D">
        <w:t xml:space="preserve"> OL</w:t>
      </w:r>
      <w:r>
        <w:t xml:space="preserve"> = </w:t>
      </w:r>
      <w:r w:rsidRPr="007F6D1D">
        <w:t>open-label</w:t>
      </w:r>
      <w:r>
        <w:t>;</w:t>
      </w:r>
      <w:r w:rsidRPr="007F6D1D">
        <w:t xml:space="preserve"> ORR</w:t>
      </w:r>
      <w:r>
        <w:t xml:space="preserve"> = </w:t>
      </w:r>
      <w:r w:rsidRPr="007F6D1D">
        <w:t>objective response rate</w:t>
      </w:r>
      <w:r>
        <w:t>;</w:t>
      </w:r>
      <w:r w:rsidRPr="007F6D1D">
        <w:t xml:space="preserve"> OS</w:t>
      </w:r>
      <w:r>
        <w:t xml:space="preserve"> = </w:t>
      </w:r>
      <w:r w:rsidRPr="007F6D1D">
        <w:t>overall survival</w:t>
      </w:r>
      <w:r>
        <w:t xml:space="preserve">; </w:t>
      </w:r>
      <w:r w:rsidRPr="007F6D1D">
        <w:t>PFS</w:t>
      </w:r>
      <w:r>
        <w:t xml:space="preserve"> = </w:t>
      </w:r>
      <w:r w:rsidRPr="007F6D1D">
        <w:t>progression-free survival</w:t>
      </w:r>
      <w:r>
        <w:t>;</w:t>
      </w:r>
      <w:r w:rsidRPr="007F6D1D">
        <w:t xml:space="preserve"> Q3W</w:t>
      </w:r>
      <w:r>
        <w:t xml:space="preserve"> = </w:t>
      </w:r>
      <w:r w:rsidRPr="007F6D1D">
        <w:t>every three weeks</w:t>
      </w:r>
      <w:r>
        <w:t>;</w:t>
      </w:r>
      <w:r w:rsidRPr="007F6D1D">
        <w:t xml:space="preserve"> </w:t>
      </w:r>
      <w:r>
        <w:t xml:space="preserve">SoC = standard of care chemotherapy; </w:t>
      </w:r>
      <w:r w:rsidRPr="007F6D1D">
        <w:t>T-</w:t>
      </w:r>
      <w:proofErr w:type="spellStart"/>
      <w:r w:rsidRPr="007F6D1D">
        <w:t>DXd</w:t>
      </w:r>
      <w:proofErr w:type="spellEnd"/>
      <w:r>
        <w:t xml:space="preserve"> = </w:t>
      </w:r>
      <w:r w:rsidRPr="007F6D1D">
        <w:t xml:space="preserve">trastuzumab </w:t>
      </w:r>
      <w:proofErr w:type="spellStart"/>
      <w:r w:rsidRPr="007F6D1D">
        <w:t>deruxtecan</w:t>
      </w:r>
      <w:proofErr w:type="spellEnd"/>
      <w:r>
        <w:t>;</w:t>
      </w:r>
      <w:r w:rsidRPr="007F6D1D">
        <w:t xml:space="preserve"> </w:t>
      </w:r>
    </w:p>
    <w:p w14:paraId="1A617C9F" w14:textId="77777777" w:rsidR="00BF711F" w:rsidRPr="007F6D1D" w:rsidRDefault="00BF711F" w:rsidP="00BF711F">
      <w:pPr>
        <w:pStyle w:val="FooterTableFigure"/>
      </w:pPr>
      <w:r w:rsidRPr="001E25B6">
        <w:t>*Not pre-specified. Requested as part of a health authority review.</w:t>
      </w:r>
    </w:p>
    <w:p w14:paraId="28F69EDA" w14:textId="6E3AE47D" w:rsidR="00BF711F" w:rsidRPr="001C6D5B" w:rsidRDefault="00BF711F" w:rsidP="00BF711F">
      <w:pPr>
        <w:pStyle w:val="3-BodyText"/>
      </w:pPr>
      <w:r w:rsidRPr="001C6D5B">
        <w:t xml:space="preserve">The risk of bias was considered low in study DG-01 except for subjective outcomes such as patient reported outcomes (PROs) and patient reported adverse events (AEs) as there </w:t>
      </w:r>
      <w:r w:rsidR="00CF3207" w:rsidRPr="001C6D5B">
        <w:t>was</w:t>
      </w:r>
      <w:r w:rsidRPr="001C6D5B">
        <w:t xml:space="preserve"> no allocation concealment. Assessment by blinded ICR was used to overcome bias associated with lack of allocation concealment for clinical outcomes for treatment response in DG-01.</w:t>
      </w:r>
    </w:p>
    <w:p w14:paraId="1838E8CA" w14:textId="35C7B995" w:rsidR="00BF711F" w:rsidRPr="001C6D5B" w:rsidRDefault="00BF711F" w:rsidP="00BF711F">
      <w:pPr>
        <w:pStyle w:val="3-BodyText"/>
      </w:pPr>
      <w:r w:rsidRPr="001C6D5B">
        <w:t xml:space="preserve">The population in study DG-01 </w:t>
      </w:r>
      <w:r w:rsidR="00064FB5" w:rsidRPr="001C6D5B">
        <w:t>w</w:t>
      </w:r>
      <w:r w:rsidR="00064FB5">
        <w:t>as</w:t>
      </w:r>
      <w:r w:rsidR="00064FB5" w:rsidRPr="001C6D5B">
        <w:t xml:space="preserve"> </w:t>
      </w:r>
      <w:r w:rsidRPr="001C6D5B">
        <w:t xml:space="preserve">East-Asian </w:t>
      </w:r>
      <w:r w:rsidR="001E5E78" w:rsidRPr="001C6D5B">
        <w:t xml:space="preserve">patients </w:t>
      </w:r>
      <w:r w:rsidRPr="001C6D5B">
        <w:t xml:space="preserve">recruited from Japan and Korea. </w:t>
      </w:r>
      <w:r w:rsidR="002E60EA" w:rsidRPr="001C6D5B">
        <w:rPr>
          <w:bCs/>
        </w:rPr>
        <w:t xml:space="preserve">The most frequently administered prior anticancer agents in the whole study population were trastuzumab (98.9%), ramucirumab (72.2%), capecitabine (71.7%), paclitaxel (70.6%), nivolumab (25.7%), irinotecan (7.0%) and pembrolizumab (6.4%). </w:t>
      </w:r>
      <w:r w:rsidR="00C106B6">
        <w:t>R</w:t>
      </w:r>
      <w:r w:rsidR="00C106B6" w:rsidRPr="001C6D5B">
        <w:t>eported outcomes from DG-01 may have limited applicability to efficacy and safety of T-</w:t>
      </w:r>
      <w:proofErr w:type="spellStart"/>
      <w:r w:rsidR="00C106B6" w:rsidRPr="001C6D5B">
        <w:t>DXd</w:t>
      </w:r>
      <w:proofErr w:type="spellEnd"/>
      <w:r w:rsidR="00C106B6" w:rsidRPr="001C6D5B">
        <w:t xml:space="preserve"> in the proposed Australian setting</w:t>
      </w:r>
      <w:r w:rsidR="00C106B6">
        <w:t xml:space="preserve"> due to the following </w:t>
      </w:r>
      <w:r w:rsidR="00C82963">
        <w:t>issues: d</w:t>
      </w:r>
      <w:r w:rsidRPr="001C6D5B">
        <w:t>ifferences in population characteristics, differences in incidence of gastric vs GOJ adenocarcinoma, difference</w:t>
      </w:r>
      <w:r w:rsidR="00283CA6">
        <w:t>s</w:t>
      </w:r>
      <w:r w:rsidRPr="001C6D5B">
        <w:t xml:space="preserve"> in </w:t>
      </w:r>
      <w:r w:rsidR="00283CA6">
        <w:t xml:space="preserve">the </w:t>
      </w:r>
      <w:r w:rsidRPr="001C6D5B">
        <w:t xml:space="preserve">incidence of the intestinal vs diffuse histological subtype, diagnosis at an earlier disease stage via nationwide screening programs, differences in disease </w:t>
      </w:r>
      <w:r w:rsidRPr="001C6D5B">
        <w:lastRenderedPageBreak/>
        <w:t>management, more extensively pretreated as 3L or later use of T-</w:t>
      </w:r>
      <w:proofErr w:type="spellStart"/>
      <w:r w:rsidRPr="001C6D5B">
        <w:t>DXd</w:t>
      </w:r>
      <w:proofErr w:type="spellEnd"/>
      <w:r w:rsidRPr="001C6D5B">
        <w:t>, different definition of HER2 positive status, use of treatments not reimbursed in Australia (e.g. ramucirumab, nivolumab) prior to T-</w:t>
      </w:r>
      <w:proofErr w:type="spellStart"/>
      <w:r w:rsidRPr="001C6D5B">
        <w:t>DXd</w:t>
      </w:r>
      <w:proofErr w:type="spellEnd"/>
      <w:r w:rsidRPr="001C6D5B">
        <w:t xml:space="preserve"> treatment, use of nivolumab treatment which is not reimbursed in Australia after failure on T-</w:t>
      </w:r>
      <w:proofErr w:type="spellStart"/>
      <w:r w:rsidRPr="001C6D5B">
        <w:t>DXd</w:t>
      </w:r>
      <w:proofErr w:type="spellEnd"/>
      <w:r w:rsidRPr="001C6D5B">
        <w:t>, increased susceptibility to ILD that is an AE of special interest for T-</w:t>
      </w:r>
      <w:proofErr w:type="spellStart"/>
      <w:r w:rsidRPr="001C6D5B">
        <w:t>DXd</w:t>
      </w:r>
      <w:proofErr w:type="spellEnd"/>
      <w:r w:rsidRPr="001C6D5B">
        <w:t xml:space="preserve"> treatment, and exclusion of patients with prior ILD requiring corticosteroids.</w:t>
      </w:r>
    </w:p>
    <w:p w14:paraId="5A474DD2" w14:textId="73B946AA" w:rsidR="00BF711F" w:rsidRDefault="00BF711F" w:rsidP="00BF711F">
      <w:pPr>
        <w:pStyle w:val="3-BodyText"/>
      </w:pPr>
      <w:r w:rsidRPr="001C6D5B">
        <w:t>The population in study DG-02 was predominantly Caucasian (87.3%) recruited from Europe and North America. The population demographics, disease characteristics, proposed 2L use of T-</w:t>
      </w:r>
      <w:proofErr w:type="spellStart"/>
      <w:r w:rsidRPr="001C6D5B">
        <w:t>DXd</w:t>
      </w:r>
      <w:proofErr w:type="spellEnd"/>
      <w:r w:rsidRPr="001C6D5B">
        <w:t xml:space="preserve">, and </w:t>
      </w:r>
      <w:r w:rsidR="00306970">
        <w:t xml:space="preserve">absence of </w:t>
      </w:r>
      <w:r w:rsidRPr="001C6D5B">
        <w:t>ramucirumab treatment prior to T-</w:t>
      </w:r>
      <w:proofErr w:type="spellStart"/>
      <w:r w:rsidRPr="001C6D5B">
        <w:t>DXd</w:t>
      </w:r>
      <w:proofErr w:type="spellEnd"/>
      <w:r w:rsidRPr="001C6D5B">
        <w:t xml:space="preserve"> were more aligned with the Australian setting</w:t>
      </w:r>
      <w:r w:rsidR="00C82963">
        <w:t xml:space="preserve"> than </w:t>
      </w:r>
      <w:r w:rsidR="000040C1">
        <w:t>study DG-01</w:t>
      </w:r>
      <w:r w:rsidRPr="001C6D5B">
        <w:t>. Only the characteristics of the patients recruited from Europe were used in the economic model as these were considered more representative of the Australian population than those of the North American participants, who had a higher median body weight than the European population in DG-02.</w:t>
      </w:r>
    </w:p>
    <w:p w14:paraId="14790F02" w14:textId="0A8348F4" w:rsidR="00DF22E7" w:rsidRPr="00E55A74" w:rsidRDefault="00DF22E7">
      <w:pPr>
        <w:pStyle w:val="3-BodyText"/>
        <w:rPr>
          <w:iCs/>
        </w:rPr>
      </w:pPr>
      <w:r w:rsidRPr="00E55A74">
        <w:rPr>
          <w:iCs/>
        </w:rPr>
        <w:t>The PSCR acknowledged the applicability issues discussed above in relation to DG</w:t>
      </w:r>
      <w:r w:rsidR="000040C1">
        <w:rPr>
          <w:iCs/>
        </w:rPr>
        <w:noBreakHyphen/>
      </w:r>
      <w:r w:rsidRPr="00E55A74">
        <w:rPr>
          <w:iCs/>
        </w:rPr>
        <w:t>01 and noted that DG-02 was included as supportive evidence. The PSCR maintained that the combined evidence from studies DG-01 and DG-02 supports the clinical benefit of T-</w:t>
      </w:r>
      <w:proofErr w:type="spellStart"/>
      <w:r w:rsidRPr="00E55A74">
        <w:rPr>
          <w:iCs/>
        </w:rPr>
        <w:t>DXd</w:t>
      </w:r>
      <w:proofErr w:type="spellEnd"/>
      <w:r w:rsidRPr="00E55A74">
        <w:rPr>
          <w:iCs/>
        </w:rPr>
        <w:t xml:space="preserve"> for the proposed PBS population. In addition, the PSCR provided OS data from DG-04, a Phase 3 study of T-</w:t>
      </w:r>
      <w:proofErr w:type="spellStart"/>
      <w:r w:rsidRPr="00E55A74">
        <w:rPr>
          <w:iCs/>
        </w:rPr>
        <w:t>DXd</w:t>
      </w:r>
      <w:proofErr w:type="spellEnd"/>
      <w:r w:rsidRPr="00E55A74">
        <w:rPr>
          <w:iCs/>
        </w:rPr>
        <w:t xml:space="preserve"> vs ramucirumab + paclitaxel to support the applicability of the data presented in the submission to the Australian setting. </w:t>
      </w:r>
      <w:r w:rsidR="00246CF5" w:rsidRPr="00E55A74">
        <w:rPr>
          <w:iCs/>
        </w:rPr>
        <w:t>T</w:t>
      </w:r>
      <w:r w:rsidR="00F4571C" w:rsidRPr="00E55A74">
        <w:rPr>
          <w:iCs/>
        </w:rPr>
        <w:t xml:space="preserve">he </w:t>
      </w:r>
      <w:r w:rsidR="00246CF5" w:rsidRPr="00E55A74">
        <w:rPr>
          <w:iCs/>
        </w:rPr>
        <w:t xml:space="preserve">PSCR reported a </w:t>
      </w:r>
      <w:r w:rsidR="00F4571C" w:rsidRPr="00E55A74">
        <w:rPr>
          <w:iCs/>
        </w:rPr>
        <w:t xml:space="preserve">median OS of 14.7 months </w:t>
      </w:r>
      <w:r w:rsidR="00246CF5" w:rsidRPr="00E55A74">
        <w:rPr>
          <w:iCs/>
        </w:rPr>
        <w:t xml:space="preserve">in </w:t>
      </w:r>
      <w:r w:rsidR="00F4571C" w:rsidRPr="00E55A74">
        <w:rPr>
          <w:iCs/>
        </w:rPr>
        <w:t>DG-04</w:t>
      </w:r>
      <w:r w:rsidR="0038394D">
        <w:rPr>
          <w:iCs/>
        </w:rPr>
        <w:t>,</w:t>
      </w:r>
      <w:r w:rsidR="00F4571C" w:rsidRPr="00E55A74">
        <w:rPr>
          <w:iCs/>
        </w:rPr>
        <w:t xml:space="preserve"> </w:t>
      </w:r>
      <w:r w:rsidR="00246CF5" w:rsidRPr="00E55A74">
        <w:rPr>
          <w:iCs/>
        </w:rPr>
        <w:t xml:space="preserve">which is longer than </w:t>
      </w:r>
      <w:r w:rsidR="00F4571C" w:rsidRPr="00E55A74">
        <w:rPr>
          <w:iCs/>
        </w:rPr>
        <w:t>the OS of reported in DG-01 and DG-02</w:t>
      </w:r>
      <w:r w:rsidR="00246CF5" w:rsidRPr="00E55A74">
        <w:rPr>
          <w:iCs/>
        </w:rPr>
        <w:t xml:space="preserve"> (</w:t>
      </w:r>
      <w:r w:rsidR="0038394D" w:rsidRPr="00E55A74">
        <w:rPr>
          <w:iCs/>
        </w:rPr>
        <w:t>approximately 12 months</w:t>
      </w:r>
      <w:r w:rsidR="0038394D">
        <w:rPr>
          <w:iCs/>
        </w:rPr>
        <w:t>,</w:t>
      </w:r>
      <w:r w:rsidR="0038394D" w:rsidRPr="00E55A74">
        <w:rPr>
          <w:iCs/>
        </w:rPr>
        <w:t xml:space="preserve"> </w:t>
      </w:r>
      <w:r w:rsidR="00246CF5" w:rsidRPr="00E55A74">
        <w:rPr>
          <w:iCs/>
        </w:rPr>
        <w:fldChar w:fldCharType="begin"/>
      </w:r>
      <w:r w:rsidR="00246CF5" w:rsidRPr="00E55A74">
        <w:rPr>
          <w:iCs/>
        </w:rPr>
        <w:instrText xml:space="preserve"> REF _Ref191840896 \h  \* MERGEFORMAT </w:instrText>
      </w:r>
      <w:r w:rsidR="00246CF5" w:rsidRPr="00E55A74">
        <w:rPr>
          <w:iCs/>
        </w:rPr>
      </w:r>
      <w:r w:rsidR="00246CF5" w:rsidRPr="00E55A74">
        <w:rPr>
          <w:iCs/>
        </w:rPr>
        <w:fldChar w:fldCharType="separate"/>
      </w:r>
      <w:r w:rsidR="00593619" w:rsidRPr="00593619">
        <w:rPr>
          <w:iCs/>
        </w:rPr>
        <w:t xml:space="preserve">Table </w:t>
      </w:r>
      <w:r w:rsidR="00593619" w:rsidRPr="00593619">
        <w:rPr>
          <w:iCs/>
          <w:noProof/>
        </w:rPr>
        <w:t>4</w:t>
      </w:r>
      <w:r w:rsidR="00246CF5" w:rsidRPr="00E55A74">
        <w:rPr>
          <w:iCs/>
        </w:rPr>
        <w:fldChar w:fldCharType="end"/>
      </w:r>
      <w:r w:rsidR="00246CF5" w:rsidRPr="00E55A74">
        <w:rPr>
          <w:iCs/>
        </w:rPr>
        <w:t>). The ESC noted that a</w:t>
      </w:r>
      <w:r w:rsidRPr="00E55A74">
        <w:rPr>
          <w:iCs/>
        </w:rPr>
        <w:t xml:space="preserve"> statistically significant improvement in median OS was observed for T-</w:t>
      </w:r>
      <w:proofErr w:type="spellStart"/>
      <w:r w:rsidRPr="00E55A74">
        <w:rPr>
          <w:iCs/>
        </w:rPr>
        <w:t>DXd</w:t>
      </w:r>
      <w:proofErr w:type="spellEnd"/>
      <w:r w:rsidRPr="00E55A74">
        <w:rPr>
          <w:iCs/>
        </w:rPr>
        <w:t xml:space="preserve"> vs RAM+PAC</w:t>
      </w:r>
      <w:r w:rsidR="00246CF5" w:rsidRPr="00E55A74">
        <w:rPr>
          <w:iCs/>
        </w:rPr>
        <w:t xml:space="preserve"> study DG-</w:t>
      </w:r>
      <w:proofErr w:type="gramStart"/>
      <w:r w:rsidR="00246CF5" w:rsidRPr="00E55A74">
        <w:rPr>
          <w:iCs/>
        </w:rPr>
        <w:t>04,</w:t>
      </w:r>
      <w:r w:rsidRPr="00E55A74">
        <w:rPr>
          <w:iCs/>
        </w:rPr>
        <w:t xml:space="preserve"> </w:t>
      </w:r>
      <w:r w:rsidR="00246CF5" w:rsidRPr="00E55A74">
        <w:rPr>
          <w:iCs/>
        </w:rPr>
        <w:t>and</w:t>
      </w:r>
      <w:proofErr w:type="gramEnd"/>
      <w:r w:rsidR="00246CF5" w:rsidRPr="00E55A74">
        <w:rPr>
          <w:iCs/>
        </w:rPr>
        <w:t xml:space="preserve"> considered this was supportive evidence although </w:t>
      </w:r>
      <w:r w:rsidRPr="00E55A74">
        <w:rPr>
          <w:iCs/>
        </w:rPr>
        <w:t>this study does not directly inform the relative efficacy of T-</w:t>
      </w:r>
      <w:proofErr w:type="spellStart"/>
      <w:r w:rsidRPr="00E55A74">
        <w:rPr>
          <w:iCs/>
        </w:rPr>
        <w:t>DXd</w:t>
      </w:r>
      <w:proofErr w:type="spellEnd"/>
      <w:r w:rsidRPr="00E55A74">
        <w:rPr>
          <w:iCs/>
        </w:rPr>
        <w:t xml:space="preserve"> vs </w:t>
      </w:r>
      <w:r w:rsidR="00246CF5" w:rsidRPr="00E55A74">
        <w:rPr>
          <w:iCs/>
        </w:rPr>
        <w:t xml:space="preserve">SoC </w:t>
      </w:r>
      <w:r w:rsidRPr="00E55A74">
        <w:rPr>
          <w:iCs/>
        </w:rPr>
        <w:t>chemotherapy</w:t>
      </w:r>
      <w:r w:rsidR="00246CF5" w:rsidRPr="00E55A74">
        <w:rPr>
          <w:iCs/>
        </w:rPr>
        <w:t>, the main comparator for the current submission.</w:t>
      </w:r>
    </w:p>
    <w:p w14:paraId="7C815338" w14:textId="6B33BC5A" w:rsidR="00BF711F" w:rsidRPr="00D86D87" w:rsidRDefault="00BF711F" w:rsidP="00BF711F">
      <w:pPr>
        <w:pStyle w:val="4-SubsectionHeading"/>
      </w:pPr>
      <w:bookmarkStart w:id="29" w:name="_Toc22897641"/>
      <w:bookmarkStart w:id="30" w:name="_Toc187925087"/>
      <w:bookmarkStart w:id="31" w:name="_Toc193454317"/>
      <w:r w:rsidRPr="00D86D87">
        <w:t>Comparative effectiveness</w:t>
      </w:r>
      <w:bookmarkEnd w:id="29"/>
      <w:bookmarkEnd w:id="30"/>
      <w:bookmarkEnd w:id="31"/>
    </w:p>
    <w:p w14:paraId="086274B2" w14:textId="5B9345D7" w:rsidR="00BF711F" w:rsidRPr="001C6D5B" w:rsidRDefault="00BF711F" w:rsidP="00F1474C">
      <w:pPr>
        <w:pStyle w:val="3-BodyText"/>
      </w:pPr>
      <w:r w:rsidRPr="001C6D5B">
        <w:t>For study DG-01 (DCO2; 3 June 2020), the median duration of follow-up for the T-</w:t>
      </w:r>
      <w:proofErr w:type="spellStart"/>
      <w:r w:rsidRPr="001C6D5B">
        <w:t>DXd</w:t>
      </w:r>
      <w:proofErr w:type="spellEnd"/>
      <w:r w:rsidRPr="001C6D5B">
        <w:t xml:space="preserve"> and SoC arm</w:t>
      </w:r>
      <w:r w:rsidR="00DC3609">
        <w:t>s</w:t>
      </w:r>
      <w:r w:rsidRPr="001C6D5B">
        <w:t xml:space="preserve"> was 11.9 months and 8.5 months, respectively. Similar median follow-up was reported for the T-</w:t>
      </w:r>
      <w:proofErr w:type="spellStart"/>
      <w:r w:rsidRPr="001C6D5B">
        <w:t>DXd</w:t>
      </w:r>
      <w:proofErr w:type="spellEnd"/>
      <w:r w:rsidRPr="001C6D5B">
        <w:t xml:space="preserve"> population of DG-02 (10.2 months). Relative dose intensity and duration of treatment was numerically higher for T-</w:t>
      </w:r>
      <w:proofErr w:type="spellStart"/>
      <w:r w:rsidRPr="001C6D5B">
        <w:t>DXd</w:t>
      </w:r>
      <w:proofErr w:type="spellEnd"/>
      <w:r w:rsidRPr="001C6D5B">
        <w:t xml:space="preserve"> versus SoC and was higher for paclitaxel versus irinotecan; more patients in the SoC arm received irinotecan (n=55) versus paclitaxel (n=7) which had an impact on the efficacy and safety results reported for the SoC arm in DG-01.</w:t>
      </w:r>
    </w:p>
    <w:p w14:paraId="44239320" w14:textId="7257CBD0" w:rsidR="00BF711F" w:rsidRPr="001C6D5B" w:rsidRDefault="00BF711F" w:rsidP="00BF711F">
      <w:pPr>
        <w:pStyle w:val="3-BodyText"/>
      </w:pPr>
      <w:r w:rsidRPr="001C6D5B">
        <w:t>The primary endpoint for both DG-01 and DG-02 was ORR assessed by ICR. DG-01 met its primary endpoint demonstrating a superior confirmed ORR by ICR for T-</w:t>
      </w:r>
      <w:proofErr w:type="spellStart"/>
      <w:r w:rsidRPr="001C6D5B">
        <w:t>DXd</w:t>
      </w:r>
      <w:proofErr w:type="spellEnd"/>
      <w:r w:rsidRPr="001C6D5B">
        <w:t xml:space="preserve"> versus SoC (ORR, 40.5%, 95% CI: 31.8, 49.6 vs 11.3%, 95% CI: 4.7, 21.9; absolute difference, 28.4%, 95% CI: 14.2, 39.6, p&lt;0.0001). Results for T-</w:t>
      </w:r>
      <w:proofErr w:type="spellStart"/>
      <w:r w:rsidRPr="001C6D5B">
        <w:t>DXd</w:t>
      </w:r>
      <w:proofErr w:type="spellEnd"/>
      <w:r w:rsidRPr="001C6D5B">
        <w:t xml:space="preserve"> in DG-02 were </w:t>
      </w:r>
      <w:proofErr w:type="gramStart"/>
      <w:r w:rsidRPr="001C6D5B">
        <w:t>similar to</w:t>
      </w:r>
      <w:proofErr w:type="gramEnd"/>
      <w:r w:rsidRPr="001C6D5B">
        <w:t xml:space="preserve"> DG</w:t>
      </w:r>
      <w:r w:rsidR="000D4751" w:rsidRPr="001C6D5B">
        <w:noBreakHyphen/>
      </w:r>
      <w:r w:rsidRPr="001C6D5B">
        <w:t>01 with a confirmed ORR by ICR of 41.8% (95% CI: 30.8, 53.4).</w:t>
      </w:r>
    </w:p>
    <w:p w14:paraId="23D010E3" w14:textId="1A172F9C" w:rsidR="00BF711F" w:rsidRPr="001C6D5B" w:rsidRDefault="00BF711F" w:rsidP="00BF711F">
      <w:pPr>
        <w:pStyle w:val="3-BodyText"/>
      </w:pPr>
      <w:r w:rsidRPr="001C6D5B">
        <w:lastRenderedPageBreak/>
        <w:t xml:space="preserve">OS and PFS outcomes for studies DG-01 and DG-02 are summarised in </w:t>
      </w:r>
      <w:r w:rsidRPr="001C6D5B">
        <w:fldChar w:fldCharType="begin"/>
      </w:r>
      <w:r w:rsidRPr="001C6D5B">
        <w:instrText xml:space="preserve"> REF _Ref191840896 \h </w:instrText>
      </w:r>
      <w:r w:rsidR="001C6D5B" w:rsidRPr="001C6D5B">
        <w:instrText xml:space="preserve"> \* MERGEFORMAT </w:instrText>
      </w:r>
      <w:r w:rsidRPr="001C6D5B">
        <w:fldChar w:fldCharType="separate"/>
      </w:r>
      <w:r w:rsidR="00593619">
        <w:t xml:space="preserve">Table </w:t>
      </w:r>
      <w:r w:rsidR="00593619">
        <w:rPr>
          <w:noProof/>
        </w:rPr>
        <w:t>4</w:t>
      </w:r>
      <w:r w:rsidRPr="001C6D5B">
        <w:fldChar w:fldCharType="end"/>
      </w:r>
      <w:r w:rsidRPr="001C6D5B">
        <w:t xml:space="preserve">. The Kaplan-Meier (KM) OS plot and PFS plot for DG-01 is presented in </w:t>
      </w:r>
      <w:r w:rsidRPr="001C6D5B">
        <w:fldChar w:fldCharType="begin"/>
      </w:r>
      <w:r w:rsidRPr="001C6D5B">
        <w:instrText xml:space="preserve"> REF _Ref191839896 \h </w:instrText>
      </w:r>
      <w:r w:rsidR="001C6D5B" w:rsidRPr="001C6D5B">
        <w:instrText xml:space="preserve"> \* MERGEFORMAT </w:instrText>
      </w:r>
      <w:r w:rsidRPr="001C6D5B">
        <w:fldChar w:fldCharType="separate"/>
      </w:r>
      <w:r w:rsidR="00593619">
        <w:t xml:space="preserve">Figure </w:t>
      </w:r>
      <w:r w:rsidR="00593619">
        <w:rPr>
          <w:noProof/>
        </w:rPr>
        <w:t>1</w:t>
      </w:r>
      <w:r w:rsidRPr="001C6D5B">
        <w:fldChar w:fldCharType="end"/>
      </w:r>
      <w:r w:rsidRPr="001C6D5B">
        <w:t xml:space="preserve"> and </w:t>
      </w:r>
      <w:r w:rsidRPr="001C6D5B">
        <w:fldChar w:fldCharType="begin"/>
      </w:r>
      <w:r w:rsidRPr="001C6D5B">
        <w:instrText xml:space="preserve"> REF _Ref191840543 \h </w:instrText>
      </w:r>
      <w:r w:rsidR="001C6D5B" w:rsidRPr="001C6D5B">
        <w:instrText xml:space="preserve"> \* MERGEFORMAT </w:instrText>
      </w:r>
      <w:r w:rsidRPr="001C6D5B">
        <w:fldChar w:fldCharType="separate"/>
      </w:r>
      <w:r w:rsidR="00593619">
        <w:t xml:space="preserve">Figure </w:t>
      </w:r>
      <w:r w:rsidR="00593619">
        <w:rPr>
          <w:noProof/>
        </w:rPr>
        <w:t>2</w:t>
      </w:r>
      <w:r w:rsidRPr="001C6D5B">
        <w:fldChar w:fldCharType="end"/>
      </w:r>
      <w:r w:rsidRPr="001C6D5B">
        <w:t>, respectively.</w:t>
      </w:r>
    </w:p>
    <w:p w14:paraId="00249B47" w14:textId="5493A5D3" w:rsidR="00BF711F" w:rsidRPr="00D86D87" w:rsidRDefault="00BF711F" w:rsidP="00BF711F">
      <w:pPr>
        <w:pStyle w:val="Caption"/>
        <w:rPr>
          <w:rStyle w:val="CommentReference"/>
          <w:b/>
          <w:szCs w:val="24"/>
        </w:rPr>
      </w:pPr>
      <w:bookmarkStart w:id="32" w:name="_Ref191840896"/>
      <w:r>
        <w:t xml:space="preserve">Table </w:t>
      </w:r>
      <w:r w:rsidR="008B461E">
        <w:fldChar w:fldCharType="begin"/>
      </w:r>
      <w:r w:rsidR="008B461E">
        <w:instrText xml:space="preserve"> SEQ Table \* ARABIC </w:instrText>
      </w:r>
      <w:r w:rsidR="008B461E">
        <w:fldChar w:fldCharType="separate"/>
      </w:r>
      <w:r w:rsidR="00593619">
        <w:rPr>
          <w:noProof/>
        </w:rPr>
        <w:t>4</w:t>
      </w:r>
      <w:r w:rsidR="008B461E">
        <w:rPr>
          <w:noProof/>
        </w:rPr>
        <w:fldChar w:fldCharType="end"/>
      </w:r>
      <w:bookmarkEnd w:id="32"/>
      <w:r w:rsidRPr="00D86D87">
        <w:rPr>
          <w:rStyle w:val="CommentReference"/>
          <w:b/>
          <w:szCs w:val="24"/>
        </w:rPr>
        <w:t xml:space="preserve">: Summary of survival outcomes in </w:t>
      </w:r>
      <w:r>
        <w:rPr>
          <w:rStyle w:val="CommentReference"/>
          <w:b/>
          <w:szCs w:val="24"/>
        </w:rPr>
        <w:t>studies DG-01 and DG-02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701"/>
        <w:gridCol w:w="1560"/>
        <w:gridCol w:w="1134"/>
        <w:gridCol w:w="1560"/>
        <w:gridCol w:w="1367"/>
      </w:tblGrid>
      <w:tr w:rsidR="00BF711F" w:rsidRPr="00D86D87" w14:paraId="2FB97DE0" w14:textId="77777777">
        <w:trPr>
          <w:cantSplit/>
          <w:tblHeader/>
        </w:trPr>
        <w:tc>
          <w:tcPr>
            <w:tcW w:w="940" w:type="pct"/>
            <w:vMerge w:val="restart"/>
            <w:vAlign w:val="center"/>
          </w:tcPr>
          <w:p w14:paraId="176598DC" w14:textId="77777777" w:rsidR="00BF711F" w:rsidRPr="00D86D87" w:rsidRDefault="00BF711F">
            <w:pPr>
              <w:pStyle w:val="In-tableHeading"/>
              <w:jc w:val="center"/>
              <w:rPr>
                <w:lang w:val="en-AU"/>
              </w:rPr>
            </w:pPr>
          </w:p>
        </w:tc>
        <w:tc>
          <w:tcPr>
            <w:tcW w:w="3302" w:type="pct"/>
            <w:gridSpan w:val="4"/>
            <w:vAlign w:val="center"/>
          </w:tcPr>
          <w:p w14:paraId="2FA5EDE4" w14:textId="77777777" w:rsidR="00BF711F" w:rsidRPr="00D86D87" w:rsidRDefault="00BF711F">
            <w:pPr>
              <w:pStyle w:val="In-tableHeading"/>
              <w:jc w:val="center"/>
              <w:rPr>
                <w:lang w:val="en-AU"/>
              </w:rPr>
            </w:pPr>
            <w:r>
              <w:rPr>
                <w:lang w:val="en-AU"/>
              </w:rPr>
              <w:t>DG-01</w:t>
            </w:r>
          </w:p>
        </w:tc>
        <w:tc>
          <w:tcPr>
            <w:tcW w:w="758" w:type="pct"/>
            <w:vAlign w:val="center"/>
          </w:tcPr>
          <w:p w14:paraId="0BA40DFE" w14:textId="77777777" w:rsidR="00BF711F" w:rsidRPr="00D86D87" w:rsidRDefault="00BF711F">
            <w:pPr>
              <w:pStyle w:val="In-tableHeading"/>
              <w:jc w:val="center"/>
              <w:rPr>
                <w:lang w:val="en-AU"/>
              </w:rPr>
            </w:pPr>
            <w:r>
              <w:rPr>
                <w:lang w:val="en-AU"/>
              </w:rPr>
              <w:t>DG-02</w:t>
            </w:r>
          </w:p>
        </w:tc>
      </w:tr>
      <w:tr w:rsidR="00BF711F" w:rsidRPr="00D86D87" w14:paraId="1F23ECC2" w14:textId="77777777">
        <w:trPr>
          <w:cantSplit/>
          <w:tblHeader/>
        </w:trPr>
        <w:tc>
          <w:tcPr>
            <w:tcW w:w="940" w:type="pct"/>
            <w:vMerge/>
            <w:vAlign w:val="center"/>
          </w:tcPr>
          <w:p w14:paraId="7A1EC17B" w14:textId="77777777" w:rsidR="00BF711F" w:rsidRPr="00D86D87" w:rsidRDefault="00BF711F">
            <w:pPr>
              <w:pStyle w:val="In-tableHeading"/>
              <w:jc w:val="center"/>
              <w:rPr>
                <w:lang w:val="en-AU"/>
              </w:rPr>
            </w:pPr>
          </w:p>
        </w:tc>
        <w:tc>
          <w:tcPr>
            <w:tcW w:w="943" w:type="pct"/>
            <w:vAlign w:val="center"/>
          </w:tcPr>
          <w:p w14:paraId="08F173FD" w14:textId="77777777" w:rsidR="00BF711F" w:rsidRDefault="00BF711F">
            <w:pPr>
              <w:pStyle w:val="In-tableHeading"/>
              <w:jc w:val="center"/>
              <w:rPr>
                <w:lang w:val="en-AU"/>
              </w:rPr>
            </w:pPr>
            <w:r>
              <w:rPr>
                <w:lang w:val="en-AU"/>
              </w:rPr>
              <w:t>T-</w:t>
            </w:r>
            <w:proofErr w:type="spellStart"/>
            <w:r>
              <w:rPr>
                <w:lang w:val="en-AU"/>
              </w:rPr>
              <w:t>DXd</w:t>
            </w:r>
            <w:proofErr w:type="spellEnd"/>
            <w:r w:rsidRPr="00D86D87">
              <w:rPr>
                <w:lang w:val="en-AU"/>
              </w:rPr>
              <w:t xml:space="preserve"> </w:t>
            </w:r>
          </w:p>
          <w:p w14:paraId="31FB5E65" w14:textId="77777777" w:rsidR="00BF711F" w:rsidRPr="00D86D87" w:rsidRDefault="00BF711F">
            <w:pPr>
              <w:pStyle w:val="In-tableHeading"/>
              <w:jc w:val="center"/>
              <w:rPr>
                <w:lang w:val="en-AU"/>
              </w:rPr>
            </w:pPr>
            <w:r>
              <w:rPr>
                <w:lang w:val="en-AU"/>
              </w:rPr>
              <w:t>N=125</w:t>
            </w:r>
          </w:p>
        </w:tc>
        <w:tc>
          <w:tcPr>
            <w:tcW w:w="865" w:type="pct"/>
            <w:vAlign w:val="center"/>
          </w:tcPr>
          <w:p w14:paraId="136105FC" w14:textId="77777777" w:rsidR="00BF711F" w:rsidRDefault="00BF711F">
            <w:pPr>
              <w:pStyle w:val="In-tableHeading"/>
              <w:jc w:val="center"/>
              <w:rPr>
                <w:lang w:val="en-AU"/>
              </w:rPr>
            </w:pPr>
            <w:r>
              <w:rPr>
                <w:lang w:val="en-AU"/>
              </w:rPr>
              <w:t xml:space="preserve">SoC </w:t>
            </w:r>
          </w:p>
          <w:p w14:paraId="0C2F5E5B" w14:textId="77777777" w:rsidR="00BF711F" w:rsidRPr="00D86D87" w:rsidRDefault="00BF711F">
            <w:pPr>
              <w:pStyle w:val="In-tableHeading"/>
              <w:jc w:val="center"/>
              <w:rPr>
                <w:lang w:val="en-AU"/>
              </w:rPr>
            </w:pPr>
            <w:r>
              <w:rPr>
                <w:lang w:val="en-AU"/>
              </w:rPr>
              <w:t>N=62</w:t>
            </w:r>
          </w:p>
        </w:tc>
        <w:tc>
          <w:tcPr>
            <w:tcW w:w="629" w:type="pct"/>
            <w:vAlign w:val="center"/>
          </w:tcPr>
          <w:p w14:paraId="10437951" w14:textId="77777777" w:rsidR="00BF711F" w:rsidRPr="00D86D87" w:rsidRDefault="00BF711F">
            <w:pPr>
              <w:pStyle w:val="In-tableHeading"/>
              <w:jc w:val="center"/>
              <w:rPr>
                <w:lang w:val="en-AU"/>
              </w:rPr>
            </w:pPr>
            <w:r w:rsidRPr="00F10C76">
              <w:rPr>
                <w:lang w:val="en-AU"/>
              </w:rPr>
              <w:t>Absolute difference</w:t>
            </w:r>
          </w:p>
        </w:tc>
        <w:tc>
          <w:tcPr>
            <w:tcW w:w="865" w:type="pct"/>
            <w:vAlign w:val="center"/>
          </w:tcPr>
          <w:p w14:paraId="0791CB02" w14:textId="77777777" w:rsidR="00BF711F" w:rsidRPr="00D86D87" w:rsidRDefault="00BF711F">
            <w:pPr>
              <w:pStyle w:val="In-tableHeading"/>
              <w:jc w:val="center"/>
              <w:rPr>
                <w:lang w:val="en-AU"/>
              </w:rPr>
            </w:pPr>
            <w:r w:rsidRPr="00D86D87">
              <w:rPr>
                <w:lang w:val="en-AU"/>
              </w:rPr>
              <w:t>HR (95% CI)</w:t>
            </w:r>
          </w:p>
        </w:tc>
        <w:tc>
          <w:tcPr>
            <w:tcW w:w="758" w:type="pct"/>
            <w:vAlign w:val="center"/>
          </w:tcPr>
          <w:p w14:paraId="7F25B023" w14:textId="77777777" w:rsidR="00BF711F" w:rsidRDefault="00BF711F">
            <w:pPr>
              <w:pStyle w:val="In-tableHeading"/>
              <w:jc w:val="center"/>
              <w:rPr>
                <w:lang w:val="en-AU"/>
              </w:rPr>
            </w:pPr>
            <w:r>
              <w:rPr>
                <w:lang w:val="en-AU"/>
              </w:rPr>
              <w:t>T-</w:t>
            </w:r>
            <w:proofErr w:type="spellStart"/>
            <w:r>
              <w:rPr>
                <w:lang w:val="en-AU"/>
              </w:rPr>
              <w:t>DXd</w:t>
            </w:r>
            <w:proofErr w:type="spellEnd"/>
            <w:r w:rsidRPr="00D86D87">
              <w:rPr>
                <w:lang w:val="en-AU"/>
              </w:rPr>
              <w:t xml:space="preserve"> </w:t>
            </w:r>
          </w:p>
          <w:p w14:paraId="63E3398E" w14:textId="77777777" w:rsidR="00BF711F" w:rsidRPr="00D86D87" w:rsidRDefault="00BF711F">
            <w:pPr>
              <w:pStyle w:val="In-tableHeading"/>
              <w:jc w:val="center"/>
              <w:rPr>
                <w:lang w:val="en-AU"/>
              </w:rPr>
            </w:pPr>
            <w:r>
              <w:rPr>
                <w:lang w:val="en-AU"/>
              </w:rPr>
              <w:t>N=79</w:t>
            </w:r>
          </w:p>
        </w:tc>
      </w:tr>
      <w:tr w:rsidR="00BF711F" w:rsidRPr="007F2249" w14:paraId="3890A4E0" w14:textId="77777777">
        <w:trPr>
          <w:cantSplit/>
        </w:trPr>
        <w:tc>
          <w:tcPr>
            <w:tcW w:w="5000" w:type="pct"/>
            <w:gridSpan w:val="6"/>
            <w:vAlign w:val="center"/>
          </w:tcPr>
          <w:p w14:paraId="403E7EBB" w14:textId="77777777" w:rsidR="00BF711F" w:rsidRPr="007F2249" w:rsidRDefault="00BF711F">
            <w:pPr>
              <w:pStyle w:val="TableText0"/>
              <w:rPr>
                <w:b/>
                <w:bCs w:val="0"/>
              </w:rPr>
            </w:pPr>
            <w:r w:rsidRPr="007F2249">
              <w:rPr>
                <w:b/>
                <w:bCs w:val="0"/>
              </w:rPr>
              <w:t>Progression-free survival</w:t>
            </w:r>
          </w:p>
        </w:tc>
      </w:tr>
      <w:tr w:rsidR="00BF711F" w:rsidRPr="00D86D87" w14:paraId="3539C593" w14:textId="77777777">
        <w:trPr>
          <w:cantSplit/>
        </w:trPr>
        <w:tc>
          <w:tcPr>
            <w:tcW w:w="940" w:type="pct"/>
            <w:vAlign w:val="center"/>
          </w:tcPr>
          <w:p w14:paraId="2011F028" w14:textId="77777777" w:rsidR="00BF711F" w:rsidRPr="00D86D87" w:rsidRDefault="00BF711F">
            <w:pPr>
              <w:pStyle w:val="TableText0"/>
            </w:pPr>
            <w:r w:rsidRPr="00D86D87">
              <w:t>Events, n (%)</w:t>
            </w:r>
          </w:p>
        </w:tc>
        <w:tc>
          <w:tcPr>
            <w:tcW w:w="943" w:type="pct"/>
          </w:tcPr>
          <w:p w14:paraId="6B36ECA5" w14:textId="77777777" w:rsidR="00BF711F" w:rsidRPr="00D86D87" w:rsidRDefault="00BF711F">
            <w:pPr>
              <w:pStyle w:val="TableText0"/>
              <w:jc w:val="center"/>
            </w:pPr>
            <w:r>
              <w:t>82/125 (65.6)</w:t>
            </w:r>
          </w:p>
        </w:tc>
        <w:tc>
          <w:tcPr>
            <w:tcW w:w="865" w:type="pct"/>
          </w:tcPr>
          <w:p w14:paraId="35216609" w14:textId="77777777" w:rsidR="00BF711F" w:rsidRPr="00D86D87" w:rsidRDefault="00BF711F">
            <w:pPr>
              <w:pStyle w:val="TableText0"/>
              <w:jc w:val="center"/>
            </w:pPr>
            <w:r>
              <w:t>36/62 (58.0)</w:t>
            </w:r>
          </w:p>
        </w:tc>
        <w:tc>
          <w:tcPr>
            <w:tcW w:w="629" w:type="pct"/>
          </w:tcPr>
          <w:p w14:paraId="5D5436EB" w14:textId="77777777" w:rsidR="00BF711F" w:rsidRPr="00D86D87" w:rsidRDefault="00BF711F">
            <w:pPr>
              <w:pStyle w:val="TableText0"/>
              <w:jc w:val="center"/>
            </w:pPr>
          </w:p>
        </w:tc>
        <w:tc>
          <w:tcPr>
            <w:tcW w:w="865" w:type="pct"/>
            <w:vAlign w:val="center"/>
          </w:tcPr>
          <w:p w14:paraId="02CBB270" w14:textId="77777777" w:rsidR="00BF711F" w:rsidRPr="00D86D87" w:rsidRDefault="00BF711F">
            <w:pPr>
              <w:pStyle w:val="TableText0"/>
              <w:jc w:val="center"/>
            </w:pPr>
          </w:p>
        </w:tc>
        <w:tc>
          <w:tcPr>
            <w:tcW w:w="758" w:type="pct"/>
            <w:vAlign w:val="center"/>
          </w:tcPr>
          <w:p w14:paraId="5B8916BA" w14:textId="77777777" w:rsidR="00BF711F" w:rsidRPr="00D86D87" w:rsidRDefault="00BF711F">
            <w:pPr>
              <w:pStyle w:val="TableText0"/>
              <w:jc w:val="center"/>
            </w:pPr>
          </w:p>
        </w:tc>
      </w:tr>
      <w:tr w:rsidR="00BF711F" w:rsidRPr="00D86D87" w14:paraId="113AB9E8" w14:textId="77777777">
        <w:trPr>
          <w:cantSplit/>
        </w:trPr>
        <w:tc>
          <w:tcPr>
            <w:tcW w:w="940" w:type="pct"/>
            <w:vAlign w:val="center"/>
          </w:tcPr>
          <w:p w14:paraId="045D6761" w14:textId="77777777" w:rsidR="00BF711F" w:rsidRPr="00D86D87" w:rsidRDefault="00BF711F">
            <w:pPr>
              <w:pStyle w:val="TableText0"/>
            </w:pPr>
            <w:r w:rsidRPr="00D86D87">
              <w:t>Median PFS, months (95% CI)</w:t>
            </w:r>
          </w:p>
        </w:tc>
        <w:tc>
          <w:tcPr>
            <w:tcW w:w="943" w:type="pct"/>
            <w:vAlign w:val="center"/>
          </w:tcPr>
          <w:p w14:paraId="0E53B8F3" w14:textId="77777777" w:rsidR="00BF711F" w:rsidRPr="00D86D87" w:rsidRDefault="00BF711F">
            <w:pPr>
              <w:pStyle w:val="TableText0"/>
              <w:jc w:val="center"/>
            </w:pPr>
            <w:r w:rsidRPr="00B67D9C">
              <w:rPr>
                <w:szCs w:val="20"/>
              </w:rPr>
              <w:t>5.6 (4.3, 6.9)</w:t>
            </w:r>
          </w:p>
        </w:tc>
        <w:tc>
          <w:tcPr>
            <w:tcW w:w="865" w:type="pct"/>
            <w:vAlign w:val="center"/>
          </w:tcPr>
          <w:p w14:paraId="3CEB0B68" w14:textId="77777777" w:rsidR="00BF711F" w:rsidRPr="00D86D87" w:rsidRDefault="00BF711F">
            <w:pPr>
              <w:pStyle w:val="TableText0"/>
              <w:jc w:val="center"/>
            </w:pPr>
            <w:r w:rsidRPr="00B67D9C">
              <w:rPr>
                <w:szCs w:val="20"/>
              </w:rPr>
              <w:t>3.5 (2.0, 4.3)</w:t>
            </w:r>
          </w:p>
        </w:tc>
        <w:tc>
          <w:tcPr>
            <w:tcW w:w="629" w:type="pct"/>
            <w:vAlign w:val="center"/>
          </w:tcPr>
          <w:p w14:paraId="2021796A" w14:textId="77777777" w:rsidR="00BF711F" w:rsidRPr="00D86D87" w:rsidRDefault="00BF711F">
            <w:pPr>
              <w:pStyle w:val="TableText0"/>
              <w:jc w:val="center"/>
            </w:pPr>
            <w:r>
              <w:t>2.1</w:t>
            </w:r>
          </w:p>
        </w:tc>
        <w:tc>
          <w:tcPr>
            <w:tcW w:w="865" w:type="pct"/>
            <w:vAlign w:val="center"/>
          </w:tcPr>
          <w:p w14:paraId="3F3B88D0" w14:textId="77777777" w:rsidR="00BF711F" w:rsidRPr="00BF0643" w:rsidRDefault="00BF711F">
            <w:pPr>
              <w:pStyle w:val="TableText0"/>
              <w:jc w:val="center"/>
              <w:rPr>
                <w:b/>
                <w:bCs w:val="0"/>
              </w:rPr>
            </w:pPr>
            <w:r w:rsidRPr="00BF0643">
              <w:rPr>
                <w:b/>
                <w:bCs w:val="0"/>
              </w:rPr>
              <w:t>0.47 (0.31, 0.71)</w:t>
            </w:r>
          </w:p>
        </w:tc>
        <w:tc>
          <w:tcPr>
            <w:tcW w:w="758" w:type="pct"/>
            <w:vAlign w:val="center"/>
          </w:tcPr>
          <w:p w14:paraId="69FC5AF8" w14:textId="4A9EF97A" w:rsidR="00BF711F" w:rsidRPr="00D86D87" w:rsidRDefault="00BF711F" w:rsidP="00D544C3">
            <w:pPr>
              <w:pStyle w:val="TableText0"/>
              <w:ind w:left="-57" w:right="-57"/>
              <w:jc w:val="center"/>
            </w:pPr>
            <w:r w:rsidRPr="00B67D9C">
              <w:rPr>
                <w:szCs w:val="20"/>
              </w:rPr>
              <w:t>5.6 (4.2, 8.3)</w:t>
            </w:r>
          </w:p>
        </w:tc>
      </w:tr>
      <w:tr w:rsidR="00BF711F" w:rsidRPr="00D86D87" w14:paraId="2DF0F824" w14:textId="77777777">
        <w:trPr>
          <w:cantSplit/>
        </w:trPr>
        <w:tc>
          <w:tcPr>
            <w:tcW w:w="940" w:type="pct"/>
          </w:tcPr>
          <w:p w14:paraId="14FABCA5" w14:textId="77777777" w:rsidR="00BF711F" w:rsidRPr="00D86D87" w:rsidRDefault="00BF711F">
            <w:pPr>
              <w:pStyle w:val="TableText0"/>
            </w:pPr>
            <w:r w:rsidRPr="00D86D87">
              <w:t xml:space="preserve">% not progressed at </w:t>
            </w:r>
            <w:r>
              <w:t>3</w:t>
            </w:r>
            <w:r w:rsidRPr="00D86D87">
              <w:t xml:space="preserve"> months (95% CI)</w:t>
            </w:r>
          </w:p>
        </w:tc>
        <w:tc>
          <w:tcPr>
            <w:tcW w:w="943" w:type="pct"/>
            <w:vAlign w:val="center"/>
          </w:tcPr>
          <w:p w14:paraId="7223C4BB" w14:textId="77777777" w:rsidR="00BF711F" w:rsidRPr="00D86D87" w:rsidRDefault="00BF711F">
            <w:pPr>
              <w:pStyle w:val="TableText0"/>
              <w:jc w:val="center"/>
              <w:rPr>
                <w:rFonts w:cs="Arial"/>
              </w:rPr>
            </w:pPr>
            <w:r w:rsidRPr="00B67D9C">
              <w:rPr>
                <w:szCs w:val="20"/>
              </w:rPr>
              <w:t>71.9 (63.0, 79.1)</w:t>
            </w:r>
          </w:p>
        </w:tc>
        <w:tc>
          <w:tcPr>
            <w:tcW w:w="865" w:type="pct"/>
            <w:vAlign w:val="center"/>
          </w:tcPr>
          <w:p w14:paraId="613F1C03" w14:textId="77777777" w:rsidR="00BF711F" w:rsidRPr="00D86D87" w:rsidRDefault="00BF711F">
            <w:pPr>
              <w:pStyle w:val="TableText0"/>
              <w:jc w:val="center"/>
              <w:rPr>
                <w:rFonts w:cs="Arial"/>
              </w:rPr>
            </w:pPr>
            <w:r w:rsidRPr="00B67D9C">
              <w:rPr>
                <w:szCs w:val="20"/>
              </w:rPr>
              <w:t>50.3 (35.5, 63.5)</w:t>
            </w:r>
          </w:p>
        </w:tc>
        <w:tc>
          <w:tcPr>
            <w:tcW w:w="629" w:type="pct"/>
            <w:vAlign w:val="center"/>
          </w:tcPr>
          <w:p w14:paraId="4D229673" w14:textId="77777777" w:rsidR="00BF711F" w:rsidRPr="00D86D87" w:rsidRDefault="00BF711F">
            <w:pPr>
              <w:pStyle w:val="TableText0"/>
              <w:jc w:val="center"/>
              <w:rPr>
                <w:rFonts w:cs="Arial"/>
              </w:rPr>
            </w:pPr>
            <w:r>
              <w:rPr>
                <w:rFonts w:cs="Arial"/>
              </w:rPr>
              <w:t>21.6</w:t>
            </w:r>
          </w:p>
        </w:tc>
        <w:tc>
          <w:tcPr>
            <w:tcW w:w="865" w:type="pct"/>
            <w:vAlign w:val="center"/>
          </w:tcPr>
          <w:p w14:paraId="42F2A12E" w14:textId="77777777" w:rsidR="00BF711F" w:rsidRPr="00D86D87" w:rsidRDefault="00BF711F">
            <w:pPr>
              <w:pStyle w:val="TableText0"/>
              <w:jc w:val="center"/>
            </w:pPr>
          </w:p>
        </w:tc>
        <w:tc>
          <w:tcPr>
            <w:tcW w:w="758" w:type="pct"/>
            <w:vAlign w:val="center"/>
          </w:tcPr>
          <w:p w14:paraId="711E2EA9" w14:textId="77777777" w:rsidR="00BF711F" w:rsidRPr="00D86D87" w:rsidDel="0061549B" w:rsidRDefault="00BF711F" w:rsidP="00D544C3">
            <w:pPr>
              <w:pStyle w:val="TableText0"/>
              <w:ind w:left="-57" w:right="-57"/>
              <w:jc w:val="center"/>
            </w:pPr>
            <w:r w:rsidRPr="00B67D9C">
              <w:rPr>
                <w:szCs w:val="20"/>
              </w:rPr>
              <w:t>70.5 (58.7, 79.5)</w:t>
            </w:r>
          </w:p>
        </w:tc>
      </w:tr>
      <w:tr w:rsidR="00BF711F" w:rsidRPr="00D86D87" w14:paraId="73142B20" w14:textId="77777777">
        <w:trPr>
          <w:cantSplit/>
        </w:trPr>
        <w:tc>
          <w:tcPr>
            <w:tcW w:w="940" w:type="pct"/>
          </w:tcPr>
          <w:p w14:paraId="106C428A" w14:textId="77777777" w:rsidR="00BF711F" w:rsidRPr="00D86D87" w:rsidRDefault="00BF711F">
            <w:pPr>
              <w:pStyle w:val="TableText0"/>
            </w:pPr>
            <w:r w:rsidRPr="00F14244">
              <w:t xml:space="preserve">% not progressed at </w:t>
            </w:r>
            <w:r>
              <w:t>6</w:t>
            </w:r>
            <w:r w:rsidRPr="00F14244">
              <w:t xml:space="preserve"> months (95% CI)</w:t>
            </w:r>
          </w:p>
        </w:tc>
        <w:tc>
          <w:tcPr>
            <w:tcW w:w="943" w:type="pct"/>
            <w:vAlign w:val="center"/>
          </w:tcPr>
          <w:p w14:paraId="24416A39" w14:textId="77777777" w:rsidR="00BF711F" w:rsidRPr="00D86D87" w:rsidRDefault="00BF711F">
            <w:pPr>
              <w:pStyle w:val="TableText0"/>
              <w:jc w:val="center"/>
              <w:rPr>
                <w:rFonts w:cs="Arial"/>
              </w:rPr>
            </w:pPr>
            <w:r w:rsidRPr="00B67D9C">
              <w:rPr>
                <w:szCs w:val="20"/>
              </w:rPr>
              <w:t>43</w:t>
            </w:r>
            <w:r>
              <w:rPr>
                <w:szCs w:val="20"/>
              </w:rPr>
              <w:t>.0</w:t>
            </w:r>
            <w:r w:rsidRPr="00B67D9C">
              <w:rPr>
                <w:szCs w:val="20"/>
              </w:rPr>
              <w:t xml:space="preserve"> (33.6, 52)</w:t>
            </w:r>
          </w:p>
        </w:tc>
        <w:tc>
          <w:tcPr>
            <w:tcW w:w="865" w:type="pct"/>
            <w:vAlign w:val="center"/>
          </w:tcPr>
          <w:p w14:paraId="7C94C81F" w14:textId="77777777" w:rsidR="00BF711F" w:rsidRPr="00D86D87" w:rsidRDefault="00BF711F">
            <w:pPr>
              <w:pStyle w:val="TableText0"/>
              <w:jc w:val="center"/>
              <w:rPr>
                <w:rFonts w:cs="Arial"/>
              </w:rPr>
            </w:pPr>
            <w:r w:rsidRPr="00B67D9C">
              <w:rPr>
                <w:szCs w:val="20"/>
              </w:rPr>
              <w:t>20.6 (8.9, 35.6)</w:t>
            </w:r>
          </w:p>
        </w:tc>
        <w:tc>
          <w:tcPr>
            <w:tcW w:w="629" w:type="pct"/>
            <w:vAlign w:val="center"/>
          </w:tcPr>
          <w:p w14:paraId="72CE4F09" w14:textId="77777777" w:rsidR="00BF711F" w:rsidRPr="00D86D87" w:rsidRDefault="00BF711F">
            <w:pPr>
              <w:pStyle w:val="TableText0"/>
              <w:jc w:val="center"/>
              <w:rPr>
                <w:rFonts w:cs="Arial"/>
              </w:rPr>
            </w:pPr>
            <w:r>
              <w:rPr>
                <w:rFonts w:cs="Arial"/>
              </w:rPr>
              <w:t>22.4</w:t>
            </w:r>
          </w:p>
        </w:tc>
        <w:tc>
          <w:tcPr>
            <w:tcW w:w="865" w:type="pct"/>
            <w:vAlign w:val="center"/>
          </w:tcPr>
          <w:p w14:paraId="6FBAFD2F" w14:textId="77777777" w:rsidR="00BF711F" w:rsidRPr="00D86D87" w:rsidRDefault="00BF711F">
            <w:pPr>
              <w:pStyle w:val="TableText0"/>
              <w:jc w:val="center"/>
            </w:pPr>
          </w:p>
        </w:tc>
        <w:tc>
          <w:tcPr>
            <w:tcW w:w="758" w:type="pct"/>
            <w:vAlign w:val="center"/>
          </w:tcPr>
          <w:p w14:paraId="738FEA15" w14:textId="77777777" w:rsidR="00BF711F" w:rsidRPr="00D86D87" w:rsidDel="0061549B" w:rsidRDefault="00BF711F" w:rsidP="00D544C3">
            <w:pPr>
              <w:pStyle w:val="TableText0"/>
              <w:ind w:left="-57" w:right="-57"/>
              <w:jc w:val="center"/>
            </w:pPr>
            <w:r w:rsidRPr="00B67D9C">
              <w:rPr>
                <w:szCs w:val="20"/>
              </w:rPr>
              <w:t>48.9 (36.6, 60.2)</w:t>
            </w:r>
          </w:p>
        </w:tc>
      </w:tr>
      <w:tr w:rsidR="00BF711F" w:rsidRPr="00D86D87" w14:paraId="348EE88F" w14:textId="77777777">
        <w:trPr>
          <w:cantSplit/>
        </w:trPr>
        <w:tc>
          <w:tcPr>
            <w:tcW w:w="940" w:type="pct"/>
          </w:tcPr>
          <w:p w14:paraId="67C7626F" w14:textId="77777777" w:rsidR="00BF711F" w:rsidRPr="00D86D87" w:rsidRDefault="00BF711F">
            <w:pPr>
              <w:pStyle w:val="TableText0"/>
            </w:pPr>
            <w:r w:rsidRPr="00F14244">
              <w:t xml:space="preserve">% not progressed at </w:t>
            </w:r>
            <w:r>
              <w:t>9</w:t>
            </w:r>
            <w:r w:rsidRPr="00F14244">
              <w:t xml:space="preserve"> months (95% CI)</w:t>
            </w:r>
          </w:p>
        </w:tc>
        <w:tc>
          <w:tcPr>
            <w:tcW w:w="943" w:type="pct"/>
            <w:vAlign w:val="center"/>
          </w:tcPr>
          <w:p w14:paraId="6718273F" w14:textId="77777777" w:rsidR="00BF711F" w:rsidRPr="00D86D87" w:rsidRDefault="00BF711F">
            <w:pPr>
              <w:pStyle w:val="TableText0"/>
              <w:jc w:val="center"/>
              <w:rPr>
                <w:rFonts w:cs="Arial"/>
              </w:rPr>
            </w:pPr>
            <w:r w:rsidRPr="00B67D9C">
              <w:rPr>
                <w:szCs w:val="20"/>
              </w:rPr>
              <w:t>33.3 (24.4, 42.4)</w:t>
            </w:r>
          </w:p>
        </w:tc>
        <w:tc>
          <w:tcPr>
            <w:tcW w:w="865" w:type="pct"/>
            <w:vAlign w:val="center"/>
          </w:tcPr>
          <w:p w14:paraId="24A67D72" w14:textId="77777777" w:rsidR="00BF711F" w:rsidRPr="00D86D87" w:rsidRDefault="00BF711F">
            <w:pPr>
              <w:pStyle w:val="TableText0"/>
              <w:jc w:val="center"/>
              <w:rPr>
                <w:rFonts w:cs="Arial"/>
              </w:rPr>
            </w:pPr>
            <w:r w:rsidRPr="00B67D9C">
              <w:rPr>
                <w:szCs w:val="20"/>
              </w:rPr>
              <w:t>NE</w:t>
            </w:r>
          </w:p>
        </w:tc>
        <w:tc>
          <w:tcPr>
            <w:tcW w:w="629" w:type="pct"/>
            <w:vAlign w:val="center"/>
          </w:tcPr>
          <w:p w14:paraId="222744EC" w14:textId="77777777" w:rsidR="00BF711F" w:rsidRPr="00D86D87" w:rsidRDefault="00BF711F">
            <w:pPr>
              <w:pStyle w:val="TableText0"/>
              <w:jc w:val="center"/>
              <w:rPr>
                <w:rFonts w:cs="Arial"/>
              </w:rPr>
            </w:pPr>
            <w:r w:rsidRPr="00F45F66">
              <w:rPr>
                <w:szCs w:val="20"/>
              </w:rPr>
              <w:t>NE</w:t>
            </w:r>
          </w:p>
        </w:tc>
        <w:tc>
          <w:tcPr>
            <w:tcW w:w="865" w:type="pct"/>
            <w:vAlign w:val="center"/>
          </w:tcPr>
          <w:p w14:paraId="578BE8A6" w14:textId="77777777" w:rsidR="00BF711F" w:rsidRPr="00D86D87" w:rsidRDefault="00BF711F">
            <w:pPr>
              <w:pStyle w:val="TableText0"/>
              <w:jc w:val="center"/>
            </w:pPr>
          </w:p>
        </w:tc>
        <w:tc>
          <w:tcPr>
            <w:tcW w:w="758" w:type="pct"/>
            <w:vAlign w:val="center"/>
          </w:tcPr>
          <w:p w14:paraId="2D691D1F" w14:textId="77777777" w:rsidR="00BF711F" w:rsidRPr="00D86D87" w:rsidDel="0061549B" w:rsidRDefault="00BF711F" w:rsidP="00D544C3">
            <w:pPr>
              <w:pStyle w:val="TableText0"/>
              <w:ind w:left="-57" w:right="-57"/>
              <w:jc w:val="center"/>
            </w:pPr>
            <w:r w:rsidRPr="00B67D9C">
              <w:rPr>
                <w:szCs w:val="20"/>
              </w:rPr>
              <w:t>36.3 (24.5, 48.1)</w:t>
            </w:r>
          </w:p>
        </w:tc>
      </w:tr>
      <w:tr w:rsidR="00BF711F" w:rsidRPr="00D86D87" w14:paraId="13647CEA" w14:textId="77777777">
        <w:trPr>
          <w:cantSplit/>
        </w:trPr>
        <w:tc>
          <w:tcPr>
            <w:tcW w:w="940" w:type="pct"/>
          </w:tcPr>
          <w:p w14:paraId="697C7590" w14:textId="77777777" w:rsidR="00BF711F" w:rsidRPr="00D86D87" w:rsidRDefault="00BF711F">
            <w:pPr>
              <w:pStyle w:val="TableText0"/>
            </w:pPr>
            <w:r w:rsidRPr="00F14244">
              <w:t xml:space="preserve">% not progressed at </w:t>
            </w:r>
            <w:r>
              <w:t>12</w:t>
            </w:r>
            <w:r w:rsidRPr="00F14244">
              <w:t xml:space="preserve"> months (95% CI)</w:t>
            </w:r>
          </w:p>
        </w:tc>
        <w:tc>
          <w:tcPr>
            <w:tcW w:w="943" w:type="pct"/>
            <w:vAlign w:val="center"/>
          </w:tcPr>
          <w:p w14:paraId="66B6F751" w14:textId="77777777" w:rsidR="00BF711F" w:rsidRPr="00D86D87" w:rsidRDefault="00BF711F">
            <w:pPr>
              <w:pStyle w:val="TableText0"/>
              <w:jc w:val="center"/>
              <w:rPr>
                <w:rFonts w:cs="Arial"/>
              </w:rPr>
            </w:pPr>
            <w:r w:rsidRPr="00B67D9C">
              <w:rPr>
                <w:szCs w:val="20"/>
              </w:rPr>
              <w:t>30.4 (21.5, 39.7)</w:t>
            </w:r>
          </w:p>
        </w:tc>
        <w:tc>
          <w:tcPr>
            <w:tcW w:w="865" w:type="pct"/>
            <w:vAlign w:val="center"/>
          </w:tcPr>
          <w:p w14:paraId="143ACEBF" w14:textId="77777777" w:rsidR="00BF711F" w:rsidRPr="00D86D87" w:rsidRDefault="00BF711F">
            <w:pPr>
              <w:pStyle w:val="TableText0"/>
              <w:jc w:val="center"/>
              <w:rPr>
                <w:rFonts w:cs="Arial"/>
              </w:rPr>
            </w:pPr>
            <w:r w:rsidRPr="00B67D9C">
              <w:rPr>
                <w:szCs w:val="20"/>
              </w:rPr>
              <w:t>NE</w:t>
            </w:r>
          </w:p>
        </w:tc>
        <w:tc>
          <w:tcPr>
            <w:tcW w:w="629" w:type="pct"/>
            <w:vAlign w:val="center"/>
          </w:tcPr>
          <w:p w14:paraId="2F1A3394" w14:textId="77777777" w:rsidR="00BF711F" w:rsidRPr="00D86D87" w:rsidRDefault="00BF711F">
            <w:pPr>
              <w:pStyle w:val="TableText0"/>
              <w:jc w:val="center"/>
              <w:rPr>
                <w:rFonts w:cs="Arial"/>
              </w:rPr>
            </w:pPr>
            <w:r w:rsidRPr="00F45F66">
              <w:rPr>
                <w:szCs w:val="20"/>
              </w:rPr>
              <w:t>NE</w:t>
            </w:r>
          </w:p>
        </w:tc>
        <w:tc>
          <w:tcPr>
            <w:tcW w:w="865" w:type="pct"/>
            <w:vAlign w:val="center"/>
          </w:tcPr>
          <w:p w14:paraId="1B398577" w14:textId="77777777" w:rsidR="00BF711F" w:rsidRPr="00D86D87" w:rsidRDefault="00BF711F">
            <w:pPr>
              <w:pStyle w:val="TableText0"/>
              <w:jc w:val="center"/>
            </w:pPr>
          </w:p>
        </w:tc>
        <w:tc>
          <w:tcPr>
            <w:tcW w:w="758" w:type="pct"/>
            <w:vAlign w:val="center"/>
          </w:tcPr>
          <w:p w14:paraId="08C1F1C3" w14:textId="77777777" w:rsidR="00BF711F" w:rsidRPr="00D86D87" w:rsidDel="0061549B" w:rsidRDefault="00BF711F" w:rsidP="00D544C3">
            <w:pPr>
              <w:pStyle w:val="TableText0"/>
              <w:ind w:left="-57" w:right="-57"/>
              <w:jc w:val="center"/>
            </w:pPr>
            <w:r w:rsidRPr="00B67D9C">
              <w:rPr>
                <w:szCs w:val="20"/>
              </w:rPr>
              <w:t>20.0 (9.4, 33.3)</w:t>
            </w:r>
          </w:p>
        </w:tc>
      </w:tr>
      <w:tr w:rsidR="00BF711F" w:rsidRPr="007F2249" w14:paraId="02EB753A" w14:textId="77777777">
        <w:trPr>
          <w:cantSplit/>
        </w:trPr>
        <w:tc>
          <w:tcPr>
            <w:tcW w:w="5000" w:type="pct"/>
            <w:gridSpan w:val="6"/>
            <w:vAlign w:val="center"/>
          </w:tcPr>
          <w:p w14:paraId="1118E3E5" w14:textId="77777777" w:rsidR="00BF711F" w:rsidRPr="007F2249" w:rsidRDefault="00BF711F">
            <w:pPr>
              <w:pStyle w:val="TableText0"/>
              <w:rPr>
                <w:b/>
                <w:bCs w:val="0"/>
              </w:rPr>
            </w:pPr>
            <w:r w:rsidRPr="007F2249">
              <w:rPr>
                <w:b/>
                <w:bCs w:val="0"/>
              </w:rPr>
              <w:t>Overall survival</w:t>
            </w:r>
          </w:p>
        </w:tc>
      </w:tr>
      <w:tr w:rsidR="00BF711F" w:rsidRPr="00D86D87" w14:paraId="36894654" w14:textId="77777777">
        <w:trPr>
          <w:cantSplit/>
        </w:trPr>
        <w:tc>
          <w:tcPr>
            <w:tcW w:w="940" w:type="pct"/>
            <w:vAlign w:val="center"/>
          </w:tcPr>
          <w:p w14:paraId="1DFCEBEB" w14:textId="77777777" w:rsidR="00BF711F" w:rsidRPr="00D86D87" w:rsidRDefault="00BF711F">
            <w:pPr>
              <w:pStyle w:val="TableText0"/>
            </w:pPr>
            <w:r w:rsidRPr="00D86D87">
              <w:t>Deaths, n/N (%)</w:t>
            </w:r>
          </w:p>
        </w:tc>
        <w:tc>
          <w:tcPr>
            <w:tcW w:w="943" w:type="pct"/>
            <w:vAlign w:val="center"/>
          </w:tcPr>
          <w:p w14:paraId="0AF3528B" w14:textId="77777777" w:rsidR="00BF711F" w:rsidRPr="00D86D87" w:rsidRDefault="00BF711F">
            <w:pPr>
              <w:pStyle w:val="TableText0"/>
              <w:jc w:val="center"/>
            </w:pPr>
            <w:r w:rsidRPr="00D930FD">
              <w:rPr>
                <w:rFonts w:eastAsia="Calibri"/>
              </w:rPr>
              <w:t>84</w:t>
            </w:r>
            <w:r>
              <w:rPr>
                <w:rFonts w:eastAsia="Calibri"/>
              </w:rPr>
              <w:t>/125</w:t>
            </w:r>
            <w:r w:rsidRPr="00D930FD">
              <w:rPr>
                <w:rFonts w:eastAsia="Calibri"/>
              </w:rPr>
              <w:t xml:space="preserve"> (67.2)</w:t>
            </w:r>
          </w:p>
        </w:tc>
        <w:tc>
          <w:tcPr>
            <w:tcW w:w="865" w:type="pct"/>
            <w:vAlign w:val="center"/>
          </w:tcPr>
          <w:p w14:paraId="33B26382" w14:textId="77777777" w:rsidR="00BF711F" w:rsidRPr="00D86D87" w:rsidRDefault="00BF711F">
            <w:pPr>
              <w:pStyle w:val="TableText0"/>
              <w:jc w:val="center"/>
            </w:pPr>
            <w:r w:rsidRPr="00D930FD">
              <w:rPr>
                <w:rFonts w:eastAsia="Calibri"/>
              </w:rPr>
              <w:t>49</w:t>
            </w:r>
            <w:r>
              <w:rPr>
                <w:rFonts w:eastAsia="Calibri"/>
              </w:rPr>
              <w:t>/62</w:t>
            </w:r>
            <w:r w:rsidRPr="00D930FD">
              <w:rPr>
                <w:rFonts w:eastAsia="Calibri"/>
              </w:rPr>
              <w:t xml:space="preserve"> (79.0)</w:t>
            </w:r>
          </w:p>
        </w:tc>
        <w:tc>
          <w:tcPr>
            <w:tcW w:w="629" w:type="pct"/>
          </w:tcPr>
          <w:p w14:paraId="5DA030DD" w14:textId="77777777" w:rsidR="00BF711F" w:rsidRPr="00D86D87" w:rsidRDefault="00BF711F">
            <w:pPr>
              <w:pStyle w:val="TableText0"/>
              <w:jc w:val="center"/>
            </w:pPr>
          </w:p>
        </w:tc>
        <w:tc>
          <w:tcPr>
            <w:tcW w:w="865" w:type="pct"/>
            <w:vAlign w:val="center"/>
          </w:tcPr>
          <w:p w14:paraId="657F88CA" w14:textId="77777777" w:rsidR="00BF711F" w:rsidRPr="00D86D87" w:rsidRDefault="00BF711F">
            <w:pPr>
              <w:pStyle w:val="TableText0"/>
              <w:jc w:val="center"/>
            </w:pPr>
          </w:p>
        </w:tc>
        <w:tc>
          <w:tcPr>
            <w:tcW w:w="758" w:type="pct"/>
            <w:vAlign w:val="center"/>
          </w:tcPr>
          <w:p w14:paraId="68AFACE9" w14:textId="77777777" w:rsidR="00BF711F" w:rsidRPr="00D86D87" w:rsidRDefault="00BF711F">
            <w:pPr>
              <w:pStyle w:val="TableText0"/>
              <w:jc w:val="center"/>
            </w:pPr>
            <w:r w:rsidRPr="00D930FD">
              <w:rPr>
                <w:rFonts w:eastAsia="Calibri"/>
              </w:rPr>
              <w:t>46</w:t>
            </w:r>
            <w:r>
              <w:rPr>
                <w:rFonts w:eastAsia="Calibri"/>
              </w:rPr>
              <w:t>/79</w:t>
            </w:r>
            <w:r w:rsidRPr="00D930FD">
              <w:rPr>
                <w:rFonts w:eastAsia="Calibri"/>
              </w:rPr>
              <w:t xml:space="preserve"> (58.2)</w:t>
            </w:r>
          </w:p>
        </w:tc>
      </w:tr>
      <w:tr w:rsidR="00BF711F" w:rsidRPr="00D86D87" w14:paraId="26DF6B95" w14:textId="77777777">
        <w:trPr>
          <w:cantSplit/>
        </w:trPr>
        <w:tc>
          <w:tcPr>
            <w:tcW w:w="940" w:type="pct"/>
            <w:vAlign w:val="center"/>
          </w:tcPr>
          <w:p w14:paraId="4B5BDCA2" w14:textId="77777777" w:rsidR="00BF711F" w:rsidRPr="00D86D87" w:rsidRDefault="00BF711F">
            <w:pPr>
              <w:pStyle w:val="TableText0"/>
            </w:pPr>
            <w:r w:rsidRPr="00D86D87">
              <w:t>Median months OS (95% CI)</w:t>
            </w:r>
          </w:p>
        </w:tc>
        <w:tc>
          <w:tcPr>
            <w:tcW w:w="943" w:type="pct"/>
            <w:vAlign w:val="center"/>
          </w:tcPr>
          <w:p w14:paraId="1E2BFDB5" w14:textId="77777777" w:rsidR="00BF711F" w:rsidRPr="00D86D87" w:rsidRDefault="00BF711F">
            <w:pPr>
              <w:pStyle w:val="TableText0"/>
              <w:jc w:val="center"/>
            </w:pPr>
            <w:r w:rsidRPr="00D930FD">
              <w:rPr>
                <w:rFonts w:eastAsia="Calibri"/>
              </w:rPr>
              <w:t>12.5 (10.3, 15.2)</w:t>
            </w:r>
          </w:p>
        </w:tc>
        <w:tc>
          <w:tcPr>
            <w:tcW w:w="865" w:type="pct"/>
            <w:vAlign w:val="center"/>
          </w:tcPr>
          <w:p w14:paraId="18B0CDD7" w14:textId="77777777" w:rsidR="00BF711F" w:rsidRPr="00D86D87" w:rsidRDefault="00BF711F">
            <w:pPr>
              <w:pStyle w:val="TableText0"/>
              <w:jc w:val="center"/>
            </w:pPr>
            <w:r w:rsidRPr="00D930FD">
              <w:rPr>
                <w:rFonts w:eastAsia="Calibri"/>
              </w:rPr>
              <w:t>8.9 (6.4, 10.4)</w:t>
            </w:r>
          </w:p>
        </w:tc>
        <w:tc>
          <w:tcPr>
            <w:tcW w:w="629" w:type="pct"/>
            <w:vAlign w:val="center"/>
          </w:tcPr>
          <w:p w14:paraId="51D576B7" w14:textId="77777777" w:rsidR="00BF711F" w:rsidRPr="00D86D87" w:rsidRDefault="00BF711F">
            <w:pPr>
              <w:pStyle w:val="TableText0"/>
              <w:jc w:val="center"/>
            </w:pPr>
            <w:r>
              <w:t>3.6</w:t>
            </w:r>
          </w:p>
        </w:tc>
        <w:tc>
          <w:tcPr>
            <w:tcW w:w="865" w:type="pct"/>
            <w:vAlign w:val="center"/>
          </w:tcPr>
          <w:p w14:paraId="05381A82" w14:textId="77777777" w:rsidR="00BF711F" w:rsidRPr="00AC1C28" w:rsidRDefault="00BF711F">
            <w:pPr>
              <w:pStyle w:val="TableText0"/>
              <w:jc w:val="center"/>
              <w:rPr>
                <w:b/>
                <w:bCs w:val="0"/>
              </w:rPr>
            </w:pPr>
            <w:r w:rsidRPr="00AC1C28">
              <w:rPr>
                <w:b/>
                <w:bCs w:val="0"/>
              </w:rPr>
              <w:t>0.60 (0.42, 0.86)</w:t>
            </w:r>
          </w:p>
        </w:tc>
        <w:tc>
          <w:tcPr>
            <w:tcW w:w="758" w:type="pct"/>
            <w:vAlign w:val="center"/>
          </w:tcPr>
          <w:p w14:paraId="545DA067" w14:textId="77777777" w:rsidR="00BF711F" w:rsidRPr="00D86D87" w:rsidRDefault="00BF711F">
            <w:pPr>
              <w:pStyle w:val="TableText0"/>
              <w:jc w:val="center"/>
            </w:pPr>
            <w:r w:rsidRPr="00D930FD">
              <w:rPr>
                <w:rFonts w:eastAsia="Calibri"/>
              </w:rPr>
              <w:t>12.1 (9.4, 15.4)</w:t>
            </w:r>
          </w:p>
        </w:tc>
      </w:tr>
      <w:tr w:rsidR="00BF711F" w:rsidRPr="00D86D87" w14:paraId="48F16EB7" w14:textId="77777777">
        <w:trPr>
          <w:cantSplit/>
        </w:trPr>
        <w:tc>
          <w:tcPr>
            <w:tcW w:w="940" w:type="pct"/>
          </w:tcPr>
          <w:p w14:paraId="642EF6A3" w14:textId="77777777" w:rsidR="00BF711F" w:rsidRPr="00D86D87" w:rsidRDefault="00BF711F">
            <w:pPr>
              <w:pStyle w:val="TableText0"/>
            </w:pPr>
            <w:r w:rsidRPr="00D86D87">
              <w:t xml:space="preserve">% alive at </w:t>
            </w:r>
            <w:r>
              <w:t>3</w:t>
            </w:r>
            <w:r w:rsidRPr="00D86D87">
              <w:t xml:space="preserve"> months (95% CI)</w:t>
            </w:r>
          </w:p>
        </w:tc>
        <w:tc>
          <w:tcPr>
            <w:tcW w:w="943" w:type="pct"/>
            <w:vAlign w:val="center"/>
          </w:tcPr>
          <w:p w14:paraId="78B8BE4D" w14:textId="77777777" w:rsidR="00BF711F" w:rsidRPr="00D86D87" w:rsidRDefault="00BF711F">
            <w:pPr>
              <w:pStyle w:val="TableText0"/>
              <w:jc w:val="center"/>
              <w:rPr>
                <w:rFonts w:cs="Arial"/>
              </w:rPr>
            </w:pPr>
            <w:r w:rsidRPr="00D930FD">
              <w:rPr>
                <w:rFonts w:eastAsia="Calibri"/>
              </w:rPr>
              <w:t>92.7 (86.5, 96.2)</w:t>
            </w:r>
          </w:p>
        </w:tc>
        <w:tc>
          <w:tcPr>
            <w:tcW w:w="865" w:type="pct"/>
            <w:vAlign w:val="center"/>
          </w:tcPr>
          <w:p w14:paraId="6269902C" w14:textId="77777777" w:rsidR="00BF711F" w:rsidRPr="00D86D87" w:rsidRDefault="00BF711F">
            <w:pPr>
              <w:pStyle w:val="TableText0"/>
              <w:jc w:val="center"/>
              <w:rPr>
                <w:rFonts w:cs="Arial"/>
              </w:rPr>
            </w:pPr>
            <w:r w:rsidRPr="00D930FD">
              <w:rPr>
                <w:rFonts w:eastAsia="Calibri"/>
              </w:rPr>
              <w:t>90.0 (79.1, 95.4)</w:t>
            </w:r>
          </w:p>
        </w:tc>
        <w:tc>
          <w:tcPr>
            <w:tcW w:w="629" w:type="pct"/>
            <w:vAlign w:val="center"/>
          </w:tcPr>
          <w:p w14:paraId="06CCE019" w14:textId="77777777" w:rsidR="00BF711F" w:rsidRPr="00D86D87" w:rsidRDefault="00BF711F">
            <w:pPr>
              <w:pStyle w:val="TableText0"/>
              <w:jc w:val="center"/>
              <w:rPr>
                <w:rFonts w:cs="Arial"/>
              </w:rPr>
            </w:pPr>
            <w:r>
              <w:rPr>
                <w:rFonts w:cs="Arial"/>
              </w:rPr>
              <w:t>2.7</w:t>
            </w:r>
          </w:p>
        </w:tc>
        <w:tc>
          <w:tcPr>
            <w:tcW w:w="865" w:type="pct"/>
            <w:vAlign w:val="center"/>
          </w:tcPr>
          <w:p w14:paraId="7CBDD913" w14:textId="77777777" w:rsidR="00BF711F" w:rsidRPr="00D86D87" w:rsidRDefault="00BF711F">
            <w:pPr>
              <w:pStyle w:val="TableText0"/>
              <w:jc w:val="center"/>
              <w:rPr>
                <w:rFonts w:cs="Arial"/>
              </w:rPr>
            </w:pPr>
          </w:p>
        </w:tc>
        <w:tc>
          <w:tcPr>
            <w:tcW w:w="758" w:type="pct"/>
            <w:vAlign w:val="center"/>
          </w:tcPr>
          <w:p w14:paraId="1A3D9E5F" w14:textId="77777777" w:rsidR="00BF711F" w:rsidRPr="00D86D87" w:rsidRDefault="00BF711F" w:rsidP="00D544C3">
            <w:pPr>
              <w:pStyle w:val="TableText0"/>
              <w:ind w:left="-57" w:right="-57"/>
              <w:jc w:val="center"/>
              <w:rPr>
                <w:rFonts w:cs="Arial"/>
              </w:rPr>
            </w:pPr>
            <w:r>
              <w:rPr>
                <w:rFonts w:cs="Arial"/>
              </w:rPr>
              <w:t>—</w:t>
            </w:r>
          </w:p>
        </w:tc>
      </w:tr>
      <w:tr w:rsidR="00BF711F" w:rsidRPr="00D86D87" w14:paraId="1B9B0E28" w14:textId="77777777">
        <w:trPr>
          <w:cantSplit/>
        </w:trPr>
        <w:tc>
          <w:tcPr>
            <w:tcW w:w="940" w:type="pct"/>
          </w:tcPr>
          <w:p w14:paraId="713131E7" w14:textId="77777777" w:rsidR="00BF711F" w:rsidRPr="00D86D87" w:rsidRDefault="00BF711F">
            <w:pPr>
              <w:pStyle w:val="TableText0"/>
            </w:pPr>
            <w:r w:rsidRPr="00292775">
              <w:t xml:space="preserve">% alive at </w:t>
            </w:r>
            <w:r>
              <w:t>6</w:t>
            </w:r>
            <w:r w:rsidRPr="00292775">
              <w:t xml:space="preserve"> months (95% CI)</w:t>
            </w:r>
          </w:p>
        </w:tc>
        <w:tc>
          <w:tcPr>
            <w:tcW w:w="943" w:type="pct"/>
            <w:vAlign w:val="center"/>
          </w:tcPr>
          <w:p w14:paraId="07545971" w14:textId="77777777" w:rsidR="00BF711F" w:rsidRPr="00D86D87" w:rsidRDefault="00BF711F">
            <w:pPr>
              <w:pStyle w:val="TableText0"/>
              <w:jc w:val="center"/>
              <w:rPr>
                <w:rFonts w:cs="Arial"/>
              </w:rPr>
            </w:pPr>
            <w:r w:rsidRPr="00D930FD">
              <w:rPr>
                <w:rFonts w:eastAsia="Calibri"/>
              </w:rPr>
              <w:t>80.7 (72.5, 86.6)</w:t>
            </w:r>
          </w:p>
        </w:tc>
        <w:tc>
          <w:tcPr>
            <w:tcW w:w="865" w:type="pct"/>
            <w:vAlign w:val="center"/>
          </w:tcPr>
          <w:p w14:paraId="49F7F487" w14:textId="77777777" w:rsidR="00BF711F" w:rsidRPr="00D86D87" w:rsidRDefault="00BF711F">
            <w:pPr>
              <w:pStyle w:val="TableText0"/>
              <w:jc w:val="center"/>
              <w:rPr>
                <w:rFonts w:cs="Arial"/>
              </w:rPr>
            </w:pPr>
            <w:r w:rsidRPr="00D930FD">
              <w:rPr>
                <w:rFonts w:eastAsia="Calibri"/>
              </w:rPr>
              <w:t>65.0 (51.5, 75.6)</w:t>
            </w:r>
          </w:p>
        </w:tc>
        <w:tc>
          <w:tcPr>
            <w:tcW w:w="629" w:type="pct"/>
            <w:vAlign w:val="center"/>
          </w:tcPr>
          <w:p w14:paraId="486CCCE3" w14:textId="77777777" w:rsidR="00BF711F" w:rsidRPr="00D86D87" w:rsidRDefault="00BF711F">
            <w:pPr>
              <w:pStyle w:val="TableText0"/>
              <w:jc w:val="center"/>
              <w:rPr>
                <w:rFonts w:cs="Arial"/>
              </w:rPr>
            </w:pPr>
            <w:r>
              <w:rPr>
                <w:rFonts w:cs="Arial"/>
              </w:rPr>
              <w:t>15.7</w:t>
            </w:r>
          </w:p>
        </w:tc>
        <w:tc>
          <w:tcPr>
            <w:tcW w:w="865" w:type="pct"/>
            <w:vAlign w:val="center"/>
          </w:tcPr>
          <w:p w14:paraId="10FD053F" w14:textId="77777777" w:rsidR="00BF711F" w:rsidRPr="00D86D87" w:rsidRDefault="00BF711F">
            <w:pPr>
              <w:pStyle w:val="TableText0"/>
              <w:jc w:val="center"/>
              <w:rPr>
                <w:rFonts w:cs="Arial"/>
              </w:rPr>
            </w:pPr>
          </w:p>
        </w:tc>
        <w:tc>
          <w:tcPr>
            <w:tcW w:w="758" w:type="pct"/>
            <w:vAlign w:val="center"/>
          </w:tcPr>
          <w:p w14:paraId="55BF0120" w14:textId="77777777" w:rsidR="00BF711F" w:rsidRPr="00D86D87" w:rsidRDefault="00BF711F" w:rsidP="00D544C3">
            <w:pPr>
              <w:pStyle w:val="TableText0"/>
              <w:ind w:left="-57" w:right="-57"/>
              <w:jc w:val="center"/>
              <w:rPr>
                <w:rFonts w:cs="Arial"/>
              </w:rPr>
            </w:pPr>
            <w:r w:rsidRPr="00EE032A">
              <w:rPr>
                <w:rFonts w:cs="Arial"/>
              </w:rPr>
              <w:t>77.8 (66.8, 85.6)</w:t>
            </w:r>
          </w:p>
        </w:tc>
      </w:tr>
      <w:tr w:rsidR="00BF711F" w:rsidRPr="00D86D87" w14:paraId="7B777A2B" w14:textId="77777777">
        <w:trPr>
          <w:cantSplit/>
        </w:trPr>
        <w:tc>
          <w:tcPr>
            <w:tcW w:w="940" w:type="pct"/>
          </w:tcPr>
          <w:p w14:paraId="267ACCBB" w14:textId="77777777" w:rsidR="00BF711F" w:rsidRPr="00D86D87" w:rsidRDefault="00BF711F">
            <w:pPr>
              <w:pStyle w:val="TableText0"/>
            </w:pPr>
            <w:r w:rsidRPr="00292775">
              <w:t xml:space="preserve">% alive at </w:t>
            </w:r>
            <w:r>
              <w:t>9</w:t>
            </w:r>
            <w:r w:rsidRPr="00292775">
              <w:t xml:space="preserve"> months (95% CI)</w:t>
            </w:r>
          </w:p>
        </w:tc>
        <w:tc>
          <w:tcPr>
            <w:tcW w:w="943" w:type="pct"/>
            <w:vAlign w:val="center"/>
          </w:tcPr>
          <w:p w14:paraId="500CDE40" w14:textId="77777777" w:rsidR="00BF711F" w:rsidRPr="00D86D87" w:rsidRDefault="00BF711F">
            <w:pPr>
              <w:pStyle w:val="TableText0"/>
              <w:jc w:val="center"/>
              <w:rPr>
                <w:rFonts w:cs="Arial"/>
              </w:rPr>
            </w:pPr>
            <w:r w:rsidRPr="00D930FD">
              <w:rPr>
                <w:rFonts w:eastAsia="Calibri"/>
              </w:rPr>
              <w:t>63.7 (54.6., 71.5)</w:t>
            </w:r>
          </w:p>
        </w:tc>
        <w:tc>
          <w:tcPr>
            <w:tcW w:w="865" w:type="pct"/>
            <w:vAlign w:val="center"/>
          </w:tcPr>
          <w:p w14:paraId="18B71F8F" w14:textId="77777777" w:rsidR="00BF711F" w:rsidRPr="00D86D87" w:rsidRDefault="00BF711F">
            <w:pPr>
              <w:pStyle w:val="TableText0"/>
              <w:jc w:val="center"/>
              <w:rPr>
                <w:rFonts w:cs="Arial"/>
              </w:rPr>
            </w:pPr>
            <w:r w:rsidRPr="00D930FD">
              <w:rPr>
                <w:rFonts w:eastAsia="Calibri"/>
              </w:rPr>
              <w:t>50.0 (36.8, 61.8)</w:t>
            </w:r>
          </w:p>
        </w:tc>
        <w:tc>
          <w:tcPr>
            <w:tcW w:w="629" w:type="pct"/>
            <w:vAlign w:val="center"/>
          </w:tcPr>
          <w:p w14:paraId="4442706A" w14:textId="77777777" w:rsidR="00BF711F" w:rsidRPr="00D86D87" w:rsidRDefault="00BF711F">
            <w:pPr>
              <w:pStyle w:val="TableText0"/>
              <w:jc w:val="center"/>
              <w:rPr>
                <w:rFonts w:cs="Arial"/>
              </w:rPr>
            </w:pPr>
            <w:r>
              <w:rPr>
                <w:rFonts w:cs="Arial"/>
              </w:rPr>
              <w:t>13.7</w:t>
            </w:r>
          </w:p>
        </w:tc>
        <w:tc>
          <w:tcPr>
            <w:tcW w:w="865" w:type="pct"/>
            <w:vAlign w:val="center"/>
          </w:tcPr>
          <w:p w14:paraId="43DF6694" w14:textId="77777777" w:rsidR="00BF711F" w:rsidRPr="00D86D87" w:rsidRDefault="00BF711F">
            <w:pPr>
              <w:pStyle w:val="TableText0"/>
              <w:jc w:val="center"/>
              <w:rPr>
                <w:rFonts w:cs="Arial"/>
              </w:rPr>
            </w:pPr>
          </w:p>
        </w:tc>
        <w:tc>
          <w:tcPr>
            <w:tcW w:w="758" w:type="pct"/>
            <w:vAlign w:val="center"/>
          </w:tcPr>
          <w:p w14:paraId="6C6F0DF6" w14:textId="77777777" w:rsidR="00BF711F" w:rsidRPr="00D86D87" w:rsidRDefault="00BF711F" w:rsidP="00D544C3">
            <w:pPr>
              <w:pStyle w:val="TableText0"/>
              <w:ind w:left="-57" w:right="-57"/>
              <w:jc w:val="center"/>
              <w:rPr>
                <w:rFonts w:cs="Arial"/>
              </w:rPr>
            </w:pPr>
            <w:r w:rsidRPr="00EE032A">
              <w:rPr>
                <w:rFonts w:cs="Arial"/>
              </w:rPr>
              <w:t>—</w:t>
            </w:r>
          </w:p>
        </w:tc>
      </w:tr>
      <w:tr w:rsidR="00BF711F" w:rsidRPr="00D86D87" w14:paraId="3C063695" w14:textId="77777777">
        <w:trPr>
          <w:cantSplit/>
        </w:trPr>
        <w:tc>
          <w:tcPr>
            <w:tcW w:w="940" w:type="pct"/>
          </w:tcPr>
          <w:p w14:paraId="3196C1BA" w14:textId="77777777" w:rsidR="00BF711F" w:rsidRPr="00D86D87" w:rsidRDefault="00BF711F">
            <w:pPr>
              <w:pStyle w:val="TableText0"/>
            </w:pPr>
            <w:r w:rsidRPr="00292775">
              <w:t xml:space="preserve">% alive at </w:t>
            </w:r>
            <w:r>
              <w:t xml:space="preserve">12 </w:t>
            </w:r>
            <w:r w:rsidRPr="00292775">
              <w:t>months (95% CI)</w:t>
            </w:r>
          </w:p>
        </w:tc>
        <w:tc>
          <w:tcPr>
            <w:tcW w:w="943" w:type="pct"/>
            <w:vAlign w:val="center"/>
          </w:tcPr>
          <w:p w14:paraId="7F92CB04" w14:textId="77777777" w:rsidR="00BF711F" w:rsidRPr="00D86D87" w:rsidRDefault="00BF711F">
            <w:pPr>
              <w:pStyle w:val="TableText0"/>
              <w:jc w:val="center"/>
              <w:rPr>
                <w:rFonts w:cs="Arial"/>
              </w:rPr>
            </w:pPr>
            <w:r w:rsidRPr="00D930FD">
              <w:rPr>
                <w:rFonts w:eastAsia="Calibri"/>
              </w:rPr>
              <w:t>52.2 (43.1, 60.6)</w:t>
            </w:r>
          </w:p>
        </w:tc>
        <w:tc>
          <w:tcPr>
            <w:tcW w:w="865" w:type="pct"/>
            <w:vAlign w:val="center"/>
          </w:tcPr>
          <w:p w14:paraId="3D835F79" w14:textId="77777777" w:rsidR="00BF711F" w:rsidRPr="00D86D87" w:rsidRDefault="00BF711F">
            <w:pPr>
              <w:pStyle w:val="TableText0"/>
              <w:jc w:val="center"/>
              <w:rPr>
                <w:rFonts w:cs="Arial"/>
              </w:rPr>
            </w:pPr>
            <w:r w:rsidRPr="00D930FD">
              <w:rPr>
                <w:rFonts w:eastAsia="Calibri"/>
              </w:rPr>
              <w:t>29.7 (18.7, 41.5)</w:t>
            </w:r>
          </w:p>
        </w:tc>
        <w:tc>
          <w:tcPr>
            <w:tcW w:w="629" w:type="pct"/>
            <w:vAlign w:val="center"/>
          </w:tcPr>
          <w:p w14:paraId="73F28B15" w14:textId="77777777" w:rsidR="00BF711F" w:rsidRPr="00D86D87" w:rsidRDefault="00BF711F">
            <w:pPr>
              <w:pStyle w:val="TableText0"/>
              <w:jc w:val="center"/>
              <w:rPr>
                <w:rFonts w:cs="Arial"/>
              </w:rPr>
            </w:pPr>
            <w:r>
              <w:rPr>
                <w:rFonts w:cs="Arial"/>
              </w:rPr>
              <w:t>22.5</w:t>
            </w:r>
          </w:p>
        </w:tc>
        <w:tc>
          <w:tcPr>
            <w:tcW w:w="865" w:type="pct"/>
            <w:vAlign w:val="center"/>
          </w:tcPr>
          <w:p w14:paraId="3ACE9493" w14:textId="77777777" w:rsidR="00BF711F" w:rsidRPr="00D86D87" w:rsidRDefault="00BF711F">
            <w:pPr>
              <w:pStyle w:val="TableText0"/>
              <w:jc w:val="center"/>
              <w:rPr>
                <w:rFonts w:cs="Arial"/>
              </w:rPr>
            </w:pPr>
          </w:p>
        </w:tc>
        <w:tc>
          <w:tcPr>
            <w:tcW w:w="758" w:type="pct"/>
            <w:vAlign w:val="center"/>
          </w:tcPr>
          <w:p w14:paraId="22268D44" w14:textId="77777777" w:rsidR="00BF711F" w:rsidRPr="00D86D87" w:rsidRDefault="00BF711F" w:rsidP="00D544C3">
            <w:pPr>
              <w:pStyle w:val="TableText0"/>
              <w:ind w:left="-57" w:right="-57"/>
              <w:jc w:val="center"/>
              <w:rPr>
                <w:rFonts w:cs="Arial"/>
              </w:rPr>
            </w:pPr>
            <w:r w:rsidRPr="00EE032A">
              <w:rPr>
                <w:rFonts w:cs="Arial"/>
              </w:rPr>
              <w:t>50.6 (38.4, 61.5)</w:t>
            </w:r>
          </w:p>
        </w:tc>
      </w:tr>
    </w:tbl>
    <w:p w14:paraId="5568B38A" w14:textId="77777777" w:rsidR="00BF711F" w:rsidRPr="00D86D87" w:rsidRDefault="00BF711F" w:rsidP="008220FC">
      <w:pPr>
        <w:pStyle w:val="TableFigureFooter"/>
      </w:pPr>
      <w:r w:rsidRPr="00D86D87">
        <w:t>Source: Table</w:t>
      </w:r>
      <w:r>
        <w:t xml:space="preserve"> 2-22</w:t>
      </w:r>
      <w:r w:rsidRPr="00D86D87">
        <w:t xml:space="preserve">, </w:t>
      </w:r>
      <w:r>
        <w:t xml:space="preserve">p71 and Table 2-23, p74 </w:t>
      </w:r>
      <w:r w:rsidRPr="00D86D87">
        <w:t>of the submission.</w:t>
      </w:r>
    </w:p>
    <w:p w14:paraId="2CBCA4ED" w14:textId="77777777" w:rsidR="00BF711F" w:rsidRDefault="00BF711F" w:rsidP="008220FC">
      <w:pPr>
        <w:pStyle w:val="TableFigureFooter"/>
      </w:pPr>
      <w:r w:rsidRPr="00D86D87">
        <w:t xml:space="preserve">CI = confidence interval; </w:t>
      </w:r>
      <w:r>
        <w:t xml:space="preserve">FAS = full analysis set defined as all patients that received at least one dose of study drug; HR = hazard ratio; </w:t>
      </w:r>
      <w:r w:rsidRPr="00D86D87">
        <w:t xml:space="preserve">n = number of participants reporting data; N = total participants in group; </w:t>
      </w:r>
      <w:r>
        <w:t>NE = not evaluable; OS = overall survival; PFS = progression-free survival; SoC = standard of care; T-</w:t>
      </w:r>
      <w:proofErr w:type="spellStart"/>
      <w:r>
        <w:t>DXd</w:t>
      </w:r>
      <w:proofErr w:type="spellEnd"/>
      <w:r>
        <w:t xml:space="preserve"> = trastuzumab </w:t>
      </w:r>
      <w:proofErr w:type="spellStart"/>
      <w:r>
        <w:t>deruxtecan</w:t>
      </w:r>
      <w:proofErr w:type="spellEnd"/>
      <w:r>
        <w:t>.</w:t>
      </w:r>
    </w:p>
    <w:p w14:paraId="085D8948" w14:textId="4F393007" w:rsidR="00EA1AB3" w:rsidRPr="00EA1AB3" w:rsidRDefault="00BF711F" w:rsidP="008220FC">
      <w:pPr>
        <w:pStyle w:val="TableFigureFooter"/>
      </w:pPr>
      <w:r w:rsidRPr="00D86D87">
        <w:rPr>
          <w:b/>
          <w:bCs/>
        </w:rPr>
        <w:t>Bold</w:t>
      </w:r>
      <w:r w:rsidRPr="00D86D87">
        <w:t xml:space="preserve"> indicates statistically significant results.</w:t>
      </w:r>
    </w:p>
    <w:p w14:paraId="6ACCD557" w14:textId="07E62080" w:rsidR="00BF711F" w:rsidRDefault="00BF711F" w:rsidP="00EA1AB3">
      <w:pPr>
        <w:pStyle w:val="Caption"/>
      </w:pPr>
      <w:bookmarkStart w:id="33" w:name="_Ref191839896"/>
      <w:r>
        <w:lastRenderedPageBreak/>
        <w:t xml:space="preserve">Figure </w:t>
      </w:r>
      <w:r w:rsidR="008B461E">
        <w:fldChar w:fldCharType="begin"/>
      </w:r>
      <w:r w:rsidR="008B461E">
        <w:instrText xml:space="preserve"> SEQ Figure \* ARABIC </w:instrText>
      </w:r>
      <w:r w:rsidR="008B461E">
        <w:fldChar w:fldCharType="separate"/>
      </w:r>
      <w:r w:rsidR="00593619">
        <w:rPr>
          <w:noProof/>
        </w:rPr>
        <w:t>1</w:t>
      </w:r>
      <w:r w:rsidR="008B461E">
        <w:rPr>
          <w:noProof/>
        </w:rPr>
        <w:fldChar w:fldCharType="end"/>
      </w:r>
      <w:bookmarkEnd w:id="33"/>
      <w:r>
        <w:t xml:space="preserve">: </w:t>
      </w:r>
      <w:r w:rsidRPr="008A2176">
        <w:t>Kaplan-Meier plot for OS</w:t>
      </w:r>
      <w:r>
        <w:t xml:space="preserve"> in </w:t>
      </w:r>
      <w:r w:rsidRPr="008A2176">
        <w:t>DG-01 (FAS DCO2)</w:t>
      </w:r>
    </w:p>
    <w:p w14:paraId="4F2159E0" w14:textId="77777777" w:rsidR="00BF711F" w:rsidRDefault="00BF711F" w:rsidP="00EA1AB3">
      <w:pPr>
        <w:keepNext/>
        <w:keepLines/>
      </w:pPr>
      <w:r w:rsidRPr="002528A6">
        <w:rPr>
          <w:rFonts w:ascii="Arial" w:eastAsia="Calibri" w:hAnsi="Arial" w:cs="Calibri"/>
          <w:noProof/>
          <w:sz w:val="22"/>
          <w:lang w:eastAsia="en-US"/>
        </w:rPr>
        <w:drawing>
          <wp:inline distT="0" distB="0" distL="0" distR="0" wp14:anchorId="5069F081" wp14:editId="75F89005">
            <wp:extent cx="5730965" cy="2279374"/>
            <wp:effectExtent l="0" t="0" r="3175" b="6985"/>
            <wp:docPr id="331799080" name="Picture 6" descr="Line chart - Kaplan-Meier plot for OS in DG-01 ">
              <a:extLst xmlns:a="http://schemas.openxmlformats.org/drawingml/2006/main">
                <a:ext uri="{FF2B5EF4-FFF2-40B4-BE49-F238E27FC236}">
                  <a16:creationId xmlns:a16="http://schemas.microsoft.com/office/drawing/2014/main" id="{FE076D6A-10AE-4AD2-876C-5158DB2AA1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99080" name="Picture 6" descr="Line chart - Kaplan-Meier plot for OS in DG-01 ">
                      <a:extLst>
                        <a:ext uri="{FF2B5EF4-FFF2-40B4-BE49-F238E27FC236}">
                          <a16:creationId xmlns:a16="http://schemas.microsoft.com/office/drawing/2014/main" id="{FE076D6A-10AE-4AD2-876C-5158DB2AA1EF}"/>
                        </a:ext>
                      </a:extLst>
                    </pic:cNvPr>
                    <pic:cNvPicPr>
                      <a:picLocks noChangeAspect="1"/>
                    </pic:cNvPicPr>
                  </pic:nvPicPr>
                  <pic:blipFill>
                    <a:blip r:embed="rId8"/>
                    <a:stretch>
                      <a:fillRect/>
                    </a:stretch>
                  </pic:blipFill>
                  <pic:spPr>
                    <a:xfrm>
                      <a:off x="0" y="0"/>
                      <a:ext cx="5751336" cy="2287476"/>
                    </a:xfrm>
                    <a:prstGeom prst="rect">
                      <a:avLst/>
                    </a:prstGeom>
                  </pic:spPr>
                </pic:pic>
              </a:graphicData>
            </a:graphic>
          </wp:inline>
        </w:drawing>
      </w:r>
    </w:p>
    <w:p w14:paraId="51C1D9C1" w14:textId="3C2CE562" w:rsidR="00EA1AB3" w:rsidRPr="008A2176" w:rsidRDefault="00BF711F" w:rsidP="00EA1AB3">
      <w:pPr>
        <w:pStyle w:val="FooterTableFigure"/>
        <w:keepNext/>
        <w:keepLines/>
        <w:spacing w:after="0"/>
      </w:pPr>
      <w:r w:rsidRPr="008A2176">
        <w:t>Source: Figure 2-4, p73 of the submission</w:t>
      </w:r>
      <w:r w:rsidR="00EA1AB3">
        <w:t xml:space="preserve">, </w:t>
      </w:r>
      <w:r w:rsidR="00EA1AB3" w:rsidRPr="008A2176">
        <w:t>Yamaguchi K et al. 2021</w:t>
      </w:r>
      <w:r w:rsidR="00EA1AB3">
        <w:t xml:space="preserve"> (slide 16)</w:t>
      </w:r>
    </w:p>
    <w:p w14:paraId="17D0E4F8" w14:textId="77777777" w:rsidR="00CC7C3F" w:rsidRDefault="00CC7C3F" w:rsidP="008220FC">
      <w:pPr>
        <w:pStyle w:val="TableFigureFooter"/>
      </w:pPr>
      <w:r w:rsidRPr="008A2176">
        <w:t>CI = confidence interval; DCO = data cut-off; FAS = full analysis set; HR = hazard ratio; OS = overall survival; PC = physician’s choice (standard of care</w:t>
      </w:r>
      <w:r>
        <w:t>) chemotherapy (irinotecan or paclitaxel); T-</w:t>
      </w:r>
      <w:proofErr w:type="spellStart"/>
      <w:r>
        <w:t>DXd</w:t>
      </w:r>
      <w:proofErr w:type="spellEnd"/>
      <w:r>
        <w:t xml:space="preserve"> = </w:t>
      </w:r>
      <w:r w:rsidRPr="00CB73F7">
        <w:t xml:space="preserve">trastuzumab </w:t>
      </w:r>
      <w:proofErr w:type="spellStart"/>
      <w:r w:rsidRPr="00CB73F7">
        <w:t>deruxtecan</w:t>
      </w:r>
      <w:proofErr w:type="spellEnd"/>
      <w:r>
        <w:t>.</w:t>
      </w:r>
    </w:p>
    <w:p w14:paraId="0DE3DA2A" w14:textId="21EC1577" w:rsidR="00EA1AB3" w:rsidRDefault="00EA1AB3" w:rsidP="00EA1AB3">
      <w:pPr>
        <w:pStyle w:val="FooterTableFigure"/>
        <w:keepNext/>
        <w:keepLines/>
        <w:spacing w:after="0"/>
      </w:pPr>
      <w:proofErr w:type="spellStart"/>
      <w:r w:rsidRPr="0079668D">
        <w:rPr>
          <w:vertAlign w:val="superscript"/>
        </w:rPr>
        <w:t>a</w:t>
      </w:r>
      <w:proofErr w:type="spellEnd"/>
      <w:r>
        <w:t xml:space="preserve"> </w:t>
      </w:r>
      <w:proofErr w:type="gramStart"/>
      <w:r w:rsidRPr="0079668D">
        <w:t>In</w:t>
      </w:r>
      <w:proofErr w:type="gramEnd"/>
      <w:r w:rsidRPr="0079668D">
        <w:t xml:space="preserve"> the T-</w:t>
      </w:r>
      <w:proofErr w:type="spellStart"/>
      <w:r w:rsidRPr="0079668D">
        <w:t>DXd</w:t>
      </w:r>
      <w:proofErr w:type="spellEnd"/>
      <w:r w:rsidRPr="0079668D">
        <w:t xml:space="preserve"> arm, 41 patients (32.8%) were censored.</w:t>
      </w:r>
    </w:p>
    <w:p w14:paraId="79353839" w14:textId="77777777" w:rsidR="00EA1AB3" w:rsidRDefault="00EA1AB3" w:rsidP="00EA1AB3">
      <w:pPr>
        <w:pStyle w:val="FooterTableFigure"/>
        <w:keepNext/>
        <w:keepLines/>
        <w:spacing w:after="0"/>
      </w:pPr>
      <w:r w:rsidRPr="0079668D">
        <w:rPr>
          <w:vertAlign w:val="superscript"/>
        </w:rPr>
        <w:t>b</w:t>
      </w:r>
      <w:r>
        <w:t xml:space="preserve"> In the PC arm, 13 patients (21.0%) were censored.</w:t>
      </w:r>
    </w:p>
    <w:p w14:paraId="09BAE10A" w14:textId="77777777" w:rsidR="00EA1AB3" w:rsidRDefault="00EA1AB3" w:rsidP="00EA1AB3">
      <w:pPr>
        <w:pStyle w:val="FooterTableFigure"/>
        <w:keepNext/>
        <w:keepLines/>
        <w:spacing w:after="0"/>
      </w:pPr>
      <w:r w:rsidRPr="0079668D">
        <w:rPr>
          <w:vertAlign w:val="superscript"/>
        </w:rPr>
        <w:t>c</w:t>
      </w:r>
      <w:r>
        <w:t xml:space="preserve"> One patient in the PC arm received crossover treatment of T-</w:t>
      </w:r>
      <w:proofErr w:type="spellStart"/>
      <w:r>
        <w:t>DXd</w:t>
      </w:r>
      <w:proofErr w:type="spellEnd"/>
    </w:p>
    <w:p w14:paraId="6157F9B3" w14:textId="77777777" w:rsidR="00EA1AB3" w:rsidRDefault="00EA1AB3" w:rsidP="008220FC">
      <w:pPr>
        <w:pStyle w:val="FooterTableFigure"/>
        <w:keepLines/>
        <w:spacing w:after="0"/>
      </w:pPr>
      <w:r w:rsidRPr="0079668D">
        <w:rPr>
          <w:vertAlign w:val="superscript"/>
        </w:rPr>
        <w:t>d</w:t>
      </w:r>
      <w:r>
        <w:t xml:space="preserve"> HR and corresponding 95% CI were estimated using Cox proportional hazards model stratified by region.</w:t>
      </w:r>
    </w:p>
    <w:p w14:paraId="7F43F980" w14:textId="492E8679" w:rsidR="00BF711F" w:rsidRDefault="00BF711F" w:rsidP="00926210">
      <w:pPr>
        <w:pStyle w:val="Caption"/>
        <w:spacing w:before="120"/>
      </w:pPr>
      <w:bookmarkStart w:id="34" w:name="_Ref191840543"/>
      <w:r>
        <w:t xml:space="preserve">Figure </w:t>
      </w:r>
      <w:r w:rsidR="008B461E">
        <w:fldChar w:fldCharType="begin"/>
      </w:r>
      <w:r w:rsidR="008B461E">
        <w:instrText xml:space="preserve"> SEQ Figure \* ARABIC </w:instrText>
      </w:r>
      <w:r w:rsidR="008B461E">
        <w:fldChar w:fldCharType="separate"/>
      </w:r>
      <w:r w:rsidR="00593619">
        <w:rPr>
          <w:noProof/>
        </w:rPr>
        <w:t>2</w:t>
      </w:r>
      <w:r w:rsidR="008B461E">
        <w:rPr>
          <w:noProof/>
        </w:rPr>
        <w:fldChar w:fldCharType="end"/>
      </w:r>
      <w:bookmarkEnd w:id="34"/>
      <w:r>
        <w:t xml:space="preserve">: </w:t>
      </w:r>
      <w:r w:rsidRPr="00555EAE">
        <w:t>Kaplan-Meier plot of PFS</w:t>
      </w:r>
      <w:r>
        <w:t xml:space="preserve"> in </w:t>
      </w:r>
      <w:r w:rsidRPr="00555EAE">
        <w:t>DG-01 (</w:t>
      </w:r>
      <w:r>
        <w:t xml:space="preserve">FAS </w:t>
      </w:r>
      <w:r w:rsidRPr="00555EAE">
        <w:t>DCO2)</w:t>
      </w:r>
    </w:p>
    <w:p w14:paraId="6DC7A127" w14:textId="77777777" w:rsidR="00BF711F" w:rsidRDefault="00BF711F" w:rsidP="00BF711F">
      <w:r>
        <w:rPr>
          <w:noProof/>
        </w:rPr>
        <w:drawing>
          <wp:inline distT="0" distB="0" distL="0" distR="0" wp14:anchorId="26071132" wp14:editId="5530469C">
            <wp:extent cx="5677535" cy="1871330"/>
            <wp:effectExtent l="0" t="0" r="0" b="0"/>
            <wp:docPr id="1183395604" name="Picture 1" descr="Kaplan-Meier plot of PFS in D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95604" name="Picture 1" descr="Kaplan-Meier plot of PFS in DG-01"/>
                    <pic:cNvPicPr/>
                  </pic:nvPicPr>
                  <pic:blipFill>
                    <a:blip r:embed="rId9"/>
                    <a:stretch>
                      <a:fillRect/>
                    </a:stretch>
                  </pic:blipFill>
                  <pic:spPr>
                    <a:xfrm>
                      <a:off x="0" y="0"/>
                      <a:ext cx="5692039" cy="1876111"/>
                    </a:xfrm>
                    <a:prstGeom prst="rect">
                      <a:avLst/>
                    </a:prstGeom>
                  </pic:spPr>
                </pic:pic>
              </a:graphicData>
            </a:graphic>
          </wp:inline>
        </w:drawing>
      </w:r>
    </w:p>
    <w:p w14:paraId="1E7E4689" w14:textId="51A8C0B0" w:rsidR="00BF711F" w:rsidRDefault="00BF711F" w:rsidP="008220FC">
      <w:pPr>
        <w:pStyle w:val="FooterTableFigure"/>
        <w:rPr>
          <w:lang w:eastAsia="en-US"/>
        </w:rPr>
      </w:pPr>
      <w:r>
        <w:rPr>
          <w:lang w:eastAsia="en-US"/>
        </w:rPr>
        <w:t>Source: Figure 2-6, p75 of the submission</w:t>
      </w:r>
      <w:r w:rsidR="00CC7C3F">
        <w:rPr>
          <w:lang w:eastAsia="en-US"/>
        </w:rPr>
        <w:t xml:space="preserve">, </w:t>
      </w:r>
      <w:r w:rsidR="00CC7C3F" w:rsidRPr="008A2176">
        <w:t>Yamaguchi K et al. 2021</w:t>
      </w:r>
      <w:r w:rsidR="00CC7C3F">
        <w:t xml:space="preserve"> (slide 16)</w:t>
      </w:r>
    </w:p>
    <w:p w14:paraId="06352492" w14:textId="77777777" w:rsidR="007130A1" w:rsidRDefault="007130A1" w:rsidP="008220FC">
      <w:pPr>
        <w:pStyle w:val="FooterTableFigure"/>
      </w:pPr>
      <w:r w:rsidRPr="008A2176">
        <w:t>CI = confidence interval; DCO = data cut-off; FAS = full analysis set; HR = hazard ratio; OS = overall survival; PC = physician’s choice (standard of care</w:t>
      </w:r>
      <w:r>
        <w:t>) chemotherapy (irinotecan or paclitaxel); T-</w:t>
      </w:r>
      <w:proofErr w:type="spellStart"/>
      <w:r>
        <w:t>DXd</w:t>
      </w:r>
      <w:proofErr w:type="spellEnd"/>
      <w:r>
        <w:t xml:space="preserve"> = </w:t>
      </w:r>
      <w:r w:rsidRPr="00CB73F7">
        <w:t xml:space="preserve">trastuzumab </w:t>
      </w:r>
      <w:proofErr w:type="spellStart"/>
      <w:r w:rsidRPr="00CB73F7">
        <w:t>deruxtecan</w:t>
      </w:r>
      <w:proofErr w:type="spellEnd"/>
      <w:r>
        <w:t>.</w:t>
      </w:r>
    </w:p>
    <w:p w14:paraId="78EBD0DF" w14:textId="089863B8" w:rsidR="00CC7C3F" w:rsidRDefault="00CC7C3F" w:rsidP="008220FC">
      <w:pPr>
        <w:pStyle w:val="FooterTableFigure"/>
        <w:rPr>
          <w:lang w:val="da-DK" w:eastAsia="en-US"/>
        </w:rPr>
      </w:pPr>
      <w:r w:rsidRPr="00F610EF">
        <w:rPr>
          <w:vertAlign w:val="superscript"/>
          <w:lang w:val="da-DK" w:eastAsia="en-US"/>
        </w:rPr>
        <w:t>a</w:t>
      </w:r>
      <w:r>
        <w:rPr>
          <w:lang w:val="da-DK" w:eastAsia="en-US"/>
        </w:rPr>
        <w:t xml:space="preserve"> In the T-DXd arm, 71 patients (56.8%) had PD and 11 (8.8%) had death as the first event. In the PC arm, 34 patients (54.8%) had PD and two (3.2%) had death as the first event. 43 (34.4%) and 26 (41.9%) were censored in the T-DXd and PC arms , respectively, for no baseline (T-DXd [n=0]; PN [n=2]) or postbaseline tumour assessment (n=1; n=3), receiving new anti-cancer therapy (n=14; n=14) and missing two consequative tumour assessments (n=5; n=1); the remaining patients were censored without an event.</w:t>
      </w:r>
    </w:p>
    <w:p w14:paraId="09B8FD9E" w14:textId="77777777" w:rsidR="00CC7C3F" w:rsidRDefault="00CC7C3F" w:rsidP="008220FC">
      <w:pPr>
        <w:pStyle w:val="FooterTableFigure"/>
        <w:rPr>
          <w:lang w:eastAsia="en-US"/>
        </w:rPr>
      </w:pPr>
      <w:r w:rsidRPr="00F610EF">
        <w:rPr>
          <w:vertAlign w:val="superscript"/>
          <w:lang w:val="da-DK" w:eastAsia="en-US"/>
        </w:rPr>
        <w:t>b</w:t>
      </w:r>
      <w:r>
        <w:rPr>
          <w:lang w:val="da-DK" w:eastAsia="en-US"/>
        </w:rPr>
        <w:t xml:space="preserve"> </w:t>
      </w:r>
      <w:r w:rsidRPr="00F610EF">
        <w:rPr>
          <w:lang w:eastAsia="en-US"/>
        </w:rPr>
        <w:t>HR and corresponding 95% CI were estimated using Cox proportional hazards model stratified by region</w:t>
      </w:r>
    </w:p>
    <w:p w14:paraId="18E63A97" w14:textId="77777777" w:rsidR="00CC7C3F" w:rsidRDefault="00CC7C3F" w:rsidP="008220FC">
      <w:pPr>
        <w:pStyle w:val="FooterTableFigure"/>
        <w:rPr>
          <w:lang w:val="da-DK" w:eastAsia="en-US"/>
        </w:rPr>
      </w:pPr>
      <w:r w:rsidRPr="00F610EF">
        <w:rPr>
          <w:vertAlign w:val="superscript"/>
          <w:lang w:eastAsia="en-US"/>
        </w:rPr>
        <w:t>c</w:t>
      </w:r>
      <w:r>
        <w:rPr>
          <w:lang w:eastAsia="en-US"/>
        </w:rPr>
        <w:t xml:space="preserve"> Comparison between T-</w:t>
      </w:r>
      <w:proofErr w:type="spellStart"/>
      <w:r>
        <w:rPr>
          <w:lang w:eastAsia="en-US"/>
        </w:rPr>
        <w:t>DXd</w:t>
      </w:r>
      <w:proofErr w:type="spellEnd"/>
      <w:r>
        <w:rPr>
          <w:lang w:eastAsia="en-US"/>
        </w:rPr>
        <w:t xml:space="preserve"> and PC overall using a stratified log-rank test with region as a stratification factor.</w:t>
      </w:r>
    </w:p>
    <w:p w14:paraId="53E48033" w14:textId="01624223" w:rsidR="00BF711F" w:rsidRDefault="00BF711F" w:rsidP="00BF711F">
      <w:pPr>
        <w:pStyle w:val="3-BodyText"/>
      </w:pPr>
      <w:r w:rsidRPr="008E73A2">
        <w:t>In study DG-01</w:t>
      </w:r>
      <w:r>
        <w:t xml:space="preserve"> (DCO2, 3 June 2020), the OS data were 70.7% mature (133 events). There was a statistically significant improvement in OS in the T-</w:t>
      </w:r>
      <w:proofErr w:type="spellStart"/>
      <w:r>
        <w:t>DXd</w:t>
      </w:r>
      <w:proofErr w:type="spellEnd"/>
      <w:r>
        <w:t xml:space="preserve"> arm versus the SoC arm (HR, 0.60, 95% CI: 0.42, 0.86, p = 0.005) with an estimated 3.6-month improvement in median OS with T-</w:t>
      </w:r>
      <w:proofErr w:type="spellStart"/>
      <w:r>
        <w:t>DXd</w:t>
      </w:r>
      <w:proofErr w:type="spellEnd"/>
      <w:r>
        <w:t xml:space="preserve"> treatment versus SoC (12.5, 95% CI: 10.3, 15.2</w:t>
      </w:r>
      <w:r w:rsidR="008220FC">
        <w:t> </w:t>
      </w:r>
      <w:r>
        <w:t>months vs 8.9, 95% CI: 6.4, 10.4 months). There was an early separation of the curves between the T-</w:t>
      </w:r>
      <w:proofErr w:type="spellStart"/>
      <w:r>
        <w:t>DXd</w:t>
      </w:r>
      <w:proofErr w:type="spellEnd"/>
      <w:r>
        <w:t xml:space="preserve"> and SoC arms in the KM plot for OS that was sustained during follow-up (</w:t>
      </w:r>
      <w:r>
        <w:fldChar w:fldCharType="begin"/>
      </w:r>
      <w:r>
        <w:instrText xml:space="preserve"> REF _Ref191839896 \h </w:instrText>
      </w:r>
      <w:r>
        <w:fldChar w:fldCharType="separate"/>
      </w:r>
      <w:r w:rsidR="00593619">
        <w:t xml:space="preserve">Figure </w:t>
      </w:r>
      <w:r w:rsidR="00593619">
        <w:rPr>
          <w:noProof/>
        </w:rPr>
        <w:t>1</w:t>
      </w:r>
      <w:r>
        <w:fldChar w:fldCharType="end"/>
      </w:r>
      <w:r>
        <w:t>). In study DG-02 (final DCO)</w:t>
      </w:r>
      <w:r w:rsidRPr="000D56B1">
        <w:t xml:space="preserve">, </w:t>
      </w:r>
      <w:r>
        <w:t xml:space="preserve">the </w:t>
      </w:r>
      <w:r w:rsidRPr="000D56B1">
        <w:t>OS data were 58% mature</w:t>
      </w:r>
      <w:r>
        <w:t xml:space="preserve"> </w:t>
      </w:r>
      <w:r w:rsidRPr="000D56B1">
        <w:lastRenderedPageBreak/>
        <w:t>with a median OS of 12.1</w:t>
      </w:r>
      <w:r>
        <w:t xml:space="preserve"> (</w:t>
      </w:r>
      <w:r w:rsidRPr="000D56B1">
        <w:t>95% CI: 9.4, 15.4</w:t>
      </w:r>
      <w:r>
        <w:t xml:space="preserve">) </w:t>
      </w:r>
      <w:r w:rsidRPr="000D56B1">
        <w:t>months</w:t>
      </w:r>
      <w:r>
        <w:t>; t</w:t>
      </w:r>
      <w:r w:rsidRPr="000D56B1">
        <w:t xml:space="preserve">his </w:t>
      </w:r>
      <w:r>
        <w:t>was</w:t>
      </w:r>
      <w:r w:rsidRPr="000D56B1">
        <w:t xml:space="preserve"> consistent with the median OS reported in DG-01</w:t>
      </w:r>
      <w:r>
        <w:t xml:space="preserve"> (</w:t>
      </w:r>
      <w:r>
        <w:fldChar w:fldCharType="begin"/>
      </w:r>
      <w:r>
        <w:instrText xml:space="preserve"> REF _Ref191840896 \h </w:instrText>
      </w:r>
      <w:r>
        <w:fldChar w:fldCharType="separate"/>
      </w:r>
      <w:r w:rsidR="00593619">
        <w:t xml:space="preserve">Table </w:t>
      </w:r>
      <w:r w:rsidR="00593619">
        <w:rPr>
          <w:noProof/>
        </w:rPr>
        <w:t>4</w:t>
      </w:r>
      <w:r>
        <w:fldChar w:fldCharType="end"/>
      </w:r>
      <w:r>
        <w:t>).</w:t>
      </w:r>
    </w:p>
    <w:p w14:paraId="0016F767" w14:textId="01ED380A" w:rsidR="00BF711F" w:rsidRPr="007E7D9E" w:rsidRDefault="00BF711F" w:rsidP="00BF711F">
      <w:pPr>
        <w:pStyle w:val="3-BodyText"/>
      </w:pPr>
      <w:r w:rsidRPr="007E7D9E">
        <w:t xml:space="preserve">In study DG-01, the median PFS and HR was the same at the interim </w:t>
      </w:r>
      <w:r w:rsidR="000414FD" w:rsidRPr="007E7D9E">
        <w:t xml:space="preserve">(DCO1) </w:t>
      </w:r>
      <w:r w:rsidRPr="007E7D9E">
        <w:t>and final analysis (DCO2). There was a statistically significant improvement in PFS in the T-</w:t>
      </w:r>
      <w:proofErr w:type="spellStart"/>
      <w:r w:rsidRPr="007E7D9E">
        <w:t>DXd</w:t>
      </w:r>
      <w:proofErr w:type="spellEnd"/>
      <w:r w:rsidRPr="007E7D9E">
        <w:t xml:space="preserve"> arm versus the SoC arm with a 53% reduction in risk of disease progression or death (HR,</w:t>
      </w:r>
      <w:r w:rsidR="008922BC" w:rsidRPr="007E7D9E">
        <w:t> </w:t>
      </w:r>
      <w:r w:rsidRPr="007E7D9E">
        <w:t>0.47, 95% CI: 0.31, 0.71, p = 0.0003). The KM plot for PFS by ICR displayed a clear separation of the curves from around 1 month following treatment initiation (</w:t>
      </w:r>
      <w:r w:rsidRPr="007E7D9E">
        <w:fldChar w:fldCharType="begin"/>
      </w:r>
      <w:r w:rsidRPr="007E7D9E">
        <w:instrText xml:space="preserve"> REF _Ref191840543 \h </w:instrText>
      </w:r>
      <w:r w:rsidR="007E7D9E" w:rsidRPr="007E7D9E">
        <w:instrText xml:space="preserve"> \* MERGEFORMAT </w:instrText>
      </w:r>
      <w:r w:rsidRPr="007E7D9E">
        <w:fldChar w:fldCharType="separate"/>
      </w:r>
      <w:r w:rsidR="00593619">
        <w:t xml:space="preserve">Figure </w:t>
      </w:r>
      <w:r w:rsidR="00593619">
        <w:rPr>
          <w:noProof/>
        </w:rPr>
        <w:t>2</w:t>
      </w:r>
      <w:r w:rsidRPr="007E7D9E">
        <w:fldChar w:fldCharType="end"/>
      </w:r>
      <w:r w:rsidRPr="007E7D9E">
        <w:t>). The median PFS in study DG-02 was 5.6 (95% CI: 4.2, 8.3) months which was comparable to PFS in the T-</w:t>
      </w:r>
      <w:proofErr w:type="spellStart"/>
      <w:r w:rsidRPr="007E7D9E">
        <w:t>DXd</w:t>
      </w:r>
      <w:proofErr w:type="spellEnd"/>
      <w:r w:rsidRPr="007E7D9E">
        <w:t xml:space="preserve"> arm of DG-01 (</w:t>
      </w:r>
      <w:r w:rsidRPr="007E7D9E">
        <w:fldChar w:fldCharType="begin"/>
      </w:r>
      <w:r w:rsidRPr="007E7D9E">
        <w:instrText xml:space="preserve"> REF _Ref191840896 \h </w:instrText>
      </w:r>
      <w:r w:rsidR="007E7D9E" w:rsidRPr="007E7D9E">
        <w:instrText xml:space="preserve"> \* MERGEFORMAT </w:instrText>
      </w:r>
      <w:r w:rsidRPr="007E7D9E">
        <w:fldChar w:fldCharType="separate"/>
      </w:r>
      <w:r w:rsidR="00593619">
        <w:t xml:space="preserve">Table </w:t>
      </w:r>
      <w:r w:rsidR="00593619">
        <w:rPr>
          <w:noProof/>
        </w:rPr>
        <w:t>4</w:t>
      </w:r>
      <w:r w:rsidRPr="007E7D9E">
        <w:fldChar w:fldCharType="end"/>
      </w:r>
      <w:r w:rsidRPr="007E7D9E">
        <w:t>).</w:t>
      </w:r>
    </w:p>
    <w:p w14:paraId="0C1DD9DA" w14:textId="593637C6" w:rsidR="00BF711F" w:rsidRPr="007E7D9E" w:rsidRDefault="00BF711F" w:rsidP="00BF711F">
      <w:pPr>
        <w:pStyle w:val="3-BodyText"/>
      </w:pPr>
      <w:r w:rsidRPr="007E7D9E">
        <w:t>The submission did not present the prespecified subgroup analyses for OS from DG-01. These data were obtained from the DG-01 Clinical Study Report (CSR) (DCO2, 03 Jun 2020). Subgroup analyses for OS based on HER2 status indicate that T-</w:t>
      </w:r>
      <w:proofErr w:type="spellStart"/>
      <w:r w:rsidRPr="007E7D9E">
        <w:t>DXd</w:t>
      </w:r>
      <w:proofErr w:type="spellEnd"/>
      <w:r w:rsidRPr="007E7D9E">
        <w:t xml:space="preserve"> may be more effective than SoC in patients with the higher HER2 IHC 3+ status (N=143; HR:</w:t>
      </w:r>
      <w:r w:rsidR="00B63F7A" w:rsidRPr="007E7D9E">
        <w:t> </w:t>
      </w:r>
      <w:r w:rsidRPr="007E7D9E">
        <w:t>0.47 [95% CI, 0.31, 0.71]) than in patients with a HER2 IHC 2+/ISH+ status (</w:t>
      </w:r>
      <w:bookmarkStart w:id="35" w:name="_Hlk191843968"/>
      <w:r w:rsidRPr="007E7D9E">
        <w:t>N=</w:t>
      </w:r>
      <w:bookmarkEnd w:id="35"/>
      <w:r w:rsidRPr="007E7D9E">
        <w:t>44; HR: 1.48 [95% CI, 0.70, 3.16]) although confidence in the HR estimate was lower in the HER2 IHC 2+/ISH+ subgroup due to the small sample size. This observation regarding efficacy was also made for the prespecified subgroup analyses based on HER2 status for ORR and PFS. Data from the DG-02 subgroup analyses support observations from DG-01 for HER2 status.</w:t>
      </w:r>
    </w:p>
    <w:p w14:paraId="703B32D8" w14:textId="77777777" w:rsidR="00BF711F" w:rsidRPr="007E7D9E" w:rsidRDefault="00BF711F" w:rsidP="00BF711F">
      <w:pPr>
        <w:pStyle w:val="3-BodyText"/>
      </w:pPr>
      <w:r w:rsidRPr="007E7D9E">
        <w:t>Prior treatment with ramucirumab was not associated with an increased HR for OS for T-</w:t>
      </w:r>
      <w:proofErr w:type="spellStart"/>
      <w:r w:rsidRPr="007E7D9E">
        <w:t>DXd</w:t>
      </w:r>
      <w:proofErr w:type="spellEnd"/>
      <w:r w:rsidRPr="007E7D9E">
        <w:t xml:space="preserve"> versus </w:t>
      </w:r>
      <w:proofErr w:type="spellStart"/>
      <w:r w:rsidRPr="007E7D9E">
        <w:t>SoC.</w:t>
      </w:r>
      <w:proofErr w:type="spellEnd"/>
      <w:r w:rsidRPr="007E7D9E">
        <w:t xml:space="preserve"> However, an increase in PFS and OS HRs for T-</w:t>
      </w:r>
      <w:proofErr w:type="spellStart"/>
      <w:r w:rsidRPr="007E7D9E">
        <w:t>DXd</w:t>
      </w:r>
      <w:proofErr w:type="spellEnd"/>
      <w:r w:rsidRPr="007E7D9E">
        <w:t xml:space="preserve"> treatment relative to the primary population were observed for participants receiving the following: prior gastrectomy, prior adjuvant/neoadjuvant therapy, prior treatment with checkpoint inhibitor or other immune-oncology therapy, and prior treatment with nivolumab.</w:t>
      </w:r>
    </w:p>
    <w:p w14:paraId="2A1A8E3C" w14:textId="77777777" w:rsidR="00BF711F" w:rsidRPr="007E7D9E" w:rsidRDefault="00BF711F" w:rsidP="00BF711F">
      <w:pPr>
        <w:pStyle w:val="3-BodyText"/>
      </w:pPr>
      <w:r w:rsidRPr="007E7D9E">
        <w:t>In the prespecified subgroup analyses of DG-02, survival outcomes (PFS, OS) were lower in the North American subgroup (n=34) than in the European subgroup (n=45) although differences observed were not tested for significance.</w:t>
      </w:r>
    </w:p>
    <w:p w14:paraId="57CF6EAF" w14:textId="77777777" w:rsidR="00BF711F" w:rsidRDefault="00BF711F" w:rsidP="00BF711F">
      <w:pPr>
        <w:pStyle w:val="3-BodyText"/>
      </w:pPr>
      <w:r w:rsidRPr="007E7D9E">
        <w:t>Health-related quality of life (</w:t>
      </w:r>
      <w:proofErr w:type="spellStart"/>
      <w:r w:rsidRPr="007E7D9E">
        <w:t>HRQoL</w:t>
      </w:r>
      <w:proofErr w:type="spellEnd"/>
      <w:r w:rsidRPr="007E7D9E">
        <w:t xml:space="preserve">) of participants in DG-01 at DCO1 and in DG-02 was measured using the European Organization for Research and Treatment of Cancer (EORTC) </w:t>
      </w:r>
      <w:proofErr w:type="spellStart"/>
      <w:r w:rsidRPr="007E7D9E">
        <w:t>EuroQol</w:t>
      </w:r>
      <w:proofErr w:type="spellEnd"/>
      <w:r w:rsidRPr="007E7D9E">
        <w:t xml:space="preserve"> 5 dimension 5-level (of severity) assessment (EQ-5D-5L). At the end of treatment, completion rates were lower in the T-</w:t>
      </w:r>
      <w:proofErr w:type="spellStart"/>
      <w:r w:rsidRPr="007E7D9E">
        <w:t>DXd</w:t>
      </w:r>
      <w:proofErr w:type="spellEnd"/>
      <w:r w:rsidRPr="007E7D9E">
        <w:t xml:space="preserve"> arm (66.4%) than in the SoC arm (85.5%) and lower in both arms than at baseline. The mean EQ-5D-5L scores at the end of treatment were similar in the T-</w:t>
      </w:r>
      <w:proofErr w:type="spellStart"/>
      <w:r w:rsidRPr="007E7D9E">
        <w:t>DXd</w:t>
      </w:r>
      <w:proofErr w:type="spellEnd"/>
      <w:r w:rsidRPr="007E7D9E">
        <w:t xml:space="preserve"> arm (0.7009; mean reduction of 0.1269) vs the SoC arm (0.7251; mean reduction of 0.1329). The submission concluded that treatment with T-</w:t>
      </w:r>
      <w:proofErr w:type="spellStart"/>
      <w:r w:rsidRPr="007E7D9E">
        <w:t>DXd</w:t>
      </w:r>
      <w:proofErr w:type="spellEnd"/>
      <w:r w:rsidRPr="007E7D9E">
        <w:t xml:space="preserve"> did not deteriorate </w:t>
      </w:r>
      <w:proofErr w:type="spellStart"/>
      <w:r w:rsidRPr="007E7D9E">
        <w:t>HRQoL</w:t>
      </w:r>
      <w:proofErr w:type="spellEnd"/>
      <w:r w:rsidRPr="007E7D9E">
        <w:t xml:space="preserve"> compared to </w:t>
      </w:r>
      <w:proofErr w:type="spellStart"/>
      <w:r w:rsidRPr="007E7D9E">
        <w:t>SoC.</w:t>
      </w:r>
      <w:proofErr w:type="spellEnd"/>
      <w:r w:rsidRPr="007E7D9E">
        <w:t xml:space="preserve"> No explanation was provided for the higher non-completion rate in the T-</w:t>
      </w:r>
      <w:proofErr w:type="spellStart"/>
      <w:r w:rsidRPr="007E7D9E">
        <w:t>DXd</w:t>
      </w:r>
      <w:proofErr w:type="spellEnd"/>
      <w:r w:rsidRPr="007E7D9E">
        <w:t xml:space="preserve"> arm. This is a significant source of bias in the </w:t>
      </w:r>
      <w:proofErr w:type="spellStart"/>
      <w:r w:rsidRPr="007E7D9E">
        <w:t>HRQoL</w:t>
      </w:r>
      <w:proofErr w:type="spellEnd"/>
      <w:r w:rsidRPr="007E7D9E">
        <w:t xml:space="preserve"> data. The impact of treatment with T-</w:t>
      </w:r>
      <w:proofErr w:type="spellStart"/>
      <w:r w:rsidRPr="007E7D9E">
        <w:t>DXd</w:t>
      </w:r>
      <w:proofErr w:type="spellEnd"/>
      <w:r w:rsidRPr="007E7D9E">
        <w:t xml:space="preserve"> on </w:t>
      </w:r>
      <w:proofErr w:type="spellStart"/>
      <w:r w:rsidRPr="007E7D9E">
        <w:t>HRQoL</w:t>
      </w:r>
      <w:proofErr w:type="spellEnd"/>
      <w:r w:rsidRPr="007E7D9E">
        <w:t xml:space="preserve"> in DG-01 was uncertain based on the data provided. Similar observations applied to the data available from DG-02.</w:t>
      </w:r>
    </w:p>
    <w:p w14:paraId="4BD61613" w14:textId="77777777" w:rsidR="00BF711F" w:rsidRPr="00D86D87" w:rsidRDefault="00BF711F" w:rsidP="00BF711F">
      <w:pPr>
        <w:pStyle w:val="4-SubsectionHeading"/>
      </w:pPr>
      <w:bookmarkStart w:id="36" w:name="_Toc22897642"/>
      <w:bookmarkStart w:id="37" w:name="_Toc187925088"/>
      <w:bookmarkStart w:id="38" w:name="_Toc193454318"/>
      <w:r w:rsidRPr="00D86D87">
        <w:lastRenderedPageBreak/>
        <w:t>Comparative harms</w:t>
      </w:r>
      <w:bookmarkEnd w:id="36"/>
      <w:bookmarkEnd w:id="37"/>
      <w:bookmarkEnd w:id="38"/>
    </w:p>
    <w:p w14:paraId="6F19C352" w14:textId="77777777" w:rsidR="00BF711F" w:rsidRDefault="00BF711F" w:rsidP="00BF711F">
      <w:pPr>
        <w:pStyle w:val="3-BodyText"/>
      </w:pPr>
      <w:r w:rsidRPr="000126B9">
        <w:t xml:space="preserve">The submission made a claim of inferior </w:t>
      </w:r>
      <w:r>
        <w:t xml:space="preserve">but manageable safety </w:t>
      </w:r>
      <w:r w:rsidRPr="000126B9">
        <w:t xml:space="preserve">for </w:t>
      </w:r>
      <w:r>
        <w:t>T-</w:t>
      </w:r>
      <w:proofErr w:type="spellStart"/>
      <w:r>
        <w:t>DXd</w:t>
      </w:r>
      <w:proofErr w:type="spellEnd"/>
      <w:r w:rsidRPr="000126B9">
        <w:t xml:space="preserve"> compared to SoC based</w:t>
      </w:r>
      <w:r>
        <w:t xml:space="preserve"> on the safety data presented in the submission</w:t>
      </w:r>
      <w:r w:rsidRPr="000126B9">
        <w:t>.</w:t>
      </w:r>
      <w:r>
        <w:t xml:space="preserve"> </w:t>
      </w:r>
    </w:p>
    <w:p w14:paraId="4A671A9F" w14:textId="2603154F" w:rsidR="00BF711F" w:rsidRDefault="00BF711F" w:rsidP="00BF711F">
      <w:pPr>
        <w:pStyle w:val="3-BodyText"/>
      </w:pPr>
      <w:r w:rsidRPr="000126B9">
        <w:t xml:space="preserve">A summary of the safety results </w:t>
      </w:r>
      <w:r>
        <w:t>from DG-01 and DG-02</w:t>
      </w:r>
      <w:r w:rsidRPr="000126B9">
        <w:t xml:space="preserve"> </w:t>
      </w:r>
      <w:r>
        <w:t>are</w:t>
      </w:r>
      <w:r w:rsidRPr="000126B9">
        <w:t xml:space="preserve"> presented in </w:t>
      </w:r>
      <w:r>
        <w:fldChar w:fldCharType="begin"/>
      </w:r>
      <w:r>
        <w:instrText xml:space="preserve"> REF _Ref192232852 \h </w:instrText>
      </w:r>
      <w:r>
        <w:fldChar w:fldCharType="separate"/>
      </w:r>
      <w:r w:rsidR="00593619" w:rsidRPr="00D86D87">
        <w:t xml:space="preserve">Table </w:t>
      </w:r>
      <w:r w:rsidR="00593619">
        <w:rPr>
          <w:noProof/>
        </w:rPr>
        <w:t>5</w:t>
      </w:r>
      <w:r>
        <w:fldChar w:fldCharType="end"/>
      </w:r>
      <w:r w:rsidRPr="000126B9">
        <w:t xml:space="preserve">. Analyses of safety were </w:t>
      </w:r>
      <w:r>
        <w:t>carried out for</w:t>
      </w:r>
      <w:r w:rsidRPr="000126B9">
        <w:t xml:space="preserve"> all patients who received study treatment</w:t>
      </w:r>
      <w:r>
        <w:t xml:space="preserve"> </w:t>
      </w:r>
      <w:r w:rsidRPr="009C5B3E">
        <w:t>(safety analysis set; SAS)</w:t>
      </w:r>
      <w:r w:rsidRPr="000126B9">
        <w:t xml:space="preserve">. The safety data </w:t>
      </w:r>
      <w:r>
        <w:t xml:space="preserve">for DG-01 and DG-02 </w:t>
      </w:r>
      <w:r w:rsidRPr="000126B9">
        <w:t xml:space="preserve">presented in the submission were based on </w:t>
      </w:r>
      <w:r>
        <w:t xml:space="preserve">DG-01 </w:t>
      </w:r>
      <w:r w:rsidRPr="000126B9">
        <w:t>DCO</w:t>
      </w:r>
      <w:r>
        <w:t>2 (3 June 2020) and DG-02 DCO2 (</w:t>
      </w:r>
      <w:r w:rsidRPr="00DB791A">
        <w:t>8 Nov 2021</w:t>
      </w:r>
      <w:r>
        <w:t>).</w:t>
      </w:r>
      <w:r w:rsidRPr="000126B9">
        <w:t xml:space="preserve"> </w:t>
      </w:r>
      <w:r>
        <w:t>Median (range) duration of follow-up was 5.8 (0.8, 29.1) months in the T-</w:t>
      </w:r>
      <w:proofErr w:type="spellStart"/>
      <w:r>
        <w:t>DXd</w:t>
      </w:r>
      <w:proofErr w:type="spellEnd"/>
      <w:r>
        <w:t xml:space="preserve"> arm and 3.2 (1.9, 4.5) months in the SoC arm.</w:t>
      </w:r>
    </w:p>
    <w:p w14:paraId="5A4F9156" w14:textId="68B96826" w:rsidR="00BF711F" w:rsidRPr="00D86D87" w:rsidRDefault="00BF711F" w:rsidP="00BF711F">
      <w:pPr>
        <w:pStyle w:val="TableFigureHeading"/>
        <w:rPr>
          <w:rStyle w:val="CommentReference"/>
          <w:b/>
          <w:szCs w:val="24"/>
        </w:rPr>
      </w:pPr>
      <w:bookmarkStart w:id="39" w:name="_Ref192232852"/>
      <w:r w:rsidRPr="00D86D87">
        <w:t xml:space="preserve">Table </w:t>
      </w:r>
      <w:r w:rsidR="008B461E">
        <w:fldChar w:fldCharType="begin"/>
      </w:r>
      <w:r w:rsidR="008B461E">
        <w:instrText xml:space="preserve"> SEQ Table \* ARABIC </w:instrText>
      </w:r>
      <w:r w:rsidR="008B461E">
        <w:fldChar w:fldCharType="separate"/>
      </w:r>
      <w:r w:rsidR="00593619">
        <w:rPr>
          <w:noProof/>
        </w:rPr>
        <w:t>5</w:t>
      </w:r>
      <w:r w:rsidR="008B461E">
        <w:rPr>
          <w:noProof/>
        </w:rPr>
        <w:fldChar w:fldCharType="end"/>
      </w:r>
      <w:bookmarkEnd w:id="39"/>
      <w:r w:rsidRPr="00D86D87">
        <w:t xml:space="preserve">: </w:t>
      </w:r>
      <w:r w:rsidRPr="00D86D87">
        <w:rPr>
          <w:rStyle w:val="CommentReference"/>
          <w:b/>
          <w:szCs w:val="24"/>
        </w:rPr>
        <w:t xml:space="preserve">Summary of key adverse events in </w:t>
      </w:r>
      <w:r>
        <w:rPr>
          <w:rStyle w:val="CommentReference"/>
          <w:b/>
          <w:szCs w:val="24"/>
        </w:rPr>
        <w:t>studies DG-01 and DG-02 (SAS)</w:t>
      </w:r>
    </w:p>
    <w:tbl>
      <w:tblPr>
        <w:tblStyle w:val="TableGrid"/>
        <w:tblW w:w="5000" w:type="pct"/>
        <w:tblLook w:val="04A0" w:firstRow="1" w:lastRow="0" w:firstColumn="1" w:lastColumn="0" w:noHBand="0" w:noVBand="1"/>
      </w:tblPr>
      <w:tblGrid>
        <w:gridCol w:w="2311"/>
        <w:gridCol w:w="1140"/>
        <w:gridCol w:w="1506"/>
        <w:gridCol w:w="1416"/>
        <w:gridCol w:w="1419"/>
        <w:gridCol w:w="1225"/>
      </w:tblGrid>
      <w:tr w:rsidR="00BF711F" w:rsidRPr="00DC2F96" w14:paraId="002AFA25" w14:textId="77777777" w:rsidTr="00D544C3">
        <w:trPr>
          <w:tblHeader/>
        </w:trPr>
        <w:tc>
          <w:tcPr>
            <w:tcW w:w="1281" w:type="pct"/>
            <w:vMerge w:val="restart"/>
            <w:vAlign w:val="center"/>
          </w:tcPr>
          <w:p w14:paraId="39878342" w14:textId="77777777" w:rsidR="00BF711F" w:rsidRPr="00DC2F96" w:rsidRDefault="00BF711F" w:rsidP="00D544C3">
            <w:pPr>
              <w:pStyle w:val="TableHeading"/>
              <w:widowControl w:val="0"/>
              <w:rPr>
                <w:lang w:eastAsia="en-GB"/>
              </w:rPr>
            </w:pPr>
            <w:r w:rsidRPr="00DC2F96">
              <w:rPr>
                <w:lang w:eastAsia="en-GB"/>
              </w:rPr>
              <w:t>TEAE category, n (%)</w:t>
            </w:r>
          </w:p>
        </w:tc>
        <w:tc>
          <w:tcPr>
            <w:tcW w:w="3039" w:type="pct"/>
            <w:gridSpan w:val="4"/>
          </w:tcPr>
          <w:p w14:paraId="1EC34DD9" w14:textId="77777777" w:rsidR="00BF711F" w:rsidRPr="00DC2F96" w:rsidRDefault="00BF711F" w:rsidP="00D544C3">
            <w:pPr>
              <w:pStyle w:val="TableHeading"/>
              <w:widowControl w:val="0"/>
              <w:rPr>
                <w:lang w:eastAsia="en-GB"/>
              </w:rPr>
            </w:pPr>
            <w:r w:rsidRPr="00DC2F96">
              <w:rPr>
                <w:lang w:eastAsia="en-GB"/>
              </w:rPr>
              <w:t>DG-01</w:t>
            </w:r>
          </w:p>
        </w:tc>
        <w:tc>
          <w:tcPr>
            <w:tcW w:w="679" w:type="pct"/>
            <w:vAlign w:val="center"/>
          </w:tcPr>
          <w:p w14:paraId="458E53A0" w14:textId="77777777" w:rsidR="00BF711F" w:rsidRPr="00DC2F96" w:rsidRDefault="00BF711F" w:rsidP="00D544C3">
            <w:pPr>
              <w:pStyle w:val="TableHeading"/>
              <w:widowControl w:val="0"/>
              <w:rPr>
                <w:lang w:eastAsia="en-GB"/>
              </w:rPr>
            </w:pPr>
            <w:r w:rsidRPr="00DC2F96">
              <w:rPr>
                <w:lang w:eastAsia="en-GB"/>
              </w:rPr>
              <w:t>DG-02</w:t>
            </w:r>
          </w:p>
        </w:tc>
      </w:tr>
      <w:tr w:rsidR="00BF711F" w:rsidRPr="00DC2F96" w14:paraId="29EE20D3" w14:textId="77777777" w:rsidTr="00D544C3">
        <w:trPr>
          <w:tblHeader/>
        </w:trPr>
        <w:tc>
          <w:tcPr>
            <w:tcW w:w="1281" w:type="pct"/>
            <w:vMerge/>
            <w:vAlign w:val="center"/>
          </w:tcPr>
          <w:p w14:paraId="0BCB08D4" w14:textId="77777777" w:rsidR="00BF711F" w:rsidRPr="00DC2F96" w:rsidRDefault="00BF711F" w:rsidP="00D544C3">
            <w:pPr>
              <w:pStyle w:val="TableHeading"/>
              <w:widowControl w:val="0"/>
              <w:rPr>
                <w:lang w:eastAsia="en-GB"/>
              </w:rPr>
            </w:pPr>
          </w:p>
        </w:tc>
        <w:tc>
          <w:tcPr>
            <w:tcW w:w="632" w:type="pct"/>
            <w:vAlign w:val="center"/>
          </w:tcPr>
          <w:p w14:paraId="071E6704" w14:textId="77777777" w:rsidR="00BF711F" w:rsidRPr="00DC2F96" w:rsidRDefault="00BF711F" w:rsidP="00D544C3">
            <w:pPr>
              <w:pStyle w:val="TableHeading"/>
              <w:widowControl w:val="0"/>
              <w:rPr>
                <w:lang w:eastAsia="en-GB"/>
              </w:rPr>
            </w:pPr>
            <w:r w:rsidRPr="00DC2F96">
              <w:rPr>
                <w:lang w:eastAsia="en-GB"/>
              </w:rPr>
              <w:t>T-</w:t>
            </w:r>
            <w:proofErr w:type="spellStart"/>
            <w:r w:rsidRPr="00DC2F96">
              <w:rPr>
                <w:lang w:eastAsia="en-GB"/>
              </w:rPr>
              <w:t>DXd</w:t>
            </w:r>
            <w:proofErr w:type="spellEnd"/>
          </w:p>
          <w:p w14:paraId="3462B692" w14:textId="77777777" w:rsidR="00BF711F" w:rsidRDefault="00BF711F" w:rsidP="00D544C3">
            <w:pPr>
              <w:pStyle w:val="TableHeading"/>
              <w:widowControl w:val="0"/>
              <w:rPr>
                <w:lang w:eastAsia="en-GB"/>
              </w:rPr>
            </w:pPr>
            <w:r w:rsidRPr="00DC2F96">
              <w:rPr>
                <w:lang w:eastAsia="en-GB"/>
              </w:rPr>
              <w:t>N = 125</w:t>
            </w:r>
          </w:p>
          <w:p w14:paraId="4A02DD7A" w14:textId="77777777" w:rsidR="00BF711F" w:rsidRPr="00DC2F96" w:rsidRDefault="00BF711F" w:rsidP="00D544C3">
            <w:pPr>
              <w:pStyle w:val="TableHeading"/>
              <w:widowControl w:val="0"/>
              <w:rPr>
                <w:lang w:eastAsia="en-GB"/>
              </w:rPr>
            </w:pPr>
            <w:r>
              <w:rPr>
                <w:lang w:eastAsia="en-GB"/>
              </w:rPr>
              <w:t>n (%)</w:t>
            </w:r>
          </w:p>
        </w:tc>
        <w:tc>
          <w:tcPr>
            <w:tcW w:w="835" w:type="pct"/>
          </w:tcPr>
          <w:p w14:paraId="6AF76D7B" w14:textId="77777777" w:rsidR="00BF711F" w:rsidRDefault="00BF711F" w:rsidP="00D544C3">
            <w:pPr>
              <w:pStyle w:val="TableHeading"/>
              <w:widowControl w:val="0"/>
              <w:rPr>
                <w:lang w:eastAsia="en-GB"/>
              </w:rPr>
            </w:pPr>
            <w:r>
              <w:rPr>
                <w:lang w:eastAsia="en-GB"/>
              </w:rPr>
              <w:t>Irinotecan</w:t>
            </w:r>
          </w:p>
          <w:p w14:paraId="312FF18F" w14:textId="77777777" w:rsidR="00BF711F" w:rsidRDefault="00BF711F" w:rsidP="00D544C3">
            <w:pPr>
              <w:pStyle w:val="TableHeading"/>
              <w:widowControl w:val="0"/>
              <w:rPr>
                <w:lang w:eastAsia="en-GB"/>
              </w:rPr>
            </w:pPr>
            <w:r>
              <w:rPr>
                <w:lang w:eastAsia="en-GB"/>
              </w:rPr>
              <w:t>N=55</w:t>
            </w:r>
          </w:p>
          <w:p w14:paraId="1752C7C1" w14:textId="77777777" w:rsidR="00BF711F" w:rsidRPr="00DC2F96" w:rsidRDefault="00BF711F" w:rsidP="00D544C3">
            <w:pPr>
              <w:pStyle w:val="TableHeading"/>
              <w:widowControl w:val="0"/>
              <w:rPr>
                <w:lang w:eastAsia="en-GB"/>
              </w:rPr>
            </w:pPr>
            <w:r w:rsidRPr="00B83CCC">
              <w:rPr>
                <w:lang w:eastAsia="en-GB"/>
              </w:rPr>
              <w:t>n (%)</w:t>
            </w:r>
          </w:p>
        </w:tc>
        <w:tc>
          <w:tcPr>
            <w:tcW w:w="785" w:type="pct"/>
          </w:tcPr>
          <w:p w14:paraId="5DC5F18E" w14:textId="77777777" w:rsidR="00BF711F" w:rsidRDefault="00BF711F" w:rsidP="00D544C3">
            <w:pPr>
              <w:pStyle w:val="TableHeading"/>
              <w:widowControl w:val="0"/>
              <w:rPr>
                <w:lang w:eastAsia="en-GB"/>
              </w:rPr>
            </w:pPr>
            <w:r>
              <w:rPr>
                <w:lang w:eastAsia="en-GB"/>
              </w:rPr>
              <w:t>Paclitaxel</w:t>
            </w:r>
          </w:p>
          <w:p w14:paraId="0DD0C881" w14:textId="77777777" w:rsidR="00BF711F" w:rsidRDefault="00BF711F" w:rsidP="00D544C3">
            <w:pPr>
              <w:pStyle w:val="TableHeading"/>
              <w:widowControl w:val="0"/>
              <w:rPr>
                <w:lang w:eastAsia="en-GB"/>
              </w:rPr>
            </w:pPr>
            <w:r>
              <w:rPr>
                <w:lang w:eastAsia="en-GB"/>
              </w:rPr>
              <w:t>N=7</w:t>
            </w:r>
          </w:p>
          <w:p w14:paraId="1DA8B044" w14:textId="77777777" w:rsidR="00BF711F" w:rsidRPr="00DC2F96" w:rsidRDefault="00BF711F" w:rsidP="00D544C3">
            <w:pPr>
              <w:pStyle w:val="TableHeading"/>
              <w:widowControl w:val="0"/>
              <w:rPr>
                <w:lang w:eastAsia="en-GB"/>
              </w:rPr>
            </w:pPr>
            <w:r>
              <w:rPr>
                <w:lang w:eastAsia="en-GB"/>
              </w:rPr>
              <w:t>n (%)</w:t>
            </w:r>
          </w:p>
        </w:tc>
        <w:tc>
          <w:tcPr>
            <w:tcW w:w="787" w:type="pct"/>
            <w:vAlign w:val="center"/>
          </w:tcPr>
          <w:p w14:paraId="6B7EEB68" w14:textId="77777777" w:rsidR="00BF711F" w:rsidRPr="00DC2F96" w:rsidRDefault="00BF711F" w:rsidP="00D544C3">
            <w:pPr>
              <w:pStyle w:val="TableHeading"/>
              <w:widowControl w:val="0"/>
              <w:rPr>
                <w:lang w:eastAsia="en-GB"/>
              </w:rPr>
            </w:pPr>
            <w:r>
              <w:rPr>
                <w:lang w:eastAsia="en-GB"/>
              </w:rPr>
              <w:t>SoC</w:t>
            </w:r>
          </w:p>
          <w:p w14:paraId="7F19D24A" w14:textId="77777777" w:rsidR="00BF711F" w:rsidRDefault="00BF711F" w:rsidP="00D544C3">
            <w:pPr>
              <w:pStyle w:val="TableHeading"/>
              <w:widowControl w:val="0"/>
              <w:rPr>
                <w:lang w:eastAsia="en-GB"/>
              </w:rPr>
            </w:pPr>
            <w:r w:rsidRPr="00DC2F96">
              <w:rPr>
                <w:lang w:eastAsia="en-GB"/>
              </w:rPr>
              <w:t>N = 62</w:t>
            </w:r>
          </w:p>
          <w:p w14:paraId="1CA55519" w14:textId="77777777" w:rsidR="00BF711F" w:rsidRPr="00DC2F96" w:rsidRDefault="00BF711F" w:rsidP="00D544C3">
            <w:pPr>
              <w:pStyle w:val="TableHeading"/>
              <w:widowControl w:val="0"/>
              <w:rPr>
                <w:lang w:eastAsia="en-GB"/>
              </w:rPr>
            </w:pPr>
            <w:r>
              <w:rPr>
                <w:lang w:eastAsia="en-GB"/>
              </w:rPr>
              <w:t>n (%)</w:t>
            </w:r>
          </w:p>
        </w:tc>
        <w:tc>
          <w:tcPr>
            <w:tcW w:w="679" w:type="pct"/>
            <w:vAlign w:val="center"/>
          </w:tcPr>
          <w:p w14:paraId="0DBE6F6F" w14:textId="77777777" w:rsidR="00BF711F" w:rsidRPr="00DC2F96" w:rsidRDefault="00BF711F" w:rsidP="00D544C3">
            <w:pPr>
              <w:pStyle w:val="TableHeading"/>
              <w:widowControl w:val="0"/>
              <w:rPr>
                <w:lang w:eastAsia="en-GB"/>
              </w:rPr>
            </w:pPr>
            <w:r w:rsidRPr="00DC2F96">
              <w:rPr>
                <w:lang w:eastAsia="en-GB"/>
              </w:rPr>
              <w:t>T-</w:t>
            </w:r>
            <w:proofErr w:type="spellStart"/>
            <w:r w:rsidRPr="00DC2F96">
              <w:rPr>
                <w:lang w:eastAsia="en-GB"/>
              </w:rPr>
              <w:t>DXd</w:t>
            </w:r>
            <w:proofErr w:type="spellEnd"/>
          </w:p>
          <w:p w14:paraId="5DC5B683" w14:textId="77777777" w:rsidR="00BF711F" w:rsidRDefault="00BF711F" w:rsidP="00D544C3">
            <w:pPr>
              <w:pStyle w:val="TableHeading"/>
              <w:widowControl w:val="0"/>
              <w:rPr>
                <w:lang w:eastAsia="en-GB"/>
              </w:rPr>
            </w:pPr>
            <w:r w:rsidRPr="00DC2F96">
              <w:rPr>
                <w:lang w:eastAsia="en-GB"/>
              </w:rPr>
              <w:t>N=79</w:t>
            </w:r>
          </w:p>
          <w:p w14:paraId="04F79A7B" w14:textId="77777777" w:rsidR="00BF711F" w:rsidRPr="00DC2F96" w:rsidRDefault="00BF711F" w:rsidP="00D544C3">
            <w:pPr>
              <w:pStyle w:val="TableHeading"/>
              <w:widowControl w:val="0"/>
              <w:rPr>
                <w:lang w:eastAsia="en-GB"/>
              </w:rPr>
            </w:pPr>
            <w:r>
              <w:rPr>
                <w:lang w:eastAsia="en-GB"/>
              </w:rPr>
              <w:t>n (%)</w:t>
            </w:r>
          </w:p>
        </w:tc>
      </w:tr>
      <w:tr w:rsidR="00BF711F" w:rsidRPr="00DC2F96" w14:paraId="758C83B7" w14:textId="77777777" w:rsidTr="00D544C3">
        <w:tc>
          <w:tcPr>
            <w:tcW w:w="1281" w:type="pct"/>
            <w:vAlign w:val="center"/>
          </w:tcPr>
          <w:p w14:paraId="2F6E04B6" w14:textId="77777777" w:rsidR="00BF711F" w:rsidRPr="00DC2F96" w:rsidRDefault="00BF711F" w:rsidP="00D544C3">
            <w:pPr>
              <w:pStyle w:val="Tabletext"/>
              <w:keepNext/>
              <w:widowControl w:val="0"/>
              <w:rPr>
                <w:lang w:eastAsia="en-GB"/>
              </w:rPr>
            </w:pPr>
            <w:r w:rsidRPr="00DC2F96">
              <w:rPr>
                <w:lang w:eastAsia="en-GB"/>
              </w:rPr>
              <w:t>Any TEAE</w:t>
            </w:r>
          </w:p>
        </w:tc>
        <w:tc>
          <w:tcPr>
            <w:tcW w:w="632" w:type="pct"/>
            <w:vAlign w:val="center"/>
          </w:tcPr>
          <w:p w14:paraId="2AB78D97" w14:textId="77777777" w:rsidR="00BF711F" w:rsidRPr="00DC2F96" w:rsidRDefault="00BF711F" w:rsidP="00D544C3">
            <w:pPr>
              <w:pStyle w:val="Tabletext"/>
              <w:keepNext/>
              <w:widowControl w:val="0"/>
              <w:rPr>
                <w:lang w:eastAsia="en-GB"/>
              </w:rPr>
            </w:pPr>
            <w:r w:rsidRPr="00DC2F96">
              <w:rPr>
                <w:lang w:eastAsia="en-GB"/>
              </w:rPr>
              <w:t>125 (100.0)</w:t>
            </w:r>
          </w:p>
        </w:tc>
        <w:tc>
          <w:tcPr>
            <w:tcW w:w="835" w:type="pct"/>
            <w:vAlign w:val="center"/>
          </w:tcPr>
          <w:p w14:paraId="5EBF9AAB" w14:textId="77777777" w:rsidR="00BF711F" w:rsidRPr="00DC2F96" w:rsidRDefault="00BF711F" w:rsidP="00D544C3">
            <w:pPr>
              <w:pStyle w:val="Tabletext"/>
              <w:keepNext/>
              <w:widowControl w:val="0"/>
              <w:rPr>
                <w:lang w:eastAsia="en-GB"/>
              </w:rPr>
            </w:pPr>
            <w:r w:rsidRPr="00B83CCC">
              <w:rPr>
                <w:lang w:eastAsia="en-GB"/>
              </w:rPr>
              <w:t xml:space="preserve">54 (98.2) </w:t>
            </w:r>
          </w:p>
        </w:tc>
        <w:tc>
          <w:tcPr>
            <w:tcW w:w="785" w:type="pct"/>
            <w:vAlign w:val="center"/>
          </w:tcPr>
          <w:p w14:paraId="779D7087" w14:textId="77777777" w:rsidR="00BF711F" w:rsidRPr="00DC2F96" w:rsidRDefault="00BF711F" w:rsidP="00D544C3">
            <w:pPr>
              <w:pStyle w:val="Tabletext"/>
              <w:keepNext/>
              <w:widowControl w:val="0"/>
              <w:rPr>
                <w:lang w:eastAsia="en-GB"/>
              </w:rPr>
            </w:pPr>
            <w:r w:rsidRPr="00B83CCC">
              <w:rPr>
                <w:lang w:eastAsia="en-GB"/>
              </w:rPr>
              <w:t>7 (100.0)</w:t>
            </w:r>
          </w:p>
        </w:tc>
        <w:tc>
          <w:tcPr>
            <w:tcW w:w="787" w:type="pct"/>
            <w:vAlign w:val="center"/>
          </w:tcPr>
          <w:p w14:paraId="6DF2E626" w14:textId="77777777" w:rsidR="00BF711F" w:rsidRPr="00DC2F96" w:rsidRDefault="00BF711F" w:rsidP="00D544C3">
            <w:pPr>
              <w:pStyle w:val="Tabletext"/>
              <w:keepNext/>
              <w:widowControl w:val="0"/>
              <w:rPr>
                <w:lang w:eastAsia="en-GB"/>
              </w:rPr>
            </w:pPr>
            <w:r w:rsidRPr="00DC2F96">
              <w:rPr>
                <w:lang w:eastAsia="en-GB"/>
              </w:rPr>
              <w:t>61 (98.4)</w:t>
            </w:r>
          </w:p>
        </w:tc>
        <w:tc>
          <w:tcPr>
            <w:tcW w:w="679" w:type="pct"/>
            <w:vAlign w:val="center"/>
          </w:tcPr>
          <w:p w14:paraId="1A742A6E" w14:textId="77777777" w:rsidR="00BF711F" w:rsidRPr="00DC2F96" w:rsidRDefault="00BF711F" w:rsidP="00D544C3">
            <w:pPr>
              <w:pStyle w:val="Tabletext"/>
              <w:keepNext/>
              <w:widowControl w:val="0"/>
              <w:rPr>
                <w:lang w:eastAsia="en-GB"/>
              </w:rPr>
            </w:pPr>
            <w:r w:rsidRPr="00DC2F96">
              <w:rPr>
                <w:lang w:eastAsia="en-GB"/>
              </w:rPr>
              <w:t>79 (100)</w:t>
            </w:r>
          </w:p>
        </w:tc>
      </w:tr>
      <w:tr w:rsidR="00BF711F" w:rsidRPr="00DC2F96" w14:paraId="193462A5" w14:textId="77777777" w:rsidTr="00D544C3">
        <w:tc>
          <w:tcPr>
            <w:tcW w:w="1281" w:type="pct"/>
            <w:vAlign w:val="center"/>
          </w:tcPr>
          <w:p w14:paraId="2AA607CE" w14:textId="77777777" w:rsidR="00BF711F" w:rsidRPr="00DC2F96" w:rsidRDefault="00BF711F" w:rsidP="00D544C3">
            <w:pPr>
              <w:pStyle w:val="Tabletext"/>
              <w:keepNext/>
              <w:widowControl w:val="0"/>
              <w:rPr>
                <w:lang w:eastAsia="en-GB"/>
              </w:rPr>
            </w:pPr>
            <w:r w:rsidRPr="00DC2F96">
              <w:rPr>
                <w:lang w:eastAsia="en-GB"/>
              </w:rPr>
              <w:t xml:space="preserve">Drug-related TEAEs </w:t>
            </w:r>
            <w:r w:rsidRPr="00DC2F96">
              <w:rPr>
                <w:vertAlign w:val="superscript"/>
                <w:lang w:eastAsia="en-GB"/>
              </w:rPr>
              <w:t>a</w:t>
            </w:r>
          </w:p>
        </w:tc>
        <w:tc>
          <w:tcPr>
            <w:tcW w:w="632" w:type="pct"/>
            <w:vAlign w:val="center"/>
          </w:tcPr>
          <w:p w14:paraId="3E863B49" w14:textId="77777777" w:rsidR="00BF711F" w:rsidRPr="00DC2F96" w:rsidRDefault="00BF711F" w:rsidP="00D544C3">
            <w:pPr>
              <w:pStyle w:val="Tabletext"/>
              <w:keepNext/>
              <w:widowControl w:val="0"/>
              <w:rPr>
                <w:lang w:eastAsia="en-GB"/>
              </w:rPr>
            </w:pPr>
            <w:r w:rsidRPr="00DC2F96">
              <w:rPr>
                <w:lang w:eastAsia="en-GB"/>
              </w:rPr>
              <w:t>122 (97.6)</w:t>
            </w:r>
          </w:p>
        </w:tc>
        <w:tc>
          <w:tcPr>
            <w:tcW w:w="835" w:type="pct"/>
            <w:vAlign w:val="center"/>
          </w:tcPr>
          <w:p w14:paraId="3E9D2401" w14:textId="77777777" w:rsidR="00BF711F" w:rsidRPr="00DC2F96" w:rsidRDefault="00BF711F" w:rsidP="00D544C3">
            <w:pPr>
              <w:pStyle w:val="Tabletext"/>
              <w:keepNext/>
              <w:widowControl w:val="0"/>
              <w:rPr>
                <w:lang w:eastAsia="en-GB"/>
              </w:rPr>
            </w:pPr>
            <w:r w:rsidRPr="005067A9">
              <w:t>51 (92.7)</w:t>
            </w:r>
          </w:p>
        </w:tc>
        <w:tc>
          <w:tcPr>
            <w:tcW w:w="785" w:type="pct"/>
            <w:vAlign w:val="center"/>
          </w:tcPr>
          <w:p w14:paraId="2D7B14F4" w14:textId="77777777" w:rsidR="00BF711F" w:rsidRPr="00DC2F96" w:rsidRDefault="00BF711F" w:rsidP="00D544C3">
            <w:pPr>
              <w:pStyle w:val="Tabletext"/>
              <w:keepNext/>
              <w:widowControl w:val="0"/>
              <w:rPr>
                <w:lang w:eastAsia="en-GB"/>
              </w:rPr>
            </w:pPr>
            <w:r w:rsidRPr="005067A9">
              <w:t>5 (71.4)</w:t>
            </w:r>
          </w:p>
        </w:tc>
        <w:tc>
          <w:tcPr>
            <w:tcW w:w="787" w:type="pct"/>
            <w:vAlign w:val="center"/>
          </w:tcPr>
          <w:p w14:paraId="65DF9F44" w14:textId="77777777" w:rsidR="00BF711F" w:rsidRPr="00DC2F96" w:rsidRDefault="00BF711F" w:rsidP="00D544C3">
            <w:pPr>
              <w:pStyle w:val="Tabletext"/>
              <w:keepNext/>
              <w:widowControl w:val="0"/>
              <w:rPr>
                <w:lang w:eastAsia="en-GB"/>
              </w:rPr>
            </w:pPr>
            <w:r w:rsidRPr="00DC2F96">
              <w:rPr>
                <w:lang w:eastAsia="en-GB"/>
              </w:rPr>
              <w:t>56 (90.3)</w:t>
            </w:r>
          </w:p>
        </w:tc>
        <w:tc>
          <w:tcPr>
            <w:tcW w:w="679" w:type="pct"/>
            <w:vAlign w:val="center"/>
          </w:tcPr>
          <w:p w14:paraId="4EEDF09C" w14:textId="77777777" w:rsidR="00BF711F" w:rsidRPr="00DC2F96" w:rsidRDefault="00BF711F" w:rsidP="00D544C3">
            <w:pPr>
              <w:pStyle w:val="Tabletext"/>
              <w:keepNext/>
              <w:widowControl w:val="0"/>
              <w:rPr>
                <w:lang w:eastAsia="en-GB"/>
              </w:rPr>
            </w:pPr>
            <w:r w:rsidRPr="00DC2F96">
              <w:rPr>
                <w:lang w:eastAsia="en-GB"/>
              </w:rPr>
              <w:t>75 (95)</w:t>
            </w:r>
          </w:p>
        </w:tc>
      </w:tr>
      <w:tr w:rsidR="00BF711F" w:rsidRPr="00DC2F96" w14:paraId="0B304A1A" w14:textId="77777777" w:rsidTr="00D544C3">
        <w:tc>
          <w:tcPr>
            <w:tcW w:w="1281" w:type="pct"/>
            <w:vAlign w:val="center"/>
          </w:tcPr>
          <w:p w14:paraId="09B922D8" w14:textId="77777777" w:rsidR="00BF711F" w:rsidRPr="00DC2F96" w:rsidRDefault="00BF711F" w:rsidP="00D544C3">
            <w:pPr>
              <w:pStyle w:val="Tabletext"/>
              <w:keepNext/>
              <w:widowControl w:val="0"/>
              <w:rPr>
                <w:lang w:eastAsia="en-GB"/>
              </w:rPr>
            </w:pPr>
            <w:r w:rsidRPr="00DC2F96">
              <w:rPr>
                <w:lang w:eastAsia="en-GB"/>
              </w:rPr>
              <w:t xml:space="preserve">Grade ≥3 TEAEs </w:t>
            </w:r>
            <w:r w:rsidRPr="00DC2F96">
              <w:rPr>
                <w:vertAlign w:val="superscript"/>
                <w:lang w:eastAsia="en-GB"/>
              </w:rPr>
              <w:t>b</w:t>
            </w:r>
          </w:p>
        </w:tc>
        <w:tc>
          <w:tcPr>
            <w:tcW w:w="632" w:type="pct"/>
            <w:vAlign w:val="center"/>
          </w:tcPr>
          <w:p w14:paraId="1E7A7636" w14:textId="77777777" w:rsidR="00BF711F" w:rsidRPr="00DC2F96" w:rsidRDefault="00BF711F" w:rsidP="00D544C3">
            <w:pPr>
              <w:pStyle w:val="Tabletext"/>
              <w:keepNext/>
              <w:widowControl w:val="0"/>
              <w:rPr>
                <w:lang w:eastAsia="en-GB"/>
              </w:rPr>
            </w:pPr>
            <w:r w:rsidRPr="00DC2F96">
              <w:rPr>
                <w:lang w:eastAsia="en-GB"/>
              </w:rPr>
              <w:t>107 (85.6)</w:t>
            </w:r>
          </w:p>
        </w:tc>
        <w:tc>
          <w:tcPr>
            <w:tcW w:w="835" w:type="pct"/>
            <w:vAlign w:val="center"/>
          </w:tcPr>
          <w:p w14:paraId="5B15C2DE" w14:textId="77777777" w:rsidR="00BF711F" w:rsidRPr="00DC2F96" w:rsidRDefault="00BF711F" w:rsidP="00D544C3">
            <w:pPr>
              <w:pStyle w:val="Tabletext"/>
              <w:keepNext/>
              <w:widowControl w:val="0"/>
              <w:rPr>
                <w:lang w:eastAsia="en-GB"/>
              </w:rPr>
            </w:pPr>
            <w:r w:rsidRPr="00AF1438">
              <w:rPr>
                <w:lang w:eastAsia="en-GB"/>
              </w:rPr>
              <w:t xml:space="preserve">33 (60.0) </w:t>
            </w:r>
          </w:p>
        </w:tc>
        <w:tc>
          <w:tcPr>
            <w:tcW w:w="785" w:type="pct"/>
            <w:vAlign w:val="center"/>
          </w:tcPr>
          <w:p w14:paraId="6CE1A2E6" w14:textId="77777777" w:rsidR="00BF711F" w:rsidRPr="00DC2F96" w:rsidRDefault="00BF711F" w:rsidP="00D544C3">
            <w:pPr>
              <w:pStyle w:val="Tabletext"/>
              <w:keepNext/>
              <w:widowControl w:val="0"/>
              <w:rPr>
                <w:lang w:eastAsia="en-GB"/>
              </w:rPr>
            </w:pPr>
            <w:r w:rsidRPr="00AF1438">
              <w:rPr>
                <w:lang w:eastAsia="en-GB"/>
              </w:rPr>
              <w:t>2 (28.6)</w:t>
            </w:r>
          </w:p>
        </w:tc>
        <w:tc>
          <w:tcPr>
            <w:tcW w:w="787" w:type="pct"/>
            <w:vAlign w:val="center"/>
          </w:tcPr>
          <w:p w14:paraId="2733531C" w14:textId="77777777" w:rsidR="00BF711F" w:rsidRPr="00DC2F96" w:rsidRDefault="00BF711F" w:rsidP="00D544C3">
            <w:pPr>
              <w:pStyle w:val="Tabletext"/>
              <w:keepNext/>
              <w:widowControl w:val="0"/>
              <w:rPr>
                <w:lang w:eastAsia="en-GB"/>
              </w:rPr>
            </w:pPr>
            <w:r w:rsidRPr="00DC2F96">
              <w:rPr>
                <w:lang w:eastAsia="en-GB"/>
              </w:rPr>
              <w:t>35 (56.5)</w:t>
            </w:r>
          </w:p>
        </w:tc>
        <w:tc>
          <w:tcPr>
            <w:tcW w:w="679" w:type="pct"/>
            <w:vAlign w:val="center"/>
          </w:tcPr>
          <w:p w14:paraId="77080EE4" w14:textId="77777777" w:rsidR="00BF711F" w:rsidRPr="00DC2F96" w:rsidRDefault="00BF711F" w:rsidP="00D544C3">
            <w:pPr>
              <w:pStyle w:val="Tabletext"/>
              <w:keepNext/>
              <w:widowControl w:val="0"/>
              <w:rPr>
                <w:lang w:eastAsia="en-GB"/>
              </w:rPr>
            </w:pPr>
            <w:r w:rsidRPr="00DC2F96">
              <w:rPr>
                <w:lang w:eastAsia="en-GB"/>
              </w:rPr>
              <w:t>44 (56)</w:t>
            </w:r>
          </w:p>
        </w:tc>
      </w:tr>
      <w:tr w:rsidR="00BF711F" w:rsidRPr="00DC2F96" w14:paraId="6F5FB6C1" w14:textId="77777777" w:rsidTr="00D544C3">
        <w:tc>
          <w:tcPr>
            <w:tcW w:w="1281" w:type="pct"/>
            <w:vAlign w:val="center"/>
          </w:tcPr>
          <w:p w14:paraId="569771EE" w14:textId="77777777" w:rsidR="00BF711F" w:rsidRPr="00DC2F96" w:rsidRDefault="00BF711F" w:rsidP="00D544C3">
            <w:pPr>
              <w:pStyle w:val="Tabletext"/>
              <w:keepNext/>
              <w:widowControl w:val="0"/>
              <w:rPr>
                <w:lang w:eastAsia="en-GB"/>
              </w:rPr>
            </w:pPr>
            <w:r w:rsidRPr="00DC2F96">
              <w:rPr>
                <w:lang w:eastAsia="en-GB"/>
              </w:rPr>
              <w:t>Drug-related Grade ≥3+ TEAEs b</w:t>
            </w:r>
          </w:p>
        </w:tc>
        <w:tc>
          <w:tcPr>
            <w:tcW w:w="632" w:type="pct"/>
            <w:vAlign w:val="center"/>
          </w:tcPr>
          <w:p w14:paraId="0AFA90EE" w14:textId="77777777" w:rsidR="00BF711F" w:rsidRPr="00DC2F96" w:rsidRDefault="00BF711F" w:rsidP="00D544C3">
            <w:pPr>
              <w:pStyle w:val="Tabletext"/>
              <w:keepNext/>
              <w:widowControl w:val="0"/>
              <w:rPr>
                <w:lang w:eastAsia="en-GB"/>
              </w:rPr>
            </w:pPr>
            <w:r w:rsidRPr="00DC2F96">
              <w:rPr>
                <w:lang w:eastAsia="en-GB"/>
              </w:rPr>
              <w:t>94 (75.2)</w:t>
            </w:r>
          </w:p>
        </w:tc>
        <w:tc>
          <w:tcPr>
            <w:tcW w:w="835" w:type="pct"/>
            <w:vAlign w:val="center"/>
          </w:tcPr>
          <w:p w14:paraId="4996A94A" w14:textId="77777777" w:rsidR="00BF711F" w:rsidRPr="00DC2F96" w:rsidRDefault="00BF711F" w:rsidP="00D544C3">
            <w:pPr>
              <w:pStyle w:val="Tabletext"/>
              <w:keepNext/>
              <w:widowControl w:val="0"/>
              <w:rPr>
                <w:lang w:eastAsia="en-GB"/>
              </w:rPr>
            </w:pPr>
            <w:r w:rsidRPr="00AF1438">
              <w:rPr>
                <w:lang w:eastAsia="en-GB"/>
              </w:rPr>
              <w:t xml:space="preserve">25 (45.5) </w:t>
            </w:r>
          </w:p>
        </w:tc>
        <w:tc>
          <w:tcPr>
            <w:tcW w:w="785" w:type="pct"/>
            <w:vAlign w:val="center"/>
          </w:tcPr>
          <w:p w14:paraId="33E969E1" w14:textId="77777777" w:rsidR="00BF711F" w:rsidRPr="00DC2F96" w:rsidRDefault="00BF711F" w:rsidP="00D544C3">
            <w:pPr>
              <w:pStyle w:val="Tabletext"/>
              <w:keepNext/>
              <w:widowControl w:val="0"/>
              <w:rPr>
                <w:lang w:eastAsia="en-GB"/>
              </w:rPr>
            </w:pPr>
            <w:r w:rsidRPr="00AF1438">
              <w:rPr>
                <w:lang w:eastAsia="en-GB"/>
              </w:rPr>
              <w:t>2 (28.6)</w:t>
            </w:r>
          </w:p>
        </w:tc>
        <w:tc>
          <w:tcPr>
            <w:tcW w:w="787" w:type="pct"/>
            <w:vAlign w:val="center"/>
          </w:tcPr>
          <w:p w14:paraId="1C8FA918" w14:textId="77777777" w:rsidR="00BF711F" w:rsidRPr="00DC2F96" w:rsidRDefault="00BF711F" w:rsidP="00D544C3">
            <w:pPr>
              <w:pStyle w:val="Tabletext"/>
              <w:keepNext/>
              <w:widowControl w:val="0"/>
              <w:rPr>
                <w:lang w:eastAsia="en-GB"/>
              </w:rPr>
            </w:pPr>
            <w:r w:rsidRPr="00DC2F96">
              <w:rPr>
                <w:lang w:eastAsia="en-GB"/>
              </w:rPr>
              <w:t>27 (43.5)</w:t>
            </w:r>
          </w:p>
        </w:tc>
        <w:tc>
          <w:tcPr>
            <w:tcW w:w="679" w:type="pct"/>
            <w:vAlign w:val="center"/>
          </w:tcPr>
          <w:p w14:paraId="4E56B4B7" w14:textId="77777777" w:rsidR="00BF711F" w:rsidRPr="00DC2F96" w:rsidRDefault="00BF711F" w:rsidP="00D544C3">
            <w:pPr>
              <w:pStyle w:val="Tabletext"/>
              <w:keepNext/>
              <w:widowControl w:val="0"/>
              <w:rPr>
                <w:lang w:eastAsia="en-GB"/>
              </w:rPr>
            </w:pPr>
            <w:r w:rsidRPr="00DC2F96">
              <w:rPr>
                <w:lang w:eastAsia="en-GB"/>
              </w:rPr>
              <w:t>24 (30.4)</w:t>
            </w:r>
          </w:p>
        </w:tc>
      </w:tr>
      <w:tr w:rsidR="00BF711F" w:rsidRPr="00DC2F96" w14:paraId="7982955D" w14:textId="77777777" w:rsidTr="00D544C3">
        <w:tc>
          <w:tcPr>
            <w:tcW w:w="1281" w:type="pct"/>
            <w:vAlign w:val="center"/>
          </w:tcPr>
          <w:p w14:paraId="45F307FE" w14:textId="77777777" w:rsidR="00BF711F" w:rsidRPr="00DC2F96" w:rsidRDefault="00BF711F" w:rsidP="00D544C3">
            <w:pPr>
              <w:pStyle w:val="Tabletext"/>
              <w:keepNext/>
              <w:widowControl w:val="0"/>
              <w:rPr>
                <w:lang w:eastAsia="en-GB"/>
              </w:rPr>
            </w:pPr>
            <w:r w:rsidRPr="00DC2F96">
              <w:rPr>
                <w:lang w:eastAsia="en-GB"/>
              </w:rPr>
              <w:t>Serious TEAEs</w:t>
            </w:r>
          </w:p>
        </w:tc>
        <w:tc>
          <w:tcPr>
            <w:tcW w:w="632" w:type="pct"/>
            <w:vAlign w:val="center"/>
          </w:tcPr>
          <w:p w14:paraId="17867B1C" w14:textId="77777777" w:rsidR="00BF711F" w:rsidRPr="00DC2F96" w:rsidRDefault="00BF711F" w:rsidP="00D544C3">
            <w:pPr>
              <w:pStyle w:val="Tabletext"/>
              <w:keepNext/>
              <w:widowControl w:val="0"/>
              <w:rPr>
                <w:lang w:eastAsia="en-GB"/>
              </w:rPr>
            </w:pPr>
            <w:r w:rsidRPr="00DC2F96">
              <w:rPr>
                <w:lang w:eastAsia="en-GB"/>
              </w:rPr>
              <w:t>56 (44.8)</w:t>
            </w:r>
          </w:p>
        </w:tc>
        <w:tc>
          <w:tcPr>
            <w:tcW w:w="835" w:type="pct"/>
            <w:vAlign w:val="center"/>
          </w:tcPr>
          <w:p w14:paraId="1D2DA0DD" w14:textId="77777777" w:rsidR="00BF711F" w:rsidRPr="00DC2F96" w:rsidRDefault="00BF711F" w:rsidP="00D544C3">
            <w:pPr>
              <w:pStyle w:val="Tabletext"/>
              <w:keepNext/>
              <w:widowControl w:val="0"/>
              <w:rPr>
                <w:lang w:eastAsia="en-GB"/>
              </w:rPr>
            </w:pPr>
            <w:r w:rsidRPr="00B83CCC">
              <w:rPr>
                <w:lang w:eastAsia="en-GB"/>
              </w:rPr>
              <w:t xml:space="preserve">15 (27.3) </w:t>
            </w:r>
          </w:p>
        </w:tc>
        <w:tc>
          <w:tcPr>
            <w:tcW w:w="785" w:type="pct"/>
            <w:vAlign w:val="center"/>
          </w:tcPr>
          <w:p w14:paraId="7A8100E5" w14:textId="77777777" w:rsidR="00BF711F" w:rsidRPr="00DC2F96" w:rsidRDefault="00BF711F" w:rsidP="00D544C3">
            <w:pPr>
              <w:pStyle w:val="Tabletext"/>
              <w:keepNext/>
              <w:widowControl w:val="0"/>
              <w:rPr>
                <w:lang w:eastAsia="en-GB"/>
              </w:rPr>
            </w:pPr>
            <w:r w:rsidRPr="00B83CCC">
              <w:rPr>
                <w:lang w:eastAsia="en-GB"/>
              </w:rPr>
              <w:t>1 (14.3)</w:t>
            </w:r>
          </w:p>
        </w:tc>
        <w:tc>
          <w:tcPr>
            <w:tcW w:w="787" w:type="pct"/>
            <w:vAlign w:val="center"/>
          </w:tcPr>
          <w:p w14:paraId="420C3D63" w14:textId="77777777" w:rsidR="00BF711F" w:rsidRPr="00DC2F96" w:rsidRDefault="00BF711F" w:rsidP="00D544C3">
            <w:pPr>
              <w:pStyle w:val="Tabletext"/>
              <w:keepNext/>
              <w:widowControl w:val="0"/>
              <w:rPr>
                <w:lang w:eastAsia="en-GB"/>
              </w:rPr>
            </w:pPr>
            <w:r w:rsidRPr="00DC2F96">
              <w:rPr>
                <w:lang w:eastAsia="en-GB"/>
              </w:rPr>
              <w:t>16 (25.8)</w:t>
            </w:r>
          </w:p>
        </w:tc>
        <w:tc>
          <w:tcPr>
            <w:tcW w:w="679" w:type="pct"/>
            <w:vAlign w:val="center"/>
          </w:tcPr>
          <w:p w14:paraId="6A9BE3E4" w14:textId="77777777" w:rsidR="00BF711F" w:rsidRPr="00DC2F96" w:rsidRDefault="00BF711F" w:rsidP="00D544C3">
            <w:pPr>
              <w:pStyle w:val="Tabletext"/>
              <w:keepNext/>
              <w:widowControl w:val="0"/>
              <w:rPr>
                <w:lang w:eastAsia="en-GB"/>
              </w:rPr>
            </w:pPr>
            <w:r w:rsidRPr="00DC2F96">
              <w:rPr>
                <w:lang w:eastAsia="en-GB"/>
              </w:rPr>
              <w:t>33 (42)</w:t>
            </w:r>
          </w:p>
        </w:tc>
      </w:tr>
      <w:tr w:rsidR="00BF711F" w:rsidRPr="00DC2F96" w14:paraId="28BACAB5" w14:textId="77777777" w:rsidTr="00D544C3">
        <w:tc>
          <w:tcPr>
            <w:tcW w:w="1281" w:type="pct"/>
            <w:vAlign w:val="center"/>
          </w:tcPr>
          <w:p w14:paraId="21A91470" w14:textId="77777777" w:rsidR="00BF711F" w:rsidRPr="00DC2F96" w:rsidRDefault="00BF711F" w:rsidP="00D544C3">
            <w:pPr>
              <w:pStyle w:val="Tabletext"/>
              <w:keepNext/>
              <w:widowControl w:val="0"/>
              <w:rPr>
                <w:lang w:eastAsia="en-GB"/>
              </w:rPr>
            </w:pPr>
            <w:r w:rsidRPr="00DC2F96">
              <w:rPr>
                <w:lang w:eastAsia="en-GB"/>
              </w:rPr>
              <w:t>Drug-related serious TEAEs</w:t>
            </w:r>
          </w:p>
        </w:tc>
        <w:tc>
          <w:tcPr>
            <w:tcW w:w="632" w:type="pct"/>
            <w:vAlign w:val="center"/>
          </w:tcPr>
          <w:p w14:paraId="6E81C5B5" w14:textId="77777777" w:rsidR="00BF711F" w:rsidRPr="00DC2F96" w:rsidRDefault="00BF711F" w:rsidP="00D544C3">
            <w:pPr>
              <w:pStyle w:val="Tabletext"/>
              <w:keepNext/>
              <w:widowControl w:val="0"/>
              <w:rPr>
                <w:lang w:eastAsia="en-GB"/>
              </w:rPr>
            </w:pPr>
            <w:r w:rsidRPr="00DC2F96">
              <w:rPr>
                <w:lang w:eastAsia="en-GB"/>
              </w:rPr>
              <w:t>30 (24.0)</w:t>
            </w:r>
          </w:p>
        </w:tc>
        <w:tc>
          <w:tcPr>
            <w:tcW w:w="835" w:type="pct"/>
            <w:vAlign w:val="center"/>
          </w:tcPr>
          <w:p w14:paraId="038A935D" w14:textId="77777777" w:rsidR="00BF711F" w:rsidRPr="00DC2F96" w:rsidRDefault="00BF711F" w:rsidP="00D544C3">
            <w:pPr>
              <w:pStyle w:val="Tabletext"/>
              <w:keepNext/>
              <w:widowControl w:val="0"/>
              <w:rPr>
                <w:lang w:eastAsia="en-GB"/>
              </w:rPr>
            </w:pPr>
            <w:r w:rsidRPr="00C32773">
              <w:rPr>
                <w:lang w:eastAsia="en-GB"/>
              </w:rPr>
              <w:t xml:space="preserve">5 (9.1) </w:t>
            </w:r>
          </w:p>
        </w:tc>
        <w:tc>
          <w:tcPr>
            <w:tcW w:w="785" w:type="pct"/>
            <w:vAlign w:val="center"/>
          </w:tcPr>
          <w:p w14:paraId="76440BC2" w14:textId="77777777" w:rsidR="00BF711F" w:rsidRPr="00DC2F96" w:rsidRDefault="00BF711F" w:rsidP="00D544C3">
            <w:pPr>
              <w:pStyle w:val="Tabletext"/>
              <w:keepNext/>
              <w:widowControl w:val="0"/>
              <w:rPr>
                <w:lang w:eastAsia="en-GB"/>
              </w:rPr>
            </w:pPr>
            <w:r w:rsidRPr="00C32773">
              <w:rPr>
                <w:lang w:eastAsia="en-GB"/>
              </w:rPr>
              <w:t>0 (0.0)</w:t>
            </w:r>
          </w:p>
        </w:tc>
        <w:tc>
          <w:tcPr>
            <w:tcW w:w="787" w:type="pct"/>
            <w:vAlign w:val="center"/>
          </w:tcPr>
          <w:p w14:paraId="2B83FB6D" w14:textId="77777777" w:rsidR="00BF711F" w:rsidRPr="00DC2F96" w:rsidRDefault="00BF711F" w:rsidP="00D544C3">
            <w:pPr>
              <w:pStyle w:val="Tabletext"/>
              <w:keepNext/>
              <w:widowControl w:val="0"/>
              <w:rPr>
                <w:lang w:eastAsia="en-GB"/>
              </w:rPr>
            </w:pPr>
            <w:r w:rsidRPr="00DC2F96">
              <w:rPr>
                <w:lang w:eastAsia="en-GB"/>
              </w:rPr>
              <w:t>5 (8.1)</w:t>
            </w:r>
          </w:p>
        </w:tc>
        <w:tc>
          <w:tcPr>
            <w:tcW w:w="679" w:type="pct"/>
            <w:vAlign w:val="center"/>
          </w:tcPr>
          <w:p w14:paraId="01515872" w14:textId="77777777" w:rsidR="00BF711F" w:rsidRPr="00DC2F96" w:rsidRDefault="00BF711F" w:rsidP="00D544C3">
            <w:pPr>
              <w:pStyle w:val="Tabletext"/>
              <w:keepNext/>
              <w:widowControl w:val="0"/>
              <w:rPr>
                <w:lang w:eastAsia="en-GB"/>
              </w:rPr>
            </w:pPr>
            <w:r w:rsidRPr="00DC2F96">
              <w:rPr>
                <w:lang w:eastAsia="en-GB"/>
              </w:rPr>
              <w:t>10 (12.7)</w:t>
            </w:r>
          </w:p>
        </w:tc>
      </w:tr>
      <w:tr w:rsidR="00BF711F" w:rsidRPr="00DC2F96" w14:paraId="60116F8D" w14:textId="77777777" w:rsidTr="00D544C3">
        <w:tc>
          <w:tcPr>
            <w:tcW w:w="1281" w:type="pct"/>
            <w:vAlign w:val="center"/>
          </w:tcPr>
          <w:p w14:paraId="20FF4B90" w14:textId="77777777" w:rsidR="00BF711F" w:rsidRPr="00DC2F96" w:rsidRDefault="00BF711F" w:rsidP="00D544C3">
            <w:pPr>
              <w:pStyle w:val="Tabletext"/>
              <w:keepNext/>
              <w:widowControl w:val="0"/>
              <w:rPr>
                <w:lang w:eastAsia="en-GB"/>
              </w:rPr>
            </w:pPr>
            <w:r w:rsidRPr="00DC2F96">
              <w:rPr>
                <w:lang w:eastAsia="en-GB"/>
              </w:rPr>
              <w:t>TEAEs associated with discontinuation of study treatment</w:t>
            </w:r>
          </w:p>
        </w:tc>
        <w:tc>
          <w:tcPr>
            <w:tcW w:w="632" w:type="pct"/>
            <w:vAlign w:val="center"/>
          </w:tcPr>
          <w:p w14:paraId="7D028F10" w14:textId="77777777" w:rsidR="00BF711F" w:rsidRPr="00DC2F96" w:rsidRDefault="00BF711F" w:rsidP="00D544C3">
            <w:pPr>
              <w:pStyle w:val="Tabletext"/>
              <w:keepNext/>
              <w:widowControl w:val="0"/>
              <w:rPr>
                <w:lang w:eastAsia="en-GB"/>
              </w:rPr>
            </w:pPr>
            <w:r w:rsidRPr="00DC2F96">
              <w:rPr>
                <w:lang w:eastAsia="en-GB"/>
              </w:rPr>
              <w:t>22 (17.6)</w:t>
            </w:r>
          </w:p>
        </w:tc>
        <w:tc>
          <w:tcPr>
            <w:tcW w:w="835" w:type="pct"/>
            <w:vAlign w:val="center"/>
          </w:tcPr>
          <w:p w14:paraId="663766C3" w14:textId="77777777" w:rsidR="00BF711F" w:rsidRPr="00DC2F96" w:rsidRDefault="00BF711F" w:rsidP="00D544C3">
            <w:pPr>
              <w:pStyle w:val="Tabletext"/>
              <w:keepNext/>
              <w:widowControl w:val="0"/>
              <w:rPr>
                <w:lang w:eastAsia="en-GB"/>
              </w:rPr>
            </w:pPr>
            <w:r w:rsidRPr="00C32773">
              <w:rPr>
                <w:lang w:eastAsia="en-GB"/>
              </w:rPr>
              <w:t xml:space="preserve">4 (7.3) </w:t>
            </w:r>
          </w:p>
        </w:tc>
        <w:tc>
          <w:tcPr>
            <w:tcW w:w="785" w:type="pct"/>
            <w:vAlign w:val="center"/>
          </w:tcPr>
          <w:p w14:paraId="766E3881" w14:textId="77777777" w:rsidR="00BF711F" w:rsidRPr="00DC2F96" w:rsidRDefault="00BF711F" w:rsidP="00D544C3">
            <w:pPr>
              <w:pStyle w:val="Tabletext"/>
              <w:keepNext/>
              <w:widowControl w:val="0"/>
              <w:rPr>
                <w:lang w:eastAsia="en-GB"/>
              </w:rPr>
            </w:pPr>
            <w:r w:rsidRPr="00C32773">
              <w:rPr>
                <w:lang w:eastAsia="en-GB"/>
              </w:rPr>
              <w:t>0 (0.0)</w:t>
            </w:r>
          </w:p>
        </w:tc>
        <w:tc>
          <w:tcPr>
            <w:tcW w:w="787" w:type="pct"/>
            <w:vAlign w:val="center"/>
          </w:tcPr>
          <w:p w14:paraId="7D7A9BC1" w14:textId="77777777" w:rsidR="00BF711F" w:rsidRPr="00DC2F96" w:rsidRDefault="00BF711F" w:rsidP="00D544C3">
            <w:pPr>
              <w:pStyle w:val="Tabletext"/>
              <w:keepNext/>
              <w:widowControl w:val="0"/>
              <w:rPr>
                <w:lang w:eastAsia="en-GB"/>
              </w:rPr>
            </w:pPr>
            <w:r w:rsidRPr="00DC2F96">
              <w:rPr>
                <w:lang w:eastAsia="en-GB"/>
              </w:rPr>
              <w:t>4 (6.5)</w:t>
            </w:r>
          </w:p>
        </w:tc>
        <w:tc>
          <w:tcPr>
            <w:tcW w:w="679" w:type="pct"/>
            <w:vAlign w:val="center"/>
          </w:tcPr>
          <w:p w14:paraId="63B634B8" w14:textId="77777777" w:rsidR="00BF711F" w:rsidRPr="00DC2F96" w:rsidRDefault="00BF711F" w:rsidP="00D544C3">
            <w:pPr>
              <w:pStyle w:val="Tabletext"/>
              <w:keepNext/>
              <w:widowControl w:val="0"/>
              <w:rPr>
                <w:lang w:eastAsia="en-GB"/>
              </w:rPr>
            </w:pPr>
            <w:r w:rsidRPr="00DC2F96">
              <w:rPr>
                <w:lang w:eastAsia="en-GB"/>
              </w:rPr>
              <w:t>15 (19)</w:t>
            </w:r>
          </w:p>
        </w:tc>
      </w:tr>
      <w:tr w:rsidR="00BF711F" w:rsidRPr="00DC2F96" w14:paraId="3EFC1915" w14:textId="77777777" w:rsidTr="00D544C3">
        <w:tc>
          <w:tcPr>
            <w:tcW w:w="1281" w:type="pct"/>
            <w:vAlign w:val="center"/>
          </w:tcPr>
          <w:p w14:paraId="17F165F7" w14:textId="77777777" w:rsidR="00BF711F" w:rsidRPr="00DC2F96" w:rsidRDefault="00BF711F" w:rsidP="00D544C3">
            <w:pPr>
              <w:pStyle w:val="Tabletext"/>
              <w:keepNext/>
              <w:widowControl w:val="0"/>
              <w:rPr>
                <w:lang w:eastAsia="en-GB"/>
              </w:rPr>
            </w:pPr>
            <w:r w:rsidRPr="00DC2F96">
              <w:rPr>
                <w:lang w:eastAsia="en-GB"/>
              </w:rPr>
              <w:t>Drug-related TEAEs associated with discontinuation of study treatment</w:t>
            </w:r>
          </w:p>
        </w:tc>
        <w:tc>
          <w:tcPr>
            <w:tcW w:w="632" w:type="pct"/>
            <w:vAlign w:val="center"/>
          </w:tcPr>
          <w:p w14:paraId="22E1843B" w14:textId="77777777" w:rsidR="00BF711F" w:rsidRPr="00DC2F96" w:rsidRDefault="00BF711F" w:rsidP="00D544C3">
            <w:pPr>
              <w:pStyle w:val="Tabletext"/>
              <w:keepNext/>
              <w:widowControl w:val="0"/>
              <w:rPr>
                <w:lang w:eastAsia="en-GB"/>
              </w:rPr>
            </w:pPr>
            <w:r w:rsidRPr="00DC2F96">
              <w:rPr>
                <w:lang w:eastAsia="en-GB"/>
              </w:rPr>
              <w:t>14 (11.2)</w:t>
            </w:r>
          </w:p>
        </w:tc>
        <w:tc>
          <w:tcPr>
            <w:tcW w:w="835" w:type="pct"/>
            <w:vAlign w:val="center"/>
          </w:tcPr>
          <w:p w14:paraId="409A9A8F" w14:textId="77777777" w:rsidR="00BF711F" w:rsidRPr="00DC2F96" w:rsidRDefault="00BF711F" w:rsidP="00D544C3">
            <w:pPr>
              <w:pStyle w:val="Tabletext"/>
              <w:keepNext/>
              <w:widowControl w:val="0"/>
              <w:rPr>
                <w:lang w:eastAsia="en-GB"/>
              </w:rPr>
            </w:pPr>
            <w:r w:rsidRPr="00C32773">
              <w:rPr>
                <w:lang w:eastAsia="en-GB"/>
              </w:rPr>
              <w:t>3 (5.5</w:t>
            </w:r>
          </w:p>
        </w:tc>
        <w:tc>
          <w:tcPr>
            <w:tcW w:w="785" w:type="pct"/>
            <w:vAlign w:val="center"/>
          </w:tcPr>
          <w:p w14:paraId="06283299" w14:textId="77777777" w:rsidR="00BF711F" w:rsidRPr="00DC2F96" w:rsidRDefault="00BF711F" w:rsidP="00D544C3">
            <w:pPr>
              <w:pStyle w:val="Tabletext"/>
              <w:keepNext/>
              <w:widowControl w:val="0"/>
              <w:rPr>
                <w:lang w:eastAsia="en-GB"/>
              </w:rPr>
            </w:pPr>
            <w:r w:rsidRPr="00C32773">
              <w:rPr>
                <w:lang w:eastAsia="en-GB"/>
              </w:rPr>
              <w:t>0 (0.0)</w:t>
            </w:r>
          </w:p>
        </w:tc>
        <w:tc>
          <w:tcPr>
            <w:tcW w:w="787" w:type="pct"/>
            <w:vAlign w:val="center"/>
          </w:tcPr>
          <w:p w14:paraId="4F29D878" w14:textId="77777777" w:rsidR="00BF711F" w:rsidRPr="00DC2F96" w:rsidRDefault="00BF711F" w:rsidP="00D544C3">
            <w:pPr>
              <w:pStyle w:val="Tabletext"/>
              <w:keepNext/>
              <w:widowControl w:val="0"/>
              <w:rPr>
                <w:lang w:eastAsia="en-GB"/>
              </w:rPr>
            </w:pPr>
            <w:r w:rsidRPr="00DC2F96">
              <w:rPr>
                <w:lang w:eastAsia="en-GB"/>
              </w:rPr>
              <w:t>3 (4.8)</w:t>
            </w:r>
          </w:p>
        </w:tc>
        <w:tc>
          <w:tcPr>
            <w:tcW w:w="679" w:type="pct"/>
            <w:vAlign w:val="center"/>
          </w:tcPr>
          <w:p w14:paraId="136258FA" w14:textId="77777777" w:rsidR="00BF711F" w:rsidRPr="00DC2F96" w:rsidRDefault="00BF711F" w:rsidP="00D544C3">
            <w:pPr>
              <w:pStyle w:val="Tabletext"/>
              <w:keepNext/>
              <w:widowControl w:val="0"/>
              <w:rPr>
                <w:lang w:eastAsia="en-GB"/>
              </w:rPr>
            </w:pPr>
            <w:r w:rsidRPr="00DC2F96">
              <w:rPr>
                <w:lang w:eastAsia="en-GB"/>
              </w:rPr>
              <w:t>10 (12.7)</w:t>
            </w:r>
          </w:p>
        </w:tc>
      </w:tr>
      <w:tr w:rsidR="00BF711F" w:rsidRPr="00DC2F96" w14:paraId="14AC5C1A" w14:textId="77777777" w:rsidTr="00D544C3">
        <w:tc>
          <w:tcPr>
            <w:tcW w:w="1281" w:type="pct"/>
            <w:vAlign w:val="center"/>
          </w:tcPr>
          <w:p w14:paraId="685AFF30" w14:textId="77777777" w:rsidR="00BF711F" w:rsidRPr="00DC2F96" w:rsidRDefault="00BF711F" w:rsidP="00D544C3">
            <w:pPr>
              <w:pStyle w:val="TableText0"/>
              <w:keepLines w:val="0"/>
              <w:widowControl w:val="0"/>
              <w:rPr>
                <w:lang w:eastAsia="en-GB"/>
              </w:rPr>
            </w:pPr>
            <w:r w:rsidRPr="00C32773">
              <w:rPr>
                <w:lang w:eastAsia="en-GB"/>
              </w:rPr>
              <w:t>TEAEs associated with dose reduced</w:t>
            </w:r>
          </w:p>
        </w:tc>
        <w:tc>
          <w:tcPr>
            <w:tcW w:w="632" w:type="pct"/>
            <w:vAlign w:val="center"/>
          </w:tcPr>
          <w:p w14:paraId="05FCB5FF" w14:textId="77777777" w:rsidR="00BF711F" w:rsidRPr="00DC2F96" w:rsidRDefault="00BF711F" w:rsidP="00D544C3">
            <w:pPr>
              <w:pStyle w:val="TableText0"/>
              <w:keepLines w:val="0"/>
              <w:widowControl w:val="0"/>
              <w:rPr>
                <w:lang w:eastAsia="en-GB"/>
              </w:rPr>
            </w:pPr>
            <w:r w:rsidRPr="00C32773">
              <w:rPr>
                <w:lang w:eastAsia="en-GB"/>
              </w:rPr>
              <w:t xml:space="preserve">40 (32.0) </w:t>
            </w:r>
          </w:p>
        </w:tc>
        <w:tc>
          <w:tcPr>
            <w:tcW w:w="835" w:type="pct"/>
            <w:vAlign w:val="center"/>
          </w:tcPr>
          <w:p w14:paraId="4ADEBE25" w14:textId="77777777" w:rsidR="00BF711F" w:rsidRPr="00C32773" w:rsidRDefault="00BF711F" w:rsidP="00D544C3">
            <w:pPr>
              <w:pStyle w:val="TableText0"/>
              <w:keepLines w:val="0"/>
              <w:widowControl w:val="0"/>
              <w:rPr>
                <w:lang w:eastAsia="en-GB"/>
              </w:rPr>
            </w:pPr>
            <w:r w:rsidRPr="00C32773">
              <w:rPr>
                <w:lang w:eastAsia="en-GB"/>
              </w:rPr>
              <w:t xml:space="preserve">21 (38.2) </w:t>
            </w:r>
          </w:p>
        </w:tc>
        <w:tc>
          <w:tcPr>
            <w:tcW w:w="785" w:type="pct"/>
            <w:vAlign w:val="center"/>
          </w:tcPr>
          <w:p w14:paraId="5E31685B" w14:textId="77777777" w:rsidR="00BF711F" w:rsidRPr="00C32773" w:rsidRDefault="00BF711F" w:rsidP="00D544C3">
            <w:pPr>
              <w:pStyle w:val="TableText0"/>
              <w:keepLines w:val="0"/>
              <w:widowControl w:val="0"/>
              <w:rPr>
                <w:lang w:eastAsia="en-GB"/>
              </w:rPr>
            </w:pPr>
            <w:r w:rsidRPr="00C32773">
              <w:rPr>
                <w:lang w:eastAsia="en-GB"/>
              </w:rPr>
              <w:t>0 (0.0)</w:t>
            </w:r>
          </w:p>
        </w:tc>
        <w:tc>
          <w:tcPr>
            <w:tcW w:w="787" w:type="pct"/>
            <w:vAlign w:val="center"/>
          </w:tcPr>
          <w:p w14:paraId="287D5FE0" w14:textId="77777777" w:rsidR="00BF711F" w:rsidRPr="00DC2F96" w:rsidRDefault="00BF711F" w:rsidP="00D544C3">
            <w:pPr>
              <w:pStyle w:val="TableText0"/>
              <w:keepLines w:val="0"/>
              <w:widowControl w:val="0"/>
              <w:rPr>
                <w:lang w:eastAsia="en-GB"/>
              </w:rPr>
            </w:pPr>
            <w:r w:rsidRPr="00B77D8A">
              <w:rPr>
                <w:lang w:eastAsia="en-GB"/>
              </w:rPr>
              <w:t>21 (33.9)</w:t>
            </w:r>
          </w:p>
        </w:tc>
        <w:tc>
          <w:tcPr>
            <w:tcW w:w="679" w:type="pct"/>
            <w:vAlign w:val="center"/>
          </w:tcPr>
          <w:p w14:paraId="6CD3CEAB" w14:textId="77777777" w:rsidR="00BF711F" w:rsidRPr="00DC2F96" w:rsidRDefault="00BF711F" w:rsidP="00D544C3">
            <w:pPr>
              <w:pStyle w:val="TableText0"/>
              <w:keepLines w:val="0"/>
              <w:widowControl w:val="0"/>
              <w:rPr>
                <w:lang w:eastAsia="en-GB"/>
              </w:rPr>
            </w:pPr>
            <w:r w:rsidRPr="00430DDB">
              <w:rPr>
                <w:lang w:eastAsia="en-GB"/>
              </w:rPr>
              <w:t>17 (21.5)</w:t>
            </w:r>
          </w:p>
        </w:tc>
      </w:tr>
      <w:tr w:rsidR="00BF711F" w:rsidRPr="00DC2F96" w14:paraId="14BFD449" w14:textId="77777777" w:rsidTr="00D544C3">
        <w:tc>
          <w:tcPr>
            <w:tcW w:w="1281" w:type="pct"/>
            <w:vAlign w:val="center"/>
          </w:tcPr>
          <w:p w14:paraId="33560D2A" w14:textId="77777777" w:rsidR="00BF711F" w:rsidRPr="00DC2F96" w:rsidRDefault="00BF711F" w:rsidP="00D544C3">
            <w:pPr>
              <w:pStyle w:val="TableText0"/>
              <w:keepLines w:val="0"/>
              <w:widowControl w:val="0"/>
              <w:rPr>
                <w:lang w:eastAsia="en-GB"/>
              </w:rPr>
            </w:pPr>
            <w:r w:rsidRPr="00C32773">
              <w:rPr>
                <w:lang w:eastAsia="en-GB"/>
              </w:rPr>
              <w:t>Drug-related TEAEs associated with dose reduced</w:t>
            </w:r>
          </w:p>
        </w:tc>
        <w:tc>
          <w:tcPr>
            <w:tcW w:w="632" w:type="pct"/>
            <w:vAlign w:val="center"/>
          </w:tcPr>
          <w:p w14:paraId="0743D52F" w14:textId="77777777" w:rsidR="00BF711F" w:rsidRPr="00DC2F96" w:rsidRDefault="00BF711F" w:rsidP="00D544C3">
            <w:pPr>
              <w:pStyle w:val="TableText0"/>
              <w:keepLines w:val="0"/>
              <w:widowControl w:val="0"/>
              <w:rPr>
                <w:lang w:eastAsia="en-GB"/>
              </w:rPr>
            </w:pPr>
            <w:r w:rsidRPr="00C32773">
              <w:rPr>
                <w:lang w:eastAsia="en-GB"/>
              </w:rPr>
              <w:t xml:space="preserve">38 (30.4) </w:t>
            </w:r>
          </w:p>
        </w:tc>
        <w:tc>
          <w:tcPr>
            <w:tcW w:w="835" w:type="pct"/>
            <w:vAlign w:val="center"/>
          </w:tcPr>
          <w:p w14:paraId="50562625" w14:textId="77777777" w:rsidR="00BF711F" w:rsidRPr="00C32773" w:rsidRDefault="00BF711F" w:rsidP="00D544C3">
            <w:pPr>
              <w:pStyle w:val="TableText0"/>
              <w:keepLines w:val="0"/>
              <w:widowControl w:val="0"/>
              <w:rPr>
                <w:lang w:eastAsia="en-GB"/>
              </w:rPr>
            </w:pPr>
            <w:r w:rsidRPr="00C32773">
              <w:rPr>
                <w:lang w:eastAsia="en-GB"/>
              </w:rPr>
              <w:t xml:space="preserve">21 (38.2) </w:t>
            </w:r>
          </w:p>
        </w:tc>
        <w:tc>
          <w:tcPr>
            <w:tcW w:w="785" w:type="pct"/>
            <w:vAlign w:val="center"/>
          </w:tcPr>
          <w:p w14:paraId="14022A84" w14:textId="77777777" w:rsidR="00BF711F" w:rsidRPr="00C32773" w:rsidRDefault="00BF711F" w:rsidP="00D544C3">
            <w:pPr>
              <w:pStyle w:val="TableText0"/>
              <w:keepLines w:val="0"/>
              <w:widowControl w:val="0"/>
              <w:rPr>
                <w:lang w:eastAsia="en-GB"/>
              </w:rPr>
            </w:pPr>
            <w:r w:rsidRPr="00C32773">
              <w:rPr>
                <w:lang w:eastAsia="en-GB"/>
              </w:rPr>
              <w:t>0 (0.0)</w:t>
            </w:r>
          </w:p>
        </w:tc>
        <w:tc>
          <w:tcPr>
            <w:tcW w:w="787" w:type="pct"/>
            <w:vAlign w:val="center"/>
          </w:tcPr>
          <w:p w14:paraId="3225D1F6" w14:textId="77777777" w:rsidR="00BF711F" w:rsidRPr="00DC2F96" w:rsidRDefault="00BF711F" w:rsidP="00D544C3">
            <w:pPr>
              <w:pStyle w:val="TableText0"/>
              <w:keepLines w:val="0"/>
              <w:widowControl w:val="0"/>
              <w:rPr>
                <w:lang w:eastAsia="en-GB"/>
              </w:rPr>
            </w:pPr>
            <w:r w:rsidRPr="00B77D8A">
              <w:rPr>
                <w:lang w:eastAsia="en-GB"/>
              </w:rPr>
              <w:t>21 (33.9)</w:t>
            </w:r>
          </w:p>
        </w:tc>
        <w:tc>
          <w:tcPr>
            <w:tcW w:w="679" w:type="pct"/>
            <w:vAlign w:val="center"/>
          </w:tcPr>
          <w:p w14:paraId="6FF49332" w14:textId="77777777" w:rsidR="00BF711F" w:rsidRPr="00DC2F96" w:rsidRDefault="00BF711F" w:rsidP="00D544C3">
            <w:pPr>
              <w:pStyle w:val="TableText0"/>
              <w:keepLines w:val="0"/>
              <w:widowControl w:val="0"/>
              <w:rPr>
                <w:lang w:eastAsia="en-GB"/>
              </w:rPr>
            </w:pPr>
            <w:r w:rsidRPr="00430DDB">
              <w:rPr>
                <w:lang w:eastAsia="en-GB"/>
              </w:rPr>
              <w:t>14 (17.7)</w:t>
            </w:r>
          </w:p>
        </w:tc>
      </w:tr>
      <w:tr w:rsidR="00BF711F" w:rsidRPr="00DC2F96" w14:paraId="2394BDCE" w14:textId="77777777" w:rsidTr="00D544C3">
        <w:tc>
          <w:tcPr>
            <w:tcW w:w="1281" w:type="pct"/>
            <w:vAlign w:val="center"/>
          </w:tcPr>
          <w:p w14:paraId="1E3FB662" w14:textId="77777777" w:rsidR="00BF711F" w:rsidRPr="00DC2F96" w:rsidRDefault="00BF711F" w:rsidP="00D544C3">
            <w:pPr>
              <w:pStyle w:val="TableText0"/>
              <w:keepLines w:val="0"/>
              <w:widowControl w:val="0"/>
              <w:rPr>
                <w:lang w:eastAsia="en-GB"/>
              </w:rPr>
            </w:pPr>
            <w:r w:rsidRPr="00C32773">
              <w:rPr>
                <w:lang w:eastAsia="en-GB"/>
              </w:rPr>
              <w:t>TEAEs associated with drug interrupted</w:t>
            </w:r>
          </w:p>
        </w:tc>
        <w:tc>
          <w:tcPr>
            <w:tcW w:w="632" w:type="pct"/>
            <w:vAlign w:val="center"/>
          </w:tcPr>
          <w:p w14:paraId="0D449A7B" w14:textId="77777777" w:rsidR="00BF711F" w:rsidRPr="00DC2F96" w:rsidRDefault="00BF711F" w:rsidP="00D544C3">
            <w:pPr>
              <w:pStyle w:val="TableText0"/>
              <w:keepLines w:val="0"/>
              <w:widowControl w:val="0"/>
              <w:rPr>
                <w:lang w:eastAsia="en-GB"/>
              </w:rPr>
            </w:pPr>
            <w:r w:rsidRPr="00AF1438">
              <w:rPr>
                <w:lang w:eastAsia="en-GB"/>
              </w:rPr>
              <w:t xml:space="preserve">79 (63.2) </w:t>
            </w:r>
          </w:p>
        </w:tc>
        <w:tc>
          <w:tcPr>
            <w:tcW w:w="835" w:type="pct"/>
            <w:vAlign w:val="center"/>
          </w:tcPr>
          <w:p w14:paraId="1BE72219" w14:textId="77777777" w:rsidR="00BF711F" w:rsidRPr="00C32773" w:rsidRDefault="00BF711F" w:rsidP="00D544C3">
            <w:pPr>
              <w:pStyle w:val="TableText0"/>
              <w:keepLines w:val="0"/>
              <w:widowControl w:val="0"/>
              <w:rPr>
                <w:lang w:eastAsia="en-GB"/>
              </w:rPr>
            </w:pPr>
            <w:r w:rsidRPr="00AF1438">
              <w:rPr>
                <w:lang w:eastAsia="en-GB"/>
              </w:rPr>
              <w:t xml:space="preserve">20 (36.4) </w:t>
            </w:r>
          </w:p>
        </w:tc>
        <w:tc>
          <w:tcPr>
            <w:tcW w:w="785" w:type="pct"/>
            <w:vAlign w:val="center"/>
          </w:tcPr>
          <w:p w14:paraId="0D13E284" w14:textId="77777777" w:rsidR="00BF711F" w:rsidRPr="00C32773" w:rsidRDefault="00BF711F" w:rsidP="00D544C3">
            <w:pPr>
              <w:pStyle w:val="TableText0"/>
              <w:keepLines w:val="0"/>
              <w:widowControl w:val="0"/>
              <w:rPr>
                <w:lang w:eastAsia="en-GB"/>
              </w:rPr>
            </w:pPr>
            <w:r w:rsidRPr="00AF1438">
              <w:rPr>
                <w:lang w:eastAsia="en-GB"/>
              </w:rPr>
              <w:t>3 (42.9)</w:t>
            </w:r>
          </w:p>
        </w:tc>
        <w:tc>
          <w:tcPr>
            <w:tcW w:w="787" w:type="pct"/>
            <w:vAlign w:val="center"/>
          </w:tcPr>
          <w:p w14:paraId="4EE595BA" w14:textId="77777777" w:rsidR="00BF711F" w:rsidRPr="00DC2F96" w:rsidRDefault="00BF711F" w:rsidP="00D544C3">
            <w:pPr>
              <w:pStyle w:val="TableText0"/>
              <w:keepLines w:val="0"/>
              <w:widowControl w:val="0"/>
              <w:rPr>
                <w:lang w:eastAsia="en-GB"/>
              </w:rPr>
            </w:pPr>
            <w:r w:rsidRPr="00B77D8A">
              <w:rPr>
                <w:lang w:eastAsia="en-GB"/>
              </w:rPr>
              <w:t>23 (37.1)</w:t>
            </w:r>
          </w:p>
        </w:tc>
        <w:tc>
          <w:tcPr>
            <w:tcW w:w="679" w:type="pct"/>
            <w:vAlign w:val="center"/>
          </w:tcPr>
          <w:p w14:paraId="58ADEE1D" w14:textId="77777777" w:rsidR="00BF711F" w:rsidRPr="00DC2F96" w:rsidRDefault="00BF711F" w:rsidP="00D544C3">
            <w:pPr>
              <w:pStyle w:val="TableText0"/>
              <w:keepLines w:val="0"/>
              <w:widowControl w:val="0"/>
              <w:rPr>
                <w:lang w:eastAsia="en-GB"/>
              </w:rPr>
            </w:pPr>
            <w:r w:rsidRPr="00430DDB">
              <w:rPr>
                <w:lang w:eastAsia="en-GB"/>
              </w:rPr>
              <w:t>23 (29.1)</w:t>
            </w:r>
          </w:p>
        </w:tc>
      </w:tr>
      <w:tr w:rsidR="00BF711F" w:rsidRPr="00DC2F96" w14:paraId="1DC262FB" w14:textId="77777777" w:rsidTr="00D544C3">
        <w:tc>
          <w:tcPr>
            <w:tcW w:w="1281" w:type="pct"/>
            <w:vAlign w:val="center"/>
          </w:tcPr>
          <w:p w14:paraId="1C425790" w14:textId="77777777" w:rsidR="00BF711F" w:rsidRPr="00C32773" w:rsidRDefault="00BF711F" w:rsidP="00D544C3">
            <w:pPr>
              <w:pStyle w:val="TableText0"/>
              <w:keepLines w:val="0"/>
              <w:widowControl w:val="0"/>
              <w:rPr>
                <w:rFonts w:cs="Times New Roman"/>
                <w:snapToGrid w:val="0"/>
                <w:lang w:eastAsia="en-GB"/>
              </w:rPr>
            </w:pPr>
            <w:r w:rsidRPr="00C32773">
              <w:rPr>
                <w:rFonts w:cs="Times New Roman"/>
                <w:snapToGrid w:val="0"/>
                <w:lang w:eastAsia="en-GB"/>
              </w:rPr>
              <w:t>Drug-related TEAEs associated with drug</w:t>
            </w:r>
          </w:p>
          <w:p w14:paraId="3825ECFB" w14:textId="77777777" w:rsidR="00BF711F" w:rsidRPr="00DC2F96" w:rsidRDefault="00BF711F" w:rsidP="00D544C3">
            <w:pPr>
              <w:pStyle w:val="TableText0"/>
              <w:keepLines w:val="0"/>
              <w:widowControl w:val="0"/>
              <w:rPr>
                <w:lang w:eastAsia="en-GB"/>
              </w:rPr>
            </w:pPr>
            <w:r w:rsidRPr="00C32773">
              <w:rPr>
                <w:lang w:eastAsia="en-GB"/>
              </w:rPr>
              <w:t>interrupted</w:t>
            </w:r>
          </w:p>
        </w:tc>
        <w:tc>
          <w:tcPr>
            <w:tcW w:w="632" w:type="pct"/>
            <w:vAlign w:val="center"/>
          </w:tcPr>
          <w:p w14:paraId="22011F78" w14:textId="77777777" w:rsidR="00BF711F" w:rsidRPr="00DC2F96" w:rsidRDefault="00BF711F" w:rsidP="00D544C3">
            <w:pPr>
              <w:pStyle w:val="TableText0"/>
              <w:keepLines w:val="0"/>
              <w:widowControl w:val="0"/>
              <w:rPr>
                <w:lang w:eastAsia="en-GB"/>
              </w:rPr>
            </w:pPr>
            <w:r w:rsidRPr="00AF1438">
              <w:rPr>
                <w:lang w:eastAsia="en-GB"/>
              </w:rPr>
              <w:t xml:space="preserve">65 (52.0) </w:t>
            </w:r>
          </w:p>
        </w:tc>
        <w:tc>
          <w:tcPr>
            <w:tcW w:w="835" w:type="pct"/>
            <w:vAlign w:val="center"/>
          </w:tcPr>
          <w:p w14:paraId="2021009C" w14:textId="77777777" w:rsidR="00BF711F" w:rsidRPr="00C32773" w:rsidRDefault="00BF711F" w:rsidP="00D544C3">
            <w:pPr>
              <w:pStyle w:val="TableText0"/>
              <w:keepLines w:val="0"/>
              <w:widowControl w:val="0"/>
              <w:rPr>
                <w:lang w:eastAsia="en-GB"/>
              </w:rPr>
            </w:pPr>
            <w:r w:rsidRPr="00AF1438">
              <w:rPr>
                <w:lang w:eastAsia="en-GB"/>
              </w:rPr>
              <w:t xml:space="preserve">17 (30.9) </w:t>
            </w:r>
          </w:p>
        </w:tc>
        <w:tc>
          <w:tcPr>
            <w:tcW w:w="785" w:type="pct"/>
            <w:vAlign w:val="center"/>
          </w:tcPr>
          <w:p w14:paraId="2D211520" w14:textId="77777777" w:rsidR="00BF711F" w:rsidRPr="00C32773" w:rsidRDefault="00BF711F" w:rsidP="00D544C3">
            <w:pPr>
              <w:pStyle w:val="TableText0"/>
              <w:keepLines w:val="0"/>
              <w:widowControl w:val="0"/>
              <w:rPr>
                <w:lang w:eastAsia="en-GB"/>
              </w:rPr>
            </w:pPr>
            <w:r w:rsidRPr="00AF1438">
              <w:rPr>
                <w:lang w:eastAsia="en-GB"/>
              </w:rPr>
              <w:t>2 (28.6)</w:t>
            </w:r>
          </w:p>
        </w:tc>
        <w:tc>
          <w:tcPr>
            <w:tcW w:w="787" w:type="pct"/>
            <w:vAlign w:val="center"/>
          </w:tcPr>
          <w:p w14:paraId="693425CB" w14:textId="77777777" w:rsidR="00BF711F" w:rsidRPr="00DC2F96" w:rsidRDefault="00BF711F" w:rsidP="00D544C3">
            <w:pPr>
              <w:pStyle w:val="TableText0"/>
              <w:keepLines w:val="0"/>
              <w:widowControl w:val="0"/>
              <w:rPr>
                <w:lang w:eastAsia="en-GB"/>
              </w:rPr>
            </w:pPr>
            <w:r w:rsidRPr="00B77D8A">
              <w:rPr>
                <w:lang w:eastAsia="en-GB"/>
              </w:rPr>
              <w:t>19 (30.6)</w:t>
            </w:r>
          </w:p>
        </w:tc>
        <w:tc>
          <w:tcPr>
            <w:tcW w:w="679" w:type="pct"/>
            <w:vAlign w:val="center"/>
          </w:tcPr>
          <w:p w14:paraId="109ACD4B" w14:textId="77777777" w:rsidR="00BF711F" w:rsidRPr="00DC2F96" w:rsidRDefault="00BF711F" w:rsidP="00D544C3">
            <w:pPr>
              <w:pStyle w:val="TableText0"/>
              <w:keepLines w:val="0"/>
              <w:widowControl w:val="0"/>
              <w:rPr>
                <w:lang w:eastAsia="en-GB"/>
              </w:rPr>
            </w:pPr>
            <w:r w:rsidRPr="00430DDB">
              <w:rPr>
                <w:lang w:eastAsia="en-GB"/>
              </w:rPr>
              <w:t>8 (10.1)</w:t>
            </w:r>
          </w:p>
        </w:tc>
      </w:tr>
      <w:tr w:rsidR="00BF711F" w:rsidRPr="00DC2F96" w14:paraId="585F2FCC" w14:textId="77777777" w:rsidTr="00D544C3">
        <w:tc>
          <w:tcPr>
            <w:tcW w:w="1281" w:type="pct"/>
            <w:vAlign w:val="center"/>
          </w:tcPr>
          <w:p w14:paraId="455BFB85" w14:textId="77777777" w:rsidR="00BF711F" w:rsidRPr="00DC2F96" w:rsidRDefault="00BF711F" w:rsidP="00D544C3">
            <w:pPr>
              <w:pStyle w:val="Tabletext"/>
              <w:keepNext/>
              <w:widowControl w:val="0"/>
              <w:rPr>
                <w:lang w:eastAsia="en-GB"/>
              </w:rPr>
            </w:pPr>
            <w:r w:rsidRPr="00DC2F96">
              <w:rPr>
                <w:lang w:eastAsia="en-GB"/>
              </w:rPr>
              <w:t>TEAEs associated with outcome of death</w:t>
            </w:r>
          </w:p>
        </w:tc>
        <w:tc>
          <w:tcPr>
            <w:tcW w:w="632" w:type="pct"/>
            <w:vAlign w:val="center"/>
          </w:tcPr>
          <w:p w14:paraId="74CCE9F7" w14:textId="77777777" w:rsidR="00BF711F" w:rsidRPr="00DC2F96" w:rsidRDefault="00BF711F" w:rsidP="00D544C3">
            <w:pPr>
              <w:pStyle w:val="Tabletext"/>
              <w:keepNext/>
              <w:widowControl w:val="0"/>
              <w:rPr>
                <w:lang w:eastAsia="en-GB"/>
              </w:rPr>
            </w:pPr>
            <w:r w:rsidRPr="00DC2F96">
              <w:rPr>
                <w:lang w:eastAsia="en-GB"/>
              </w:rPr>
              <w:t>8 (6.4)</w:t>
            </w:r>
          </w:p>
        </w:tc>
        <w:tc>
          <w:tcPr>
            <w:tcW w:w="835" w:type="pct"/>
            <w:vAlign w:val="center"/>
          </w:tcPr>
          <w:p w14:paraId="7438A1F6" w14:textId="77777777" w:rsidR="00BF711F" w:rsidRPr="00DC2F96" w:rsidRDefault="00BF711F" w:rsidP="00D544C3">
            <w:pPr>
              <w:pStyle w:val="Tabletext"/>
              <w:keepNext/>
              <w:widowControl w:val="0"/>
              <w:rPr>
                <w:lang w:eastAsia="en-GB"/>
              </w:rPr>
            </w:pPr>
            <w:r w:rsidRPr="00AF1438">
              <w:rPr>
                <w:lang w:eastAsia="en-GB"/>
              </w:rPr>
              <w:t xml:space="preserve">1 (1.8) </w:t>
            </w:r>
          </w:p>
        </w:tc>
        <w:tc>
          <w:tcPr>
            <w:tcW w:w="785" w:type="pct"/>
            <w:vAlign w:val="center"/>
          </w:tcPr>
          <w:p w14:paraId="3BAA56AC" w14:textId="77777777" w:rsidR="00BF711F" w:rsidRPr="00DC2F96" w:rsidRDefault="00BF711F" w:rsidP="00D544C3">
            <w:pPr>
              <w:pStyle w:val="Tabletext"/>
              <w:keepNext/>
              <w:widowControl w:val="0"/>
              <w:rPr>
                <w:lang w:eastAsia="en-GB"/>
              </w:rPr>
            </w:pPr>
            <w:r w:rsidRPr="00AF1438">
              <w:rPr>
                <w:lang w:eastAsia="en-GB"/>
              </w:rPr>
              <w:t>1 (14.3)</w:t>
            </w:r>
          </w:p>
        </w:tc>
        <w:tc>
          <w:tcPr>
            <w:tcW w:w="787" w:type="pct"/>
            <w:vAlign w:val="center"/>
          </w:tcPr>
          <w:p w14:paraId="10CBEB84" w14:textId="77777777" w:rsidR="00BF711F" w:rsidRPr="00DC2F96" w:rsidRDefault="00BF711F" w:rsidP="00D544C3">
            <w:pPr>
              <w:pStyle w:val="Tabletext"/>
              <w:keepNext/>
              <w:widowControl w:val="0"/>
              <w:rPr>
                <w:lang w:eastAsia="en-GB"/>
              </w:rPr>
            </w:pPr>
            <w:r w:rsidRPr="00DC2F96">
              <w:rPr>
                <w:lang w:eastAsia="en-GB"/>
              </w:rPr>
              <w:t>2 (3.2)</w:t>
            </w:r>
          </w:p>
        </w:tc>
        <w:tc>
          <w:tcPr>
            <w:tcW w:w="679" w:type="pct"/>
            <w:vAlign w:val="center"/>
          </w:tcPr>
          <w:p w14:paraId="7A16D10F" w14:textId="77777777" w:rsidR="00BF711F" w:rsidRPr="00DC2F96" w:rsidRDefault="00BF711F" w:rsidP="00D544C3">
            <w:pPr>
              <w:pStyle w:val="Tabletext"/>
              <w:keepNext/>
              <w:widowControl w:val="0"/>
              <w:rPr>
                <w:lang w:eastAsia="en-GB"/>
              </w:rPr>
            </w:pPr>
            <w:r w:rsidRPr="00DC2F96">
              <w:rPr>
                <w:lang w:eastAsia="en-GB"/>
              </w:rPr>
              <w:t>11 (13.9)</w:t>
            </w:r>
          </w:p>
        </w:tc>
      </w:tr>
      <w:tr w:rsidR="00BF711F" w:rsidRPr="00DC2F96" w14:paraId="56AD7F07" w14:textId="77777777" w:rsidTr="00D544C3">
        <w:tc>
          <w:tcPr>
            <w:tcW w:w="1281" w:type="pct"/>
            <w:vAlign w:val="center"/>
          </w:tcPr>
          <w:p w14:paraId="56B98EFB" w14:textId="77777777" w:rsidR="00BF711F" w:rsidRPr="00DC2F96" w:rsidRDefault="00BF711F" w:rsidP="00D544C3">
            <w:pPr>
              <w:pStyle w:val="Tabletext"/>
              <w:keepNext/>
              <w:widowControl w:val="0"/>
              <w:rPr>
                <w:lang w:eastAsia="en-GB"/>
              </w:rPr>
            </w:pPr>
            <w:r w:rsidRPr="00DC2F96">
              <w:rPr>
                <w:lang w:eastAsia="en-GB"/>
              </w:rPr>
              <w:t>Drug-related TEAEs associated with outcome of death</w:t>
            </w:r>
          </w:p>
        </w:tc>
        <w:tc>
          <w:tcPr>
            <w:tcW w:w="632" w:type="pct"/>
            <w:vAlign w:val="center"/>
          </w:tcPr>
          <w:p w14:paraId="27AF2646" w14:textId="77777777" w:rsidR="00BF711F" w:rsidRPr="00DC2F96" w:rsidRDefault="00BF711F" w:rsidP="00D544C3">
            <w:pPr>
              <w:pStyle w:val="Tabletext"/>
              <w:keepNext/>
              <w:widowControl w:val="0"/>
              <w:rPr>
                <w:lang w:eastAsia="en-GB"/>
              </w:rPr>
            </w:pPr>
            <w:r w:rsidRPr="00DC2F96">
              <w:rPr>
                <w:lang w:eastAsia="en-GB"/>
              </w:rPr>
              <w:t>1 (0.8)</w:t>
            </w:r>
          </w:p>
        </w:tc>
        <w:tc>
          <w:tcPr>
            <w:tcW w:w="835" w:type="pct"/>
            <w:vAlign w:val="center"/>
          </w:tcPr>
          <w:p w14:paraId="055C2546" w14:textId="77777777" w:rsidR="00BF711F" w:rsidRPr="00DC2F96" w:rsidRDefault="00BF711F" w:rsidP="00D544C3">
            <w:pPr>
              <w:pStyle w:val="Tabletext"/>
              <w:keepNext/>
              <w:widowControl w:val="0"/>
              <w:rPr>
                <w:lang w:eastAsia="en-GB"/>
              </w:rPr>
            </w:pPr>
            <w:r w:rsidRPr="00AF1438">
              <w:rPr>
                <w:lang w:eastAsia="en-GB"/>
              </w:rPr>
              <w:t xml:space="preserve">0 (0.0) </w:t>
            </w:r>
          </w:p>
        </w:tc>
        <w:tc>
          <w:tcPr>
            <w:tcW w:w="785" w:type="pct"/>
            <w:vAlign w:val="center"/>
          </w:tcPr>
          <w:p w14:paraId="3B0E99BD" w14:textId="77777777" w:rsidR="00BF711F" w:rsidRPr="00DC2F96" w:rsidRDefault="00BF711F" w:rsidP="00D544C3">
            <w:pPr>
              <w:pStyle w:val="Tabletext"/>
              <w:keepNext/>
              <w:widowControl w:val="0"/>
              <w:rPr>
                <w:lang w:eastAsia="en-GB"/>
              </w:rPr>
            </w:pPr>
            <w:r w:rsidRPr="00AF1438">
              <w:rPr>
                <w:lang w:eastAsia="en-GB"/>
              </w:rPr>
              <w:t>0 (0.0)</w:t>
            </w:r>
          </w:p>
        </w:tc>
        <w:tc>
          <w:tcPr>
            <w:tcW w:w="787" w:type="pct"/>
            <w:vAlign w:val="center"/>
          </w:tcPr>
          <w:p w14:paraId="3A2CC10D" w14:textId="77777777" w:rsidR="00BF711F" w:rsidRPr="00DC2F96" w:rsidRDefault="00BF711F" w:rsidP="00D544C3">
            <w:pPr>
              <w:pStyle w:val="Tabletext"/>
              <w:keepNext/>
              <w:widowControl w:val="0"/>
              <w:rPr>
                <w:lang w:eastAsia="en-GB"/>
              </w:rPr>
            </w:pPr>
            <w:r w:rsidRPr="00DC2F96">
              <w:rPr>
                <w:lang w:eastAsia="en-GB"/>
              </w:rPr>
              <w:t>0</w:t>
            </w:r>
          </w:p>
        </w:tc>
        <w:tc>
          <w:tcPr>
            <w:tcW w:w="679" w:type="pct"/>
            <w:vAlign w:val="center"/>
          </w:tcPr>
          <w:p w14:paraId="61F6DDF2" w14:textId="77777777" w:rsidR="00BF711F" w:rsidRPr="00DC2F96" w:rsidRDefault="00BF711F" w:rsidP="00D544C3">
            <w:pPr>
              <w:pStyle w:val="Tabletext"/>
              <w:keepNext/>
              <w:widowControl w:val="0"/>
              <w:rPr>
                <w:lang w:eastAsia="en-GB"/>
              </w:rPr>
            </w:pPr>
            <w:r w:rsidRPr="00DC2F96">
              <w:rPr>
                <w:lang w:eastAsia="en-GB"/>
              </w:rPr>
              <w:t>2 (2.5)</w:t>
            </w:r>
          </w:p>
        </w:tc>
      </w:tr>
    </w:tbl>
    <w:p w14:paraId="58EF21E2" w14:textId="77777777" w:rsidR="00BF711F" w:rsidRPr="00DB791A" w:rsidRDefault="00BF711F" w:rsidP="001A1690">
      <w:pPr>
        <w:keepLines/>
        <w:spacing w:after="120"/>
        <w:contextualSpacing/>
        <w:rPr>
          <w:rFonts w:ascii="Arial Narrow" w:eastAsiaTheme="majorEastAsia" w:hAnsi="Arial Narrow"/>
          <w:snapToGrid w:val="0"/>
          <w:sz w:val="18"/>
          <w:szCs w:val="22"/>
        </w:rPr>
      </w:pPr>
      <w:r w:rsidRPr="00DB791A">
        <w:rPr>
          <w:rFonts w:ascii="Arial Narrow" w:eastAsiaTheme="majorEastAsia" w:hAnsi="Arial Narrow"/>
          <w:snapToGrid w:val="0"/>
          <w:sz w:val="18"/>
          <w:szCs w:val="22"/>
        </w:rPr>
        <w:t>Source: Table 2-25, p78 of the submission</w:t>
      </w:r>
    </w:p>
    <w:p w14:paraId="68F3BBFB" w14:textId="77777777" w:rsidR="00BF711F" w:rsidRPr="00DB791A" w:rsidRDefault="00BF711F" w:rsidP="001A1690">
      <w:pPr>
        <w:keepLines/>
        <w:spacing w:after="120"/>
        <w:contextualSpacing/>
        <w:rPr>
          <w:rFonts w:ascii="Arial Narrow" w:eastAsiaTheme="majorEastAsia" w:hAnsi="Arial Narrow"/>
          <w:snapToGrid w:val="0"/>
          <w:sz w:val="18"/>
          <w:szCs w:val="22"/>
        </w:rPr>
      </w:pPr>
      <w:r w:rsidRPr="00DB791A">
        <w:rPr>
          <w:rFonts w:ascii="Arial Narrow" w:eastAsiaTheme="majorEastAsia" w:hAnsi="Arial Narrow"/>
          <w:snapToGrid w:val="0"/>
          <w:sz w:val="18"/>
          <w:szCs w:val="22"/>
        </w:rPr>
        <w:t>CTCAE = common terminology criteria for adverse events; N = number; SAS = Safety Analysis Set; SoC = standard of care (physician’s choice chemotherapy); TEAE = treatment-emergent adverse events; T-</w:t>
      </w:r>
      <w:proofErr w:type="spellStart"/>
      <w:r w:rsidRPr="00DB791A">
        <w:rPr>
          <w:rFonts w:ascii="Arial Narrow" w:eastAsiaTheme="majorEastAsia" w:hAnsi="Arial Narrow"/>
          <w:snapToGrid w:val="0"/>
          <w:sz w:val="18"/>
          <w:szCs w:val="22"/>
        </w:rPr>
        <w:t>DXd</w:t>
      </w:r>
      <w:proofErr w:type="spellEnd"/>
      <w:r w:rsidRPr="00DB791A">
        <w:rPr>
          <w:rFonts w:ascii="Arial Narrow" w:eastAsiaTheme="majorEastAsia" w:hAnsi="Arial Narrow"/>
          <w:snapToGrid w:val="0"/>
          <w:sz w:val="18"/>
          <w:szCs w:val="22"/>
        </w:rPr>
        <w:t xml:space="preserve"> = trastuzumab </w:t>
      </w:r>
      <w:proofErr w:type="spellStart"/>
      <w:r w:rsidRPr="00DB791A">
        <w:rPr>
          <w:rFonts w:ascii="Arial Narrow" w:eastAsiaTheme="majorEastAsia" w:hAnsi="Arial Narrow"/>
          <w:snapToGrid w:val="0"/>
          <w:sz w:val="18"/>
          <w:szCs w:val="22"/>
        </w:rPr>
        <w:t>deruxtecan</w:t>
      </w:r>
      <w:proofErr w:type="spellEnd"/>
    </w:p>
    <w:p w14:paraId="697F8710" w14:textId="77777777" w:rsidR="00BF711F" w:rsidRPr="00DB791A" w:rsidRDefault="00BF711F" w:rsidP="001A1690">
      <w:pPr>
        <w:keepLines/>
        <w:spacing w:after="120"/>
        <w:contextualSpacing/>
        <w:rPr>
          <w:rFonts w:ascii="Arial Narrow" w:eastAsiaTheme="majorEastAsia" w:hAnsi="Arial Narrow"/>
          <w:snapToGrid w:val="0"/>
          <w:sz w:val="18"/>
          <w:szCs w:val="22"/>
        </w:rPr>
      </w:pPr>
      <w:proofErr w:type="spellStart"/>
      <w:proofErr w:type="gramStart"/>
      <w:r w:rsidRPr="00DB791A">
        <w:rPr>
          <w:rFonts w:ascii="Arial Narrow" w:eastAsiaTheme="majorEastAsia" w:hAnsi="Arial Narrow"/>
          <w:snapToGrid w:val="0"/>
          <w:sz w:val="18"/>
          <w:szCs w:val="22"/>
          <w:vertAlign w:val="superscript"/>
        </w:rPr>
        <w:t>a</w:t>
      </w:r>
      <w:proofErr w:type="spellEnd"/>
      <w:proofErr w:type="gramEnd"/>
      <w:r w:rsidRPr="00DB791A">
        <w:rPr>
          <w:rFonts w:ascii="Arial Narrow" w:eastAsiaTheme="majorEastAsia" w:hAnsi="Arial Narrow"/>
          <w:snapToGrid w:val="0"/>
          <w:sz w:val="18"/>
          <w:szCs w:val="22"/>
        </w:rPr>
        <w:t xml:space="preserve"> If relationship was missing, the TEAE </w:t>
      </w:r>
      <w:proofErr w:type="gramStart"/>
      <w:r w:rsidRPr="00DB791A">
        <w:rPr>
          <w:rFonts w:ascii="Arial Narrow" w:eastAsiaTheme="majorEastAsia" w:hAnsi="Arial Narrow"/>
          <w:snapToGrid w:val="0"/>
          <w:sz w:val="18"/>
          <w:szCs w:val="22"/>
        </w:rPr>
        <w:t>was considered to be</w:t>
      </w:r>
      <w:proofErr w:type="gramEnd"/>
      <w:r w:rsidRPr="00DB791A">
        <w:rPr>
          <w:rFonts w:ascii="Arial Narrow" w:eastAsiaTheme="majorEastAsia" w:hAnsi="Arial Narrow"/>
          <w:snapToGrid w:val="0"/>
          <w:sz w:val="18"/>
          <w:szCs w:val="22"/>
        </w:rPr>
        <w:t xml:space="preserve"> related to the drug</w:t>
      </w:r>
    </w:p>
    <w:p w14:paraId="5C6D6CD1" w14:textId="77777777" w:rsidR="00BF711F" w:rsidRPr="00DB791A" w:rsidRDefault="00BF711F" w:rsidP="001A1690">
      <w:pPr>
        <w:keepLines/>
        <w:spacing w:after="120"/>
        <w:contextualSpacing/>
        <w:rPr>
          <w:rFonts w:ascii="Arial Narrow" w:eastAsiaTheme="majorEastAsia" w:hAnsi="Arial Narrow"/>
          <w:snapToGrid w:val="0"/>
          <w:sz w:val="18"/>
          <w:szCs w:val="22"/>
        </w:rPr>
      </w:pPr>
      <w:r w:rsidRPr="00DB791A">
        <w:rPr>
          <w:rFonts w:ascii="Arial Narrow" w:eastAsiaTheme="majorEastAsia" w:hAnsi="Arial Narrow"/>
          <w:snapToGrid w:val="0"/>
          <w:sz w:val="18"/>
          <w:szCs w:val="22"/>
          <w:vertAlign w:val="superscript"/>
        </w:rPr>
        <w:t>b</w:t>
      </w:r>
      <w:r w:rsidRPr="00DB791A">
        <w:rPr>
          <w:rFonts w:ascii="Arial Narrow" w:eastAsiaTheme="majorEastAsia" w:hAnsi="Arial Narrow"/>
          <w:snapToGrid w:val="0"/>
          <w:sz w:val="18"/>
          <w:szCs w:val="22"/>
        </w:rPr>
        <w:t xml:space="preserve"> A subject was counted once at the maximum severity if they reported at least 1 TEAE. If a subject had both missing and non-missing CTCAE grades for a TEAE, the worst CTCAE grade was based on non-missing grade.</w:t>
      </w:r>
    </w:p>
    <w:p w14:paraId="6CF47F5D" w14:textId="77777777" w:rsidR="00BF711F" w:rsidRDefault="00BF711F" w:rsidP="00BF711F">
      <w:pPr>
        <w:pStyle w:val="3-BodyText"/>
      </w:pPr>
      <w:r w:rsidRPr="005C200B">
        <w:lastRenderedPageBreak/>
        <w:t xml:space="preserve">The most common drug-related </w:t>
      </w:r>
      <w:r>
        <w:t>treatment-emergent AEs (</w:t>
      </w:r>
      <w:r w:rsidRPr="005C200B">
        <w:t>TEAEs</w:t>
      </w:r>
      <w:r>
        <w:t>)</w:t>
      </w:r>
      <w:r w:rsidRPr="005C200B">
        <w:t xml:space="preserve"> in the T-</w:t>
      </w:r>
      <w:proofErr w:type="spellStart"/>
      <w:r w:rsidRPr="005C200B">
        <w:t>DXd</w:t>
      </w:r>
      <w:proofErr w:type="spellEnd"/>
      <w:r w:rsidRPr="005C200B">
        <w:t xml:space="preserve"> group were gastrointestinal or haematologic AEs. These are known AEs associated with topoisomerase 1 inhibitors. The drug-related TEAEs with a ≥10% higher incidence in the T-</w:t>
      </w:r>
      <w:proofErr w:type="spellStart"/>
      <w:r w:rsidRPr="005C200B">
        <w:t>DXd</w:t>
      </w:r>
      <w:proofErr w:type="spellEnd"/>
      <w:r w:rsidRPr="005C200B">
        <w:t xml:space="preserve"> arm versus the SoC arm were neutropenia (64.0% vs 35.5%), nausea (57.6% vs 40.3%), decreased appetite (52.8% vs 40.3%), anaemia (40.8% vs 21.0%), thrombocytopenia (39.2% vs 6.5 %), malaise (34.4% vs 14.5%), lymphopenia (23.2% vs 1.6%), and vomiting (20.8% vs 6.5%). </w:t>
      </w:r>
    </w:p>
    <w:p w14:paraId="7AC71322" w14:textId="3AFD4DE8" w:rsidR="00BF711F" w:rsidRDefault="00BF711F" w:rsidP="00BF711F">
      <w:pPr>
        <w:pStyle w:val="3-BodyText"/>
      </w:pPr>
      <w:r w:rsidRPr="00656A28">
        <w:t>In DG-01, 99 (79.2%) patients treated with T-</w:t>
      </w:r>
      <w:proofErr w:type="spellStart"/>
      <w:r w:rsidRPr="00656A28">
        <w:t>DXd</w:t>
      </w:r>
      <w:proofErr w:type="spellEnd"/>
      <w:r w:rsidRPr="00656A28">
        <w:t xml:space="preserve"> experienced a Grade 3 or 4 TEAE, with the majority Grade 3 (60.8%). Fewer patients (n=33; 53.2%) in DG-01 treated with SoC (irinotecan or paclitaxel) experienced a Grade 3 or 4 TEAE with most events (41.9%) being Grade 3 in severity.</w:t>
      </w:r>
    </w:p>
    <w:p w14:paraId="42360566" w14:textId="7FDC9A59" w:rsidR="00BF711F" w:rsidRDefault="00BF711F" w:rsidP="00BF711F">
      <w:pPr>
        <w:pStyle w:val="Caption"/>
      </w:pPr>
      <w:r>
        <w:t xml:space="preserve">Table </w:t>
      </w:r>
      <w:r w:rsidR="008B461E">
        <w:fldChar w:fldCharType="begin"/>
      </w:r>
      <w:r w:rsidR="008B461E">
        <w:instrText xml:space="preserve"> SEQ Table \* ARABIC </w:instrText>
      </w:r>
      <w:r w:rsidR="008B461E">
        <w:fldChar w:fldCharType="separate"/>
      </w:r>
      <w:r w:rsidR="00593619">
        <w:rPr>
          <w:noProof/>
        </w:rPr>
        <w:t>6</w:t>
      </w:r>
      <w:r w:rsidR="008B461E">
        <w:rPr>
          <w:noProof/>
        </w:rPr>
        <w:fldChar w:fldCharType="end"/>
      </w:r>
      <w:r>
        <w:t xml:space="preserve">: </w:t>
      </w:r>
      <w:r w:rsidRPr="00656A28">
        <w:t xml:space="preserve">Grade 3+ TEAEs (≥5% of patients in either treatment arm) by MedDRA preferred term </w:t>
      </w:r>
      <w:r>
        <w:t xml:space="preserve">for DG-01 and DG-02 </w:t>
      </w:r>
      <w:r w:rsidRPr="00656A28">
        <w:t>(SAS)</w:t>
      </w:r>
    </w:p>
    <w:tbl>
      <w:tblPr>
        <w:tblStyle w:val="TableGrid"/>
        <w:tblW w:w="9067" w:type="dxa"/>
        <w:tblLook w:val="04A0" w:firstRow="1" w:lastRow="0" w:firstColumn="1" w:lastColumn="0" w:noHBand="0" w:noVBand="1"/>
      </w:tblPr>
      <w:tblGrid>
        <w:gridCol w:w="3093"/>
        <w:gridCol w:w="1485"/>
        <w:gridCol w:w="1559"/>
        <w:gridCol w:w="1381"/>
        <w:gridCol w:w="1549"/>
      </w:tblGrid>
      <w:tr w:rsidR="00BF711F" w:rsidRPr="00656A28" w14:paraId="383B2C24" w14:textId="77777777" w:rsidTr="00D544C3">
        <w:tc>
          <w:tcPr>
            <w:tcW w:w="3093" w:type="dxa"/>
          </w:tcPr>
          <w:p w14:paraId="2D79F23F" w14:textId="77777777" w:rsidR="00BF711F" w:rsidRPr="00656A28" w:rsidRDefault="00BF711F" w:rsidP="00D544C3">
            <w:pPr>
              <w:pStyle w:val="TableHeading"/>
              <w:widowControl w:val="0"/>
              <w:rPr>
                <w:rFonts w:eastAsia="Calibri"/>
              </w:rPr>
            </w:pPr>
            <w:r w:rsidRPr="00656A28">
              <w:rPr>
                <w:rFonts w:eastAsia="Calibri"/>
              </w:rPr>
              <w:t>MedDRA preferred term</w:t>
            </w:r>
          </w:p>
        </w:tc>
        <w:tc>
          <w:tcPr>
            <w:tcW w:w="3044" w:type="dxa"/>
            <w:gridSpan w:val="2"/>
          </w:tcPr>
          <w:p w14:paraId="3A4F2CB6" w14:textId="77777777" w:rsidR="00BF711F" w:rsidRPr="00656A28" w:rsidRDefault="00BF711F" w:rsidP="00D544C3">
            <w:pPr>
              <w:pStyle w:val="TableHeading"/>
              <w:widowControl w:val="0"/>
              <w:rPr>
                <w:rFonts w:eastAsia="Calibri"/>
              </w:rPr>
            </w:pPr>
            <w:r w:rsidRPr="00656A28">
              <w:rPr>
                <w:rFonts w:eastAsia="Calibri"/>
              </w:rPr>
              <w:t>T-</w:t>
            </w:r>
            <w:proofErr w:type="spellStart"/>
            <w:r w:rsidRPr="00656A28">
              <w:rPr>
                <w:rFonts w:eastAsia="Calibri"/>
              </w:rPr>
              <w:t>DXd</w:t>
            </w:r>
            <w:proofErr w:type="spellEnd"/>
            <w:r w:rsidRPr="00656A28">
              <w:rPr>
                <w:rFonts w:eastAsia="Calibri"/>
              </w:rPr>
              <w:t xml:space="preserve"> </w:t>
            </w:r>
          </w:p>
          <w:p w14:paraId="0A730315" w14:textId="77777777" w:rsidR="00BF711F" w:rsidRPr="00656A28" w:rsidRDefault="00BF711F" w:rsidP="00D544C3">
            <w:pPr>
              <w:pStyle w:val="TableHeading"/>
              <w:widowControl w:val="0"/>
              <w:rPr>
                <w:rFonts w:eastAsia="Calibri"/>
              </w:rPr>
            </w:pPr>
            <w:r w:rsidRPr="00656A28">
              <w:rPr>
                <w:rFonts w:eastAsia="Calibri"/>
              </w:rPr>
              <w:t>N = 125</w:t>
            </w:r>
          </w:p>
        </w:tc>
        <w:tc>
          <w:tcPr>
            <w:tcW w:w="2930" w:type="dxa"/>
            <w:gridSpan w:val="2"/>
          </w:tcPr>
          <w:p w14:paraId="794A029C" w14:textId="77777777" w:rsidR="00BF711F" w:rsidRPr="00656A28" w:rsidRDefault="00BF711F" w:rsidP="00D544C3">
            <w:pPr>
              <w:pStyle w:val="TableHeading"/>
              <w:widowControl w:val="0"/>
              <w:rPr>
                <w:rFonts w:eastAsia="Calibri"/>
              </w:rPr>
            </w:pPr>
            <w:r>
              <w:rPr>
                <w:rFonts w:eastAsia="Calibri"/>
              </w:rPr>
              <w:t>SoC</w:t>
            </w:r>
          </w:p>
          <w:p w14:paraId="27530D8A" w14:textId="77777777" w:rsidR="00BF711F" w:rsidRPr="00656A28" w:rsidRDefault="00BF711F" w:rsidP="00D544C3">
            <w:pPr>
              <w:pStyle w:val="TableHeading"/>
              <w:widowControl w:val="0"/>
              <w:rPr>
                <w:rFonts w:eastAsia="Calibri"/>
              </w:rPr>
            </w:pPr>
            <w:r w:rsidRPr="00656A28">
              <w:rPr>
                <w:rFonts w:eastAsia="Calibri"/>
              </w:rPr>
              <w:t>N = 62</w:t>
            </w:r>
          </w:p>
        </w:tc>
      </w:tr>
      <w:tr w:rsidR="00BF711F" w:rsidRPr="00656A28" w14:paraId="533B059F" w14:textId="77777777" w:rsidTr="00D544C3">
        <w:tc>
          <w:tcPr>
            <w:tcW w:w="3093" w:type="dxa"/>
          </w:tcPr>
          <w:p w14:paraId="51194615" w14:textId="77777777" w:rsidR="00BF711F" w:rsidRPr="00656A28" w:rsidRDefault="00BF711F" w:rsidP="00D544C3">
            <w:pPr>
              <w:pStyle w:val="TableHeading"/>
              <w:widowControl w:val="0"/>
              <w:rPr>
                <w:rFonts w:eastAsia="Calibri"/>
              </w:rPr>
            </w:pPr>
            <w:r w:rsidRPr="00656A28">
              <w:rPr>
                <w:rFonts w:eastAsia="Calibri"/>
              </w:rPr>
              <w:t>CTCAE Grade</w:t>
            </w:r>
          </w:p>
        </w:tc>
        <w:tc>
          <w:tcPr>
            <w:tcW w:w="1485" w:type="dxa"/>
          </w:tcPr>
          <w:p w14:paraId="51A267C6" w14:textId="77777777" w:rsidR="00BF711F" w:rsidRPr="00656A28" w:rsidRDefault="00BF711F" w:rsidP="00D544C3">
            <w:pPr>
              <w:pStyle w:val="TableHeading"/>
              <w:widowControl w:val="0"/>
              <w:rPr>
                <w:rFonts w:eastAsia="Calibri"/>
              </w:rPr>
            </w:pPr>
            <w:r w:rsidRPr="00656A28">
              <w:rPr>
                <w:rFonts w:eastAsia="Calibri"/>
              </w:rPr>
              <w:t>Grade 3</w:t>
            </w:r>
          </w:p>
        </w:tc>
        <w:tc>
          <w:tcPr>
            <w:tcW w:w="1559" w:type="dxa"/>
          </w:tcPr>
          <w:p w14:paraId="5E73F018" w14:textId="77777777" w:rsidR="00BF711F" w:rsidRPr="00656A28" w:rsidRDefault="00BF711F" w:rsidP="00D544C3">
            <w:pPr>
              <w:pStyle w:val="TableHeading"/>
              <w:widowControl w:val="0"/>
              <w:rPr>
                <w:rFonts w:eastAsia="Calibri"/>
              </w:rPr>
            </w:pPr>
            <w:r w:rsidRPr="00656A28">
              <w:rPr>
                <w:rFonts w:eastAsia="Calibri"/>
              </w:rPr>
              <w:t>Grade 4</w:t>
            </w:r>
          </w:p>
        </w:tc>
        <w:tc>
          <w:tcPr>
            <w:tcW w:w="1381" w:type="dxa"/>
          </w:tcPr>
          <w:p w14:paraId="20CEA868" w14:textId="77777777" w:rsidR="00BF711F" w:rsidRPr="00656A28" w:rsidRDefault="00BF711F" w:rsidP="00D544C3">
            <w:pPr>
              <w:pStyle w:val="TableHeading"/>
              <w:widowControl w:val="0"/>
              <w:rPr>
                <w:rFonts w:eastAsia="Calibri"/>
              </w:rPr>
            </w:pPr>
            <w:r w:rsidRPr="00656A28">
              <w:rPr>
                <w:rFonts w:eastAsia="Calibri"/>
              </w:rPr>
              <w:t>Grade 3</w:t>
            </w:r>
          </w:p>
        </w:tc>
        <w:tc>
          <w:tcPr>
            <w:tcW w:w="1549" w:type="dxa"/>
          </w:tcPr>
          <w:p w14:paraId="331F4F89" w14:textId="77777777" w:rsidR="00BF711F" w:rsidRPr="00656A28" w:rsidRDefault="00BF711F" w:rsidP="00D544C3">
            <w:pPr>
              <w:pStyle w:val="TableHeading"/>
              <w:widowControl w:val="0"/>
              <w:rPr>
                <w:rFonts w:eastAsia="Calibri"/>
              </w:rPr>
            </w:pPr>
            <w:r w:rsidRPr="00656A28">
              <w:rPr>
                <w:rFonts w:eastAsia="Calibri"/>
              </w:rPr>
              <w:t>Grade 4</w:t>
            </w:r>
          </w:p>
        </w:tc>
      </w:tr>
      <w:tr w:rsidR="00BF711F" w:rsidRPr="00656A28" w14:paraId="2A2CAC97" w14:textId="77777777" w:rsidTr="00D544C3">
        <w:tc>
          <w:tcPr>
            <w:tcW w:w="3093" w:type="dxa"/>
          </w:tcPr>
          <w:p w14:paraId="1A539036" w14:textId="77777777" w:rsidR="00BF711F" w:rsidRPr="00656A28" w:rsidRDefault="00BF711F" w:rsidP="00D544C3">
            <w:pPr>
              <w:pStyle w:val="Tabletext"/>
              <w:keepNext/>
              <w:widowControl w:val="0"/>
              <w:rPr>
                <w:rFonts w:eastAsia="Calibri"/>
              </w:rPr>
            </w:pPr>
            <w:r w:rsidRPr="00656A28">
              <w:rPr>
                <w:rFonts w:eastAsia="Calibri"/>
              </w:rPr>
              <w:t>All TEAEs</w:t>
            </w:r>
          </w:p>
        </w:tc>
        <w:tc>
          <w:tcPr>
            <w:tcW w:w="1485" w:type="dxa"/>
          </w:tcPr>
          <w:p w14:paraId="12D02D3B" w14:textId="77777777" w:rsidR="00BF711F" w:rsidRPr="00656A28" w:rsidRDefault="00BF711F" w:rsidP="00D544C3">
            <w:pPr>
              <w:pStyle w:val="Tabletext"/>
              <w:keepNext/>
              <w:widowControl w:val="0"/>
              <w:rPr>
                <w:rFonts w:eastAsia="Calibri"/>
              </w:rPr>
            </w:pPr>
            <w:r w:rsidRPr="00656A28">
              <w:rPr>
                <w:rFonts w:eastAsia="Calibri"/>
              </w:rPr>
              <w:t>76 (60.8)</w:t>
            </w:r>
          </w:p>
        </w:tc>
        <w:tc>
          <w:tcPr>
            <w:tcW w:w="1559" w:type="dxa"/>
          </w:tcPr>
          <w:p w14:paraId="5763DA18" w14:textId="77777777" w:rsidR="00BF711F" w:rsidRPr="00656A28" w:rsidRDefault="00BF711F" w:rsidP="00D544C3">
            <w:pPr>
              <w:pStyle w:val="Tabletext"/>
              <w:keepNext/>
              <w:widowControl w:val="0"/>
              <w:rPr>
                <w:rFonts w:eastAsia="Calibri"/>
              </w:rPr>
            </w:pPr>
            <w:r w:rsidRPr="00656A28">
              <w:rPr>
                <w:rFonts w:eastAsia="Calibri"/>
              </w:rPr>
              <w:t>23 (18.4)</w:t>
            </w:r>
          </w:p>
        </w:tc>
        <w:tc>
          <w:tcPr>
            <w:tcW w:w="1381" w:type="dxa"/>
          </w:tcPr>
          <w:p w14:paraId="2CB2A442" w14:textId="77777777" w:rsidR="00BF711F" w:rsidRPr="00656A28" w:rsidRDefault="00BF711F" w:rsidP="00D544C3">
            <w:pPr>
              <w:pStyle w:val="Tabletext"/>
              <w:keepNext/>
              <w:widowControl w:val="0"/>
              <w:rPr>
                <w:rFonts w:eastAsia="Calibri"/>
              </w:rPr>
            </w:pPr>
            <w:r w:rsidRPr="00656A28">
              <w:rPr>
                <w:rFonts w:eastAsia="Calibri"/>
              </w:rPr>
              <w:t>26 (41.9)</w:t>
            </w:r>
          </w:p>
        </w:tc>
        <w:tc>
          <w:tcPr>
            <w:tcW w:w="1549" w:type="dxa"/>
          </w:tcPr>
          <w:p w14:paraId="5C545423" w14:textId="77777777" w:rsidR="00BF711F" w:rsidRPr="00656A28" w:rsidRDefault="00BF711F" w:rsidP="00D544C3">
            <w:pPr>
              <w:pStyle w:val="Tabletext"/>
              <w:keepNext/>
              <w:widowControl w:val="0"/>
              <w:rPr>
                <w:rFonts w:eastAsia="Calibri"/>
              </w:rPr>
            </w:pPr>
            <w:r w:rsidRPr="00656A28">
              <w:rPr>
                <w:rFonts w:eastAsia="Calibri"/>
              </w:rPr>
              <w:t>7 (11.3)</w:t>
            </w:r>
          </w:p>
        </w:tc>
      </w:tr>
      <w:tr w:rsidR="00BF711F" w:rsidRPr="00656A28" w14:paraId="6A833309" w14:textId="77777777" w:rsidTr="00D544C3">
        <w:tc>
          <w:tcPr>
            <w:tcW w:w="3093" w:type="dxa"/>
          </w:tcPr>
          <w:p w14:paraId="0EE5E996" w14:textId="77777777" w:rsidR="00BF711F" w:rsidRPr="00656A28" w:rsidRDefault="00BF711F" w:rsidP="00D544C3">
            <w:pPr>
              <w:pStyle w:val="Tabletext"/>
              <w:keepNext/>
              <w:widowControl w:val="0"/>
              <w:rPr>
                <w:rFonts w:eastAsia="Calibri"/>
              </w:rPr>
            </w:pPr>
            <w:r w:rsidRPr="00656A28">
              <w:rPr>
                <w:rFonts w:eastAsia="Calibri"/>
              </w:rPr>
              <w:t>Anaemia</w:t>
            </w:r>
          </w:p>
        </w:tc>
        <w:tc>
          <w:tcPr>
            <w:tcW w:w="1485" w:type="dxa"/>
          </w:tcPr>
          <w:p w14:paraId="253ED2F8" w14:textId="77777777" w:rsidR="00BF711F" w:rsidRPr="00656A28" w:rsidRDefault="00BF711F" w:rsidP="00D544C3">
            <w:pPr>
              <w:pStyle w:val="Tabletext"/>
              <w:keepNext/>
              <w:widowControl w:val="0"/>
              <w:rPr>
                <w:rFonts w:eastAsia="Calibri"/>
              </w:rPr>
            </w:pPr>
            <w:r w:rsidRPr="00656A28">
              <w:rPr>
                <w:rFonts w:eastAsia="Calibri"/>
              </w:rPr>
              <w:t>48 (38.4)</w:t>
            </w:r>
          </w:p>
        </w:tc>
        <w:tc>
          <w:tcPr>
            <w:tcW w:w="1559" w:type="dxa"/>
          </w:tcPr>
          <w:p w14:paraId="763045C3" w14:textId="77777777" w:rsidR="00BF711F" w:rsidRPr="00656A28" w:rsidRDefault="00BF711F" w:rsidP="00D544C3">
            <w:pPr>
              <w:pStyle w:val="Tabletext"/>
              <w:keepNext/>
              <w:widowControl w:val="0"/>
              <w:rPr>
                <w:rFonts w:eastAsia="Calibri"/>
              </w:rPr>
            </w:pPr>
            <w:r w:rsidRPr="00656A28">
              <w:rPr>
                <w:rFonts w:eastAsia="Calibri"/>
              </w:rPr>
              <w:t>0 (0.0)</w:t>
            </w:r>
          </w:p>
        </w:tc>
        <w:tc>
          <w:tcPr>
            <w:tcW w:w="1381" w:type="dxa"/>
          </w:tcPr>
          <w:p w14:paraId="34F14998" w14:textId="77777777" w:rsidR="00BF711F" w:rsidRPr="00656A28" w:rsidRDefault="00BF711F" w:rsidP="00D544C3">
            <w:pPr>
              <w:pStyle w:val="Tabletext"/>
              <w:keepNext/>
              <w:widowControl w:val="0"/>
              <w:rPr>
                <w:rFonts w:eastAsia="Calibri"/>
              </w:rPr>
            </w:pPr>
            <w:r w:rsidRPr="00656A28">
              <w:rPr>
                <w:rFonts w:eastAsia="Calibri"/>
              </w:rPr>
              <w:t>13 (21.0)</w:t>
            </w:r>
          </w:p>
        </w:tc>
        <w:tc>
          <w:tcPr>
            <w:tcW w:w="1549" w:type="dxa"/>
          </w:tcPr>
          <w:p w14:paraId="27A11A85" w14:textId="77777777" w:rsidR="00BF711F" w:rsidRPr="00656A28" w:rsidRDefault="00BF711F" w:rsidP="00D544C3">
            <w:pPr>
              <w:pStyle w:val="Tabletext"/>
              <w:keepNext/>
              <w:widowControl w:val="0"/>
              <w:rPr>
                <w:rFonts w:eastAsia="Calibri"/>
              </w:rPr>
            </w:pPr>
            <w:r w:rsidRPr="00656A28">
              <w:rPr>
                <w:rFonts w:eastAsia="Calibri"/>
              </w:rPr>
              <w:t>1 (1.6)</w:t>
            </w:r>
          </w:p>
        </w:tc>
      </w:tr>
      <w:tr w:rsidR="00BF711F" w:rsidRPr="00656A28" w14:paraId="1BF8E77B" w14:textId="77777777" w:rsidTr="00D544C3">
        <w:tc>
          <w:tcPr>
            <w:tcW w:w="3093" w:type="dxa"/>
          </w:tcPr>
          <w:p w14:paraId="4649CE7D" w14:textId="77777777" w:rsidR="00BF711F" w:rsidRPr="00656A28" w:rsidRDefault="00BF711F" w:rsidP="00D544C3">
            <w:pPr>
              <w:pStyle w:val="Tabletext"/>
              <w:keepNext/>
              <w:widowControl w:val="0"/>
              <w:rPr>
                <w:rFonts w:eastAsia="Calibri"/>
              </w:rPr>
            </w:pPr>
            <w:r w:rsidRPr="00656A28">
              <w:rPr>
                <w:rFonts w:eastAsia="Calibri"/>
              </w:rPr>
              <w:t>Decreased appetite</w:t>
            </w:r>
          </w:p>
        </w:tc>
        <w:tc>
          <w:tcPr>
            <w:tcW w:w="1485" w:type="dxa"/>
          </w:tcPr>
          <w:p w14:paraId="188372AB" w14:textId="77777777" w:rsidR="00BF711F" w:rsidRPr="00656A28" w:rsidRDefault="00BF711F" w:rsidP="00D544C3">
            <w:pPr>
              <w:pStyle w:val="Tabletext"/>
              <w:keepNext/>
              <w:widowControl w:val="0"/>
              <w:rPr>
                <w:rFonts w:eastAsia="Calibri"/>
              </w:rPr>
            </w:pPr>
            <w:r w:rsidRPr="00656A28">
              <w:rPr>
                <w:rFonts w:eastAsia="Calibri"/>
              </w:rPr>
              <w:t>21 (16.8)</w:t>
            </w:r>
          </w:p>
        </w:tc>
        <w:tc>
          <w:tcPr>
            <w:tcW w:w="1559" w:type="dxa"/>
          </w:tcPr>
          <w:p w14:paraId="05D2DB1F" w14:textId="77777777" w:rsidR="00BF711F" w:rsidRPr="00656A28" w:rsidRDefault="00BF711F" w:rsidP="00D544C3">
            <w:pPr>
              <w:pStyle w:val="Tabletext"/>
              <w:keepNext/>
              <w:widowControl w:val="0"/>
              <w:rPr>
                <w:rFonts w:eastAsia="Calibri"/>
              </w:rPr>
            </w:pPr>
            <w:r w:rsidRPr="00656A28">
              <w:rPr>
                <w:rFonts w:eastAsia="Calibri"/>
              </w:rPr>
              <w:t>0 (0.0)</w:t>
            </w:r>
          </w:p>
        </w:tc>
        <w:tc>
          <w:tcPr>
            <w:tcW w:w="1381" w:type="dxa"/>
          </w:tcPr>
          <w:p w14:paraId="052CF54E" w14:textId="77777777" w:rsidR="00BF711F" w:rsidRPr="00656A28" w:rsidRDefault="00BF711F" w:rsidP="00D544C3">
            <w:pPr>
              <w:pStyle w:val="Tabletext"/>
              <w:keepNext/>
              <w:widowControl w:val="0"/>
              <w:rPr>
                <w:rFonts w:eastAsia="Calibri"/>
              </w:rPr>
            </w:pPr>
            <w:r w:rsidRPr="00656A28">
              <w:rPr>
                <w:rFonts w:eastAsia="Calibri"/>
              </w:rPr>
              <w:t>8 (12.9)</w:t>
            </w:r>
          </w:p>
        </w:tc>
        <w:tc>
          <w:tcPr>
            <w:tcW w:w="1549" w:type="dxa"/>
          </w:tcPr>
          <w:p w14:paraId="28CB57ED" w14:textId="77777777" w:rsidR="00BF711F" w:rsidRPr="00656A28" w:rsidRDefault="00BF711F" w:rsidP="00D544C3">
            <w:pPr>
              <w:pStyle w:val="Tabletext"/>
              <w:keepNext/>
              <w:widowControl w:val="0"/>
              <w:rPr>
                <w:rFonts w:eastAsia="Calibri"/>
              </w:rPr>
            </w:pPr>
            <w:r w:rsidRPr="00656A28">
              <w:rPr>
                <w:rFonts w:eastAsia="Calibri"/>
              </w:rPr>
              <w:t>0 (0.0)</w:t>
            </w:r>
          </w:p>
        </w:tc>
      </w:tr>
      <w:tr w:rsidR="00BF711F" w:rsidRPr="00656A28" w14:paraId="403373B2" w14:textId="77777777" w:rsidTr="00D544C3">
        <w:tc>
          <w:tcPr>
            <w:tcW w:w="3093" w:type="dxa"/>
          </w:tcPr>
          <w:p w14:paraId="36D51EFE" w14:textId="77777777" w:rsidR="00BF711F" w:rsidRPr="00656A28" w:rsidRDefault="00BF711F" w:rsidP="00D544C3">
            <w:pPr>
              <w:pStyle w:val="Tabletext"/>
              <w:keepNext/>
              <w:widowControl w:val="0"/>
              <w:rPr>
                <w:lang w:eastAsia="en-GB"/>
              </w:rPr>
            </w:pPr>
            <w:r w:rsidRPr="00656A28">
              <w:rPr>
                <w:lang w:eastAsia="en-GB"/>
              </w:rPr>
              <w:t>Hypokalaemia</w:t>
            </w:r>
          </w:p>
        </w:tc>
        <w:tc>
          <w:tcPr>
            <w:tcW w:w="1485" w:type="dxa"/>
          </w:tcPr>
          <w:p w14:paraId="2912D0CA" w14:textId="77777777" w:rsidR="00BF711F" w:rsidRPr="00656A28" w:rsidRDefault="00BF711F" w:rsidP="00D544C3">
            <w:pPr>
              <w:pStyle w:val="Tabletext"/>
              <w:keepNext/>
              <w:widowControl w:val="0"/>
              <w:rPr>
                <w:rFonts w:eastAsia="Calibri"/>
              </w:rPr>
            </w:pPr>
            <w:r w:rsidRPr="00656A28">
              <w:rPr>
                <w:rFonts w:eastAsia="Calibri"/>
              </w:rPr>
              <w:t>5 (4.0)</w:t>
            </w:r>
          </w:p>
        </w:tc>
        <w:tc>
          <w:tcPr>
            <w:tcW w:w="1559" w:type="dxa"/>
          </w:tcPr>
          <w:p w14:paraId="51E0990B" w14:textId="77777777" w:rsidR="00BF711F" w:rsidRPr="00656A28" w:rsidRDefault="00BF711F" w:rsidP="00D544C3">
            <w:pPr>
              <w:pStyle w:val="Tabletext"/>
              <w:keepNext/>
              <w:widowControl w:val="0"/>
              <w:rPr>
                <w:rFonts w:eastAsia="Calibri"/>
              </w:rPr>
            </w:pPr>
            <w:r w:rsidRPr="00656A28">
              <w:rPr>
                <w:rFonts w:eastAsia="Calibri"/>
              </w:rPr>
              <w:t>0 (0.0)</w:t>
            </w:r>
          </w:p>
        </w:tc>
        <w:tc>
          <w:tcPr>
            <w:tcW w:w="1381" w:type="dxa"/>
          </w:tcPr>
          <w:p w14:paraId="305C15A9" w14:textId="77777777" w:rsidR="00BF711F" w:rsidRPr="00656A28" w:rsidRDefault="00BF711F" w:rsidP="00D544C3">
            <w:pPr>
              <w:pStyle w:val="Tabletext"/>
              <w:keepNext/>
              <w:widowControl w:val="0"/>
              <w:rPr>
                <w:rFonts w:eastAsia="Calibri"/>
              </w:rPr>
            </w:pPr>
            <w:r w:rsidRPr="00656A28">
              <w:rPr>
                <w:rFonts w:eastAsia="Calibri"/>
              </w:rPr>
              <w:t>4 (6.5)</w:t>
            </w:r>
          </w:p>
        </w:tc>
        <w:tc>
          <w:tcPr>
            <w:tcW w:w="1549" w:type="dxa"/>
          </w:tcPr>
          <w:p w14:paraId="57B7C5FE" w14:textId="77777777" w:rsidR="00BF711F" w:rsidRPr="00656A28" w:rsidRDefault="00BF711F" w:rsidP="00D544C3">
            <w:pPr>
              <w:pStyle w:val="Tabletext"/>
              <w:keepNext/>
              <w:widowControl w:val="0"/>
              <w:rPr>
                <w:rFonts w:eastAsia="Calibri"/>
              </w:rPr>
            </w:pPr>
            <w:r w:rsidRPr="00656A28">
              <w:rPr>
                <w:rFonts w:eastAsia="Calibri"/>
              </w:rPr>
              <w:t>0 (0.0)</w:t>
            </w:r>
          </w:p>
        </w:tc>
      </w:tr>
      <w:tr w:rsidR="00BF711F" w:rsidRPr="00656A28" w14:paraId="3DEC4EC9" w14:textId="77777777" w:rsidTr="00D544C3">
        <w:tc>
          <w:tcPr>
            <w:tcW w:w="3093" w:type="dxa"/>
          </w:tcPr>
          <w:p w14:paraId="10EA4603" w14:textId="77777777" w:rsidR="00BF711F" w:rsidRPr="00656A28" w:rsidRDefault="00BF711F" w:rsidP="00D544C3">
            <w:pPr>
              <w:pStyle w:val="Tabletext"/>
              <w:keepNext/>
              <w:widowControl w:val="0"/>
              <w:rPr>
                <w:lang w:eastAsia="en-GB"/>
              </w:rPr>
            </w:pPr>
            <w:r w:rsidRPr="00656A28">
              <w:rPr>
                <w:lang w:eastAsia="en-GB"/>
              </w:rPr>
              <w:t>Nausea</w:t>
            </w:r>
          </w:p>
        </w:tc>
        <w:tc>
          <w:tcPr>
            <w:tcW w:w="1485" w:type="dxa"/>
          </w:tcPr>
          <w:p w14:paraId="068CAC79" w14:textId="77777777" w:rsidR="00BF711F" w:rsidRPr="00656A28" w:rsidRDefault="00BF711F" w:rsidP="00D544C3">
            <w:pPr>
              <w:pStyle w:val="Tabletext"/>
              <w:keepNext/>
              <w:widowControl w:val="0"/>
              <w:rPr>
                <w:rFonts w:eastAsia="Calibri"/>
              </w:rPr>
            </w:pPr>
            <w:r w:rsidRPr="00656A28">
              <w:rPr>
                <w:rFonts w:eastAsia="Calibri"/>
              </w:rPr>
              <w:t>7 (5.6)</w:t>
            </w:r>
          </w:p>
        </w:tc>
        <w:tc>
          <w:tcPr>
            <w:tcW w:w="1559" w:type="dxa"/>
          </w:tcPr>
          <w:p w14:paraId="5DC14717" w14:textId="77777777" w:rsidR="00BF711F" w:rsidRPr="00656A28" w:rsidRDefault="00BF711F" w:rsidP="00D544C3">
            <w:pPr>
              <w:pStyle w:val="Tabletext"/>
              <w:keepNext/>
              <w:widowControl w:val="0"/>
              <w:rPr>
                <w:rFonts w:eastAsia="Calibri"/>
              </w:rPr>
            </w:pPr>
            <w:r w:rsidRPr="00656A28">
              <w:rPr>
                <w:rFonts w:eastAsia="Calibri"/>
              </w:rPr>
              <w:t>0 (0.0)</w:t>
            </w:r>
          </w:p>
        </w:tc>
        <w:tc>
          <w:tcPr>
            <w:tcW w:w="1381" w:type="dxa"/>
          </w:tcPr>
          <w:p w14:paraId="5AD132D7" w14:textId="77777777" w:rsidR="00BF711F" w:rsidRPr="00656A28" w:rsidRDefault="00BF711F" w:rsidP="00D544C3">
            <w:pPr>
              <w:pStyle w:val="Tabletext"/>
              <w:keepNext/>
              <w:widowControl w:val="0"/>
              <w:rPr>
                <w:rFonts w:eastAsia="Calibri"/>
              </w:rPr>
            </w:pPr>
            <w:r w:rsidRPr="00656A28">
              <w:rPr>
                <w:rFonts w:eastAsia="Calibri"/>
              </w:rPr>
              <w:t>1 (1.6)</w:t>
            </w:r>
          </w:p>
        </w:tc>
        <w:tc>
          <w:tcPr>
            <w:tcW w:w="1549" w:type="dxa"/>
          </w:tcPr>
          <w:p w14:paraId="26985B1E" w14:textId="77777777" w:rsidR="00BF711F" w:rsidRPr="00656A28" w:rsidRDefault="00BF711F" w:rsidP="00D544C3">
            <w:pPr>
              <w:pStyle w:val="Tabletext"/>
              <w:keepNext/>
              <w:widowControl w:val="0"/>
              <w:rPr>
                <w:rFonts w:eastAsia="Calibri"/>
              </w:rPr>
            </w:pPr>
            <w:r w:rsidRPr="00656A28">
              <w:rPr>
                <w:rFonts w:eastAsia="Calibri"/>
              </w:rPr>
              <w:t>0 (0.0)</w:t>
            </w:r>
          </w:p>
        </w:tc>
      </w:tr>
      <w:tr w:rsidR="00BF711F" w:rsidRPr="00656A28" w14:paraId="3365C645" w14:textId="77777777" w:rsidTr="00D544C3">
        <w:tc>
          <w:tcPr>
            <w:tcW w:w="3093" w:type="dxa"/>
          </w:tcPr>
          <w:p w14:paraId="2D975A66" w14:textId="77777777" w:rsidR="00BF711F" w:rsidRPr="00656A28" w:rsidRDefault="00BF711F" w:rsidP="00D544C3">
            <w:pPr>
              <w:pStyle w:val="Tabletext"/>
              <w:keepNext/>
              <w:widowControl w:val="0"/>
              <w:rPr>
                <w:lang w:eastAsia="en-GB"/>
              </w:rPr>
            </w:pPr>
            <w:r w:rsidRPr="00656A28">
              <w:rPr>
                <w:lang w:eastAsia="en-GB"/>
              </w:rPr>
              <w:t>Fatigue</w:t>
            </w:r>
          </w:p>
        </w:tc>
        <w:tc>
          <w:tcPr>
            <w:tcW w:w="1485" w:type="dxa"/>
          </w:tcPr>
          <w:p w14:paraId="2273CBAE" w14:textId="77777777" w:rsidR="00BF711F" w:rsidRPr="00656A28" w:rsidRDefault="00BF711F" w:rsidP="00D544C3">
            <w:pPr>
              <w:pStyle w:val="Tabletext"/>
              <w:keepNext/>
              <w:widowControl w:val="0"/>
              <w:rPr>
                <w:rFonts w:eastAsia="Calibri"/>
              </w:rPr>
            </w:pPr>
            <w:r w:rsidRPr="00656A28">
              <w:rPr>
                <w:rFonts w:eastAsia="Calibri"/>
              </w:rPr>
              <w:t>9 (7.2)</w:t>
            </w:r>
          </w:p>
        </w:tc>
        <w:tc>
          <w:tcPr>
            <w:tcW w:w="1559" w:type="dxa"/>
          </w:tcPr>
          <w:p w14:paraId="4F5996C5" w14:textId="77777777" w:rsidR="00BF711F" w:rsidRPr="00656A28" w:rsidRDefault="00BF711F" w:rsidP="00D544C3">
            <w:pPr>
              <w:pStyle w:val="Tabletext"/>
              <w:keepNext/>
              <w:widowControl w:val="0"/>
              <w:rPr>
                <w:rFonts w:eastAsia="Calibri"/>
              </w:rPr>
            </w:pPr>
            <w:r w:rsidRPr="00656A28">
              <w:rPr>
                <w:rFonts w:eastAsia="Calibri"/>
              </w:rPr>
              <w:t>0 (0.0)</w:t>
            </w:r>
          </w:p>
        </w:tc>
        <w:tc>
          <w:tcPr>
            <w:tcW w:w="1381" w:type="dxa"/>
          </w:tcPr>
          <w:p w14:paraId="3AF9E520" w14:textId="77777777" w:rsidR="00BF711F" w:rsidRPr="00656A28" w:rsidRDefault="00BF711F" w:rsidP="00D544C3">
            <w:pPr>
              <w:pStyle w:val="Tabletext"/>
              <w:keepNext/>
              <w:widowControl w:val="0"/>
              <w:rPr>
                <w:rFonts w:eastAsia="Calibri"/>
              </w:rPr>
            </w:pPr>
            <w:r w:rsidRPr="00656A28">
              <w:rPr>
                <w:rFonts w:eastAsia="Calibri"/>
              </w:rPr>
              <w:t>2 (3.2)</w:t>
            </w:r>
          </w:p>
        </w:tc>
        <w:tc>
          <w:tcPr>
            <w:tcW w:w="1549" w:type="dxa"/>
          </w:tcPr>
          <w:p w14:paraId="1FD7C323" w14:textId="77777777" w:rsidR="00BF711F" w:rsidRPr="00656A28" w:rsidRDefault="00BF711F" w:rsidP="00D544C3">
            <w:pPr>
              <w:pStyle w:val="Tabletext"/>
              <w:keepNext/>
              <w:widowControl w:val="0"/>
              <w:rPr>
                <w:rFonts w:eastAsia="Calibri"/>
              </w:rPr>
            </w:pPr>
            <w:r w:rsidRPr="00656A28">
              <w:rPr>
                <w:rFonts w:eastAsia="Calibri"/>
              </w:rPr>
              <w:t>0 (0.0)</w:t>
            </w:r>
          </w:p>
        </w:tc>
      </w:tr>
    </w:tbl>
    <w:p w14:paraId="62741384" w14:textId="77777777" w:rsidR="00BF711F" w:rsidRDefault="00BF711F" w:rsidP="001A1690">
      <w:pPr>
        <w:pStyle w:val="TableFigureFooter"/>
        <w:jc w:val="both"/>
      </w:pPr>
      <w:r>
        <w:t>Source: Table 2-26, p78 of the submission</w:t>
      </w:r>
    </w:p>
    <w:p w14:paraId="1A1D8F9D" w14:textId="77777777" w:rsidR="00BF711F" w:rsidRDefault="00BF711F" w:rsidP="001A1690">
      <w:pPr>
        <w:pStyle w:val="TableFigureFooter"/>
        <w:jc w:val="both"/>
      </w:pPr>
      <w:r w:rsidRPr="0039652B">
        <w:t>CTCAE = common terminology criteria for adverse events; N = number; SAS = Safety Analysis Set; SoC = standard of care (physician’s choice chemotherapy); TEAE = treatment-emergent adverse events; T-</w:t>
      </w:r>
      <w:proofErr w:type="spellStart"/>
      <w:r w:rsidRPr="0039652B">
        <w:t>DXd</w:t>
      </w:r>
      <w:proofErr w:type="spellEnd"/>
      <w:r w:rsidRPr="0039652B">
        <w:t xml:space="preserve"> = trastuzumab </w:t>
      </w:r>
      <w:proofErr w:type="spellStart"/>
      <w:r w:rsidRPr="0039652B">
        <w:t>deruxtecan</w:t>
      </w:r>
      <w:proofErr w:type="spellEnd"/>
    </w:p>
    <w:p w14:paraId="7B1B39A5" w14:textId="770075EE" w:rsidR="00BF711F" w:rsidRDefault="00BF711F" w:rsidP="00BF711F">
      <w:pPr>
        <w:pStyle w:val="3-BodyText"/>
      </w:pPr>
      <w:r w:rsidRPr="00656A28">
        <w:t>The most frequently reported Grade 3 or 4 TEAEs in the T-</w:t>
      </w:r>
      <w:proofErr w:type="spellStart"/>
      <w:r w:rsidRPr="00656A28">
        <w:t>DXd</w:t>
      </w:r>
      <w:proofErr w:type="spellEnd"/>
      <w:r w:rsidRPr="00656A28">
        <w:t xml:space="preserve"> arm were anaemia (38.4%), decreased appetite (16.8%), fatigue (8.0%) and nausea (5.6%). The most frequently reported Grade 3 or 4 TEAEs </w:t>
      </w:r>
      <w:r>
        <w:t xml:space="preserve">in the SoC arm </w:t>
      </w:r>
      <w:r w:rsidRPr="00656A28">
        <w:t>were anaemia (22.6%), decreased appetite (12.9%) and hypokalaemia (6.5%).</w:t>
      </w:r>
      <w:r w:rsidRPr="0039652B">
        <w:t xml:space="preserve"> </w:t>
      </w:r>
      <w:r w:rsidRPr="00656A28">
        <w:t>In DG-02, the most frequently reported ≥Grade 3 TEAEs with T-</w:t>
      </w:r>
      <w:proofErr w:type="spellStart"/>
      <w:r w:rsidRPr="00656A28">
        <w:t>DXd</w:t>
      </w:r>
      <w:proofErr w:type="spellEnd"/>
      <w:r w:rsidRPr="00656A28">
        <w:t xml:space="preserve"> were </w:t>
      </w:r>
      <w:proofErr w:type="gramStart"/>
      <w:r w:rsidRPr="00656A28">
        <w:t>similar to</w:t>
      </w:r>
      <w:proofErr w:type="gramEnd"/>
      <w:r w:rsidRPr="00656A28">
        <w:t xml:space="preserve"> those reported in DG-01 but observed at a lower frequency.</w:t>
      </w:r>
    </w:p>
    <w:p w14:paraId="5E7F774F" w14:textId="77777777" w:rsidR="00BF711F" w:rsidRPr="0039652B" w:rsidRDefault="00BF711F" w:rsidP="00BF711F">
      <w:pPr>
        <w:pStyle w:val="3-BodyText"/>
        <w:rPr>
          <w:rStyle w:val="CommentReference"/>
          <w:rFonts w:asciiTheme="minorHAnsi" w:hAnsiTheme="minorHAnsi"/>
          <w:b w:val="0"/>
          <w:sz w:val="24"/>
          <w:szCs w:val="22"/>
        </w:rPr>
      </w:pPr>
      <w:r w:rsidRPr="0039652B">
        <w:t>Patients treated with T-</w:t>
      </w:r>
      <w:proofErr w:type="spellStart"/>
      <w:r w:rsidRPr="0039652B">
        <w:t>DXd</w:t>
      </w:r>
      <w:proofErr w:type="spellEnd"/>
      <w:r w:rsidRPr="0039652B">
        <w:t xml:space="preserve"> also experienced (by grouped term) neutropenia (51.2%), leukopenia (21.6%), thrombocytopenia (11.2%) and lymphocyte count (12.0%)</w:t>
      </w:r>
      <w:r>
        <w:t xml:space="preserve">. </w:t>
      </w:r>
      <w:r w:rsidRPr="0039652B">
        <w:t>Patients treated with SoC also experienced neutropenia (24.2%) and leukopenia (11.3%)</w:t>
      </w:r>
      <w:r>
        <w:t>. T</w:t>
      </w:r>
      <w:r w:rsidRPr="0039652B">
        <w:t xml:space="preserve">he majority </w:t>
      </w:r>
      <w:r>
        <w:t xml:space="preserve">of these in both arms </w:t>
      </w:r>
      <w:r w:rsidRPr="0039652B">
        <w:t>were Grade 3</w:t>
      </w:r>
      <w:r>
        <w:t xml:space="preserve"> and </w:t>
      </w:r>
      <w:r w:rsidRPr="0039652B">
        <w:t>based on SoC of investigations and.</w:t>
      </w:r>
      <w:r>
        <w:t xml:space="preserve"> Rates observed were lower in the SoC arm than in the T-</w:t>
      </w:r>
      <w:proofErr w:type="spellStart"/>
      <w:r>
        <w:t>DXd</w:t>
      </w:r>
      <w:proofErr w:type="spellEnd"/>
      <w:r>
        <w:t xml:space="preserve"> arm.</w:t>
      </w:r>
    </w:p>
    <w:p w14:paraId="5B110204" w14:textId="77777777" w:rsidR="00BF711F" w:rsidRDefault="00BF711F" w:rsidP="00BF711F">
      <w:pPr>
        <w:pStyle w:val="3-BodyText"/>
      </w:pPr>
      <w:r w:rsidRPr="00E953D1">
        <w:t xml:space="preserve">Adverse </w:t>
      </w:r>
      <w:r>
        <w:t xml:space="preserve">events </w:t>
      </w:r>
      <w:r w:rsidRPr="00E953D1">
        <w:t xml:space="preserve">of special interest </w:t>
      </w:r>
      <w:r>
        <w:t xml:space="preserve">reported in the PI </w:t>
      </w:r>
      <w:r w:rsidRPr="00E953D1">
        <w:t>for T-</w:t>
      </w:r>
      <w:proofErr w:type="spellStart"/>
      <w:r w:rsidRPr="00E953D1">
        <w:t>DXd</w:t>
      </w:r>
      <w:proofErr w:type="spellEnd"/>
      <w:r w:rsidRPr="00E953D1">
        <w:t xml:space="preserve"> </w:t>
      </w:r>
      <w:r>
        <w:t>are</w:t>
      </w:r>
      <w:r w:rsidRPr="00E953D1">
        <w:t xml:space="preserve"> ILD and </w:t>
      </w:r>
      <w:r>
        <w:t>decrease in</w:t>
      </w:r>
      <w:r w:rsidRPr="00E953D1">
        <w:t xml:space="preserve"> LVEF.</w:t>
      </w:r>
    </w:p>
    <w:p w14:paraId="36873802" w14:textId="77777777" w:rsidR="00BF711F" w:rsidRPr="00AB2F18" w:rsidRDefault="00BF711F" w:rsidP="00BF711F">
      <w:pPr>
        <w:pStyle w:val="3-BodyText"/>
      </w:pPr>
      <w:r w:rsidRPr="00AB2F18">
        <w:t>In the T-</w:t>
      </w:r>
      <w:proofErr w:type="spellStart"/>
      <w:r w:rsidRPr="00AB2F18">
        <w:t>DXd</w:t>
      </w:r>
      <w:proofErr w:type="spellEnd"/>
      <w:r w:rsidRPr="00AB2F18">
        <w:t xml:space="preserve"> arm</w:t>
      </w:r>
      <w:r>
        <w:t xml:space="preserve"> of DG-01</w:t>
      </w:r>
      <w:r w:rsidRPr="00AB2F18">
        <w:t>, 16 (12.8%) patients had events adjudicated as drug-related ILD</w:t>
      </w:r>
      <w:r>
        <w:t>.</w:t>
      </w:r>
      <w:r w:rsidRPr="00AB2F18">
        <w:t xml:space="preserve"> </w:t>
      </w:r>
      <w:r w:rsidRPr="00014F36">
        <w:t>The majority of drug-related ILD events were &lt;Grade 2 (10.4%) in severity and managed by dose modification and adherence to the clinical practice guidelines for ILD. Study treatment was discontinued in 8 (6.4%) and interrupted in 6 (4.8%) of participants in the T-</w:t>
      </w:r>
      <w:proofErr w:type="spellStart"/>
      <w:r w:rsidRPr="00014F36">
        <w:t>DXd</w:t>
      </w:r>
      <w:proofErr w:type="spellEnd"/>
      <w:r w:rsidRPr="00014F36">
        <w:t xml:space="preserve"> arm due to drug-related ILD. ILD was the TEAE that caused </w:t>
      </w:r>
      <w:r w:rsidRPr="00014F36">
        <w:lastRenderedPageBreak/>
        <w:t xml:space="preserve">the most treatment discontinuation. No participants in the SoC arm had reports of potential ILD events. </w:t>
      </w:r>
      <w:r w:rsidRPr="0078489F">
        <w:t>Of the 16 participants in the T-</w:t>
      </w:r>
      <w:proofErr w:type="spellStart"/>
      <w:r w:rsidRPr="0078489F">
        <w:t>DXd</w:t>
      </w:r>
      <w:proofErr w:type="spellEnd"/>
      <w:r w:rsidRPr="0078489F">
        <w:t xml:space="preserve"> arm of DG-01 </w:t>
      </w:r>
      <w:r>
        <w:t>with</w:t>
      </w:r>
      <w:r w:rsidRPr="0078489F">
        <w:t xml:space="preserve"> adjudicated drug-related ILD events, 10 (62.5%) were reported as recovered or recovering and 6 (37.5%) were reported as not recovered.</w:t>
      </w:r>
      <w:r>
        <w:t xml:space="preserve"> </w:t>
      </w:r>
      <w:r w:rsidRPr="00AB2F18">
        <w:t xml:space="preserve">Similarly, 10.1% of patients in DG-02 experienced an ILD event of which 7.6% were </w:t>
      </w:r>
      <w:r>
        <w:t>G</w:t>
      </w:r>
      <w:r w:rsidRPr="00AB2F18">
        <w:t>rade 1 or 2</w:t>
      </w:r>
      <w:r>
        <w:t xml:space="preserve"> and t</w:t>
      </w:r>
      <w:r w:rsidRPr="0078489F">
        <w:t>wo (2.5%) participants died</w:t>
      </w:r>
      <w:r>
        <w:t>.</w:t>
      </w:r>
    </w:p>
    <w:p w14:paraId="7C7C756C" w14:textId="0ADA568C" w:rsidR="00BF711F" w:rsidRPr="00ED5B6D" w:rsidRDefault="00BF711F" w:rsidP="00BF711F">
      <w:pPr>
        <w:pStyle w:val="3-BodyText"/>
      </w:pPr>
      <w:bookmarkStart w:id="40" w:name="_Hlk190692727"/>
      <w:r>
        <w:t xml:space="preserve">Decrease in </w:t>
      </w:r>
      <w:r w:rsidRPr="000B2ABA">
        <w:t>LVEF</w:t>
      </w:r>
      <w:r>
        <w:t xml:space="preserve"> </w:t>
      </w:r>
      <w:r w:rsidRPr="00AD4C00">
        <w:t>is an AE of special interest associated with trastuzumab</w:t>
      </w:r>
      <w:r>
        <w:t xml:space="preserve"> </w:t>
      </w:r>
      <w:r w:rsidR="003A7403">
        <w:t>(</w:t>
      </w:r>
      <w:r w:rsidRPr="00AD4C00">
        <w:t xml:space="preserve">part of </w:t>
      </w:r>
      <w:r>
        <w:t>the ADC</w:t>
      </w:r>
      <w:r w:rsidRPr="00AD4C00">
        <w:t xml:space="preserve"> T-</w:t>
      </w:r>
      <w:proofErr w:type="spellStart"/>
      <w:r w:rsidRPr="00AD4C00">
        <w:t>DXd</w:t>
      </w:r>
      <w:proofErr w:type="spellEnd"/>
      <w:r w:rsidR="003A7403">
        <w:t>)</w:t>
      </w:r>
      <w:r w:rsidRPr="00AD4C00">
        <w:t xml:space="preserve">. </w:t>
      </w:r>
      <w:bookmarkStart w:id="41" w:name="_Hlk190692764"/>
      <w:bookmarkEnd w:id="40"/>
      <w:r>
        <w:t>P</w:t>
      </w:r>
      <w:r w:rsidRPr="00AD4C00">
        <w:t>atients</w:t>
      </w:r>
      <w:r>
        <w:t xml:space="preserve"> included</w:t>
      </w:r>
      <w:r w:rsidRPr="00AD4C00">
        <w:t xml:space="preserve"> in </w:t>
      </w:r>
      <w:r>
        <w:t>studies</w:t>
      </w:r>
      <w:r w:rsidRPr="00AD4C00">
        <w:t xml:space="preserve"> DG-01 and DG-02 trials were required to have a minimum LVEF </w:t>
      </w:r>
      <w:r>
        <w:rPr>
          <w:rFonts w:cstheme="minorHAnsi"/>
        </w:rPr>
        <w:t>≥</w:t>
      </w:r>
      <w:r w:rsidRPr="00AD4C00">
        <w:t xml:space="preserve">50%. </w:t>
      </w:r>
      <w:bookmarkEnd w:id="41"/>
      <w:r>
        <w:t xml:space="preserve">This is also included in the </w:t>
      </w:r>
      <w:r w:rsidRPr="00AD4C00">
        <w:t>proposed</w:t>
      </w:r>
      <w:r>
        <w:t xml:space="preserve"> PBS</w:t>
      </w:r>
      <w:r w:rsidRPr="00AD4C00">
        <w:t xml:space="preserve"> restriction criteria for T-</w:t>
      </w:r>
      <w:proofErr w:type="spellStart"/>
      <w:r w:rsidRPr="00AD4C00">
        <w:t>DXd</w:t>
      </w:r>
      <w:proofErr w:type="spellEnd"/>
      <w:r w:rsidRPr="00AD4C00">
        <w:t xml:space="preserve"> </w:t>
      </w:r>
      <w:r>
        <w:t>and the draft T-</w:t>
      </w:r>
      <w:proofErr w:type="spellStart"/>
      <w:r>
        <w:t>DXd</w:t>
      </w:r>
      <w:proofErr w:type="spellEnd"/>
      <w:r>
        <w:t xml:space="preserve"> PI. No LVEF decrease or cardiac failure AEs were reported in DG-01 although </w:t>
      </w:r>
      <w:r w:rsidRPr="00AD4C00">
        <w:t xml:space="preserve">11 (9.4%) patients </w:t>
      </w:r>
      <w:r>
        <w:t>in the T-</w:t>
      </w:r>
      <w:proofErr w:type="spellStart"/>
      <w:r>
        <w:t>DXd</w:t>
      </w:r>
      <w:proofErr w:type="spellEnd"/>
      <w:r>
        <w:t xml:space="preserve"> arm </w:t>
      </w:r>
      <w:r w:rsidRPr="00AD4C00">
        <w:t xml:space="preserve">had a post-baseline LVEF value </w:t>
      </w:r>
      <w:r>
        <w:t xml:space="preserve">in DG-01 </w:t>
      </w:r>
      <w:r w:rsidRPr="00AD4C00">
        <w:t xml:space="preserve">that met the criteria for a </w:t>
      </w:r>
      <w:bookmarkStart w:id="42" w:name="_Hlk190696569"/>
      <w:r w:rsidRPr="00AD4C00">
        <w:t>Grade 2 LVEF decrease</w:t>
      </w:r>
      <w:bookmarkEnd w:id="42"/>
      <w:r>
        <w:t xml:space="preserve"> based on laboratory measurements. There was one Grade 2 LVEF decrease reported in DG-02; no Grade 3 or 4 events were reported.</w:t>
      </w:r>
    </w:p>
    <w:p w14:paraId="4DB1A220" w14:textId="77777777" w:rsidR="00BF711F" w:rsidRPr="00D86D87" w:rsidRDefault="00BF711F" w:rsidP="00BF711F">
      <w:pPr>
        <w:pStyle w:val="4-SubsectionHeading"/>
      </w:pPr>
      <w:bookmarkStart w:id="43" w:name="_Toc22897643"/>
      <w:bookmarkStart w:id="44" w:name="_Toc187925089"/>
      <w:bookmarkStart w:id="45" w:name="_Toc193454319"/>
      <w:r w:rsidRPr="00D86D87">
        <w:t>Benefits/harms</w:t>
      </w:r>
      <w:bookmarkEnd w:id="43"/>
      <w:bookmarkEnd w:id="44"/>
      <w:bookmarkEnd w:id="45"/>
    </w:p>
    <w:p w14:paraId="32A58310" w14:textId="724E6567" w:rsidR="00BF711F" w:rsidRPr="0025389A" w:rsidRDefault="00BF711F" w:rsidP="00BF711F">
      <w:pPr>
        <w:pStyle w:val="3-BodyText"/>
      </w:pPr>
      <w:r w:rsidRPr="003742D8">
        <w:t xml:space="preserve">A summary of the comparative benefits and harms for </w:t>
      </w:r>
      <w:r>
        <w:t>T-</w:t>
      </w:r>
      <w:proofErr w:type="spellStart"/>
      <w:r>
        <w:t>DXd</w:t>
      </w:r>
      <w:proofErr w:type="spellEnd"/>
      <w:r w:rsidRPr="003742D8">
        <w:t xml:space="preserve"> versus SoC is presented in</w:t>
      </w:r>
      <w:r w:rsidRPr="00D86D87">
        <w:rPr>
          <w:color w:val="0066FF"/>
        </w:rPr>
        <w:t xml:space="preserve"> </w:t>
      </w:r>
      <w:r>
        <w:rPr>
          <w:color w:val="0066FF"/>
        </w:rPr>
        <w:fldChar w:fldCharType="begin"/>
      </w:r>
      <w:r>
        <w:rPr>
          <w:color w:val="0066FF"/>
        </w:rPr>
        <w:instrText xml:space="preserve"> REF _Ref191931457 \h </w:instrText>
      </w:r>
      <w:r>
        <w:rPr>
          <w:color w:val="0066FF"/>
        </w:rPr>
      </w:r>
      <w:r>
        <w:rPr>
          <w:color w:val="0066FF"/>
        </w:rPr>
        <w:fldChar w:fldCharType="separate"/>
      </w:r>
      <w:r w:rsidR="00593619">
        <w:t xml:space="preserve">Table </w:t>
      </w:r>
      <w:r w:rsidR="00593619">
        <w:rPr>
          <w:noProof/>
        </w:rPr>
        <w:t>7</w:t>
      </w:r>
      <w:r>
        <w:rPr>
          <w:color w:val="0066FF"/>
        </w:rPr>
        <w:fldChar w:fldCharType="end"/>
      </w:r>
      <w:r w:rsidRPr="00D544C3">
        <w:t>.</w:t>
      </w:r>
    </w:p>
    <w:p w14:paraId="36443248" w14:textId="17869CC6" w:rsidR="00BF711F" w:rsidRDefault="00BF711F" w:rsidP="00BF711F">
      <w:pPr>
        <w:pStyle w:val="TableFigureHeading"/>
      </w:pPr>
      <w:bookmarkStart w:id="46" w:name="_Ref191931457"/>
      <w:r>
        <w:t xml:space="preserve">Table </w:t>
      </w:r>
      <w:r w:rsidR="008B461E">
        <w:fldChar w:fldCharType="begin"/>
      </w:r>
      <w:r w:rsidR="008B461E">
        <w:instrText xml:space="preserve"> SEQ Table \* ARABIC </w:instrText>
      </w:r>
      <w:r w:rsidR="008B461E">
        <w:fldChar w:fldCharType="separate"/>
      </w:r>
      <w:r w:rsidR="00593619">
        <w:rPr>
          <w:noProof/>
        </w:rPr>
        <w:t>7</w:t>
      </w:r>
      <w:r w:rsidR="008B461E">
        <w:rPr>
          <w:noProof/>
        </w:rPr>
        <w:fldChar w:fldCharType="end"/>
      </w:r>
      <w:bookmarkEnd w:id="46"/>
      <w:r>
        <w:t xml:space="preserve">: </w:t>
      </w:r>
      <w:r w:rsidRPr="008B3F05">
        <w:t>Summary of comparative benefits and harms for</w:t>
      </w:r>
      <w:r>
        <w:t xml:space="preserve"> T-</w:t>
      </w:r>
      <w:proofErr w:type="spellStart"/>
      <w:r>
        <w:t>DXd</w:t>
      </w:r>
      <w:proofErr w:type="spellEnd"/>
      <w:r>
        <w:t xml:space="preserve"> vs SoC from DG-01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56"/>
        <w:gridCol w:w="7"/>
        <w:gridCol w:w="537"/>
        <w:gridCol w:w="711"/>
        <w:gridCol w:w="990"/>
        <w:gridCol w:w="593"/>
        <w:gridCol w:w="967"/>
        <w:gridCol w:w="166"/>
        <w:gridCol w:w="1252"/>
        <w:gridCol w:w="110"/>
        <w:gridCol w:w="1399"/>
      </w:tblGrid>
      <w:tr w:rsidR="00BF711F" w:rsidRPr="00D86D87" w14:paraId="1CDA412A" w14:textId="77777777">
        <w:trPr>
          <w:cantSplit/>
          <w:tblHeader/>
        </w:trPr>
        <w:tc>
          <w:tcPr>
            <w:tcW w:w="1569" w:type="pct"/>
            <w:gridSpan w:val="4"/>
            <w:vAlign w:val="center"/>
          </w:tcPr>
          <w:p w14:paraId="7149C779" w14:textId="77777777" w:rsidR="00BF711F" w:rsidRPr="00D86D87" w:rsidRDefault="00BF711F">
            <w:pPr>
              <w:pStyle w:val="TableHeading"/>
            </w:pPr>
            <w:r>
              <w:t>Event</w:t>
            </w:r>
          </w:p>
        </w:tc>
        <w:tc>
          <w:tcPr>
            <w:tcW w:w="943" w:type="pct"/>
            <w:gridSpan w:val="2"/>
            <w:vAlign w:val="center"/>
          </w:tcPr>
          <w:p w14:paraId="36766C90" w14:textId="77777777" w:rsidR="00BF711F" w:rsidRPr="00D86D87" w:rsidRDefault="00BF711F">
            <w:pPr>
              <w:pStyle w:val="TableHeading"/>
            </w:pPr>
            <w:r>
              <w:t>T-</w:t>
            </w:r>
            <w:proofErr w:type="spellStart"/>
            <w:r>
              <w:t>DXd</w:t>
            </w:r>
            <w:proofErr w:type="spellEnd"/>
          </w:p>
        </w:tc>
        <w:tc>
          <w:tcPr>
            <w:tcW w:w="865" w:type="pct"/>
            <w:gridSpan w:val="2"/>
            <w:vAlign w:val="center"/>
          </w:tcPr>
          <w:p w14:paraId="782F90AC" w14:textId="77777777" w:rsidR="00BF711F" w:rsidRPr="00D86D87" w:rsidRDefault="00BF711F">
            <w:pPr>
              <w:pStyle w:val="TableHeading"/>
            </w:pPr>
            <w:r>
              <w:t>SoC</w:t>
            </w:r>
          </w:p>
        </w:tc>
        <w:tc>
          <w:tcPr>
            <w:tcW w:w="786" w:type="pct"/>
            <w:gridSpan w:val="2"/>
            <w:vAlign w:val="center"/>
          </w:tcPr>
          <w:p w14:paraId="53CE17CF" w14:textId="77777777" w:rsidR="00BF711F" w:rsidRPr="00D86D87" w:rsidRDefault="00BF711F">
            <w:pPr>
              <w:pStyle w:val="TableHeading"/>
            </w:pPr>
            <w:r w:rsidRPr="0052193E">
              <w:t>Absolute difference</w:t>
            </w:r>
          </w:p>
        </w:tc>
        <w:tc>
          <w:tcPr>
            <w:tcW w:w="837" w:type="pct"/>
            <w:gridSpan w:val="2"/>
            <w:vAlign w:val="center"/>
          </w:tcPr>
          <w:p w14:paraId="24744DD2" w14:textId="77777777" w:rsidR="00BF711F" w:rsidRPr="00D86D87" w:rsidRDefault="00BF711F">
            <w:pPr>
              <w:pStyle w:val="TableHeading"/>
            </w:pPr>
            <w:r w:rsidRPr="00D86D87">
              <w:t>HR (95% CI)</w:t>
            </w:r>
          </w:p>
        </w:tc>
      </w:tr>
      <w:tr w:rsidR="00BF711F" w:rsidRPr="00D86D87" w14:paraId="0EBAE354" w14:textId="77777777">
        <w:trPr>
          <w:cantSplit/>
        </w:trPr>
        <w:tc>
          <w:tcPr>
            <w:tcW w:w="5000" w:type="pct"/>
            <w:gridSpan w:val="12"/>
            <w:vAlign w:val="center"/>
          </w:tcPr>
          <w:p w14:paraId="7C02B3DB" w14:textId="77777777" w:rsidR="00BF711F" w:rsidRPr="0052193E" w:rsidRDefault="00BF711F">
            <w:pPr>
              <w:pStyle w:val="TableHeading"/>
            </w:pPr>
            <w:r>
              <w:t>Progression free survival*</w:t>
            </w:r>
          </w:p>
        </w:tc>
      </w:tr>
      <w:tr w:rsidR="00BF711F" w:rsidRPr="00D86D87" w14:paraId="37ED7911" w14:textId="77777777">
        <w:trPr>
          <w:cantSplit/>
        </w:trPr>
        <w:tc>
          <w:tcPr>
            <w:tcW w:w="1569" w:type="pct"/>
            <w:gridSpan w:val="4"/>
            <w:vAlign w:val="center"/>
          </w:tcPr>
          <w:p w14:paraId="32AFD047" w14:textId="77777777" w:rsidR="00BF711F" w:rsidRPr="00D86D87" w:rsidRDefault="00BF711F">
            <w:pPr>
              <w:pStyle w:val="Tabletext"/>
            </w:pPr>
            <w:r w:rsidRPr="00D86D87">
              <w:t>Events, n</w:t>
            </w:r>
            <w:r>
              <w:t>/N</w:t>
            </w:r>
            <w:r w:rsidRPr="00D86D87">
              <w:t xml:space="preserve"> (%)</w:t>
            </w:r>
          </w:p>
        </w:tc>
        <w:tc>
          <w:tcPr>
            <w:tcW w:w="943" w:type="pct"/>
            <w:gridSpan w:val="2"/>
          </w:tcPr>
          <w:p w14:paraId="1DD60791" w14:textId="77777777" w:rsidR="00BF711F" w:rsidRPr="0052193E" w:rsidRDefault="00BF711F">
            <w:pPr>
              <w:pStyle w:val="TableText0"/>
            </w:pPr>
            <w:r w:rsidRPr="0052193E">
              <w:t>82/125 (65.6)</w:t>
            </w:r>
          </w:p>
        </w:tc>
        <w:tc>
          <w:tcPr>
            <w:tcW w:w="865" w:type="pct"/>
            <w:gridSpan w:val="2"/>
          </w:tcPr>
          <w:p w14:paraId="36ECFC00" w14:textId="77777777" w:rsidR="00BF711F" w:rsidRPr="0052193E" w:rsidRDefault="00BF711F">
            <w:pPr>
              <w:pStyle w:val="TableText0"/>
            </w:pPr>
            <w:r w:rsidRPr="0052193E">
              <w:t>36/62 (58.0)</w:t>
            </w:r>
          </w:p>
        </w:tc>
        <w:tc>
          <w:tcPr>
            <w:tcW w:w="786" w:type="pct"/>
            <w:gridSpan w:val="2"/>
          </w:tcPr>
          <w:p w14:paraId="3C8C59ED" w14:textId="77777777" w:rsidR="00BF711F" w:rsidRPr="0052193E" w:rsidRDefault="00BF711F">
            <w:pPr>
              <w:pStyle w:val="TableText0"/>
            </w:pPr>
          </w:p>
        </w:tc>
        <w:tc>
          <w:tcPr>
            <w:tcW w:w="837" w:type="pct"/>
            <w:gridSpan w:val="2"/>
            <w:vMerge w:val="restart"/>
          </w:tcPr>
          <w:p w14:paraId="6F62AF56" w14:textId="77777777" w:rsidR="00BF711F" w:rsidRPr="0052193E" w:rsidRDefault="00BF711F">
            <w:pPr>
              <w:pStyle w:val="TableText0"/>
              <w:jc w:val="center"/>
            </w:pPr>
            <w:r w:rsidRPr="003D3B4F">
              <w:rPr>
                <w:b/>
                <w:bCs w:val="0"/>
              </w:rPr>
              <w:t>0.47 (0.31, 0.71)</w:t>
            </w:r>
          </w:p>
        </w:tc>
      </w:tr>
      <w:tr w:rsidR="00BF711F" w:rsidRPr="00D86D87" w14:paraId="581D04AC" w14:textId="77777777">
        <w:trPr>
          <w:cantSplit/>
        </w:trPr>
        <w:tc>
          <w:tcPr>
            <w:tcW w:w="1569" w:type="pct"/>
            <w:gridSpan w:val="4"/>
            <w:vAlign w:val="center"/>
          </w:tcPr>
          <w:p w14:paraId="2C4A60B6" w14:textId="77777777" w:rsidR="00BF711F" w:rsidRPr="00D86D87" w:rsidRDefault="00BF711F">
            <w:pPr>
              <w:pStyle w:val="Tabletext"/>
            </w:pPr>
            <w:r w:rsidRPr="00D86D87">
              <w:t>Median PFS, months (95% CI)</w:t>
            </w:r>
          </w:p>
        </w:tc>
        <w:tc>
          <w:tcPr>
            <w:tcW w:w="943" w:type="pct"/>
            <w:gridSpan w:val="2"/>
            <w:vAlign w:val="center"/>
          </w:tcPr>
          <w:p w14:paraId="3C6CF04C" w14:textId="77777777" w:rsidR="00BF711F" w:rsidRPr="0052193E" w:rsidRDefault="00BF711F">
            <w:pPr>
              <w:pStyle w:val="TableText0"/>
            </w:pPr>
            <w:r w:rsidRPr="0052193E">
              <w:t>5.6 (4.3, 6.9)</w:t>
            </w:r>
          </w:p>
        </w:tc>
        <w:tc>
          <w:tcPr>
            <w:tcW w:w="865" w:type="pct"/>
            <w:gridSpan w:val="2"/>
            <w:vAlign w:val="center"/>
          </w:tcPr>
          <w:p w14:paraId="3A4B66B5" w14:textId="77777777" w:rsidR="00BF711F" w:rsidRPr="0052193E" w:rsidRDefault="00BF711F">
            <w:pPr>
              <w:pStyle w:val="TableText0"/>
            </w:pPr>
            <w:r w:rsidRPr="0052193E">
              <w:t>3.5 (2.0, 4.3)</w:t>
            </w:r>
          </w:p>
        </w:tc>
        <w:tc>
          <w:tcPr>
            <w:tcW w:w="786" w:type="pct"/>
            <w:gridSpan w:val="2"/>
            <w:vAlign w:val="center"/>
          </w:tcPr>
          <w:p w14:paraId="79AFF216" w14:textId="77777777" w:rsidR="00BF711F" w:rsidRPr="0052193E" w:rsidRDefault="00BF711F">
            <w:pPr>
              <w:pStyle w:val="TableText0"/>
              <w:jc w:val="center"/>
            </w:pPr>
            <w:r w:rsidRPr="0052193E">
              <w:t>2.1</w:t>
            </w:r>
          </w:p>
        </w:tc>
        <w:tc>
          <w:tcPr>
            <w:tcW w:w="837" w:type="pct"/>
            <w:gridSpan w:val="2"/>
            <w:vMerge/>
            <w:vAlign w:val="center"/>
          </w:tcPr>
          <w:p w14:paraId="6DE72901" w14:textId="77777777" w:rsidR="00BF711F" w:rsidRPr="003D3B4F" w:rsidRDefault="00BF711F">
            <w:pPr>
              <w:pStyle w:val="TableText0"/>
              <w:rPr>
                <w:b/>
                <w:bCs w:val="0"/>
              </w:rPr>
            </w:pPr>
          </w:p>
        </w:tc>
      </w:tr>
      <w:tr w:rsidR="00BF711F" w:rsidRPr="00D86D87" w14:paraId="01EDCE83" w14:textId="77777777">
        <w:trPr>
          <w:cantSplit/>
        </w:trPr>
        <w:tc>
          <w:tcPr>
            <w:tcW w:w="1569" w:type="pct"/>
            <w:gridSpan w:val="4"/>
            <w:tcBorders>
              <w:top w:val="single" w:sz="4" w:space="0" w:color="auto"/>
              <w:bottom w:val="single" w:sz="4" w:space="0" w:color="auto"/>
              <w:right w:val="single" w:sz="4" w:space="0" w:color="auto"/>
            </w:tcBorders>
            <w:vAlign w:val="center"/>
          </w:tcPr>
          <w:p w14:paraId="6C491751" w14:textId="77777777" w:rsidR="00BF711F" w:rsidRPr="00D86D87" w:rsidRDefault="00BF711F">
            <w:pPr>
              <w:pStyle w:val="Tabletext"/>
            </w:pPr>
            <w:r>
              <w:t>3</w:t>
            </w:r>
            <w:r w:rsidRPr="00AC6F0D">
              <w:t>-month PFS rates</w:t>
            </w:r>
            <w:r>
              <w:t>, %</w:t>
            </w:r>
            <w:r w:rsidRPr="00AC6F0D">
              <w:t xml:space="preserve"> (95% CI) </w:t>
            </w:r>
          </w:p>
        </w:tc>
        <w:tc>
          <w:tcPr>
            <w:tcW w:w="943" w:type="pct"/>
            <w:gridSpan w:val="2"/>
            <w:vAlign w:val="center"/>
          </w:tcPr>
          <w:p w14:paraId="4B1080A7" w14:textId="77777777" w:rsidR="00BF711F" w:rsidRPr="0052193E" w:rsidRDefault="00BF711F">
            <w:pPr>
              <w:pStyle w:val="TableText0"/>
            </w:pPr>
            <w:r w:rsidRPr="0052193E">
              <w:t>71.9 (63.0, 79.1)</w:t>
            </w:r>
          </w:p>
        </w:tc>
        <w:tc>
          <w:tcPr>
            <w:tcW w:w="865" w:type="pct"/>
            <w:gridSpan w:val="2"/>
            <w:vAlign w:val="center"/>
          </w:tcPr>
          <w:p w14:paraId="532454D1" w14:textId="77777777" w:rsidR="00BF711F" w:rsidRPr="0052193E" w:rsidRDefault="00BF711F">
            <w:pPr>
              <w:pStyle w:val="TableText0"/>
            </w:pPr>
            <w:r w:rsidRPr="0052193E">
              <w:t>50.3 (35.5, 63.5)</w:t>
            </w:r>
          </w:p>
        </w:tc>
        <w:tc>
          <w:tcPr>
            <w:tcW w:w="786" w:type="pct"/>
            <w:gridSpan w:val="2"/>
            <w:vAlign w:val="center"/>
          </w:tcPr>
          <w:p w14:paraId="33D6C113" w14:textId="77777777" w:rsidR="00BF711F" w:rsidRPr="0052193E" w:rsidRDefault="00BF711F">
            <w:pPr>
              <w:pStyle w:val="TableText0"/>
              <w:jc w:val="center"/>
            </w:pPr>
            <w:r w:rsidRPr="0052193E">
              <w:t>21.6</w:t>
            </w:r>
          </w:p>
        </w:tc>
        <w:tc>
          <w:tcPr>
            <w:tcW w:w="837" w:type="pct"/>
            <w:gridSpan w:val="2"/>
            <w:vMerge/>
            <w:vAlign w:val="center"/>
          </w:tcPr>
          <w:p w14:paraId="50B9C600" w14:textId="77777777" w:rsidR="00BF711F" w:rsidRPr="0052193E" w:rsidRDefault="00BF711F">
            <w:pPr>
              <w:pStyle w:val="TableText0"/>
            </w:pPr>
          </w:p>
        </w:tc>
      </w:tr>
      <w:tr w:rsidR="00BF711F" w:rsidRPr="00D86D87" w14:paraId="73D8383C" w14:textId="77777777">
        <w:trPr>
          <w:cantSplit/>
        </w:trPr>
        <w:tc>
          <w:tcPr>
            <w:tcW w:w="1569" w:type="pct"/>
            <w:gridSpan w:val="4"/>
            <w:tcBorders>
              <w:top w:val="single" w:sz="4" w:space="0" w:color="auto"/>
              <w:bottom w:val="single" w:sz="4" w:space="0" w:color="auto"/>
              <w:right w:val="single" w:sz="4" w:space="0" w:color="auto"/>
            </w:tcBorders>
            <w:vAlign w:val="center"/>
          </w:tcPr>
          <w:p w14:paraId="1B182945" w14:textId="77777777" w:rsidR="00BF711F" w:rsidRPr="00D86D87" w:rsidRDefault="00BF711F">
            <w:pPr>
              <w:pStyle w:val="Tabletext"/>
            </w:pPr>
            <w:r>
              <w:t>6</w:t>
            </w:r>
            <w:r w:rsidRPr="00AC6F0D">
              <w:t>-month PFS rates</w:t>
            </w:r>
            <w:r>
              <w:t>, %</w:t>
            </w:r>
            <w:r w:rsidRPr="00AC6F0D">
              <w:t xml:space="preserve"> (95% CI)</w:t>
            </w:r>
          </w:p>
        </w:tc>
        <w:tc>
          <w:tcPr>
            <w:tcW w:w="943" w:type="pct"/>
            <w:gridSpan w:val="2"/>
            <w:vAlign w:val="center"/>
          </w:tcPr>
          <w:p w14:paraId="08F3FFF5" w14:textId="77777777" w:rsidR="00BF711F" w:rsidRPr="0052193E" w:rsidRDefault="00BF711F">
            <w:pPr>
              <w:pStyle w:val="TableText0"/>
            </w:pPr>
            <w:r w:rsidRPr="0052193E">
              <w:t>43.0 (33.6, 52)</w:t>
            </w:r>
          </w:p>
        </w:tc>
        <w:tc>
          <w:tcPr>
            <w:tcW w:w="865" w:type="pct"/>
            <w:gridSpan w:val="2"/>
            <w:vAlign w:val="center"/>
          </w:tcPr>
          <w:p w14:paraId="13AF13DA" w14:textId="77777777" w:rsidR="00BF711F" w:rsidRPr="0052193E" w:rsidRDefault="00BF711F">
            <w:pPr>
              <w:pStyle w:val="TableText0"/>
            </w:pPr>
            <w:r w:rsidRPr="0052193E">
              <w:t>20.6 (8.9, 35.6)</w:t>
            </w:r>
          </w:p>
        </w:tc>
        <w:tc>
          <w:tcPr>
            <w:tcW w:w="786" w:type="pct"/>
            <w:gridSpan w:val="2"/>
            <w:vAlign w:val="center"/>
          </w:tcPr>
          <w:p w14:paraId="3E994E5D" w14:textId="77777777" w:rsidR="00BF711F" w:rsidRPr="0052193E" w:rsidRDefault="00BF711F">
            <w:pPr>
              <w:pStyle w:val="TableText0"/>
              <w:jc w:val="center"/>
            </w:pPr>
            <w:r w:rsidRPr="0052193E">
              <w:t>22.4</w:t>
            </w:r>
          </w:p>
        </w:tc>
        <w:tc>
          <w:tcPr>
            <w:tcW w:w="837" w:type="pct"/>
            <w:gridSpan w:val="2"/>
            <w:vMerge/>
            <w:vAlign w:val="center"/>
          </w:tcPr>
          <w:p w14:paraId="1A601A28" w14:textId="77777777" w:rsidR="00BF711F" w:rsidRPr="0052193E" w:rsidRDefault="00BF711F">
            <w:pPr>
              <w:pStyle w:val="TableText0"/>
            </w:pPr>
          </w:p>
        </w:tc>
      </w:tr>
      <w:tr w:rsidR="00BF711F" w:rsidRPr="00D86D87" w14:paraId="361CD625" w14:textId="77777777">
        <w:trPr>
          <w:cantSplit/>
        </w:trPr>
        <w:tc>
          <w:tcPr>
            <w:tcW w:w="1569" w:type="pct"/>
            <w:gridSpan w:val="4"/>
            <w:tcBorders>
              <w:top w:val="single" w:sz="4" w:space="0" w:color="auto"/>
              <w:bottom w:val="single" w:sz="4" w:space="0" w:color="auto"/>
              <w:right w:val="single" w:sz="4" w:space="0" w:color="auto"/>
            </w:tcBorders>
            <w:vAlign w:val="center"/>
          </w:tcPr>
          <w:p w14:paraId="48F24F7B" w14:textId="77777777" w:rsidR="00BF711F" w:rsidRPr="00D86D87" w:rsidRDefault="00BF711F">
            <w:pPr>
              <w:pStyle w:val="Tabletext"/>
            </w:pPr>
            <w:r>
              <w:t>9</w:t>
            </w:r>
            <w:r w:rsidRPr="00AC6F0D">
              <w:t>-month PFS rates</w:t>
            </w:r>
            <w:r>
              <w:t>, %</w:t>
            </w:r>
            <w:r w:rsidRPr="00AC6F0D">
              <w:t xml:space="preserve"> (95% CI)</w:t>
            </w:r>
          </w:p>
        </w:tc>
        <w:tc>
          <w:tcPr>
            <w:tcW w:w="943" w:type="pct"/>
            <w:gridSpan w:val="2"/>
            <w:vAlign w:val="center"/>
          </w:tcPr>
          <w:p w14:paraId="12DFFAED" w14:textId="77777777" w:rsidR="00BF711F" w:rsidRPr="0052193E" w:rsidRDefault="00BF711F">
            <w:pPr>
              <w:pStyle w:val="TableText0"/>
            </w:pPr>
            <w:r w:rsidRPr="0052193E">
              <w:t>33.3 (24.4, 42.4)</w:t>
            </w:r>
          </w:p>
        </w:tc>
        <w:tc>
          <w:tcPr>
            <w:tcW w:w="865" w:type="pct"/>
            <w:gridSpan w:val="2"/>
            <w:vAlign w:val="center"/>
          </w:tcPr>
          <w:p w14:paraId="35AA1663" w14:textId="77777777" w:rsidR="00BF711F" w:rsidRPr="0052193E" w:rsidRDefault="00BF711F">
            <w:pPr>
              <w:pStyle w:val="TableText0"/>
            </w:pPr>
            <w:r w:rsidRPr="0052193E">
              <w:t>NE</w:t>
            </w:r>
          </w:p>
        </w:tc>
        <w:tc>
          <w:tcPr>
            <w:tcW w:w="786" w:type="pct"/>
            <w:gridSpan w:val="2"/>
            <w:vAlign w:val="center"/>
          </w:tcPr>
          <w:p w14:paraId="5929A7F5" w14:textId="77777777" w:rsidR="00BF711F" w:rsidRPr="0052193E" w:rsidRDefault="00BF711F">
            <w:pPr>
              <w:pStyle w:val="TableText0"/>
              <w:jc w:val="center"/>
            </w:pPr>
            <w:r w:rsidRPr="0052193E">
              <w:t>NE</w:t>
            </w:r>
          </w:p>
        </w:tc>
        <w:tc>
          <w:tcPr>
            <w:tcW w:w="837" w:type="pct"/>
            <w:gridSpan w:val="2"/>
            <w:vMerge/>
            <w:vAlign w:val="center"/>
          </w:tcPr>
          <w:p w14:paraId="2E1D5399" w14:textId="77777777" w:rsidR="00BF711F" w:rsidRPr="0052193E" w:rsidRDefault="00BF711F">
            <w:pPr>
              <w:pStyle w:val="TableText0"/>
            </w:pPr>
          </w:p>
        </w:tc>
      </w:tr>
      <w:tr w:rsidR="00BF711F" w:rsidRPr="00D86D87" w14:paraId="1E36DEC0" w14:textId="77777777">
        <w:trPr>
          <w:cantSplit/>
        </w:trPr>
        <w:tc>
          <w:tcPr>
            <w:tcW w:w="1569" w:type="pct"/>
            <w:gridSpan w:val="4"/>
            <w:tcBorders>
              <w:top w:val="single" w:sz="4" w:space="0" w:color="auto"/>
              <w:bottom w:val="single" w:sz="4" w:space="0" w:color="auto"/>
              <w:right w:val="single" w:sz="4" w:space="0" w:color="auto"/>
            </w:tcBorders>
            <w:vAlign w:val="center"/>
          </w:tcPr>
          <w:p w14:paraId="0B5020D0" w14:textId="77777777" w:rsidR="00BF711F" w:rsidRPr="00D86D87" w:rsidRDefault="00BF711F">
            <w:pPr>
              <w:pStyle w:val="Tabletext"/>
            </w:pPr>
            <w:r>
              <w:t>12</w:t>
            </w:r>
            <w:r w:rsidRPr="00AC6F0D">
              <w:t>-month PFS rates</w:t>
            </w:r>
            <w:r>
              <w:t>, %</w:t>
            </w:r>
            <w:r w:rsidRPr="00AC6F0D">
              <w:t xml:space="preserve"> (95%</w:t>
            </w:r>
            <w:r>
              <w:t xml:space="preserve"> </w:t>
            </w:r>
            <w:r w:rsidRPr="00AC6F0D">
              <w:t>CI)</w:t>
            </w:r>
          </w:p>
        </w:tc>
        <w:tc>
          <w:tcPr>
            <w:tcW w:w="943" w:type="pct"/>
            <w:gridSpan w:val="2"/>
            <w:vAlign w:val="center"/>
          </w:tcPr>
          <w:p w14:paraId="1C077719" w14:textId="77777777" w:rsidR="00BF711F" w:rsidRPr="0052193E" w:rsidRDefault="00BF711F">
            <w:pPr>
              <w:pStyle w:val="TableText0"/>
            </w:pPr>
            <w:r w:rsidRPr="0052193E">
              <w:t>30.4 (21.5, 39.7)</w:t>
            </w:r>
          </w:p>
        </w:tc>
        <w:tc>
          <w:tcPr>
            <w:tcW w:w="865" w:type="pct"/>
            <w:gridSpan w:val="2"/>
            <w:vAlign w:val="center"/>
          </w:tcPr>
          <w:p w14:paraId="6570C203" w14:textId="77777777" w:rsidR="00BF711F" w:rsidRPr="0052193E" w:rsidRDefault="00BF711F">
            <w:pPr>
              <w:pStyle w:val="TableText0"/>
            </w:pPr>
            <w:r w:rsidRPr="0052193E">
              <w:t>NE</w:t>
            </w:r>
          </w:p>
        </w:tc>
        <w:tc>
          <w:tcPr>
            <w:tcW w:w="786" w:type="pct"/>
            <w:gridSpan w:val="2"/>
            <w:vAlign w:val="center"/>
          </w:tcPr>
          <w:p w14:paraId="31CFD551" w14:textId="77777777" w:rsidR="00BF711F" w:rsidRPr="0052193E" w:rsidRDefault="00BF711F">
            <w:pPr>
              <w:pStyle w:val="TableText0"/>
              <w:jc w:val="center"/>
            </w:pPr>
            <w:r w:rsidRPr="0052193E">
              <w:t>NE</w:t>
            </w:r>
          </w:p>
        </w:tc>
        <w:tc>
          <w:tcPr>
            <w:tcW w:w="837" w:type="pct"/>
            <w:gridSpan w:val="2"/>
            <w:vMerge/>
            <w:vAlign w:val="center"/>
          </w:tcPr>
          <w:p w14:paraId="0D37514E" w14:textId="77777777" w:rsidR="00BF711F" w:rsidRPr="0052193E" w:rsidRDefault="00BF711F">
            <w:pPr>
              <w:pStyle w:val="TableText0"/>
            </w:pPr>
          </w:p>
        </w:tc>
      </w:tr>
      <w:tr w:rsidR="00BF711F" w:rsidRPr="00D86D87" w14:paraId="0160FFDB" w14:textId="77777777">
        <w:trPr>
          <w:cantSplit/>
        </w:trPr>
        <w:tc>
          <w:tcPr>
            <w:tcW w:w="5000" w:type="pct"/>
            <w:gridSpan w:val="12"/>
            <w:tcBorders>
              <w:top w:val="single" w:sz="4" w:space="0" w:color="auto"/>
              <w:bottom w:val="single" w:sz="4" w:space="0" w:color="auto"/>
            </w:tcBorders>
            <w:vAlign w:val="center"/>
          </w:tcPr>
          <w:p w14:paraId="3A0C352E" w14:textId="77777777" w:rsidR="00BF711F" w:rsidRPr="0052193E" w:rsidRDefault="00BF711F">
            <w:pPr>
              <w:pStyle w:val="TableHeading"/>
            </w:pPr>
            <w:r>
              <w:t>Overall survival*</w:t>
            </w:r>
          </w:p>
        </w:tc>
      </w:tr>
      <w:tr w:rsidR="00BF711F" w:rsidRPr="00D86D87" w14:paraId="26551843" w14:textId="77777777">
        <w:trPr>
          <w:cantSplit/>
        </w:trPr>
        <w:tc>
          <w:tcPr>
            <w:tcW w:w="1569" w:type="pct"/>
            <w:gridSpan w:val="4"/>
            <w:vAlign w:val="center"/>
          </w:tcPr>
          <w:p w14:paraId="01441562" w14:textId="77777777" w:rsidR="00BF711F" w:rsidRPr="00D86D87" w:rsidRDefault="00BF711F">
            <w:pPr>
              <w:pStyle w:val="Tabletext"/>
            </w:pPr>
            <w:r w:rsidRPr="00D86D87">
              <w:t>Deaths, n/N (%)</w:t>
            </w:r>
          </w:p>
        </w:tc>
        <w:tc>
          <w:tcPr>
            <w:tcW w:w="943" w:type="pct"/>
            <w:gridSpan w:val="2"/>
            <w:vAlign w:val="center"/>
          </w:tcPr>
          <w:p w14:paraId="2BF4F325" w14:textId="77777777" w:rsidR="00BF711F" w:rsidRPr="0052193E" w:rsidRDefault="00BF711F">
            <w:pPr>
              <w:pStyle w:val="TableText0"/>
            </w:pPr>
            <w:r w:rsidRPr="0052193E">
              <w:t>84/125 (67.2)</w:t>
            </w:r>
          </w:p>
        </w:tc>
        <w:tc>
          <w:tcPr>
            <w:tcW w:w="865" w:type="pct"/>
            <w:gridSpan w:val="2"/>
            <w:vAlign w:val="center"/>
          </w:tcPr>
          <w:p w14:paraId="6F20ADA9" w14:textId="77777777" w:rsidR="00BF711F" w:rsidRPr="0052193E" w:rsidRDefault="00BF711F">
            <w:pPr>
              <w:pStyle w:val="TableText0"/>
            </w:pPr>
            <w:r w:rsidRPr="0052193E">
              <w:t>49/62 (79.0)</w:t>
            </w:r>
          </w:p>
        </w:tc>
        <w:tc>
          <w:tcPr>
            <w:tcW w:w="786" w:type="pct"/>
            <w:gridSpan w:val="2"/>
          </w:tcPr>
          <w:p w14:paraId="53B32E6F" w14:textId="77777777" w:rsidR="00BF711F" w:rsidRPr="0052193E" w:rsidRDefault="00BF711F">
            <w:pPr>
              <w:pStyle w:val="TableText0"/>
            </w:pPr>
          </w:p>
        </w:tc>
        <w:tc>
          <w:tcPr>
            <w:tcW w:w="837" w:type="pct"/>
            <w:gridSpan w:val="2"/>
            <w:vMerge w:val="restart"/>
          </w:tcPr>
          <w:p w14:paraId="1C092820" w14:textId="77777777" w:rsidR="00BF711F" w:rsidRPr="0052193E" w:rsidRDefault="00BF711F">
            <w:pPr>
              <w:pStyle w:val="TableText0"/>
              <w:jc w:val="center"/>
            </w:pPr>
            <w:r w:rsidRPr="003D3B4F">
              <w:rPr>
                <w:b/>
                <w:bCs w:val="0"/>
              </w:rPr>
              <w:t>0.60 (0.42, 0.86)</w:t>
            </w:r>
          </w:p>
        </w:tc>
      </w:tr>
      <w:tr w:rsidR="00BF711F" w:rsidRPr="00D86D87" w14:paraId="01F7BD3C" w14:textId="77777777">
        <w:trPr>
          <w:cantSplit/>
        </w:trPr>
        <w:tc>
          <w:tcPr>
            <w:tcW w:w="1569" w:type="pct"/>
            <w:gridSpan w:val="4"/>
            <w:vAlign w:val="center"/>
          </w:tcPr>
          <w:p w14:paraId="29908481" w14:textId="77777777" w:rsidR="00BF711F" w:rsidRPr="00D86D87" w:rsidRDefault="00BF711F">
            <w:pPr>
              <w:pStyle w:val="Tabletext"/>
            </w:pPr>
            <w:r w:rsidRPr="00D86D87">
              <w:t>Median months OS (95% CI)</w:t>
            </w:r>
          </w:p>
        </w:tc>
        <w:tc>
          <w:tcPr>
            <w:tcW w:w="943" w:type="pct"/>
            <w:gridSpan w:val="2"/>
            <w:vAlign w:val="center"/>
          </w:tcPr>
          <w:p w14:paraId="28380B40" w14:textId="77777777" w:rsidR="00BF711F" w:rsidRPr="0052193E" w:rsidRDefault="00BF711F">
            <w:pPr>
              <w:pStyle w:val="TableText0"/>
            </w:pPr>
            <w:r w:rsidRPr="0052193E">
              <w:t>12.5 (10.3, 15.2)</w:t>
            </w:r>
          </w:p>
        </w:tc>
        <w:tc>
          <w:tcPr>
            <w:tcW w:w="865" w:type="pct"/>
            <w:gridSpan w:val="2"/>
            <w:vAlign w:val="center"/>
          </w:tcPr>
          <w:p w14:paraId="09146D8C" w14:textId="77777777" w:rsidR="00BF711F" w:rsidRPr="0052193E" w:rsidRDefault="00BF711F">
            <w:pPr>
              <w:pStyle w:val="TableText0"/>
            </w:pPr>
            <w:r w:rsidRPr="0052193E">
              <w:t>8.9 (6.4, 10.4)</w:t>
            </w:r>
          </w:p>
        </w:tc>
        <w:tc>
          <w:tcPr>
            <w:tcW w:w="786" w:type="pct"/>
            <w:gridSpan w:val="2"/>
            <w:vAlign w:val="center"/>
          </w:tcPr>
          <w:p w14:paraId="6FBB386C" w14:textId="77777777" w:rsidR="00BF711F" w:rsidRPr="0052193E" w:rsidRDefault="00BF711F">
            <w:pPr>
              <w:pStyle w:val="TableText0"/>
              <w:jc w:val="center"/>
            </w:pPr>
            <w:r w:rsidRPr="0052193E">
              <w:t>3.6</w:t>
            </w:r>
          </w:p>
        </w:tc>
        <w:tc>
          <w:tcPr>
            <w:tcW w:w="837" w:type="pct"/>
            <w:gridSpan w:val="2"/>
            <w:vMerge/>
            <w:vAlign w:val="center"/>
          </w:tcPr>
          <w:p w14:paraId="7C7079A6" w14:textId="77777777" w:rsidR="00BF711F" w:rsidRPr="003D3B4F" w:rsidRDefault="00BF711F">
            <w:pPr>
              <w:pStyle w:val="TableText0"/>
              <w:rPr>
                <w:b/>
                <w:bCs w:val="0"/>
              </w:rPr>
            </w:pPr>
          </w:p>
        </w:tc>
      </w:tr>
      <w:tr w:rsidR="00BF711F" w:rsidRPr="00D86D87" w14:paraId="35B1C10E" w14:textId="77777777">
        <w:trPr>
          <w:cantSplit/>
        </w:trPr>
        <w:tc>
          <w:tcPr>
            <w:tcW w:w="1569" w:type="pct"/>
            <w:gridSpan w:val="4"/>
            <w:tcBorders>
              <w:top w:val="single" w:sz="4" w:space="0" w:color="auto"/>
              <w:left w:val="single" w:sz="4" w:space="0" w:color="auto"/>
              <w:bottom w:val="single" w:sz="4" w:space="0" w:color="auto"/>
              <w:right w:val="single" w:sz="4" w:space="0" w:color="auto"/>
            </w:tcBorders>
            <w:vAlign w:val="center"/>
          </w:tcPr>
          <w:p w14:paraId="182357E1" w14:textId="77777777" w:rsidR="00BF711F" w:rsidRPr="00D86D87" w:rsidRDefault="00BF711F">
            <w:pPr>
              <w:pStyle w:val="Tabletext"/>
            </w:pPr>
            <w:r>
              <w:t>3</w:t>
            </w:r>
            <w:r w:rsidRPr="00AC6F0D">
              <w:t>-month OS rates</w:t>
            </w:r>
            <w:r>
              <w:t>,</w:t>
            </w:r>
            <w:r w:rsidRPr="00AC6F0D">
              <w:t xml:space="preserve"> </w:t>
            </w:r>
            <w:r>
              <w:t xml:space="preserve">% </w:t>
            </w:r>
            <w:r w:rsidRPr="00AC6F0D">
              <w:t>(95% CI)</w:t>
            </w:r>
          </w:p>
        </w:tc>
        <w:tc>
          <w:tcPr>
            <w:tcW w:w="943" w:type="pct"/>
            <w:gridSpan w:val="2"/>
            <w:vAlign w:val="center"/>
          </w:tcPr>
          <w:p w14:paraId="1EEF053F" w14:textId="77777777" w:rsidR="00BF711F" w:rsidRPr="0052193E" w:rsidRDefault="00BF711F">
            <w:pPr>
              <w:pStyle w:val="TableText0"/>
            </w:pPr>
            <w:r w:rsidRPr="0052193E">
              <w:t>92.7 (86.5, 96.2)</w:t>
            </w:r>
          </w:p>
        </w:tc>
        <w:tc>
          <w:tcPr>
            <w:tcW w:w="865" w:type="pct"/>
            <w:gridSpan w:val="2"/>
            <w:vAlign w:val="center"/>
          </w:tcPr>
          <w:p w14:paraId="52A8F656" w14:textId="77777777" w:rsidR="00BF711F" w:rsidRPr="0052193E" w:rsidRDefault="00BF711F">
            <w:pPr>
              <w:pStyle w:val="TableText0"/>
            </w:pPr>
            <w:r w:rsidRPr="0052193E">
              <w:t>90.0 (79.1, 95.4)</w:t>
            </w:r>
          </w:p>
        </w:tc>
        <w:tc>
          <w:tcPr>
            <w:tcW w:w="786" w:type="pct"/>
            <w:gridSpan w:val="2"/>
            <w:vAlign w:val="center"/>
          </w:tcPr>
          <w:p w14:paraId="36FF20C7" w14:textId="77777777" w:rsidR="00BF711F" w:rsidRPr="0052193E" w:rsidRDefault="00BF711F">
            <w:pPr>
              <w:pStyle w:val="TableText0"/>
              <w:jc w:val="center"/>
            </w:pPr>
            <w:r w:rsidRPr="0052193E">
              <w:t>2.7</w:t>
            </w:r>
          </w:p>
        </w:tc>
        <w:tc>
          <w:tcPr>
            <w:tcW w:w="837" w:type="pct"/>
            <w:gridSpan w:val="2"/>
            <w:vMerge/>
            <w:vAlign w:val="center"/>
          </w:tcPr>
          <w:p w14:paraId="74993C78" w14:textId="77777777" w:rsidR="00BF711F" w:rsidRPr="0052193E" w:rsidRDefault="00BF711F">
            <w:pPr>
              <w:pStyle w:val="TableText0"/>
            </w:pPr>
          </w:p>
        </w:tc>
      </w:tr>
      <w:tr w:rsidR="00BF711F" w:rsidRPr="00D86D87" w14:paraId="3C9C002C" w14:textId="77777777">
        <w:trPr>
          <w:cantSplit/>
        </w:trPr>
        <w:tc>
          <w:tcPr>
            <w:tcW w:w="1569" w:type="pct"/>
            <w:gridSpan w:val="4"/>
            <w:tcBorders>
              <w:top w:val="single" w:sz="4" w:space="0" w:color="auto"/>
              <w:left w:val="single" w:sz="4" w:space="0" w:color="auto"/>
              <w:bottom w:val="single" w:sz="4" w:space="0" w:color="auto"/>
              <w:right w:val="single" w:sz="4" w:space="0" w:color="auto"/>
            </w:tcBorders>
            <w:vAlign w:val="center"/>
          </w:tcPr>
          <w:p w14:paraId="7F47FA7E" w14:textId="77777777" w:rsidR="00BF711F" w:rsidRPr="00D86D87" w:rsidRDefault="00BF711F">
            <w:pPr>
              <w:pStyle w:val="Tabletext"/>
            </w:pPr>
            <w:r>
              <w:t>6</w:t>
            </w:r>
            <w:r w:rsidRPr="00AC6F0D">
              <w:t>-month OS rates</w:t>
            </w:r>
            <w:r>
              <w:t>, %</w:t>
            </w:r>
            <w:r w:rsidRPr="00AC6F0D">
              <w:t xml:space="preserve"> (95% CI)</w:t>
            </w:r>
          </w:p>
        </w:tc>
        <w:tc>
          <w:tcPr>
            <w:tcW w:w="943" w:type="pct"/>
            <w:gridSpan w:val="2"/>
            <w:vAlign w:val="center"/>
          </w:tcPr>
          <w:p w14:paraId="0761ADC3" w14:textId="77777777" w:rsidR="00BF711F" w:rsidRPr="0052193E" w:rsidRDefault="00BF711F">
            <w:pPr>
              <w:pStyle w:val="TableText0"/>
            </w:pPr>
            <w:r w:rsidRPr="0052193E">
              <w:t>80.7 (72.5, 86.6)</w:t>
            </w:r>
          </w:p>
        </w:tc>
        <w:tc>
          <w:tcPr>
            <w:tcW w:w="865" w:type="pct"/>
            <w:gridSpan w:val="2"/>
            <w:vAlign w:val="center"/>
          </w:tcPr>
          <w:p w14:paraId="4953BA3A" w14:textId="77777777" w:rsidR="00BF711F" w:rsidRPr="0052193E" w:rsidRDefault="00BF711F">
            <w:pPr>
              <w:pStyle w:val="TableText0"/>
            </w:pPr>
            <w:r w:rsidRPr="0052193E">
              <w:t>65.0 (51.5, 75.6)</w:t>
            </w:r>
          </w:p>
        </w:tc>
        <w:tc>
          <w:tcPr>
            <w:tcW w:w="786" w:type="pct"/>
            <w:gridSpan w:val="2"/>
            <w:vAlign w:val="center"/>
          </w:tcPr>
          <w:p w14:paraId="2C1C193D" w14:textId="77777777" w:rsidR="00BF711F" w:rsidRPr="0052193E" w:rsidRDefault="00BF711F">
            <w:pPr>
              <w:pStyle w:val="TableText0"/>
              <w:jc w:val="center"/>
            </w:pPr>
            <w:r w:rsidRPr="0052193E">
              <w:t>15.7</w:t>
            </w:r>
          </w:p>
        </w:tc>
        <w:tc>
          <w:tcPr>
            <w:tcW w:w="837" w:type="pct"/>
            <w:gridSpan w:val="2"/>
            <w:vMerge/>
            <w:vAlign w:val="center"/>
          </w:tcPr>
          <w:p w14:paraId="4D010EA7" w14:textId="77777777" w:rsidR="00BF711F" w:rsidRPr="0052193E" w:rsidRDefault="00BF711F">
            <w:pPr>
              <w:pStyle w:val="TableText0"/>
            </w:pPr>
          </w:p>
        </w:tc>
      </w:tr>
      <w:tr w:rsidR="00BF711F" w:rsidRPr="00D86D87" w14:paraId="7E568EF0" w14:textId="77777777">
        <w:trPr>
          <w:cantSplit/>
        </w:trPr>
        <w:tc>
          <w:tcPr>
            <w:tcW w:w="1569" w:type="pct"/>
            <w:gridSpan w:val="4"/>
            <w:tcBorders>
              <w:top w:val="single" w:sz="4" w:space="0" w:color="auto"/>
              <w:left w:val="single" w:sz="4" w:space="0" w:color="auto"/>
              <w:bottom w:val="single" w:sz="4" w:space="0" w:color="auto"/>
              <w:right w:val="single" w:sz="4" w:space="0" w:color="auto"/>
            </w:tcBorders>
            <w:vAlign w:val="center"/>
          </w:tcPr>
          <w:p w14:paraId="47BF7A37" w14:textId="77777777" w:rsidR="00BF711F" w:rsidRPr="00D86D87" w:rsidRDefault="00BF711F">
            <w:pPr>
              <w:pStyle w:val="Tabletext"/>
            </w:pPr>
            <w:r>
              <w:t>9</w:t>
            </w:r>
            <w:r w:rsidRPr="00AC6F0D">
              <w:t>-month OS rates</w:t>
            </w:r>
            <w:r>
              <w:t>, %</w:t>
            </w:r>
            <w:r w:rsidRPr="00AC6F0D">
              <w:t xml:space="preserve"> (95% CI)</w:t>
            </w:r>
          </w:p>
        </w:tc>
        <w:tc>
          <w:tcPr>
            <w:tcW w:w="943" w:type="pct"/>
            <w:gridSpan w:val="2"/>
            <w:vAlign w:val="center"/>
          </w:tcPr>
          <w:p w14:paraId="17C06ED8" w14:textId="77777777" w:rsidR="00BF711F" w:rsidRPr="0052193E" w:rsidRDefault="00BF711F">
            <w:pPr>
              <w:pStyle w:val="TableText0"/>
            </w:pPr>
            <w:r w:rsidRPr="0052193E">
              <w:t>63.7 (54.6., 71.5)</w:t>
            </w:r>
          </w:p>
        </w:tc>
        <w:tc>
          <w:tcPr>
            <w:tcW w:w="865" w:type="pct"/>
            <w:gridSpan w:val="2"/>
            <w:vAlign w:val="center"/>
          </w:tcPr>
          <w:p w14:paraId="4C69064C" w14:textId="77777777" w:rsidR="00BF711F" w:rsidRPr="0052193E" w:rsidRDefault="00BF711F">
            <w:pPr>
              <w:pStyle w:val="TableText0"/>
            </w:pPr>
            <w:r w:rsidRPr="0052193E">
              <w:t>50.0 (36.8, 61.8)</w:t>
            </w:r>
          </w:p>
        </w:tc>
        <w:tc>
          <w:tcPr>
            <w:tcW w:w="786" w:type="pct"/>
            <w:gridSpan w:val="2"/>
            <w:vAlign w:val="center"/>
          </w:tcPr>
          <w:p w14:paraId="7423636E" w14:textId="77777777" w:rsidR="00BF711F" w:rsidRPr="0052193E" w:rsidRDefault="00BF711F">
            <w:pPr>
              <w:pStyle w:val="TableText0"/>
              <w:jc w:val="center"/>
            </w:pPr>
            <w:r w:rsidRPr="0052193E">
              <w:t>13.7</w:t>
            </w:r>
          </w:p>
        </w:tc>
        <w:tc>
          <w:tcPr>
            <w:tcW w:w="837" w:type="pct"/>
            <w:gridSpan w:val="2"/>
            <w:vMerge/>
            <w:vAlign w:val="center"/>
          </w:tcPr>
          <w:p w14:paraId="0CAA5A4A" w14:textId="77777777" w:rsidR="00BF711F" w:rsidRPr="0052193E" w:rsidRDefault="00BF711F">
            <w:pPr>
              <w:pStyle w:val="TableText0"/>
            </w:pPr>
          </w:p>
        </w:tc>
      </w:tr>
      <w:tr w:rsidR="00BF711F" w:rsidRPr="00D86D87" w14:paraId="7C77C245" w14:textId="77777777">
        <w:trPr>
          <w:cantSplit/>
        </w:trPr>
        <w:tc>
          <w:tcPr>
            <w:tcW w:w="1569" w:type="pct"/>
            <w:gridSpan w:val="4"/>
            <w:tcBorders>
              <w:top w:val="single" w:sz="4" w:space="0" w:color="auto"/>
              <w:left w:val="single" w:sz="4" w:space="0" w:color="auto"/>
              <w:bottom w:val="double" w:sz="4" w:space="0" w:color="auto"/>
              <w:right w:val="single" w:sz="4" w:space="0" w:color="auto"/>
            </w:tcBorders>
            <w:vAlign w:val="center"/>
          </w:tcPr>
          <w:p w14:paraId="59B68705" w14:textId="77777777" w:rsidR="00BF711F" w:rsidRPr="00D86D87" w:rsidRDefault="00BF711F">
            <w:pPr>
              <w:pStyle w:val="Tabletext"/>
            </w:pPr>
            <w:r>
              <w:t>12</w:t>
            </w:r>
            <w:r w:rsidRPr="00AC6F0D">
              <w:t>-month OS rates</w:t>
            </w:r>
            <w:r>
              <w:t>, %</w:t>
            </w:r>
            <w:r w:rsidRPr="00AC6F0D">
              <w:t xml:space="preserve"> (95% CI)</w:t>
            </w:r>
          </w:p>
        </w:tc>
        <w:tc>
          <w:tcPr>
            <w:tcW w:w="943" w:type="pct"/>
            <w:gridSpan w:val="2"/>
            <w:tcBorders>
              <w:bottom w:val="double" w:sz="4" w:space="0" w:color="auto"/>
            </w:tcBorders>
            <w:vAlign w:val="center"/>
          </w:tcPr>
          <w:p w14:paraId="4A66B224" w14:textId="77777777" w:rsidR="00BF711F" w:rsidRPr="0052193E" w:rsidRDefault="00BF711F">
            <w:pPr>
              <w:pStyle w:val="TableText0"/>
            </w:pPr>
            <w:r w:rsidRPr="0052193E">
              <w:t>52.2 (43.1, 60.6)</w:t>
            </w:r>
          </w:p>
        </w:tc>
        <w:tc>
          <w:tcPr>
            <w:tcW w:w="865" w:type="pct"/>
            <w:gridSpan w:val="2"/>
            <w:tcBorders>
              <w:bottom w:val="double" w:sz="4" w:space="0" w:color="auto"/>
            </w:tcBorders>
            <w:vAlign w:val="center"/>
          </w:tcPr>
          <w:p w14:paraId="60CCFB6C" w14:textId="77777777" w:rsidR="00BF711F" w:rsidRPr="0052193E" w:rsidRDefault="00BF711F">
            <w:pPr>
              <w:pStyle w:val="TableText0"/>
            </w:pPr>
            <w:r w:rsidRPr="0052193E">
              <w:t>29.7 (18.7, 41.5)</w:t>
            </w:r>
          </w:p>
        </w:tc>
        <w:tc>
          <w:tcPr>
            <w:tcW w:w="786" w:type="pct"/>
            <w:gridSpan w:val="2"/>
            <w:tcBorders>
              <w:bottom w:val="double" w:sz="4" w:space="0" w:color="auto"/>
            </w:tcBorders>
            <w:vAlign w:val="center"/>
          </w:tcPr>
          <w:p w14:paraId="32D6511A" w14:textId="77777777" w:rsidR="00BF711F" w:rsidRPr="0052193E" w:rsidRDefault="00BF711F">
            <w:pPr>
              <w:pStyle w:val="TableText0"/>
              <w:jc w:val="center"/>
            </w:pPr>
            <w:r w:rsidRPr="0052193E">
              <w:t>22.5</w:t>
            </w:r>
          </w:p>
        </w:tc>
        <w:tc>
          <w:tcPr>
            <w:tcW w:w="837" w:type="pct"/>
            <w:gridSpan w:val="2"/>
            <w:vMerge/>
            <w:tcBorders>
              <w:bottom w:val="double" w:sz="4" w:space="0" w:color="auto"/>
            </w:tcBorders>
            <w:vAlign w:val="center"/>
          </w:tcPr>
          <w:p w14:paraId="62F21761" w14:textId="77777777" w:rsidR="00BF711F" w:rsidRPr="0052193E" w:rsidRDefault="00BF711F">
            <w:pPr>
              <w:pStyle w:val="TableText0"/>
            </w:pPr>
          </w:p>
        </w:tc>
      </w:tr>
      <w:tr w:rsidR="00BF711F" w:rsidRPr="0098262F" w14:paraId="4B80B8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00" w:type="pct"/>
            <w:gridSpan w:val="12"/>
            <w:tcBorders>
              <w:top w:val="double" w:sz="4" w:space="0" w:color="auto"/>
              <w:left w:val="single" w:sz="4" w:space="0" w:color="auto"/>
              <w:bottom w:val="single" w:sz="4" w:space="0" w:color="auto"/>
              <w:right w:val="single" w:sz="4" w:space="0" w:color="auto"/>
            </w:tcBorders>
            <w:vAlign w:val="center"/>
          </w:tcPr>
          <w:p w14:paraId="1964CFB3" w14:textId="77777777" w:rsidR="00BF711F" w:rsidRPr="0098262F" w:rsidRDefault="00BF711F">
            <w:pPr>
              <w:pStyle w:val="TableHeading"/>
            </w:pPr>
            <w:r w:rsidRPr="0098262F">
              <w:t xml:space="preserve">Harms </w:t>
            </w:r>
          </w:p>
        </w:tc>
      </w:tr>
      <w:tr w:rsidR="00BF711F" w:rsidRPr="0098262F" w14:paraId="09B4A7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0"/>
        </w:trPr>
        <w:tc>
          <w:tcPr>
            <w:tcW w:w="626" w:type="pct"/>
            <w:vMerge w:val="restart"/>
            <w:tcBorders>
              <w:top w:val="single" w:sz="4" w:space="0" w:color="auto"/>
              <w:left w:val="single" w:sz="4" w:space="0" w:color="auto"/>
              <w:bottom w:val="single" w:sz="4" w:space="0" w:color="auto"/>
              <w:right w:val="single" w:sz="4" w:space="0" w:color="auto"/>
            </w:tcBorders>
            <w:vAlign w:val="center"/>
          </w:tcPr>
          <w:p w14:paraId="2436DD17" w14:textId="77777777" w:rsidR="00BF711F" w:rsidRPr="0098262F" w:rsidRDefault="00BF711F">
            <w:pPr>
              <w:pStyle w:val="In-tableHeading"/>
            </w:pPr>
          </w:p>
        </w:tc>
        <w:tc>
          <w:tcPr>
            <w:tcW w:w="641" w:type="pct"/>
            <w:vMerge w:val="restart"/>
            <w:tcBorders>
              <w:top w:val="single" w:sz="4" w:space="0" w:color="auto"/>
              <w:left w:val="single" w:sz="4" w:space="0" w:color="auto"/>
              <w:bottom w:val="single" w:sz="4" w:space="0" w:color="auto"/>
              <w:right w:val="single" w:sz="4" w:space="0" w:color="auto"/>
            </w:tcBorders>
            <w:vAlign w:val="center"/>
          </w:tcPr>
          <w:p w14:paraId="67CC7978" w14:textId="77777777" w:rsidR="00BF711F" w:rsidRPr="0098262F" w:rsidRDefault="00BF711F">
            <w:pPr>
              <w:pStyle w:val="In-tableHeading"/>
            </w:pPr>
            <w:r>
              <w:t>T-</w:t>
            </w:r>
            <w:proofErr w:type="spellStart"/>
            <w:r>
              <w:t>DXd</w:t>
            </w:r>
            <w:proofErr w:type="spellEnd"/>
          </w:p>
          <w:p w14:paraId="2A5CE0B0" w14:textId="77777777" w:rsidR="00BF711F" w:rsidRPr="0098262F" w:rsidRDefault="00BF711F">
            <w:pPr>
              <w:pStyle w:val="In-tableHeading"/>
            </w:pPr>
            <w:r w:rsidRPr="0098262F">
              <w:t>n/N</w:t>
            </w:r>
          </w:p>
        </w:tc>
        <w:tc>
          <w:tcPr>
            <w:tcW w:w="696" w:type="pct"/>
            <w:gridSpan w:val="3"/>
            <w:vMerge w:val="restart"/>
            <w:tcBorders>
              <w:top w:val="single" w:sz="4" w:space="0" w:color="auto"/>
              <w:left w:val="single" w:sz="4" w:space="0" w:color="auto"/>
              <w:bottom w:val="single" w:sz="4" w:space="0" w:color="auto"/>
              <w:right w:val="single" w:sz="4" w:space="0" w:color="auto"/>
            </w:tcBorders>
            <w:vAlign w:val="center"/>
          </w:tcPr>
          <w:p w14:paraId="48248F96" w14:textId="77777777" w:rsidR="00BF711F" w:rsidRPr="0098262F" w:rsidRDefault="00BF711F">
            <w:pPr>
              <w:pStyle w:val="In-tableHeading"/>
            </w:pPr>
            <w:r>
              <w:t>SoC</w:t>
            </w:r>
          </w:p>
          <w:p w14:paraId="3DA54A8E" w14:textId="77777777" w:rsidR="00BF711F" w:rsidRPr="0098262F" w:rsidRDefault="00BF711F">
            <w:pPr>
              <w:pStyle w:val="In-tableHeading"/>
            </w:pPr>
            <w:r w:rsidRPr="0098262F">
              <w:t>n/N</w:t>
            </w:r>
          </w:p>
        </w:tc>
        <w:tc>
          <w:tcPr>
            <w:tcW w:w="878" w:type="pct"/>
            <w:gridSpan w:val="2"/>
            <w:vMerge w:val="restart"/>
            <w:tcBorders>
              <w:top w:val="single" w:sz="4" w:space="0" w:color="auto"/>
              <w:left w:val="single" w:sz="4" w:space="0" w:color="auto"/>
              <w:bottom w:val="single" w:sz="4" w:space="0" w:color="auto"/>
              <w:right w:val="single" w:sz="4" w:space="0" w:color="auto"/>
            </w:tcBorders>
            <w:vAlign w:val="center"/>
          </w:tcPr>
          <w:p w14:paraId="0929F3FE" w14:textId="77777777" w:rsidR="00BF711F" w:rsidRPr="00AC3E56" w:rsidRDefault="00BF711F">
            <w:pPr>
              <w:pStyle w:val="In-tableHeading"/>
            </w:pPr>
            <w:r w:rsidRPr="00AC3E56">
              <w:t>RR</w:t>
            </w:r>
          </w:p>
          <w:p w14:paraId="298218EA" w14:textId="77777777" w:rsidR="00BF711F" w:rsidRPr="0098262F" w:rsidRDefault="00BF711F">
            <w:pPr>
              <w:pStyle w:val="In-tableHeading"/>
            </w:pPr>
            <w:r w:rsidRPr="00AC3E56">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14:paraId="7F0280FA" w14:textId="77777777" w:rsidR="00BF711F" w:rsidRPr="0098262F" w:rsidRDefault="00BF711F">
            <w:pPr>
              <w:pStyle w:val="In-tableHeading"/>
            </w:pPr>
            <w:r w:rsidRPr="0098262F">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1E1AEAF6" w14:textId="77777777" w:rsidR="00BF711F" w:rsidRPr="0098262F" w:rsidRDefault="00BF711F">
            <w:pPr>
              <w:pStyle w:val="In-tableHeading"/>
            </w:pPr>
            <w:r>
              <w:t>Absolute difference</w:t>
            </w:r>
          </w:p>
        </w:tc>
      </w:tr>
      <w:tr w:rsidR="00BF711F" w:rsidRPr="0098262F" w14:paraId="75E16274" w14:textId="77777777" w:rsidTr="00D544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390"/>
        </w:trPr>
        <w:tc>
          <w:tcPr>
            <w:tcW w:w="626" w:type="pct"/>
            <w:vMerge/>
            <w:tcBorders>
              <w:top w:val="single" w:sz="4" w:space="0" w:color="auto"/>
              <w:left w:val="single" w:sz="4" w:space="0" w:color="auto"/>
              <w:bottom w:val="single" w:sz="4" w:space="0" w:color="auto"/>
              <w:right w:val="single" w:sz="4" w:space="0" w:color="auto"/>
            </w:tcBorders>
            <w:vAlign w:val="center"/>
          </w:tcPr>
          <w:p w14:paraId="729715ED" w14:textId="77777777" w:rsidR="00BF711F" w:rsidRPr="0098262F" w:rsidRDefault="00BF711F">
            <w:pPr>
              <w:pStyle w:val="In-tableHeading"/>
            </w:pPr>
          </w:p>
        </w:tc>
        <w:tc>
          <w:tcPr>
            <w:tcW w:w="641" w:type="pct"/>
            <w:vMerge/>
            <w:tcBorders>
              <w:top w:val="single" w:sz="4" w:space="0" w:color="auto"/>
              <w:left w:val="single" w:sz="4" w:space="0" w:color="auto"/>
              <w:bottom w:val="single" w:sz="4" w:space="0" w:color="auto"/>
              <w:right w:val="single" w:sz="4" w:space="0" w:color="auto"/>
            </w:tcBorders>
            <w:vAlign w:val="center"/>
          </w:tcPr>
          <w:p w14:paraId="293121DB" w14:textId="77777777" w:rsidR="00BF711F" w:rsidRPr="0098262F" w:rsidRDefault="00BF711F">
            <w:pPr>
              <w:pStyle w:val="In-tableHeading"/>
            </w:pPr>
          </w:p>
        </w:tc>
        <w:tc>
          <w:tcPr>
            <w:tcW w:w="696" w:type="pct"/>
            <w:gridSpan w:val="3"/>
            <w:vMerge/>
            <w:tcBorders>
              <w:top w:val="single" w:sz="4" w:space="0" w:color="auto"/>
              <w:left w:val="single" w:sz="4" w:space="0" w:color="auto"/>
              <w:bottom w:val="single" w:sz="4" w:space="0" w:color="auto"/>
              <w:right w:val="single" w:sz="4" w:space="0" w:color="auto"/>
            </w:tcBorders>
            <w:vAlign w:val="center"/>
          </w:tcPr>
          <w:p w14:paraId="5CEC92AB" w14:textId="77777777" w:rsidR="00BF711F" w:rsidRPr="0098262F" w:rsidRDefault="00BF711F">
            <w:pPr>
              <w:pStyle w:val="In-tableHeading"/>
            </w:pPr>
          </w:p>
        </w:tc>
        <w:tc>
          <w:tcPr>
            <w:tcW w:w="878" w:type="pct"/>
            <w:gridSpan w:val="2"/>
            <w:vMerge/>
            <w:tcBorders>
              <w:top w:val="single" w:sz="4" w:space="0" w:color="auto"/>
              <w:left w:val="single" w:sz="4" w:space="0" w:color="auto"/>
              <w:bottom w:val="single" w:sz="4" w:space="0" w:color="auto"/>
              <w:right w:val="single" w:sz="4" w:space="0" w:color="auto"/>
            </w:tcBorders>
            <w:vAlign w:val="center"/>
          </w:tcPr>
          <w:p w14:paraId="7AC3883A" w14:textId="77777777" w:rsidR="00BF711F" w:rsidRPr="0098262F" w:rsidRDefault="00BF711F">
            <w:pPr>
              <w:pStyle w:val="In-tableHeading"/>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3A4E1EAB" w14:textId="77777777" w:rsidR="00BF711F" w:rsidRPr="0098262F" w:rsidRDefault="00BF711F">
            <w:pPr>
              <w:pStyle w:val="In-tableHeading"/>
            </w:pPr>
            <w:r>
              <w:t>T-</w:t>
            </w:r>
            <w:proofErr w:type="spellStart"/>
            <w:r>
              <w:t>DXd</w:t>
            </w:r>
            <w:proofErr w:type="spellEnd"/>
          </w:p>
        </w:tc>
        <w:tc>
          <w:tcPr>
            <w:tcW w:w="755" w:type="pct"/>
            <w:gridSpan w:val="2"/>
            <w:tcBorders>
              <w:top w:val="single" w:sz="4" w:space="0" w:color="auto"/>
              <w:left w:val="single" w:sz="4" w:space="0" w:color="auto"/>
              <w:bottom w:val="single" w:sz="4" w:space="0" w:color="auto"/>
              <w:right w:val="single" w:sz="4" w:space="0" w:color="auto"/>
            </w:tcBorders>
            <w:vAlign w:val="center"/>
          </w:tcPr>
          <w:p w14:paraId="61FB5ADD" w14:textId="77777777" w:rsidR="00BF711F" w:rsidRPr="0098262F" w:rsidRDefault="00BF711F">
            <w:pPr>
              <w:pStyle w:val="In-tableHeading"/>
            </w:pPr>
            <w:r>
              <w:t>SoC</w:t>
            </w:r>
          </w:p>
        </w:tc>
        <w:tc>
          <w:tcPr>
            <w:tcW w:w="776" w:type="pct"/>
            <w:vMerge/>
            <w:tcBorders>
              <w:top w:val="single" w:sz="4" w:space="0" w:color="auto"/>
              <w:left w:val="single" w:sz="4" w:space="0" w:color="auto"/>
              <w:bottom w:val="single" w:sz="4" w:space="0" w:color="auto"/>
              <w:right w:val="single" w:sz="4" w:space="0" w:color="auto"/>
            </w:tcBorders>
            <w:vAlign w:val="center"/>
          </w:tcPr>
          <w:p w14:paraId="02D9BAD6" w14:textId="77777777" w:rsidR="00BF711F" w:rsidRPr="0098262F" w:rsidRDefault="00BF711F">
            <w:pPr>
              <w:pStyle w:val="In-tableHeading"/>
            </w:pPr>
          </w:p>
        </w:tc>
      </w:tr>
      <w:tr w:rsidR="00BF711F" w:rsidRPr="0098262F" w14:paraId="2837B3E4" w14:textId="77777777" w:rsidTr="00D544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626" w:type="pct"/>
            <w:tcBorders>
              <w:top w:val="single" w:sz="4" w:space="0" w:color="auto"/>
              <w:left w:val="single" w:sz="4" w:space="0" w:color="auto"/>
              <w:bottom w:val="single" w:sz="4" w:space="0" w:color="auto"/>
              <w:right w:val="single" w:sz="4" w:space="0" w:color="auto"/>
            </w:tcBorders>
            <w:vAlign w:val="center"/>
          </w:tcPr>
          <w:p w14:paraId="628AFD9E" w14:textId="77777777" w:rsidR="00BF711F" w:rsidRPr="0098262F" w:rsidRDefault="00BF711F">
            <w:pPr>
              <w:pStyle w:val="TableText0"/>
            </w:pPr>
            <w:r>
              <w:t>Grade 3+ TEAEs</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09308286" w14:textId="77777777" w:rsidR="00BF711F" w:rsidRPr="0098262F" w:rsidRDefault="00BF711F">
            <w:pPr>
              <w:pStyle w:val="TableText0"/>
              <w:jc w:val="center"/>
            </w:pPr>
            <w:r>
              <w:t>99/125</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250C0647" w14:textId="77777777" w:rsidR="00BF711F" w:rsidRPr="0098262F" w:rsidRDefault="00BF711F">
            <w:pPr>
              <w:pStyle w:val="TableText0"/>
              <w:jc w:val="center"/>
            </w:pPr>
            <w:r>
              <w:t>33/62</w:t>
            </w: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5959A317" w14:textId="77777777" w:rsidR="00BF711F" w:rsidRPr="0098262F" w:rsidRDefault="00BF711F">
            <w:pPr>
              <w:pStyle w:val="TableText0"/>
              <w:jc w:val="center"/>
            </w:pPr>
            <w:r>
              <w:t>1.49 (1.16, 1.91)</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5ED28644" w14:textId="77777777" w:rsidR="00BF711F" w:rsidRPr="0098262F" w:rsidRDefault="00BF711F">
            <w:pPr>
              <w:pStyle w:val="TableText0"/>
              <w:jc w:val="center"/>
            </w:pPr>
            <w:r>
              <w:t>79.2</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4D75C188" w14:textId="77777777" w:rsidR="00BF711F" w:rsidRPr="0098262F" w:rsidRDefault="00BF711F">
            <w:pPr>
              <w:pStyle w:val="TableText0"/>
              <w:jc w:val="center"/>
            </w:pPr>
            <w:r>
              <w:t>53.2</w:t>
            </w:r>
          </w:p>
        </w:tc>
        <w:tc>
          <w:tcPr>
            <w:tcW w:w="776" w:type="pct"/>
            <w:tcBorders>
              <w:top w:val="single" w:sz="4" w:space="0" w:color="auto"/>
              <w:left w:val="single" w:sz="4" w:space="0" w:color="auto"/>
              <w:bottom w:val="single" w:sz="4" w:space="0" w:color="auto"/>
              <w:right w:val="single" w:sz="4" w:space="0" w:color="auto"/>
            </w:tcBorders>
            <w:vAlign w:val="center"/>
          </w:tcPr>
          <w:p w14:paraId="398E6EA6" w14:textId="77777777" w:rsidR="00BF711F" w:rsidRPr="0098262F" w:rsidRDefault="00BF711F">
            <w:pPr>
              <w:pStyle w:val="TableText0"/>
              <w:jc w:val="center"/>
            </w:pPr>
            <w:r>
              <w:t>26.0</w:t>
            </w:r>
          </w:p>
        </w:tc>
      </w:tr>
      <w:tr w:rsidR="00BF711F" w:rsidRPr="0098262F" w14:paraId="7817E87D" w14:textId="77777777" w:rsidTr="00D544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626" w:type="pct"/>
            <w:tcBorders>
              <w:top w:val="single" w:sz="4" w:space="0" w:color="auto"/>
              <w:left w:val="single" w:sz="4" w:space="0" w:color="auto"/>
              <w:bottom w:val="single" w:sz="4" w:space="0" w:color="auto"/>
              <w:right w:val="single" w:sz="4" w:space="0" w:color="auto"/>
            </w:tcBorders>
          </w:tcPr>
          <w:p w14:paraId="7BFD06A5" w14:textId="77777777" w:rsidR="00BF711F" w:rsidRPr="00B67D9C" w:rsidRDefault="00BF711F">
            <w:pPr>
              <w:pStyle w:val="TableText0"/>
              <w:rPr>
                <w:szCs w:val="20"/>
              </w:rPr>
            </w:pPr>
            <w:r>
              <w:rPr>
                <w:szCs w:val="20"/>
              </w:rPr>
              <w:t>ILD</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34F4D975" w14:textId="77777777" w:rsidR="00BF711F" w:rsidRPr="00142433" w:rsidRDefault="00BF711F">
            <w:pPr>
              <w:pStyle w:val="TableText0"/>
              <w:jc w:val="center"/>
            </w:pPr>
            <w:r w:rsidRPr="00535A76">
              <w:t>16</w:t>
            </w:r>
            <w:r>
              <w:t>/125</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30473E8A" w14:textId="77777777" w:rsidR="00BF711F" w:rsidRPr="00BB0A68" w:rsidRDefault="00BF711F">
            <w:pPr>
              <w:pStyle w:val="TableText0"/>
              <w:jc w:val="center"/>
            </w:pPr>
            <w:r>
              <w:t>0/62</w:t>
            </w: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3836F03A" w14:textId="77777777" w:rsidR="00BF711F" w:rsidRPr="00484314" w:rsidRDefault="00BF711F">
            <w:pPr>
              <w:pStyle w:val="TableText0"/>
              <w:jc w:val="center"/>
              <w:rPr>
                <w:b/>
                <w:bCs w:val="0"/>
                <w:szCs w:val="20"/>
              </w:rPr>
            </w:pPr>
            <w:r>
              <w:t>NE</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EAAAE79" w14:textId="77777777" w:rsidR="00BF711F" w:rsidRDefault="00BF711F">
            <w:pPr>
              <w:pStyle w:val="TableText0"/>
              <w:jc w:val="center"/>
            </w:pPr>
            <w:r>
              <w:t>12.8</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64F423C8" w14:textId="77777777" w:rsidR="00BF711F" w:rsidRDefault="00BF711F">
            <w:pPr>
              <w:pStyle w:val="TableText0"/>
              <w:jc w:val="center"/>
            </w:pPr>
            <w:r>
              <w:t>0</w:t>
            </w:r>
          </w:p>
        </w:tc>
        <w:tc>
          <w:tcPr>
            <w:tcW w:w="776" w:type="pct"/>
            <w:tcBorders>
              <w:top w:val="single" w:sz="4" w:space="0" w:color="auto"/>
              <w:left w:val="single" w:sz="4" w:space="0" w:color="auto"/>
              <w:bottom w:val="single" w:sz="4" w:space="0" w:color="auto"/>
              <w:right w:val="single" w:sz="4" w:space="0" w:color="auto"/>
            </w:tcBorders>
            <w:vAlign w:val="center"/>
          </w:tcPr>
          <w:p w14:paraId="050DA8F8" w14:textId="77777777" w:rsidR="00BF711F" w:rsidRPr="0098262F" w:rsidRDefault="00BF711F">
            <w:pPr>
              <w:pStyle w:val="TableText0"/>
              <w:jc w:val="center"/>
            </w:pPr>
            <w:r>
              <w:t>12.8</w:t>
            </w:r>
          </w:p>
        </w:tc>
      </w:tr>
    </w:tbl>
    <w:p w14:paraId="34F7BA84" w14:textId="77777777" w:rsidR="00BF7246" w:rsidRDefault="00BF711F" w:rsidP="00BF7246">
      <w:pPr>
        <w:pStyle w:val="FooterTableFigure"/>
      </w:pPr>
      <w:r w:rsidRPr="0098262F">
        <w:t xml:space="preserve">Source: </w:t>
      </w:r>
      <w:r w:rsidRPr="003D3B4F">
        <w:t>Table 2-22, p71</w:t>
      </w:r>
      <w:r>
        <w:t>,</w:t>
      </w:r>
      <w:r w:rsidRPr="003D3B4F">
        <w:t xml:space="preserve"> Table 2-23, p74</w:t>
      </w:r>
      <w:r>
        <w:t>,</w:t>
      </w:r>
      <w:r w:rsidRPr="003D3B4F">
        <w:t xml:space="preserve"> Table 2-26, p78</w:t>
      </w:r>
      <w:r>
        <w:t>,</w:t>
      </w:r>
      <w:r w:rsidRPr="003D3B4F">
        <w:t xml:space="preserve"> Table 2-27, p79</w:t>
      </w:r>
      <w:r>
        <w:t>,</w:t>
      </w:r>
      <w:r w:rsidRPr="003D3B4F">
        <w:t xml:space="preserve"> Table 2-30, p83 of the submission.</w:t>
      </w:r>
    </w:p>
    <w:p w14:paraId="483EFEAB" w14:textId="3D23EDF2" w:rsidR="00BF711F" w:rsidRPr="0098262F" w:rsidRDefault="00BF711F" w:rsidP="00BF7246">
      <w:pPr>
        <w:pStyle w:val="FooterTableFigure"/>
      </w:pPr>
      <w:r>
        <w:t xml:space="preserve">CI = confidence interval; </w:t>
      </w:r>
      <w:r w:rsidRPr="0098262F">
        <w:t>HR = hazard ratio;</w:t>
      </w:r>
      <w:r>
        <w:t xml:space="preserve"> ILD = interstitial lung disease; NE = not estimable; OS = overall survival; PFS = progression free survival</w:t>
      </w:r>
      <w:r w:rsidRPr="0098262F">
        <w:t>; RD = risk difference; RR = risk ratio</w:t>
      </w:r>
      <w:r>
        <w:t>; SoC = standard of care; T-</w:t>
      </w:r>
      <w:proofErr w:type="spellStart"/>
      <w:r>
        <w:t>DXd</w:t>
      </w:r>
      <w:proofErr w:type="spellEnd"/>
      <w:r>
        <w:t xml:space="preserve"> = trastuzumab </w:t>
      </w:r>
      <w:proofErr w:type="spellStart"/>
      <w:r>
        <w:t>deruxtecan</w:t>
      </w:r>
      <w:proofErr w:type="spellEnd"/>
      <w:r>
        <w:t>.</w:t>
      </w:r>
    </w:p>
    <w:p w14:paraId="69F7DF3A" w14:textId="77777777" w:rsidR="00BF711F" w:rsidRDefault="00BF711F" w:rsidP="00BF7246">
      <w:pPr>
        <w:pStyle w:val="FooterTableFigure"/>
      </w:pPr>
      <w:r w:rsidRPr="00E233C9">
        <w:rPr>
          <w:b/>
          <w:bCs/>
        </w:rPr>
        <w:t>Bold</w:t>
      </w:r>
      <w:r>
        <w:t xml:space="preserve"> = statistically significant.</w:t>
      </w:r>
    </w:p>
    <w:p w14:paraId="653BB22C" w14:textId="77777777" w:rsidR="00BF711F" w:rsidRPr="00E233C9" w:rsidRDefault="00BF711F" w:rsidP="00BF7246">
      <w:pPr>
        <w:pStyle w:val="FooterTableFigure"/>
      </w:pPr>
      <w:r>
        <w:rPr>
          <w:i/>
          <w:iCs/>
        </w:rPr>
        <w:t>Italics</w:t>
      </w:r>
      <w:r>
        <w:t xml:space="preserve"> = calculated during the evaluation.</w:t>
      </w:r>
    </w:p>
    <w:p w14:paraId="0C71F1E8" w14:textId="0C9AF149" w:rsidR="00D544C3" w:rsidRDefault="00D544C3">
      <w:pPr>
        <w:pStyle w:val="3-BodyText"/>
      </w:pPr>
      <w:bookmarkStart w:id="47" w:name="_Toc187925090"/>
      <w:proofErr w:type="gramStart"/>
      <w:r>
        <w:lastRenderedPageBreak/>
        <w:t>On the basis of</w:t>
      </w:r>
      <w:proofErr w:type="gramEnd"/>
      <w:r>
        <w:t xml:space="preserve"> the direct comparative evidence presented by the submission, for every 100 patients treated with T-</w:t>
      </w:r>
      <w:proofErr w:type="spellStart"/>
      <w:r>
        <w:t>DXd</w:t>
      </w:r>
      <w:proofErr w:type="spellEnd"/>
      <w:r>
        <w:t xml:space="preserve"> in comparison with SoC over a median duration </w:t>
      </w:r>
      <w:r w:rsidRPr="00C039F8">
        <w:t>of follow-up</w:t>
      </w:r>
      <w:r>
        <w:t xml:space="preserve"> 11.9 months for T-</w:t>
      </w:r>
      <w:proofErr w:type="spellStart"/>
      <w:r>
        <w:t>DXd</w:t>
      </w:r>
      <w:proofErr w:type="spellEnd"/>
      <w:r>
        <w:t xml:space="preserve"> and 8.5 months for SoC</w:t>
      </w:r>
      <w:r w:rsidRPr="00C039F8">
        <w:t>:</w:t>
      </w:r>
    </w:p>
    <w:p w14:paraId="0A5A024A" w14:textId="4240168B" w:rsidR="00D544C3" w:rsidRDefault="00D544C3" w:rsidP="00C539E7">
      <w:pPr>
        <w:pStyle w:val="3-BodyText"/>
        <w:numPr>
          <w:ilvl w:val="0"/>
          <w:numId w:val="8"/>
        </w:numPr>
        <w:ind w:left="1134"/>
      </w:pPr>
      <w:r>
        <w:t>Approximately 2</w:t>
      </w:r>
      <w:r w:rsidR="004369D6">
        <w:t>3</w:t>
      </w:r>
      <w:r>
        <w:t xml:space="preserve"> </w:t>
      </w:r>
      <w:r w:rsidR="004369D6">
        <w:t xml:space="preserve">more patients would have survived </w:t>
      </w:r>
      <w:r>
        <w:t>at 12 months.</w:t>
      </w:r>
    </w:p>
    <w:p w14:paraId="3A167C6B" w14:textId="77777777" w:rsidR="00D544C3" w:rsidRDefault="00D544C3" w:rsidP="00C539E7">
      <w:pPr>
        <w:pStyle w:val="3-BodyText"/>
        <w:numPr>
          <w:ilvl w:val="0"/>
          <w:numId w:val="8"/>
        </w:numPr>
        <w:ind w:left="1134"/>
      </w:pPr>
      <w:r>
        <w:t>Approximately 22 additional patients would have remained free of disease progression at 6 months.</w:t>
      </w:r>
    </w:p>
    <w:p w14:paraId="0BAFDCCE" w14:textId="6EEA0E64" w:rsidR="00D544C3" w:rsidRDefault="00D544C3" w:rsidP="00C539E7">
      <w:pPr>
        <w:pStyle w:val="3-BodyText"/>
        <w:numPr>
          <w:ilvl w:val="0"/>
          <w:numId w:val="8"/>
        </w:numPr>
        <w:ind w:left="1134"/>
      </w:pPr>
      <w:r>
        <w:t>Approximately 26 additional patients would experience a</w:t>
      </w:r>
      <w:r w:rsidR="004369D6">
        <w:t>n</w:t>
      </w:r>
      <w:r>
        <w:t xml:space="preserve"> </w:t>
      </w:r>
      <w:r w:rsidR="004369D6">
        <w:t xml:space="preserve">AE of </w:t>
      </w:r>
      <w:r>
        <w:t>Grade 3 or greater.</w:t>
      </w:r>
    </w:p>
    <w:p w14:paraId="74B68CB2" w14:textId="243701D3" w:rsidR="00D544C3" w:rsidRDefault="00D544C3" w:rsidP="00C539E7">
      <w:pPr>
        <w:pStyle w:val="3-BodyText"/>
        <w:numPr>
          <w:ilvl w:val="0"/>
          <w:numId w:val="8"/>
        </w:numPr>
        <w:ind w:left="1134"/>
      </w:pPr>
      <w:r>
        <w:t>1</w:t>
      </w:r>
      <w:r w:rsidR="004369D6">
        <w:t>3</w:t>
      </w:r>
      <w:r>
        <w:t xml:space="preserve"> additional patients would develop </w:t>
      </w:r>
      <w:r w:rsidR="004369D6">
        <w:t>ILD</w:t>
      </w:r>
      <w:r>
        <w:t xml:space="preserve">, a potentially-life threatening condition requiring prompt diagnosis and treatment with corticosteroids. </w:t>
      </w:r>
    </w:p>
    <w:p w14:paraId="3E2F36B9" w14:textId="77777777" w:rsidR="00BF711F" w:rsidRPr="00D86D87" w:rsidRDefault="00BF711F" w:rsidP="00BF711F">
      <w:pPr>
        <w:pStyle w:val="4-SubsectionHeading"/>
      </w:pPr>
      <w:bookmarkStart w:id="48" w:name="_Toc193454320"/>
      <w:r w:rsidRPr="00D86D87">
        <w:t>Clinical claim</w:t>
      </w:r>
      <w:bookmarkEnd w:id="47"/>
      <w:bookmarkEnd w:id="48"/>
    </w:p>
    <w:p w14:paraId="4127A140" w14:textId="19F649A9" w:rsidR="00F4571C" w:rsidRDefault="00BF711F" w:rsidP="00BF711F">
      <w:pPr>
        <w:pStyle w:val="3-BodyText"/>
      </w:pPr>
      <w:bookmarkStart w:id="49" w:name="_Hlk192264452"/>
      <w:r w:rsidRPr="00455F25">
        <w:t xml:space="preserve">The clinical claim </w:t>
      </w:r>
      <w:r w:rsidR="004369D6" w:rsidRPr="00455F25">
        <w:t xml:space="preserve">proposed in the submission </w:t>
      </w:r>
      <w:r w:rsidRPr="00455F25">
        <w:t>was that T-</w:t>
      </w:r>
      <w:proofErr w:type="spellStart"/>
      <w:r w:rsidRPr="00455F25">
        <w:t>DXd</w:t>
      </w:r>
      <w:proofErr w:type="spellEnd"/>
      <w:r w:rsidRPr="00455F25">
        <w:t xml:space="preserve"> has superior efficacy and an inferior but manageable safety profile compared to chemotherapy in patients with metastatic HER2-positive </w:t>
      </w:r>
      <w:r w:rsidR="004369D6" w:rsidRPr="00455F25">
        <w:t>G/</w:t>
      </w:r>
      <w:r w:rsidRPr="00455F25">
        <w:t>GOJ adenocarcinoma who have received a prior trastuzumab-based regimen.</w:t>
      </w:r>
      <w:r w:rsidR="00B82038">
        <w:t xml:space="preserve"> </w:t>
      </w:r>
      <w:r w:rsidR="00F4571C" w:rsidRPr="00E55A74">
        <w:rPr>
          <w:iCs/>
        </w:rPr>
        <w:t xml:space="preserve">The ESC considered that a claim of superior efficacy was reasonable </w:t>
      </w:r>
      <w:proofErr w:type="gramStart"/>
      <w:r w:rsidR="00F4571C" w:rsidRPr="00E55A74">
        <w:rPr>
          <w:iCs/>
        </w:rPr>
        <w:t>on the basis of</w:t>
      </w:r>
      <w:proofErr w:type="gramEnd"/>
      <w:r w:rsidR="00F4571C" w:rsidRPr="00E55A74">
        <w:rPr>
          <w:iCs/>
        </w:rPr>
        <w:t xml:space="preserve"> ORR and OS in the DG-01 study. The applicability issues </w:t>
      </w:r>
      <w:r w:rsidR="004D76F1" w:rsidRPr="00E55A74">
        <w:rPr>
          <w:iCs/>
        </w:rPr>
        <w:t xml:space="preserve">in relation to DG-01 </w:t>
      </w:r>
      <w:r w:rsidR="00F4571C" w:rsidRPr="00E55A74">
        <w:rPr>
          <w:iCs/>
        </w:rPr>
        <w:t>were partially addressed by single arm DG-02 study.</w:t>
      </w:r>
    </w:p>
    <w:p w14:paraId="1A8A692F" w14:textId="039E063D" w:rsidR="004369D6" w:rsidRPr="00455F25" w:rsidRDefault="00BF711F" w:rsidP="00BF711F">
      <w:pPr>
        <w:pStyle w:val="3-BodyText"/>
        <w:rPr>
          <w:rFonts w:eastAsia="Calibri"/>
        </w:rPr>
      </w:pPr>
      <w:r w:rsidRPr="00455F25">
        <w:rPr>
          <w:rFonts w:eastAsia="Calibri"/>
        </w:rPr>
        <w:t xml:space="preserve">The </w:t>
      </w:r>
      <w:r w:rsidR="004369D6" w:rsidRPr="00455F25">
        <w:rPr>
          <w:rFonts w:eastAsia="Calibri"/>
        </w:rPr>
        <w:t xml:space="preserve">superior efficacy </w:t>
      </w:r>
      <w:r w:rsidRPr="00455F25">
        <w:rPr>
          <w:rFonts w:eastAsia="Calibri"/>
        </w:rPr>
        <w:t xml:space="preserve">claim was adequately supported by evidence included in the submission but the magnitude of the improvement in </w:t>
      </w:r>
      <w:r w:rsidR="004369D6" w:rsidRPr="00455F25">
        <w:rPr>
          <w:rFonts w:eastAsia="Calibri"/>
        </w:rPr>
        <w:t>PFS and OS</w:t>
      </w:r>
      <w:r w:rsidRPr="00455F25">
        <w:rPr>
          <w:rFonts w:eastAsia="Calibri"/>
        </w:rPr>
        <w:t xml:space="preserve"> in the proposed Australian population </w:t>
      </w:r>
      <w:proofErr w:type="gramStart"/>
      <w:r w:rsidRPr="00455F25">
        <w:rPr>
          <w:rFonts w:eastAsia="Calibri"/>
        </w:rPr>
        <w:t>is considered to be</w:t>
      </w:r>
      <w:proofErr w:type="gramEnd"/>
      <w:r w:rsidRPr="00455F25">
        <w:rPr>
          <w:rFonts w:eastAsia="Calibri"/>
        </w:rPr>
        <w:t xml:space="preserve"> uncertain. Key issues were: </w:t>
      </w:r>
    </w:p>
    <w:p w14:paraId="01892D9E" w14:textId="77777777" w:rsidR="004369D6" w:rsidRPr="00455F25" w:rsidRDefault="004369D6" w:rsidP="00C539E7">
      <w:pPr>
        <w:pStyle w:val="3-BodyText"/>
        <w:numPr>
          <w:ilvl w:val="0"/>
          <w:numId w:val="10"/>
        </w:numPr>
        <w:ind w:left="1134"/>
        <w:rPr>
          <w:rFonts w:eastAsia="Calibri"/>
        </w:rPr>
      </w:pPr>
      <w:r w:rsidRPr="00455F25">
        <w:rPr>
          <w:rFonts w:eastAsia="Calibri"/>
        </w:rPr>
        <w:t xml:space="preserve">Differences in demographic and disease characteristics in the </w:t>
      </w:r>
      <w:r w:rsidR="00BF711F" w:rsidRPr="00455F25">
        <w:rPr>
          <w:rFonts w:eastAsia="Calibri"/>
        </w:rPr>
        <w:t>East-Asian population in the pivotal trial</w:t>
      </w:r>
      <w:r w:rsidRPr="00455F25">
        <w:rPr>
          <w:rFonts w:eastAsia="Calibri"/>
        </w:rPr>
        <w:t xml:space="preserve"> versus the Australian </w:t>
      </w:r>
      <w:proofErr w:type="gramStart"/>
      <w:r w:rsidRPr="00455F25">
        <w:rPr>
          <w:rFonts w:eastAsia="Calibri"/>
        </w:rPr>
        <w:t>population;</w:t>
      </w:r>
      <w:proofErr w:type="gramEnd"/>
    </w:p>
    <w:p w14:paraId="346CB41D" w14:textId="77777777" w:rsidR="004369D6" w:rsidRPr="00455F25" w:rsidRDefault="004369D6" w:rsidP="00C539E7">
      <w:pPr>
        <w:pStyle w:val="3-BodyText"/>
        <w:numPr>
          <w:ilvl w:val="0"/>
          <w:numId w:val="10"/>
        </w:numPr>
        <w:ind w:left="1134"/>
        <w:rPr>
          <w:rFonts w:eastAsia="Calibri"/>
        </w:rPr>
      </w:pPr>
      <w:r w:rsidRPr="00455F25">
        <w:rPr>
          <w:rFonts w:eastAsia="Calibri"/>
        </w:rPr>
        <w:t>D</w:t>
      </w:r>
      <w:r w:rsidR="00BF711F" w:rsidRPr="00455F25">
        <w:rPr>
          <w:rFonts w:eastAsia="Calibri"/>
        </w:rPr>
        <w:t xml:space="preserve">ifferences in </w:t>
      </w:r>
      <w:r w:rsidRPr="00455F25">
        <w:rPr>
          <w:rFonts w:eastAsia="Calibri"/>
        </w:rPr>
        <w:t xml:space="preserve">diagnosis and </w:t>
      </w:r>
      <w:r w:rsidR="00BF711F" w:rsidRPr="00455F25">
        <w:rPr>
          <w:rFonts w:eastAsia="Calibri"/>
        </w:rPr>
        <w:t>disease management</w:t>
      </w:r>
      <w:r w:rsidRPr="00455F25">
        <w:rPr>
          <w:rFonts w:eastAsia="Calibri"/>
        </w:rPr>
        <w:t xml:space="preserve"> and the trial and in Australian clinical </w:t>
      </w:r>
      <w:proofErr w:type="gramStart"/>
      <w:r w:rsidRPr="00455F25">
        <w:rPr>
          <w:rFonts w:eastAsia="Calibri"/>
        </w:rPr>
        <w:t>practice;</w:t>
      </w:r>
      <w:proofErr w:type="gramEnd"/>
    </w:p>
    <w:p w14:paraId="6B7AFC5A" w14:textId="57FAC756" w:rsidR="004369D6" w:rsidRPr="00455F25" w:rsidRDefault="004369D6" w:rsidP="00C539E7">
      <w:pPr>
        <w:pStyle w:val="3-BodyText"/>
        <w:numPr>
          <w:ilvl w:val="0"/>
          <w:numId w:val="10"/>
        </w:numPr>
        <w:ind w:left="1134"/>
        <w:rPr>
          <w:rFonts w:eastAsia="Calibri"/>
        </w:rPr>
      </w:pPr>
      <w:r w:rsidRPr="00455F25">
        <w:rPr>
          <w:rFonts w:eastAsia="Calibri"/>
        </w:rPr>
        <w:t xml:space="preserve">The treatments in the comparator arm of the DG-01 trial do not fully reflect clinical </w:t>
      </w:r>
      <w:proofErr w:type="gramStart"/>
      <w:r w:rsidRPr="00455F25">
        <w:rPr>
          <w:rFonts w:eastAsia="Calibri"/>
        </w:rPr>
        <w:t>practice;</w:t>
      </w:r>
      <w:proofErr w:type="gramEnd"/>
    </w:p>
    <w:p w14:paraId="2C98D96A" w14:textId="77777777" w:rsidR="00AA12E8" w:rsidRPr="00455F25" w:rsidRDefault="00AA12E8" w:rsidP="00C539E7">
      <w:pPr>
        <w:pStyle w:val="3-BodyText"/>
        <w:numPr>
          <w:ilvl w:val="0"/>
          <w:numId w:val="10"/>
        </w:numPr>
        <w:ind w:left="1134"/>
        <w:rPr>
          <w:rFonts w:eastAsia="Calibri"/>
        </w:rPr>
      </w:pPr>
      <w:bookmarkStart w:id="50" w:name="_Hlk191944161"/>
      <w:r w:rsidRPr="00455F25">
        <w:rPr>
          <w:rFonts w:eastAsia="Calibri"/>
        </w:rPr>
        <w:t>D</w:t>
      </w:r>
      <w:r w:rsidR="00BF711F" w:rsidRPr="00455F25">
        <w:rPr>
          <w:rFonts w:eastAsia="Calibri"/>
        </w:rPr>
        <w:t>ifferences in the definition of HER2 positive status between the pivotal trial and the PBS criteria for eligibility for 1L trastuzumab</w:t>
      </w:r>
      <w:r w:rsidRPr="00455F25">
        <w:rPr>
          <w:rFonts w:eastAsia="Calibri"/>
        </w:rPr>
        <w:t xml:space="preserve">; and </w:t>
      </w:r>
    </w:p>
    <w:bookmarkEnd w:id="50"/>
    <w:p w14:paraId="2B656893" w14:textId="73078E87" w:rsidR="00AA12E8" w:rsidRPr="00455F25" w:rsidRDefault="00AA12E8" w:rsidP="00C539E7">
      <w:pPr>
        <w:pStyle w:val="3-BodyText"/>
        <w:numPr>
          <w:ilvl w:val="0"/>
          <w:numId w:val="10"/>
        </w:numPr>
        <w:ind w:left="1134"/>
        <w:rPr>
          <w:rFonts w:eastAsia="Calibri"/>
        </w:rPr>
      </w:pPr>
      <w:r w:rsidRPr="00455F25">
        <w:rPr>
          <w:rFonts w:eastAsia="Calibri"/>
        </w:rPr>
        <w:t>U</w:t>
      </w:r>
      <w:r w:rsidR="00BF711F" w:rsidRPr="00455F25">
        <w:rPr>
          <w:rFonts w:eastAsia="Calibri"/>
        </w:rPr>
        <w:t>ncertainty about the impact of resistance to HER2-targeted treatment developed during 1L trastuzumab treatment on the efficacy of 2L treatment with T-</w:t>
      </w:r>
      <w:proofErr w:type="spellStart"/>
      <w:r w:rsidR="00BF711F" w:rsidRPr="00455F25">
        <w:rPr>
          <w:rFonts w:eastAsia="Calibri"/>
        </w:rPr>
        <w:t>DXd</w:t>
      </w:r>
      <w:proofErr w:type="spellEnd"/>
      <w:r w:rsidR="00BF711F" w:rsidRPr="00455F25">
        <w:rPr>
          <w:rFonts w:eastAsia="Calibri"/>
        </w:rPr>
        <w:t>. Subgroup analyses suggest that T-</w:t>
      </w:r>
      <w:proofErr w:type="spellStart"/>
      <w:r w:rsidR="00BF711F" w:rsidRPr="00455F25">
        <w:rPr>
          <w:rFonts w:eastAsia="Calibri"/>
        </w:rPr>
        <w:t>DXd</w:t>
      </w:r>
      <w:proofErr w:type="spellEnd"/>
      <w:r w:rsidR="00BF711F" w:rsidRPr="00455F25">
        <w:rPr>
          <w:rFonts w:eastAsia="Calibri"/>
        </w:rPr>
        <w:t xml:space="preserve"> may be less effective in patients with a lower HER2-postive score based on IHC and ISH testing. This observation suggests that the benefit</w:t>
      </w:r>
      <w:r w:rsidRPr="00455F25">
        <w:rPr>
          <w:rFonts w:eastAsia="Calibri"/>
        </w:rPr>
        <w:t>/</w:t>
      </w:r>
      <w:r w:rsidR="00BF711F" w:rsidRPr="00455F25">
        <w:rPr>
          <w:rFonts w:eastAsia="Calibri"/>
        </w:rPr>
        <w:t xml:space="preserve">risk </w:t>
      </w:r>
      <w:r w:rsidRPr="00455F25">
        <w:rPr>
          <w:rFonts w:eastAsia="Calibri"/>
        </w:rPr>
        <w:t xml:space="preserve">profile </w:t>
      </w:r>
      <w:r w:rsidR="00BF711F" w:rsidRPr="00455F25">
        <w:rPr>
          <w:rFonts w:eastAsia="Calibri"/>
        </w:rPr>
        <w:t>for T-</w:t>
      </w:r>
      <w:proofErr w:type="spellStart"/>
      <w:r w:rsidR="00BF711F" w:rsidRPr="00455F25">
        <w:rPr>
          <w:rFonts w:eastAsia="Calibri"/>
        </w:rPr>
        <w:t>DXd</w:t>
      </w:r>
      <w:proofErr w:type="spellEnd"/>
      <w:r w:rsidR="00BF711F" w:rsidRPr="00455F25">
        <w:rPr>
          <w:rFonts w:eastAsia="Calibri"/>
        </w:rPr>
        <w:t xml:space="preserve"> in a subgroup of the proposed PBS population</w:t>
      </w:r>
      <w:r w:rsidRPr="00455F25">
        <w:rPr>
          <w:rFonts w:eastAsia="Calibri"/>
        </w:rPr>
        <w:t xml:space="preserve"> is different from the overall population</w:t>
      </w:r>
      <w:r w:rsidR="00BF711F" w:rsidRPr="00455F25">
        <w:rPr>
          <w:rFonts w:eastAsia="Calibri"/>
        </w:rPr>
        <w:t xml:space="preserve">. </w:t>
      </w:r>
    </w:p>
    <w:p w14:paraId="7687AB49" w14:textId="48475152" w:rsidR="00BF711F" w:rsidRPr="00455F25" w:rsidRDefault="00BF711F" w:rsidP="00C539E7">
      <w:pPr>
        <w:pStyle w:val="3-BodyText"/>
        <w:numPr>
          <w:ilvl w:val="0"/>
          <w:numId w:val="10"/>
        </w:numPr>
        <w:ind w:left="1134"/>
        <w:rPr>
          <w:rFonts w:eastAsia="Calibri"/>
        </w:rPr>
      </w:pPr>
      <w:r w:rsidRPr="00455F25">
        <w:rPr>
          <w:rFonts w:eastAsia="Calibri"/>
        </w:rPr>
        <w:t xml:space="preserve">Concerns around </w:t>
      </w:r>
      <w:r w:rsidR="00AA12E8" w:rsidRPr="00455F25">
        <w:rPr>
          <w:rFonts w:eastAsia="Calibri"/>
        </w:rPr>
        <w:t xml:space="preserve">the applicability of the trial </w:t>
      </w:r>
      <w:r w:rsidRPr="00455F25">
        <w:rPr>
          <w:rFonts w:eastAsia="Calibri"/>
        </w:rPr>
        <w:t>population to the Australian setting</w:t>
      </w:r>
      <w:r w:rsidRPr="00455F25" w:rsidDel="00315E2D">
        <w:rPr>
          <w:rFonts w:eastAsia="Calibri"/>
        </w:rPr>
        <w:t xml:space="preserve"> </w:t>
      </w:r>
      <w:r w:rsidRPr="00455F25">
        <w:rPr>
          <w:rFonts w:eastAsia="Calibri"/>
        </w:rPr>
        <w:t xml:space="preserve">were also identified for </w:t>
      </w:r>
      <w:r w:rsidR="00AA12E8" w:rsidRPr="00455F25">
        <w:rPr>
          <w:rFonts w:eastAsia="Calibri"/>
        </w:rPr>
        <w:t xml:space="preserve">the DG-02 </w:t>
      </w:r>
      <w:r w:rsidRPr="00455F25">
        <w:rPr>
          <w:rFonts w:eastAsia="Calibri"/>
        </w:rPr>
        <w:t>study.</w:t>
      </w:r>
    </w:p>
    <w:p w14:paraId="57AC13DB" w14:textId="10068E09" w:rsidR="0089791D" w:rsidRPr="00D92B8A" w:rsidRDefault="00BF711F" w:rsidP="00BF711F">
      <w:pPr>
        <w:pStyle w:val="3-BodyText"/>
        <w:rPr>
          <w:rFonts w:eastAsia="Calibri"/>
        </w:rPr>
      </w:pPr>
      <w:r w:rsidRPr="00455F25">
        <w:rPr>
          <w:rFonts w:eastAsia="Calibri"/>
        </w:rPr>
        <w:lastRenderedPageBreak/>
        <w:t>Th</w:t>
      </w:r>
      <w:r w:rsidR="00AA12E8" w:rsidRPr="00455F25">
        <w:rPr>
          <w:rFonts w:eastAsia="Calibri"/>
        </w:rPr>
        <w:t xml:space="preserve">e inferior safety </w:t>
      </w:r>
      <w:r w:rsidRPr="00455F25">
        <w:rPr>
          <w:rFonts w:eastAsia="Calibri"/>
        </w:rPr>
        <w:t xml:space="preserve">claim was supported </w:t>
      </w:r>
      <w:r w:rsidR="00AA12E8" w:rsidRPr="00455F25">
        <w:rPr>
          <w:rFonts w:eastAsia="Calibri"/>
        </w:rPr>
        <w:t xml:space="preserve">by clinical evidence presented in the submission, </w:t>
      </w:r>
      <w:r w:rsidRPr="00455F25">
        <w:rPr>
          <w:rFonts w:eastAsia="Calibri"/>
        </w:rPr>
        <w:t>although there is some uncertainty about the degree of risk in the Australian population due to applicability of the evidence to the Australian setting. People from Japan</w:t>
      </w:r>
      <w:r w:rsidR="0092339C">
        <w:rPr>
          <w:rFonts w:eastAsia="Calibri"/>
        </w:rPr>
        <w:t xml:space="preserve"> (as in DG-01)</w:t>
      </w:r>
      <w:r w:rsidRPr="00455F25">
        <w:rPr>
          <w:rFonts w:eastAsia="Calibri"/>
        </w:rPr>
        <w:t xml:space="preserve"> have increased susceptibility to ILD so the rates of ILD </w:t>
      </w:r>
      <w:r w:rsidR="000407CB">
        <w:rPr>
          <w:rFonts w:eastAsia="Calibri"/>
        </w:rPr>
        <w:t xml:space="preserve">in the Australian population </w:t>
      </w:r>
      <w:r w:rsidRPr="00455F25">
        <w:rPr>
          <w:rFonts w:eastAsia="Calibri"/>
        </w:rPr>
        <w:t xml:space="preserve">may be overestimated </w:t>
      </w:r>
      <w:r w:rsidR="000407CB">
        <w:rPr>
          <w:rFonts w:eastAsia="Calibri"/>
        </w:rPr>
        <w:t>from</w:t>
      </w:r>
      <w:r w:rsidR="000407CB" w:rsidRPr="00455F25">
        <w:rPr>
          <w:rFonts w:eastAsia="Calibri"/>
        </w:rPr>
        <w:t xml:space="preserve"> </w:t>
      </w:r>
      <w:r w:rsidRPr="00455F25">
        <w:rPr>
          <w:rFonts w:eastAsia="Calibri"/>
        </w:rPr>
        <w:t>the trial</w:t>
      </w:r>
      <w:r w:rsidR="000407CB">
        <w:rPr>
          <w:rFonts w:eastAsia="Calibri"/>
        </w:rPr>
        <w:t xml:space="preserve"> data</w:t>
      </w:r>
      <w:r w:rsidRPr="00455F25">
        <w:rPr>
          <w:rFonts w:eastAsia="Calibri"/>
        </w:rPr>
        <w:t xml:space="preserve">. </w:t>
      </w:r>
      <w:r w:rsidR="0092339C">
        <w:rPr>
          <w:rFonts w:eastAsia="Calibri"/>
        </w:rPr>
        <w:t>However, p</w:t>
      </w:r>
      <w:r w:rsidRPr="00455F25">
        <w:rPr>
          <w:rFonts w:eastAsia="Calibri"/>
        </w:rPr>
        <w:t>atients with prior ILD or pneumonitis were excluded from the trial</w:t>
      </w:r>
      <w:r w:rsidR="00AA12E8" w:rsidRPr="00455F25">
        <w:rPr>
          <w:rFonts w:eastAsia="Calibri"/>
        </w:rPr>
        <w:t>;</w:t>
      </w:r>
      <w:r w:rsidRPr="00455F25">
        <w:rPr>
          <w:rFonts w:eastAsia="Calibri"/>
        </w:rPr>
        <w:t xml:space="preserve"> this</w:t>
      </w:r>
      <w:r w:rsidR="00AA12E8" w:rsidRPr="00455F25">
        <w:rPr>
          <w:rFonts w:eastAsia="Calibri"/>
        </w:rPr>
        <w:t>, however,</w:t>
      </w:r>
      <w:r w:rsidRPr="00455F25">
        <w:rPr>
          <w:rFonts w:eastAsia="Calibri"/>
        </w:rPr>
        <w:t xml:space="preserve"> may not be representative of </w:t>
      </w:r>
      <w:r w:rsidR="00AA12E8" w:rsidRPr="00455F25">
        <w:rPr>
          <w:rFonts w:eastAsia="Calibri"/>
        </w:rPr>
        <w:t xml:space="preserve">Australian </w:t>
      </w:r>
      <w:r w:rsidRPr="00455F25">
        <w:rPr>
          <w:rFonts w:eastAsia="Calibri"/>
        </w:rPr>
        <w:t>clinical practi</w:t>
      </w:r>
      <w:r w:rsidR="00AA12E8" w:rsidRPr="00455F25">
        <w:rPr>
          <w:rFonts w:eastAsia="Calibri"/>
        </w:rPr>
        <w:t>c</w:t>
      </w:r>
      <w:r w:rsidRPr="00455F25">
        <w:rPr>
          <w:rFonts w:eastAsia="Calibri"/>
        </w:rPr>
        <w:t xml:space="preserve">e. </w:t>
      </w:r>
      <w:r w:rsidR="00E903A6">
        <w:rPr>
          <w:rFonts w:eastAsia="Calibri"/>
        </w:rPr>
        <w:t>No c</w:t>
      </w:r>
      <w:r w:rsidRPr="00455F25">
        <w:rPr>
          <w:rFonts w:eastAsia="Calibri"/>
        </w:rPr>
        <w:t xml:space="preserve">ardiac events due to deceased LVEF </w:t>
      </w:r>
      <w:r w:rsidR="00E903A6">
        <w:rPr>
          <w:rFonts w:eastAsia="Calibri"/>
        </w:rPr>
        <w:t>were</w:t>
      </w:r>
      <w:r w:rsidRPr="00455F25">
        <w:rPr>
          <w:rFonts w:eastAsia="Calibri"/>
        </w:rPr>
        <w:t xml:space="preserve"> observed in the pivotal trial</w:t>
      </w:r>
      <w:r w:rsidR="0089791D" w:rsidRPr="00455F25">
        <w:rPr>
          <w:rFonts w:eastAsia="Calibri"/>
        </w:rPr>
        <w:t>, but this is a known safety concern for T-</w:t>
      </w:r>
      <w:proofErr w:type="spellStart"/>
      <w:r w:rsidR="0089791D" w:rsidRPr="00455F25">
        <w:rPr>
          <w:rFonts w:eastAsia="Calibri"/>
        </w:rPr>
        <w:t>DXd</w:t>
      </w:r>
      <w:proofErr w:type="spellEnd"/>
      <w:r w:rsidR="0089791D" w:rsidRPr="00455F25">
        <w:rPr>
          <w:rFonts w:eastAsia="Calibri"/>
        </w:rPr>
        <w:t xml:space="preserve"> treatment</w:t>
      </w:r>
      <w:r w:rsidRPr="00455F25">
        <w:rPr>
          <w:rFonts w:eastAsia="Calibri"/>
        </w:rPr>
        <w:t xml:space="preserve">. </w:t>
      </w:r>
      <w:r w:rsidR="0089791D" w:rsidRPr="00455F25">
        <w:rPr>
          <w:rFonts w:eastAsia="Calibri"/>
        </w:rPr>
        <w:t>In addition, only two of the SoC chemotherapies, i.e. irinotecan and paclitaxel, were included in the key trial. As the treatments in the comparator arm of the trial do not reflect the relative use of SoC chemotherapies in Australian clinical practice, the comparative safety of T-</w:t>
      </w:r>
      <w:proofErr w:type="spellStart"/>
      <w:r w:rsidR="0089791D" w:rsidRPr="00455F25">
        <w:rPr>
          <w:rFonts w:eastAsia="Calibri"/>
        </w:rPr>
        <w:t>DXd</w:t>
      </w:r>
      <w:proofErr w:type="spellEnd"/>
      <w:r w:rsidR="0089791D" w:rsidRPr="00455F25">
        <w:rPr>
          <w:rFonts w:eastAsia="Calibri"/>
        </w:rPr>
        <w:t xml:space="preserve"> versus irinotecan and paclitaxel as reported in the trial may not be applicable to the Australian setting.</w:t>
      </w:r>
      <w:r w:rsidR="00F4571C">
        <w:rPr>
          <w:rFonts w:eastAsia="Calibri"/>
        </w:rPr>
        <w:t xml:space="preserve"> </w:t>
      </w:r>
      <w:r w:rsidR="00F4571C" w:rsidRPr="00E55A74">
        <w:rPr>
          <w:rFonts w:eastAsia="Calibri"/>
          <w:iCs/>
        </w:rPr>
        <w:t>The ESC considered that a claim of inferior safety was supported by clinical evidence presented.</w:t>
      </w:r>
    </w:p>
    <w:p w14:paraId="61E14E9F" w14:textId="64144638" w:rsidR="00D92B8A" w:rsidRPr="00CE42B4" w:rsidRDefault="00D92B8A" w:rsidP="00EE27EC">
      <w:pPr>
        <w:widowControl w:val="0"/>
        <w:numPr>
          <w:ilvl w:val="1"/>
          <w:numId w:val="5"/>
        </w:numPr>
        <w:spacing w:after="120"/>
        <w:rPr>
          <w:rFonts w:asciiTheme="minorHAnsi" w:hAnsiTheme="minorHAnsi"/>
          <w:snapToGrid w:val="0"/>
          <w:szCs w:val="20"/>
        </w:rPr>
      </w:pPr>
      <w:bookmarkStart w:id="51"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reasonable.</w:t>
      </w:r>
    </w:p>
    <w:p w14:paraId="7E7FC615" w14:textId="5D379D78" w:rsidR="00D92B8A" w:rsidRPr="00D92B8A" w:rsidRDefault="00D92B8A" w:rsidP="00EE27EC">
      <w:pPr>
        <w:widowControl w:val="0"/>
        <w:numPr>
          <w:ilvl w:val="1"/>
          <w:numId w:val="5"/>
        </w:numPr>
        <w:spacing w:after="120"/>
        <w:rPr>
          <w:rFonts w:asciiTheme="minorHAnsi" w:hAnsiTheme="minorHAnsi"/>
          <w:snapToGrid w:val="0"/>
          <w:szCs w:val="20"/>
        </w:rPr>
      </w:pPr>
      <w:r w:rsidRPr="00CE42B4">
        <w:rPr>
          <w:rFonts w:asciiTheme="minorHAnsi" w:hAnsiTheme="minorHAnsi"/>
          <w:snapToGrid w:val="0"/>
          <w:szCs w:val="20"/>
        </w:rPr>
        <w:t>The PBAC considered that the claim of inferior comparative safety was reasonable.</w:t>
      </w:r>
      <w:bookmarkEnd w:id="51"/>
    </w:p>
    <w:p w14:paraId="2C214C1A" w14:textId="77777777" w:rsidR="00DC2DBD" w:rsidRPr="00A5291E" w:rsidRDefault="00DC2DBD" w:rsidP="00DC2DBD">
      <w:pPr>
        <w:pStyle w:val="4-SubsectionHeading"/>
      </w:pPr>
      <w:bookmarkStart w:id="52" w:name="_Toc193454321"/>
      <w:bookmarkEnd w:id="49"/>
      <w:r w:rsidRPr="00A5291E">
        <w:t>Economic analysis</w:t>
      </w:r>
      <w:bookmarkEnd w:id="52"/>
      <w:r w:rsidRPr="00A5291E">
        <w:t xml:space="preserve"> </w:t>
      </w:r>
    </w:p>
    <w:p w14:paraId="14715C69" w14:textId="528543D2" w:rsidR="00DC2DBD" w:rsidRPr="00455F25" w:rsidRDefault="00DC2DBD">
      <w:pPr>
        <w:pStyle w:val="3-BodyText"/>
        <w:rPr>
          <w:rFonts w:eastAsia="Calibri"/>
        </w:rPr>
      </w:pPr>
      <w:r w:rsidRPr="00455F25">
        <w:t xml:space="preserve">The submission presented </w:t>
      </w:r>
      <w:r w:rsidR="00DC7C32" w:rsidRPr="00455F25">
        <w:t>a</w:t>
      </w:r>
      <w:r w:rsidRPr="00455F25">
        <w:t xml:space="preserve"> cost-utility analys</w:t>
      </w:r>
      <w:r w:rsidR="00DC7C32" w:rsidRPr="00455F25">
        <w:t>i</w:t>
      </w:r>
      <w:r w:rsidRPr="00455F25">
        <w:t>s</w:t>
      </w:r>
      <w:r w:rsidRPr="00455F25">
        <w:rPr>
          <w:rFonts w:eastAsia="Calibri"/>
        </w:rPr>
        <w:t xml:space="preserve"> based on the Phase 2 randomised controlled trial DG-01 comparing </w:t>
      </w:r>
      <w:r w:rsidR="00A5291E" w:rsidRPr="00455F25">
        <w:rPr>
          <w:rFonts w:eastAsia="Calibri"/>
        </w:rPr>
        <w:t>T-</w:t>
      </w:r>
      <w:proofErr w:type="spellStart"/>
      <w:r w:rsidR="00A5291E" w:rsidRPr="00455F25">
        <w:rPr>
          <w:rFonts w:eastAsia="Calibri"/>
        </w:rPr>
        <w:t>DXd</w:t>
      </w:r>
      <w:proofErr w:type="spellEnd"/>
      <w:r w:rsidRPr="00455F25">
        <w:rPr>
          <w:rFonts w:eastAsia="Calibri"/>
        </w:rPr>
        <w:t xml:space="preserve"> to SoC</w:t>
      </w:r>
      <w:r w:rsidR="00704527">
        <w:rPr>
          <w:rFonts w:eastAsia="Calibri"/>
        </w:rPr>
        <w:t>,</w:t>
      </w:r>
      <w:r w:rsidRPr="00455F25">
        <w:rPr>
          <w:rFonts w:eastAsia="Calibri"/>
        </w:rPr>
        <w:t xml:space="preserve"> </w:t>
      </w:r>
      <w:r w:rsidRPr="00455F25">
        <w:t>measuring outcomes in terms of life-years (LYs) gained and quality-adjusted life years (QALYs) gained.</w:t>
      </w:r>
      <w:r w:rsidR="001B0D05" w:rsidRPr="00455F25">
        <w:t xml:space="preserve"> The submission noted that only irinotecan and paclitaxel, were used as comparators in DG-01, however considered that results from the comparator arm in the trial were appropriate to apply as a proxy for SoC</w:t>
      </w:r>
      <w:r w:rsidR="00CC54D4">
        <w:t xml:space="preserve"> (</w:t>
      </w:r>
      <w:r w:rsidR="005271F9" w:rsidRPr="00455F25">
        <w:rPr>
          <w:rFonts w:eastAsia="Calibri"/>
        </w:rPr>
        <w:t>irinotecan, paclitaxel, FOLFIRI or docetaxel</w:t>
      </w:r>
      <w:r w:rsidR="005271F9">
        <w:rPr>
          <w:rFonts w:eastAsia="Calibri"/>
        </w:rPr>
        <w:t>)</w:t>
      </w:r>
      <w:r w:rsidR="001B0D05" w:rsidRPr="00455F25">
        <w:t xml:space="preserve"> in the model. </w:t>
      </w:r>
      <w:r w:rsidR="005271F9" w:rsidRPr="00455F25">
        <w:t>The submission assumed that these chemotherapies have “equivalent efficacy but different toxicity profiles”.</w:t>
      </w:r>
      <w:r w:rsidR="005271F9">
        <w:t xml:space="preserve"> </w:t>
      </w:r>
      <w:r w:rsidRPr="00455F25">
        <w:t xml:space="preserve">The key components of the cost utility analysis are presented in </w:t>
      </w:r>
      <w:r w:rsidRPr="00455F25">
        <w:fldChar w:fldCharType="begin"/>
      </w:r>
      <w:r w:rsidRPr="00455F25">
        <w:instrText xml:space="preserve"> REF _Ref192154109 \h </w:instrText>
      </w:r>
      <w:r w:rsidR="00455F25" w:rsidRPr="00455F25">
        <w:instrText xml:space="preserve"> \* MERGEFORMAT </w:instrText>
      </w:r>
      <w:r w:rsidRPr="00455F25">
        <w:fldChar w:fldCharType="separate"/>
      </w:r>
      <w:r w:rsidR="00593619" w:rsidRPr="00455F25">
        <w:t xml:space="preserve">Table </w:t>
      </w:r>
      <w:r w:rsidR="00593619">
        <w:rPr>
          <w:noProof/>
        </w:rPr>
        <w:t>8</w:t>
      </w:r>
      <w:r w:rsidRPr="00455F25">
        <w:fldChar w:fldCharType="end"/>
      </w:r>
      <w:r w:rsidRPr="00455F25">
        <w:t>.</w:t>
      </w:r>
    </w:p>
    <w:p w14:paraId="5BF2EF40" w14:textId="30DCBD67" w:rsidR="00DC2DBD" w:rsidRPr="00455F25" w:rsidRDefault="00DC2DBD" w:rsidP="00926210">
      <w:pPr>
        <w:pStyle w:val="Caption"/>
        <w:spacing w:before="120"/>
      </w:pPr>
      <w:bookmarkStart w:id="53" w:name="_Ref192154109"/>
      <w:r w:rsidRPr="00455F25">
        <w:lastRenderedPageBreak/>
        <w:t xml:space="preserve">Table </w:t>
      </w:r>
      <w:r w:rsidR="008B461E">
        <w:fldChar w:fldCharType="begin"/>
      </w:r>
      <w:r w:rsidR="008B461E">
        <w:instrText xml:space="preserve"> SEQ Table \* ARABIC </w:instrText>
      </w:r>
      <w:r w:rsidR="008B461E">
        <w:fldChar w:fldCharType="separate"/>
      </w:r>
      <w:r w:rsidR="00593619">
        <w:rPr>
          <w:noProof/>
        </w:rPr>
        <w:t>8</w:t>
      </w:r>
      <w:r w:rsidR="008B461E">
        <w:rPr>
          <w:noProof/>
        </w:rPr>
        <w:fldChar w:fldCharType="end"/>
      </w:r>
      <w:bookmarkEnd w:id="53"/>
      <w:r w:rsidRPr="00455F25">
        <w:t>: Summary of model structure, key inputs and rationale</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3"/>
        <w:gridCol w:w="7032"/>
      </w:tblGrid>
      <w:tr w:rsidR="00DC2DBD" w:rsidRPr="00455F25" w14:paraId="35A6D2D5" w14:textId="77777777">
        <w:trPr>
          <w:tblHeader/>
        </w:trPr>
        <w:tc>
          <w:tcPr>
            <w:tcW w:w="1091" w:type="pct"/>
            <w:vAlign w:val="center"/>
          </w:tcPr>
          <w:p w14:paraId="11D1528E" w14:textId="77777777" w:rsidR="00DC2DBD" w:rsidRPr="00455F25" w:rsidRDefault="00DC2DBD">
            <w:pPr>
              <w:pStyle w:val="In-tableHeading"/>
              <w:jc w:val="center"/>
              <w:rPr>
                <w:lang w:val="en-AU"/>
              </w:rPr>
            </w:pPr>
            <w:r w:rsidRPr="00455F25">
              <w:rPr>
                <w:lang w:val="en-AU"/>
              </w:rPr>
              <w:t>Component</w:t>
            </w:r>
          </w:p>
        </w:tc>
        <w:tc>
          <w:tcPr>
            <w:tcW w:w="3909" w:type="pct"/>
          </w:tcPr>
          <w:p w14:paraId="2658BF12" w14:textId="77777777" w:rsidR="00DC2DBD" w:rsidRPr="00455F25" w:rsidRDefault="00DC2DBD">
            <w:pPr>
              <w:pStyle w:val="In-tableHeading"/>
              <w:jc w:val="center"/>
              <w:rPr>
                <w:lang w:val="en-AU"/>
              </w:rPr>
            </w:pPr>
            <w:r w:rsidRPr="00455F25">
              <w:rPr>
                <w:lang w:val="en-AU"/>
              </w:rPr>
              <w:t>Description</w:t>
            </w:r>
          </w:p>
        </w:tc>
      </w:tr>
      <w:tr w:rsidR="00DC2DBD" w:rsidRPr="00455F25" w14:paraId="3DD3533E" w14:textId="77777777">
        <w:tc>
          <w:tcPr>
            <w:tcW w:w="1091" w:type="pct"/>
            <w:vAlign w:val="center"/>
          </w:tcPr>
          <w:p w14:paraId="5BF2FF2F" w14:textId="77777777" w:rsidR="00DC2DBD" w:rsidRPr="00455F25" w:rsidRDefault="00DC2DBD">
            <w:pPr>
              <w:pStyle w:val="TableText0"/>
            </w:pPr>
            <w:r w:rsidRPr="00455F25">
              <w:t>Type of analysis</w:t>
            </w:r>
          </w:p>
        </w:tc>
        <w:tc>
          <w:tcPr>
            <w:tcW w:w="3909" w:type="pct"/>
          </w:tcPr>
          <w:p w14:paraId="143484B2" w14:textId="77777777" w:rsidR="00DC2DBD" w:rsidRPr="00455F25" w:rsidRDefault="00DC2DBD">
            <w:pPr>
              <w:pStyle w:val="TableText0"/>
            </w:pPr>
            <w:r w:rsidRPr="00455F25">
              <w:t>Cost-utility analysis</w:t>
            </w:r>
          </w:p>
        </w:tc>
      </w:tr>
      <w:tr w:rsidR="00DC2DBD" w:rsidRPr="00455F25" w14:paraId="07223DF3" w14:textId="77777777">
        <w:tc>
          <w:tcPr>
            <w:tcW w:w="1091" w:type="pct"/>
            <w:vAlign w:val="center"/>
          </w:tcPr>
          <w:p w14:paraId="6F2D3C4D" w14:textId="77777777" w:rsidR="00DC2DBD" w:rsidRPr="00455F25" w:rsidRDefault="00DC2DBD">
            <w:pPr>
              <w:pStyle w:val="TableText0"/>
            </w:pPr>
            <w:r w:rsidRPr="00455F25">
              <w:t>Outcomes</w:t>
            </w:r>
          </w:p>
        </w:tc>
        <w:tc>
          <w:tcPr>
            <w:tcW w:w="3909" w:type="pct"/>
          </w:tcPr>
          <w:p w14:paraId="356F3A74" w14:textId="77777777" w:rsidR="00DC2DBD" w:rsidRPr="00455F25" w:rsidRDefault="00DC2DBD">
            <w:pPr>
              <w:pStyle w:val="TableText0"/>
            </w:pPr>
            <w:r w:rsidRPr="00455F25">
              <w:t>Life years and quality-adjusted life years gained</w:t>
            </w:r>
          </w:p>
        </w:tc>
      </w:tr>
      <w:tr w:rsidR="00DC2DBD" w:rsidRPr="00455F25" w14:paraId="0EDACE1D" w14:textId="77777777">
        <w:tc>
          <w:tcPr>
            <w:tcW w:w="1091" w:type="pct"/>
            <w:vAlign w:val="center"/>
          </w:tcPr>
          <w:p w14:paraId="47AF4388" w14:textId="77777777" w:rsidR="00DC2DBD" w:rsidRPr="00455F25" w:rsidRDefault="00DC2DBD">
            <w:pPr>
              <w:pStyle w:val="TableText0"/>
            </w:pPr>
            <w:r w:rsidRPr="00455F25">
              <w:t>Time horizon</w:t>
            </w:r>
          </w:p>
        </w:tc>
        <w:tc>
          <w:tcPr>
            <w:tcW w:w="3909" w:type="pct"/>
          </w:tcPr>
          <w:p w14:paraId="29BE9159" w14:textId="2D761728" w:rsidR="00DC2DBD" w:rsidRPr="00455F25" w:rsidRDefault="00DC2DBD">
            <w:pPr>
              <w:pStyle w:val="TableText0"/>
            </w:pPr>
            <w:r w:rsidRPr="00455F25">
              <w:t xml:space="preserve">7.5 years in the model base case (vs. a median duration of follow-up of 11.9 months for </w:t>
            </w:r>
            <w:r w:rsidR="00A5291E" w:rsidRPr="00455F25">
              <w:t>T-</w:t>
            </w:r>
            <w:proofErr w:type="spellStart"/>
            <w:r w:rsidR="00A5291E" w:rsidRPr="00455F25">
              <w:t>DXd</w:t>
            </w:r>
            <w:proofErr w:type="spellEnd"/>
            <w:r w:rsidRPr="00455F25">
              <w:t xml:space="preserve"> and 8.5 months for Physician’s choice chemotherapy in the DG-01 trial). The PBAC and ESC have previously noted that a shorter time horizon of 2 years may be more appropriate in the setting of later-line treatment of G/GOJ adenocarcinoma (paragraph 6.49, ramucirumab PSD, March 2018 PBAC meeting).</w:t>
            </w:r>
          </w:p>
        </w:tc>
      </w:tr>
      <w:tr w:rsidR="00DC2DBD" w:rsidRPr="00455F25" w14:paraId="6196F4B4" w14:textId="77777777">
        <w:tc>
          <w:tcPr>
            <w:tcW w:w="1091" w:type="pct"/>
            <w:vAlign w:val="center"/>
          </w:tcPr>
          <w:p w14:paraId="7B21ECA6" w14:textId="77777777" w:rsidR="00DC2DBD" w:rsidRPr="00455F25" w:rsidRDefault="00DC2DBD">
            <w:pPr>
              <w:pStyle w:val="TableText0"/>
            </w:pPr>
            <w:r w:rsidRPr="00455F25">
              <w:t>Methods used to generate results</w:t>
            </w:r>
          </w:p>
        </w:tc>
        <w:tc>
          <w:tcPr>
            <w:tcW w:w="3909" w:type="pct"/>
          </w:tcPr>
          <w:p w14:paraId="5F808C65" w14:textId="77777777" w:rsidR="00DC2DBD" w:rsidRPr="00455F25" w:rsidRDefault="00DC2DBD">
            <w:pPr>
              <w:pStyle w:val="TableText0"/>
            </w:pPr>
            <w:r w:rsidRPr="00455F25">
              <w:t>Three-state partitioned survival (area under the curve) analysis</w:t>
            </w:r>
          </w:p>
        </w:tc>
      </w:tr>
      <w:tr w:rsidR="00DC2DBD" w:rsidRPr="00455F25" w14:paraId="47778292" w14:textId="77777777">
        <w:tc>
          <w:tcPr>
            <w:tcW w:w="1091" w:type="pct"/>
            <w:vAlign w:val="center"/>
          </w:tcPr>
          <w:p w14:paraId="77367A73" w14:textId="77777777" w:rsidR="00DC2DBD" w:rsidRPr="00455F25" w:rsidRDefault="00DC2DBD">
            <w:pPr>
              <w:pStyle w:val="TableText0"/>
            </w:pPr>
            <w:r w:rsidRPr="00455F25">
              <w:t>Health states</w:t>
            </w:r>
          </w:p>
        </w:tc>
        <w:tc>
          <w:tcPr>
            <w:tcW w:w="3909" w:type="pct"/>
          </w:tcPr>
          <w:p w14:paraId="00047E8C" w14:textId="77777777" w:rsidR="00DC2DBD" w:rsidRPr="00455F25" w:rsidRDefault="00DC2DBD">
            <w:pPr>
              <w:pStyle w:val="TableText0"/>
            </w:pPr>
            <w:r w:rsidRPr="00455F25">
              <w:t>Progression-free, post-progression and dead</w:t>
            </w:r>
          </w:p>
        </w:tc>
      </w:tr>
      <w:tr w:rsidR="00DC2DBD" w:rsidRPr="00455F25" w14:paraId="6DFEFFE1" w14:textId="77777777">
        <w:tc>
          <w:tcPr>
            <w:tcW w:w="1091" w:type="pct"/>
            <w:vAlign w:val="center"/>
          </w:tcPr>
          <w:p w14:paraId="4ED90058" w14:textId="77777777" w:rsidR="00DC2DBD" w:rsidRPr="00455F25" w:rsidRDefault="00DC2DBD">
            <w:pPr>
              <w:pStyle w:val="TableText0"/>
            </w:pPr>
            <w:r w:rsidRPr="00455F25">
              <w:t>Cycle length</w:t>
            </w:r>
          </w:p>
        </w:tc>
        <w:tc>
          <w:tcPr>
            <w:tcW w:w="3909" w:type="pct"/>
          </w:tcPr>
          <w:p w14:paraId="75EF077B" w14:textId="77777777" w:rsidR="00DC2DBD" w:rsidRPr="00455F25" w:rsidRDefault="00DC2DBD">
            <w:pPr>
              <w:pStyle w:val="TableText0"/>
            </w:pPr>
            <w:r w:rsidRPr="00455F25">
              <w:t>1 week, with half-cycle correction</w:t>
            </w:r>
          </w:p>
        </w:tc>
      </w:tr>
      <w:tr w:rsidR="00DC2DBD" w:rsidRPr="00455F25" w14:paraId="3F9CCF04" w14:textId="77777777">
        <w:tc>
          <w:tcPr>
            <w:tcW w:w="1091" w:type="pct"/>
            <w:vAlign w:val="center"/>
          </w:tcPr>
          <w:p w14:paraId="6AAB40DD" w14:textId="77777777" w:rsidR="00DC2DBD" w:rsidRPr="00455F25" w:rsidRDefault="00DC2DBD">
            <w:pPr>
              <w:pStyle w:val="TableText0"/>
            </w:pPr>
            <w:r w:rsidRPr="00455F25">
              <w:t>Allocation to health states</w:t>
            </w:r>
          </w:p>
        </w:tc>
        <w:tc>
          <w:tcPr>
            <w:tcW w:w="3909" w:type="pct"/>
          </w:tcPr>
          <w:p w14:paraId="46E44E4E" w14:textId="77777777" w:rsidR="00DC2DBD" w:rsidRPr="00455F25" w:rsidRDefault="00DC2DBD">
            <w:pPr>
              <w:pStyle w:val="TableText0"/>
            </w:pPr>
            <w:r w:rsidRPr="00455F25">
              <w:t>Derived from PFS and OS KM curves from the DG-01 study.</w:t>
            </w:r>
          </w:p>
        </w:tc>
      </w:tr>
      <w:tr w:rsidR="00DC2DBD" w:rsidRPr="00455F25" w14:paraId="2176C4B5" w14:textId="77777777">
        <w:tc>
          <w:tcPr>
            <w:tcW w:w="1091" w:type="pct"/>
            <w:vAlign w:val="center"/>
          </w:tcPr>
          <w:p w14:paraId="7DBEADA2" w14:textId="77777777" w:rsidR="00DC2DBD" w:rsidRPr="00455F25" w:rsidRDefault="00DC2DBD">
            <w:pPr>
              <w:pStyle w:val="TableText0"/>
            </w:pPr>
            <w:r w:rsidRPr="00455F25">
              <w:t>Extrapolation method</w:t>
            </w:r>
          </w:p>
        </w:tc>
        <w:tc>
          <w:tcPr>
            <w:tcW w:w="3909" w:type="pct"/>
          </w:tcPr>
          <w:p w14:paraId="1718103F" w14:textId="601485AB" w:rsidR="00DC2DBD" w:rsidRPr="00455F25" w:rsidRDefault="00DC2DBD">
            <w:pPr>
              <w:pStyle w:val="TableText0"/>
            </w:pPr>
            <w:r w:rsidRPr="00455F25">
              <w:t xml:space="preserve">KM data from DG-01 for PFS and OS were applied until 16.5 and 11 months for OS and 9 and 3 months for PFS for </w:t>
            </w:r>
            <w:r w:rsidR="00A5291E" w:rsidRPr="00455F25">
              <w:t>T-</w:t>
            </w:r>
            <w:proofErr w:type="spellStart"/>
            <w:r w:rsidR="00A5291E" w:rsidRPr="00455F25">
              <w:t>DXd</w:t>
            </w:r>
            <w:proofErr w:type="spellEnd"/>
            <w:r w:rsidRPr="00455F25">
              <w:t xml:space="preserve"> and SoC treatment arms respectively. The truncation time points nominated were not well justified. The submission incorrectly applied the </w:t>
            </w:r>
            <w:proofErr w:type="spellStart"/>
            <w:r w:rsidRPr="00455F25">
              <w:t>Gebski</w:t>
            </w:r>
            <w:proofErr w:type="spellEnd"/>
            <w:r w:rsidRPr="00455F25">
              <w:t xml:space="preserve"> criteria</w:t>
            </w:r>
            <w:r w:rsidRPr="00455F25">
              <w:rPr>
                <w:vertAlign w:val="superscript"/>
              </w:rPr>
              <w:t>1</w:t>
            </w:r>
            <w:r w:rsidRPr="00455F25">
              <w:t xml:space="preserve"> (Criterion 2) previously recommended by ESC (</w:t>
            </w:r>
            <w:proofErr w:type="spellStart"/>
            <w:r w:rsidRPr="00455F25">
              <w:t>sacituzumab</w:t>
            </w:r>
            <w:proofErr w:type="spellEnd"/>
            <w:r w:rsidRPr="00455F25">
              <w:t xml:space="preserve"> </w:t>
            </w:r>
            <w:proofErr w:type="spellStart"/>
            <w:r w:rsidRPr="00455F25">
              <w:t>govitecan</w:t>
            </w:r>
            <w:proofErr w:type="spellEnd"/>
            <w:r w:rsidRPr="00455F25">
              <w:t xml:space="preserve"> PSD, July 2023, para 6.36). The ICER was sensitive to the change in truncation point for OS.</w:t>
            </w:r>
          </w:p>
          <w:p w14:paraId="1134060C" w14:textId="77777777" w:rsidR="00DC2DBD" w:rsidRPr="00455F25" w:rsidRDefault="00DC2DBD">
            <w:pPr>
              <w:pStyle w:val="TableText0"/>
            </w:pPr>
          </w:p>
          <w:p w14:paraId="13D8C6F0" w14:textId="22C60844" w:rsidR="00DC2DBD" w:rsidRPr="00455F25" w:rsidRDefault="00DC2DBD">
            <w:pPr>
              <w:pStyle w:val="TableText0"/>
            </w:pPr>
            <w:r w:rsidRPr="00455F25">
              <w:t>Independent parametric models were fitted to OS and PFS KM data for both treatment arms. Log-logistic (</w:t>
            </w:r>
            <w:r w:rsidR="00A5291E" w:rsidRPr="00455F25">
              <w:t>T-</w:t>
            </w:r>
            <w:proofErr w:type="spellStart"/>
            <w:r w:rsidR="00A5291E" w:rsidRPr="00455F25">
              <w:t>DXd</w:t>
            </w:r>
            <w:proofErr w:type="spellEnd"/>
            <w:r w:rsidRPr="00455F25">
              <w:t>) and log-normal (SoC) distributions were chosen to model OS and log</w:t>
            </w:r>
            <w:r w:rsidR="000F5A9D" w:rsidRPr="00455F25">
              <w:noBreakHyphen/>
            </w:r>
            <w:r w:rsidRPr="00455F25">
              <w:t>normal distribution was chosen to model PFS in both treatment arms based on AIC/BIC and visual fit. Whilst PFS data were mature and not sensitive to changes in parametric functions, there was substantial variation between modelled OS curves. The three best fitting curves (log</w:t>
            </w:r>
            <w:r w:rsidR="000F5A9D" w:rsidRPr="00455F25">
              <w:noBreakHyphen/>
            </w:r>
            <w:r w:rsidRPr="00455F25">
              <w:t xml:space="preserve">logistic, lognormal and Weibull) each had similar AIC/BIC </w:t>
            </w:r>
            <w:r w:rsidR="00946E98" w:rsidRPr="00455F25">
              <w:t>values;</w:t>
            </w:r>
            <w:r w:rsidRPr="00455F25">
              <w:t xml:space="preserve"> </w:t>
            </w:r>
            <w:proofErr w:type="gramStart"/>
            <w:r w:rsidRPr="00455F25">
              <w:t>however</w:t>
            </w:r>
            <w:proofErr w:type="gramEnd"/>
            <w:r w:rsidRPr="00455F25">
              <w:t xml:space="preserve"> the Weibull distribution had a better visual fit and clinical plausibility. The ICER was sensitive to this change.</w:t>
            </w:r>
          </w:p>
          <w:p w14:paraId="7E54B116" w14:textId="77777777" w:rsidR="00DC2DBD" w:rsidRPr="00455F25" w:rsidRDefault="00DC2DBD">
            <w:pPr>
              <w:pStyle w:val="TableText0"/>
            </w:pPr>
          </w:p>
          <w:p w14:paraId="121A9946" w14:textId="77777777" w:rsidR="00DC2DBD" w:rsidRPr="00455F25" w:rsidRDefault="00DC2DBD">
            <w:pPr>
              <w:pStyle w:val="TableText0"/>
            </w:pPr>
            <w:proofErr w:type="spellStart"/>
            <w:r w:rsidRPr="00455F25">
              <w:t>ToT</w:t>
            </w:r>
            <w:proofErr w:type="spellEnd"/>
            <w:r w:rsidRPr="00455F25">
              <w:t xml:space="preserve"> curves were not extrapolated. KM data from DG-01 was used to model the entire treatment period. The ICER increased by 11% when the </w:t>
            </w:r>
            <w:proofErr w:type="spellStart"/>
            <w:r w:rsidRPr="00455F25">
              <w:t>ToT</w:t>
            </w:r>
            <w:proofErr w:type="spellEnd"/>
            <w:r w:rsidRPr="00455F25">
              <w:t xml:space="preserve"> curves were extrapolated. </w:t>
            </w:r>
            <w:proofErr w:type="spellStart"/>
            <w:r w:rsidRPr="00455F25">
              <w:t>ToT</w:t>
            </w:r>
            <w:proofErr w:type="spellEnd"/>
            <w:r w:rsidRPr="00455F25">
              <w:t xml:space="preserve"> curves were extrapolated in the respecified base case analysis.</w:t>
            </w:r>
          </w:p>
        </w:tc>
      </w:tr>
      <w:tr w:rsidR="00DC2DBD" w:rsidRPr="00455F25" w14:paraId="118F55E4" w14:textId="77777777">
        <w:tc>
          <w:tcPr>
            <w:tcW w:w="1091" w:type="pct"/>
            <w:vAlign w:val="center"/>
          </w:tcPr>
          <w:p w14:paraId="64652905" w14:textId="77777777" w:rsidR="00DC2DBD" w:rsidRPr="00455F25" w:rsidRDefault="00DC2DBD">
            <w:pPr>
              <w:pStyle w:val="TableText0"/>
            </w:pPr>
            <w:r w:rsidRPr="00455F25">
              <w:t>Discount rate</w:t>
            </w:r>
          </w:p>
        </w:tc>
        <w:tc>
          <w:tcPr>
            <w:tcW w:w="3909" w:type="pct"/>
          </w:tcPr>
          <w:p w14:paraId="17E399C8" w14:textId="77777777" w:rsidR="00DC2DBD" w:rsidRPr="00455F25" w:rsidRDefault="00DC2DBD">
            <w:pPr>
              <w:pStyle w:val="TableText0"/>
            </w:pPr>
            <w:r w:rsidRPr="00455F25">
              <w:t>3.5% per annum for the costs and benefits in the base case. This is not consistent with the current PBAC Guidelines. While the HTA Review outcomes considered applying a discount rate of 3.5%, these have not yet been implemented in practice. Respecified base case analyses are presented using a 5% per annum discount rate.</w:t>
            </w:r>
          </w:p>
        </w:tc>
      </w:tr>
      <w:tr w:rsidR="00DC2DBD" w:rsidRPr="00455F25" w14:paraId="7174D96E" w14:textId="77777777">
        <w:tc>
          <w:tcPr>
            <w:tcW w:w="1091" w:type="pct"/>
            <w:vAlign w:val="center"/>
          </w:tcPr>
          <w:p w14:paraId="42DEC333" w14:textId="77777777" w:rsidR="00DC2DBD" w:rsidRPr="00455F25" w:rsidRDefault="00DC2DBD">
            <w:pPr>
              <w:pStyle w:val="TableText0"/>
            </w:pPr>
            <w:r w:rsidRPr="00455F25">
              <w:t>Health related quality of life</w:t>
            </w:r>
          </w:p>
        </w:tc>
        <w:tc>
          <w:tcPr>
            <w:tcW w:w="3909" w:type="pct"/>
          </w:tcPr>
          <w:p w14:paraId="76F35E48" w14:textId="77777777" w:rsidR="00DC2DBD" w:rsidRPr="00455F25" w:rsidRDefault="00DC2DBD">
            <w:pPr>
              <w:pStyle w:val="TableText0"/>
            </w:pPr>
            <w:r w:rsidRPr="00455F25">
              <w:t>Health state utility for progression free health state (0.746) was derived from EQ-5D-5L data from the DG-02 trial. A utility decrement (0.15) was estimated from the utility values for PF (0.737) and PD (0.587) used in the NICE TA378 (evidence from RAINBOW trial for gastric cancer) and applied to the PF utility value to estimate the PD utility value.</w:t>
            </w:r>
          </w:p>
        </w:tc>
      </w:tr>
      <w:tr w:rsidR="00DC2DBD" w:rsidRPr="00455F25" w14:paraId="2C52D8FD" w14:textId="77777777">
        <w:tc>
          <w:tcPr>
            <w:tcW w:w="1091" w:type="pct"/>
            <w:vAlign w:val="center"/>
          </w:tcPr>
          <w:p w14:paraId="2AC632BE" w14:textId="77777777" w:rsidR="00DC2DBD" w:rsidRPr="00455F25" w:rsidRDefault="00DC2DBD">
            <w:pPr>
              <w:pStyle w:val="TableText0"/>
            </w:pPr>
            <w:r w:rsidRPr="00455F25">
              <w:t>Costs</w:t>
            </w:r>
          </w:p>
        </w:tc>
        <w:tc>
          <w:tcPr>
            <w:tcW w:w="3909" w:type="pct"/>
          </w:tcPr>
          <w:p w14:paraId="10957E84" w14:textId="77777777" w:rsidR="00DC2DBD" w:rsidRPr="00455F25" w:rsidRDefault="00DC2DBD">
            <w:pPr>
              <w:pStyle w:val="TableText0"/>
            </w:pPr>
            <w:r w:rsidRPr="00455F25">
              <w:t>Direct treatment costs, costs for disease management (PF and PD), costs for subsequent treatments, costs for treatment of AEs and terminal care costs were applied.</w:t>
            </w:r>
          </w:p>
          <w:p w14:paraId="5223391C" w14:textId="77777777" w:rsidR="00DC2DBD" w:rsidRPr="00455F25" w:rsidRDefault="00DC2DBD">
            <w:pPr>
              <w:pStyle w:val="TableText0"/>
            </w:pPr>
            <w:r w:rsidRPr="00455F25">
              <w:t>While the costs included in the economic model were appropriate, the approach to estimate drug costs was incorrect. Relative dose intensity was applied to the weighted cost of dispensed drug which included EFC dispensing fee, instead of applying it to the planned dose to account for dose reductions. Corrected cost estimates were used in the respecified base case analysis.</w:t>
            </w:r>
          </w:p>
        </w:tc>
      </w:tr>
    </w:tbl>
    <w:p w14:paraId="6DEC3866" w14:textId="77777777" w:rsidR="005F782D" w:rsidRPr="00455F25" w:rsidRDefault="00C02DCB" w:rsidP="00BF7246">
      <w:pPr>
        <w:pStyle w:val="TableFigureFooter"/>
        <w:jc w:val="both"/>
      </w:pPr>
      <w:r w:rsidRPr="00455F25">
        <w:t>Source: Table 3-1, p105 of the submission.</w:t>
      </w:r>
    </w:p>
    <w:p w14:paraId="015B3862" w14:textId="138C19D4" w:rsidR="00DC2DBD" w:rsidRPr="00455F25" w:rsidRDefault="00DC2DBD" w:rsidP="00BF7246">
      <w:pPr>
        <w:pStyle w:val="TableFigureFooter"/>
        <w:jc w:val="both"/>
      </w:pPr>
      <w:r w:rsidRPr="00455F25">
        <w:t xml:space="preserve">AIC = Akaike information criterion; BIC = Bayesian information criterion; EQ-5D-5L = </w:t>
      </w:r>
      <w:proofErr w:type="spellStart"/>
      <w:r w:rsidRPr="00455F25">
        <w:t>EuroQol</w:t>
      </w:r>
      <w:proofErr w:type="spellEnd"/>
      <w:r w:rsidRPr="00455F25">
        <w:t xml:space="preserve"> 5 Dimensions 5 Levels; ESC = Economics Sub Committee; GOJ = Gastro-oesophageal junction; HTA = Health technology assessment; ICER = incremental cost-effectiveness ratio; KM = Kaplan-Meier; NICE = National Institute for Health and Care Excellence; OS = Overall survival; PBAC = Pharmaceutical Benefits Advisory Committee; PD = Progressed disease; PF = Progression-free; PFS = Progression-Free Survival; PSD = Public summary document; SoC = Standard of care;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r w:rsidRPr="00455F25">
        <w:t xml:space="preserve">; </w:t>
      </w:r>
      <w:proofErr w:type="spellStart"/>
      <w:r w:rsidRPr="00455F25">
        <w:t>ToT</w:t>
      </w:r>
      <w:proofErr w:type="spellEnd"/>
      <w:r w:rsidRPr="00455F25">
        <w:t xml:space="preserve"> = Time on treatment</w:t>
      </w:r>
    </w:p>
    <w:p w14:paraId="3372998C" w14:textId="6B00FE26" w:rsidR="00DC2DBD" w:rsidRPr="00455F25" w:rsidRDefault="00DC2DBD" w:rsidP="00BF7246">
      <w:pPr>
        <w:pStyle w:val="TableFigureFooter"/>
        <w:spacing w:after="120"/>
        <w:jc w:val="both"/>
      </w:pPr>
      <w:r w:rsidRPr="00455F25">
        <w:rPr>
          <w:vertAlign w:val="superscript"/>
        </w:rPr>
        <w:t xml:space="preserve">1 </w:t>
      </w:r>
      <w:proofErr w:type="spellStart"/>
      <w:r w:rsidRPr="00455F25">
        <w:t>Gebski</w:t>
      </w:r>
      <w:proofErr w:type="spellEnd"/>
      <w:r w:rsidRPr="00455F25">
        <w:t>, V., et al. 2018, Data maturity and follow-up in time-to-event analyses. International Journal of Epidemiology. 47(3): p. 850-859.</w:t>
      </w:r>
    </w:p>
    <w:p w14:paraId="4E7958BA" w14:textId="3216ECA3" w:rsidR="00DC2DBD" w:rsidRPr="00455F25" w:rsidRDefault="00DC2DBD" w:rsidP="00DC2DBD">
      <w:pPr>
        <w:pStyle w:val="3-BodyText"/>
        <w:rPr>
          <w:b/>
          <w:bCs/>
          <w:color w:val="0066FF"/>
        </w:rPr>
      </w:pPr>
      <w:r w:rsidRPr="00455F25">
        <w:t xml:space="preserve">The </w:t>
      </w:r>
      <w:r w:rsidRPr="00455F25">
        <w:rPr>
          <w:color w:val="0D0D0D" w:themeColor="text1" w:themeTint="F2"/>
        </w:rPr>
        <w:t xml:space="preserve">submission employed a partitioned survival model and modelled three health states: progression-free (PF), post progression (PP) and death. Allocation to the three </w:t>
      </w:r>
      <w:r w:rsidRPr="00455F25">
        <w:rPr>
          <w:color w:val="0D0D0D" w:themeColor="text1" w:themeTint="F2"/>
        </w:rPr>
        <w:lastRenderedPageBreak/>
        <w:t>health states was based on the OS and PFS curves for</w:t>
      </w:r>
      <w:r w:rsidRPr="00455F25">
        <w:t xml:space="preserve"> the </w:t>
      </w:r>
      <w:r w:rsidR="00A5291E" w:rsidRPr="00455F25">
        <w:t>T-</w:t>
      </w:r>
      <w:proofErr w:type="spellStart"/>
      <w:r w:rsidR="00A5291E" w:rsidRPr="00455F25">
        <w:t>DXd</w:t>
      </w:r>
      <w:proofErr w:type="spellEnd"/>
      <w:r w:rsidRPr="00455F25">
        <w:t xml:space="preserve"> and SoC (Physician’s choice chemotherapy) arms of the DG-01 trial. </w:t>
      </w:r>
      <w:r w:rsidRPr="00455F25">
        <w:rPr>
          <w:color w:val="0D0D0D" w:themeColor="text1" w:themeTint="F2"/>
        </w:rPr>
        <w:t>The structure of the economic model was reasonable.</w:t>
      </w:r>
    </w:p>
    <w:p w14:paraId="204DB6FE" w14:textId="2022EB32" w:rsidR="00DC2DBD" w:rsidRPr="00455F25" w:rsidRDefault="00DC2DBD" w:rsidP="00DC2DBD">
      <w:pPr>
        <w:pStyle w:val="3-BodyText"/>
        <w:rPr>
          <w:color w:val="0066FF"/>
        </w:rPr>
      </w:pPr>
      <w:r w:rsidRPr="00455F25">
        <w:t xml:space="preserve">The submission nominated a time horizon of 7.5 years in the model base case (vs. a median duration of follow-up of 11.9 months for </w:t>
      </w:r>
      <w:r w:rsidR="00A5291E" w:rsidRPr="00455F25">
        <w:t>T-</w:t>
      </w:r>
      <w:proofErr w:type="spellStart"/>
      <w:r w:rsidR="00A5291E" w:rsidRPr="00455F25">
        <w:t>DXd</w:t>
      </w:r>
      <w:proofErr w:type="spellEnd"/>
      <w:r w:rsidRPr="00455F25">
        <w:t xml:space="preserve"> and 8.5 months for SoC in the DG-01 trial). The PBAC and ESC have previously noted that a shorter time horizon of 2 years may be more appropriate in the setting of later-line G/GOJ adenocarcinoma (paragraph 6.49, ramucirumab PSD, March 2018 PBAC meeting). The time horizon nominated in the submission was optimistic given that only approximately 20% of patients remained alive at 2 years. The ICER was sensitive to changing the time horizon from 7.5 to 2 years</w:t>
      </w:r>
      <w:r w:rsidRPr="00455F25">
        <w:rPr>
          <w:color w:val="0066FF"/>
        </w:rPr>
        <w:t>.</w:t>
      </w:r>
      <w:r w:rsidR="008755F9">
        <w:rPr>
          <w:color w:val="0066FF"/>
        </w:rPr>
        <w:t xml:space="preserve"> </w:t>
      </w:r>
      <w:r w:rsidR="008755F9" w:rsidRPr="00E55A74">
        <w:rPr>
          <w:iCs/>
        </w:rPr>
        <w:t>The ESC considered a time horizon of 4 years would be appropriate to capture a more clinically plausible survival duration for this population.</w:t>
      </w:r>
      <w:r w:rsidR="008755F9">
        <w:t xml:space="preserve"> </w:t>
      </w:r>
      <w:r w:rsidR="005A1187">
        <w:t>The Pre</w:t>
      </w:r>
      <w:r w:rsidR="00616D2C">
        <w:noBreakHyphen/>
      </w:r>
      <w:r w:rsidR="005A1187">
        <w:t xml:space="preserve">PBAC </w:t>
      </w:r>
      <w:r w:rsidR="00604BF3">
        <w:t xml:space="preserve">response </w:t>
      </w:r>
      <w:r w:rsidR="00616D2C">
        <w:t>argued</w:t>
      </w:r>
      <w:r w:rsidR="005954EC">
        <w:t xml:space="preserve"> </w:t>
      </w:r>
      <w:r w:rsidR="00604BF3">
        <w:t xml:space="preserve">a </w:t>
      </w:r>
      <w:proofErr w:type="gramStart"/>
      <w:r w:rsidR="002F08AA">
        <w:t>5 year</w:t>
      </w:r>
      <w:proofErr w:type="gramEnd"/>
      <w:r w:rsidR="002F08AA">
        <w:t xml:space="preserve"> time horizon</w:t>
      </w:r>
      <w:r w:rsidR="00E94D5B">
        <w:t xml:space="preserve"> would be </w:t>
      </w:r>
      <w:r w:rsidR="002C0C50">
        <w:t>reasonable for a revised base case</w:t>
      </w:r>
      <w:r w:rsidR="00604BF3">
        <w:t>, arguing that this</w:t>
      </w:r>
      <w:r w:rsidR="002F08AA">
        <w:t xml:space="preserve"> is consistent with previous PBAC decisions in 1L metastatic setting </w:t>
      </w:r>
      <w:r w:rsidR="00FE443B">
        <w:t>such as nivolumab and pembrolizumab for gastroesophageal cancer (PSDs November 2021)</w:t>
      </w:r>
      <w:r w:rsidR="0065673D">
        <w:t xml:space="preserve">, where time horizons on 7.5 years were </w:t>
      </w:r>
      <w:r w:rsidR="007C5C4E">
        <w:t>accepted</w:t>
      </w:r>
      <w:r w:rsidR="00FE443B">
        <w:t>.</w:t>
      </w:r>
      <w:r w:rsidR="00FF2F9F">
        <w:t xml:space="preserve"> </w:t>
      </w:r>
      <w:r w:rsidR="00D13544">
        <w:t xml:space="preserve">However, in both </w:t>
      </w:r>
      <w:r w:rsidR="00380ACA">
        <w:t xml:space="preserve">cases the PBAC considered that a </w:t>
      </w:r>
      <w:proofErr w:type="gramStart"/>
      <w:r w:rsidR="00380ACA">
        <w:t>5 year</w:t>
      </w:r>
      <w:proofErr w:type="gramEnd"/>
      <w:r w:rsidR="00380ACA">
        <w:t xml:space="preserve"> time horizon was more appropriate</w:t>
      </w:r>
      <w:r w:rsidR="002A0DC6">
        <w:t xml:space="preserve"> (paragraph 7.10, pembrolizumab PSD and paragraph 7.</w:t>
      </w:r>
      <w:r w:rsidR="001107FB">
        <w:t>10</w:t>
      </w:r>
      <w:r w:rsidR="00724EF0">
        <w:t>, nivolumab PSD, November</w:t>
      </w:r>
      <w:r w:rsidR="00B43880">
        <w:t> </w:t>
      </w:r>
      <w:r w:rsidR="00724EF0">
        <w:t>2021 PBAC meeting).</w:t>
      </w:r>
    </w:p>
    <w:p w14:paraId="60720124" w14:textId="4CD80524" w:rsidR="00DC2DBD" w:rsidRPr="00455F25" w:rsidRDefault="00DC2DBD" w:rsidP="00DC2DBD">
      <w:pPr>
        <w:pStyle w:val="3-BodyText"/>
        <w:rPr>
          <w:color w:val="0066FF"/>
        </w:rPr>
      </w:pPr>
      <w:r w:rsidRPr="00455F25">
        <w:rPr>
          <w:color w:val="0D0D0D" w:themeColor="text1" w:themeTint="F2"/>
        </w:rPr>
        <w:t>Health state membership was determined based on the PFS and OS curves from the DG-01 trial data. KM data were used until 16.5 and 11 months for OS and 9 and 3</w:t>
      </w:r>
      <w:r w:rsidR="006B12F1">
        <w:rPr>
          <w:color w:val="0D0D0D" w:themeColor="text1" w:themeTint="F2"/>
        </w:rPr>
        <w:t> </w:t>
      </w:r>
      <w:r w:rsidRPr="00455F25">
        <w:rPr>
          <w:color w:val="0D0D0D" w:themeColor="text1" w:themeTint="F2"/>
        </w:rPr>
        <w:t xml:space="preserve">months for PFS for </w:t>
      </w:r>
      <w:r w:rsidR="00A5291E" w:rsidRPr="00455F25">
        <w:rPr>
          <w:color w:val="0D0D0D" w:themeColor="text1" w:themeTint="F2"/>
        </w:rPr>
        <w:t>T-</w:t>
      </w:r>
      <w:proofErr w:type="spellStart"/>
      <w:r w:rsidR="00A5291E" w:rsidRPr="00455F25">
        <w:rPr>
          <w:color w:val="0D0D0D" w:themeColor="text1" w:themeTint="F2"/>
        </w:rPr>
        <w:t>DXd</w:t>
      </w:r>
      <w:proofErr w:type="spellEnd"/>
      <w:r w:rsidRPr="00455F25">
        <w:rPr>
          <w:color w:val="0D0D0D" w:themeColor="text1" w:themeTint="F2"/>
        </w:rPr>
        <w:t xml:space="preserve"> and SoC treatment arms, respectively. </w:t>
      </w:r>
      <w:r w:rsidRPr="00455F25">
        <w:t xml:space="preserve">The truncation time points nominated were not well justified. The submission incorrectly applied the </w:t>
      </w:r>
      <w:proofErr w:type="spellStart"/>
      <w:r w:rsidRPr="00455F25">
        <w:t>Gebski</w:t>
      </w:r>
      <w:proofErr w:type="spellEnd"/>
      <w:r w:rsidRPr="00455F25">
        <w:t xml:space="preserve"> criteria</w:t>
      </w:r>
      <w:r w:rsidRPr="00455F25">
        <w:rPr>
          <w:rStyle w:val="FootnoteReference"/>
        </w:rPr>
        <w:footnoteReference w:id="15"/>
      </w:r>
      <w:r w:rsidRPr="00455F25">
        <w:t xml:space="preserve"> (Criterion 2) previously recommended by ESC (</w:t>
      </w:r>
      <w:r w:rsidR="008E210E" w:rsidRPr="00455F25">
        <w:t xml:space="preserve">para 6.36, </w:t>
      </w:r>
      <w:proofErr w:type="spellStart"/>
      <w:r w:rsidRPr="00455F25">
        <w:t>sacituzumab</w:t>
      </w:r>
      <w:proofErr w:type="spellEnd"/>
      <w:r w:rsidRPr="00455F25">
        <w:t xml:space="preserve"> </w:t>
      </w:r>
      <w:proofErr w:type="spellStart"/>
      <w:r w:rsidRPr="00455F25">
        <w:t>govitecan</w:t>
      </w:r>
      <w:proofErr w:type="spellEnd"/>
      <w:r w:rsidRPr="00455F25">
        <w:t xml:space="preserve"> PSD, July 2023</w:t>
      </w:r>
      <w:r w:rsidR="008E210E" w:rsidRPr="00455F25">
        <w:t xml:space="preserve"> PBAC Meeting</w:t>
      </w:r>
      <w:r w:rsidRPr="00455F25">
        <w:t>). The ICER was moderately sensitive to the choice of truncation time points for OS.</w:t>
      </w:r>
      <w:r w:rsidR="008B2084">
        <w:t xml:space="preserve"> The pre-PBAC response acknowledged that </w:t>
      </w:r>
      <w:r w:rsidR="00BD6690">
        <w:t>amendments to the truncation time points applied in the evaluation were appropriate.</w:t>
      </w:r>
    </w:p>
    <w:p w14:paraId="10A2BE3D" w14:textId="2080339D" w:rsidR="00DC2DBD" w:rsidRPr="00455F25" w:rsidRDefault="00DC2DBD" w:rsidP="00DC2DBD">
      <w:pPr>
        <w:pStyle w:val="3-BodyText"/>
      </w:pPr>
      <w:r w:rsidRPr="00455F25">
        <w:t>Independent parametric models were fitted to OS and PFS KM data for both treatment arms. Log-logistic (</w:t>
      </w:r>
      <w:r w:rsidR="00A5291E" w:rsidRPr="00455F25">
        <w:t>T-</w:t>
      </w:r>
      <w:proofErr w:type="spellStart"/>
      <w:r w:rsidR="00A5291E" w:rsidRPr="00455F25">
        <w:t>DXd</w:t>
      </w:r>
      <w:proofErr w:type="spellEnd"/>
      <w:r w:rsidRPr="00455F25">
        <w:t xml:space="preserve">) and log-normal (SoC) distributions were chosen to model OS and log-normal distributions was chosen to model PFS in both treatment arms based on AIC/BIC and visual fit. Whilst PFS data were mature and not sensitive to changes in parametric functions, there was substantial variation between modelled OS curves as discussed below. </w:t>
      </w:r>
    </w:p>
    <w:p w14:paraId="4E68DCD0" w14:textId="51455D79" w:rsidR="00DC2DBD" w:rsidRPr="00455F25" w:rsidRDefault="00DC2DBD" w:rsidP="00DC2DBD">
      <w:pPr>
        <w:pStyle w:val="3-BodyText"/>
      </w:pPr>
      <w:r w:rsidRPr="00455F25">
        <w:t xml:space="preserve">The submission selected a log-logistic function to extrapolate </w:t>
      </w:r>
      <w:r w:rsidR="00A5291E" w:rsidRPr="00455F25">
        <w:t>T-</w:t>
      </w:r>
      <w:proofErr w:type="spellStart"/>
      <w:r w:rsidR="00A5291E" w:rsidRPr="00455F25">
        <w:t>DXd</w:t>
      </w:r>
      <w:proofErr w:type="spellEnd"/>
      <w:r w:rsidRPr="00455F25">
        <w:t xml:space="preserve"> OS which produced OS rates that were substantially favourable to the </w:t>
      </w:r>
      <w:r w:rsidR="00A5291E" w:rsidRPr="00455F25">
        <w:t>T-</w:t>
      </w:r>
      <w:proofErr w:type="spellStart"/>
      <w:r w:rsidR="00A5291E" w:rsidRPr="00455F25">
        <w:t>DXd</w:t>
      </w:r>
      <w:proofErr w:type="spellEnd"/>
      <w:r w:rsidRPr="00455F25">
        <w:t xml:space="preserve"> arm and resulted in a very long tail during the extrapolated period. The log-normal function selected for extrapolation of SoC OS was among the functions that predicted the lowest survival. </w:t>
      </w:r>
      <w:r w:rsidRPr="00455F25">
        <w:lastRenderedPageBreak/>
        <w:t xml:space="preserve">Extrapolation using the Weibull model, which had similar AIC and BIC to the log-logistic (AIC: 634 vs 631; BIC: 640 vs 636), may result in more plausible survival estimates (all patients dead by 4 years). Additionally, the independent Weibull curves estimate convergence of the OS curves at approximately 4 years (see </w:t>
      </w:r>
      <w:r w:rsidR="00666288" w:rsidRPr="00455F25">
        <w:fldChar w:fldCharType="begin"/>
      </w:r>
      <w:r w:rsidR="00666288" w:rsidRPr="00455F25">
        <w:instrText xml:space="preserve"> REF _Ref192240564 \h  \* MERGEFORMAT </w:instrText>
      </w:r>
      <w:r w:rsidR="00666288" w:rsidRPr="00455F25">
        <w:fldChar w:fldCharType="separate"/>
      </w:r>
      <w:r w:rsidR="00593619" w:rsidRPr="00A5291E">
        <w:t xml:space="preserve">Figure </w:t>
      </w:r>
      <w:r w:rsidR="00593619">
        <w:t>3</w:t>
      </w:r>
      <w:r w:rsidR="00666288" w:rsidRPr="00455F25">
        <w:fldChar w:fldCharType="end"/>
      </w:r>
      <w:r w:rsidRPr="00455F25">
        <w:t xml:space="preserve">), which, in the absence of any explicit treatment waning effect being incorporated into the model, appears more plausible. When the more clinically plausible Weibull function was used for extrapolating OS curves for both </w:t>
      </w:r>
      <w:r w:rsidR="00A5291E" w:rsidRPr="00455F25">
        <w:t>T-</w:t>
      </w:r>
      <w:proofErr w:type="spellStart"/>
      <w:r w:rsidR="00A5291E" w:rsidRPr="00455F25">
        <w:t>DXd</w:t>
      </w:r>
      <w:proofErr w:type="spellEnd"/>
      <w:r w:rsidRPr="00455F25">
        <w:t xml:space="preserve"> and SoC, the base case ICER (</w:t>
      </w:r>
      <w:r w:rsidR="00B45C4E" w:rsidRPr="00B45C4E">
        <w:t xml:space="preserve">$95,000 to &lt; $115,000 </w:t>
      </w:r>
      <w:r w:rsidRPr="00455F25">
        <w:t xml:space="preserve">per QALY) increased by </w:t>
      </w:r>
      <w:proofErr w:type="gramStart"/>
      <w:r w:rsidR="002D5F61" w:rsidRPr="00593619">
        <w:rPr>
          <w:color w:val="000000"/>
          <w:w w:val="15"/>
          <w:shd w:val="solid" w:color="000000" w:fill="000000"/>
          <w:fitText w:val="-20" w:id="-663002110"/>
          <w14:textFill>
            <w14:solidFill>
              <w14:srgbClr w14:val="000000">
                <w14:alpha w14:val="100000"/>
              </w14:srgbClr>
            </w14:solidFill>
          </w14:textFill>
        </w:rPr>
        <w:t xml:space="preserve">|  </w:t>
      </w:r>
      <w:r w:rsidR="002D5F61" w:rsidRPr="00593619">
        <w:rPr>
          <w:color w:val="000000"/>
          <w:spacing w:val="-69"/>
          <w:w w:val="15"/>
          <w:shd w:val="solid" w:color="000000" w:fill="000000"/>
          <w:fitText w:val="-20" w:id="-663002110"/>
          <w14:textFill>
            <w14:solidFill>
              <w14:srgbClr w14:val="000000">
                <w14:alpha w14:val="100000"/>
              </w14:srgbClr>
            </w14:solidFill>
          </w14:textFill>
        </w:rPr>
        <w:t>|</w:t>
      </w:r>
      <w:proofErr w:type="gramEnd"/>
      <w:r w:rsidRPr="00455F25">
        <w:t>% (</w:t>
      </w:r>
      <w:r w:rsidR="0061543E" w:rsidRPr="0061543E">
        <w:t>$135,000 to &lt; $155,000</w:t>
      </w:r>
      <w:r w:rsidRPr="00455F25">
        <w:t>/QALY).</w:t>
      </w:r>
      <w:r w:rsidR="00DF702B">
        <w:t xml:space="preserve"> </w:t>
      </w:r>
      <w:r w:rsidR="00DF702B" w:rsidRPr="00E55A74">
        <w:rPr>
          <w:iCs/>
        </w:rPr>
        <w:t xml:space="preserve">The ESC </w:t>
      </w:r>
      <w:r w:rsidR="00E52DFC">
        <w:rPr>
          <w:iCs/>
        </w:rPr>
        <w:t>agreed with the evaluation that</w:t>
      </w:r>
      <w:r w:rsidR="00E52DFC" w:rsidRPr="00E55A74">
        <w:rPr>
          <w:iCs/>
        </w:rPr>
        <w:t xml:space="preserve"> </w:t>
      </w:r>
      <w:r w:rsidR="00DF702B" w:rsidRPr="00E55A74">
        <w:rPr>
          <w:iCs/>
        </w:rPr>
        <w:t>the use Weibull extrapolations for OS produced more clinically plausible outcomes.</w:t>
      </w:r>
      <w:r w:rsidR="00421652">
        <w:rPr>
          <w:iCs/>
        </w:rPr>
        <w:t xml:space="preserve"> The </w:t>
      </w:r>
      <w:r w:rsidR="00A02EDA">
        <w:rPr>
          <w:iCs/>
        </w:rPr>
        <w:t>p</w:t>
      </w:r>
      <w:r w:rsidR="00421652">
        <w:rPr>
          <w:iCs/>
        </w:rPr>
        <w:t xml:space="preserve">re-PBAC response </w:t>
      </w:r>
      <w:r w:rsidR="00017E2D">
        <w:rPr>
          <w:iCs/>
        </w:rPr>
        <w:t>maintained the parametric functions used to extrapolate OS were appropriate</w:t>
      </w:r>
      <w:r w:rsidR="00C222D6">
        <w:rPr>
          <w:iCs/>
        </w:rPr>
        <w:t xml:space="preserve"> </w:t>
      </w:r>
      <w:r w:rsidR="00A02EDA">
        <w:t>as</w:t>
      </w:r>
      <w:r w:rsidR="00A02EDA" w:rsidRPr="007B1876">
        <w:t xml:space="preserve"> they were the best statistically fitting curves and had good visual fit and clinical plausibility</w:t>
      </w:r>
      <w:r w:rsidR="00A02EDA">
        <w:t>. The pre-PBAC response</w:t>
      </w:r>
      <w:r w:rsidR="00A02EDA">
        <w:rPr>
          <w:iCs/>
        </w:rPr>
        <w:t xml:space="preserve"> </w:t>
      </w:r>
      <w:r w:rsidR="00C222D6">
        <w:rPr>
          <w:iCs/>
        </w:rPr>
        <w:t>disagreed with use of Weibull extrapolations for OS</w:t>
      </w:r>
      <w:r w:rsidR="00385328">
        <w:rPr>
          <w:iCs/>
        </w:rPr>
        <w:t xml:space="preserve"> on the basis that </w:t>
      </w:r>
      <w:r w:rsidR="009147D9">
        <w:rPr>
          <w:iCs/>
        </w:rPr>
        <w:t>is it the 3</w:t>
      </w:r>
      <w:r w:rsidR="009147D9" w:rsidRPr="009147D9">
        <w:rPr>
          <w:iCs/>
          <w:vertAlign w:val="superscript"/>
        </w:rPr>
        <w:t>rd</w:t>
      </w:r>
      <w:r w:rsidR="009147D9">
        <w:rPr>
          <w:iCs/>
        </w:rPr>
        <w:t xml:space="preserve"> or 4</w:t>
      </w:r>
      <w:r w:rsidR="009147D9" w:rsidRPr="009147D9">
        <w:rPr>
          <w:iCs/>
          <w:vertAlign w:val="superscript"/>
        </w:rPr>
        <w:t>th</w:t>
      </w:r>
      <w:r w:rsidR="009147D9">
        <w:rPr>
          <w:iCs/>
        </w:rPr>
        <w:t xml:space="preserve"> best fit statistically, based on </w:t>
      </w:r>
      <w:r w:rsidR="004A5485">
        <w:rPr>
          <w:iCs/>
        </w:rPr>
        <w:t xml:space="preserve">AIC and BIC values. </w:t>
      </w:r>
      <w:r w:rsidR="00005409">
        <w:rPr>
          <w:iCs/>
        </w:rPr>
        <w:t xml:space="preserve">The pre-PBAC response also argued </w:t>
      </w:r>
      <w:r w:rsidR="00C116EA" w:rsidRPr="007B1876">
        <w:t xml:space="preserve">it is </w:t>
      </w:r>
      <w:r w:rsidR="00C116EA">
        <w:t>highly</w:t>
      </w:r>
      <w:r w:rsidR="00C116EA" w:rsidRPr="007B1876">
        <w:t xml:space="preserve"> plausible that survival would be higher in practice than observed in the trial</w:t>
      </w:r>
      <w:r w:rsidR="00C116EA">
        <w:rPr>
          <w:iCs/>
        </w:rPr>
        <w:t xml:space="preserve"> as patients were more heavily pre-treated than </w:t>
      </w:r>
      <w:r w:rsidR="007A16FF">
        <w:rPr>
          <w:iCs/>
        </w:rPr>
        <w:t xml:space="preserve">expected in Australian clinical practice. In addition, the pre-PBAC response argued </w:t>
      </w:r>
      <w:r w:rsidR="00005409">
        <w:rPr>
          <w:iCs/>
        </w:rPr>
        <w:t xml:space="preserve">that </w:t>
      </w:r>
      <w:r w:rsidR="00005409">
        <w:t>t</w:t>
      </w:r>
      <w:r w:rsidR="00005409" w:rsidRPr="007B1876">
        <w:t xml:space="preserve">he choice of OS extrapolations </w:t>
      </w:r>
      <w:r w:rsidR="00005409">
        <w:t>was</w:t>
      </w:r>
      <w:r w:rsidR="00005409" w:rsidRPr="007B1876">
        <w:t xml:space="preserve"> supported by the DG-04 OS data, which shows a greater magnitude of benefit than DG-01 in a larger population that is more applicable to the Australian setting</w:t>
      </w:r>
      <w:r w:rsidR="00A44878">
        <w:t>.</w:t>
      </w:r>
      <w:r w:rsidR="00385328">
        <w:rPr>
          <w:iCs/>
        </w:rPr>
        <w:t xml:space="preserve"> </w:t>
      </w:r>
    </w:p>
    <w:p w14:paraId="27EBE950" w14:textId="5634EEE4" w:rsidR="00DC2DBD" w:rsidRDefault="00DC2DBD" w:rsidP="0061543E">
      <w:pPr>
        <w:pStyle w:val="Caption"/>
        <w:spacing w:before="120"/>
        <w:jc w:val="left"/>
      </w:pPr>
      <w:bookmarkStart w:id="54" w:name="_Ref192240564"/>
      <w:r w:rsidRPr="00A5291E">
        <w:t xml:space="preserve">Figure </w:t>
      </w:r>
      <w:r w:rsidR="008B461E">
        <w:fldChar w:fldCharType="begin"/>
      </w:r>
      <w:r w:rsidR="008B461E">
        <w:instrText xml:space="preserve"> SEQ Figure \* ARABIC </w:instrText>
      </w:r>
      <w:r w:rsidR="008B461E">
        <w:fldChar w:fldCharType="separate"/>
      </w:r>
      <w:r w:rsidR="00593619">
        <w:rPr>
          <w:noProof/>
        </w:rPr>
        <w:t>3</w:t>
      </w:r>
      <w:r w:rsidR="008B461E">
        <w:rPr>
          <w:noProof/>
        </w:rPr>
        <w:fldChar w:fldCharType="end"/>
      </w:r>
      <w:bookmarkEnd w:id="54"/>
      <w:r w:rsidRPr="00A5291E">
        <w:t>: Parametric functions and truncation points used for extrapolating overall survival</w:t>
      </w:r>
    </w:p>
    <w:p w14:paraId="3357E0E8" w14:textId="02A44992" w:rsidR="0097653D" w:rsidRPr="0097653D" w:rsidRDefault="0097653D" w:rsidP="0061543E">
      <w:pPr>
        <w:keepNext/>
        <w:keepLines/>
        <w:jc w:val="center"/>
      </w:pPr>
      <w:r>
        <w:rPr>
          <w:noProof/>
        </w:rPr>
        <w:drawing>
          <wp:inline distT="0" distB="0" distL="0" distR="0" wp14:anchorId="59230B9E" wp14:editId="4B70B2D1">
            <wp:extent cx="5558275" cy="2559635"/>
            <wp:effectExtent l="0" t="0" r="4445" b="0"/>
            <wp:docPr id="1771439621" name="Picture 1" descr="Line graph - Parametric functions and truncation points used for extrapolating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39621" name="Picture 1" descr="Line graph - Parametric functions and truncation points used for extrapolating overall survival"/>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583283" cy="2571152"/>
                    </a:xfrm>
                    <a:prstGeom prst="rect">
                      <a:avLst/>
                    </a:prstGeom>
                    <a:noFill/>
                    <a:ln>
                      <a:noFill/>
                    </a:ln>
                    <a:extLst>
                      <a:ext uri="{53640926-AAD7-44D8-BBD7-CCE9431645EC}">
                        <a14:shadowObscured xmlns:a14="http://schemas.microsoft.com/office/drawing/2010/main"/>
                      </a:ext>
                    </a:extLst>
                  </pic:spPr>
                </pic:pic>
              </a:graphicData>
            </a:graphic>
          </wp:inline>
        </w:drawing>
      </w:r>
    </w:p>
    <w:p w14:paraId="7872758D" w14:textId="3B7DBB4D" w:rsidR="00DC2DBD" w:rsidRPr="00A5291E" w:rsidRDefault="00DC2DBD" w:rsidP="0061543E">
      <w:pPr>
        <w:pStyle w:val="TableFigureFooter"/>
        <w:keepNext/>
        <w:keepLines/>
        <w:jc w:val="both"/>
      </w:pPr>
      <w:r w:rsidRPr="00A5291E">
        <w:t xml:space="preserve">Source: Figure constructed during the evaluation using data from the Attachment 14 – </w:t>
      </w:r>
      <w:r w:rsidR="00A5291E">
        <w:t>T-</w:t>
      </w:r>
      <w:proofErr w:type="spellStart"/>
      <w:r w:rsidR="00A5291E">
        <w:t>DXd</w:t>
      </w:r>
      <w:proofErr w:type="spellEnd"/>
      <w:r w:rsidRPr="00A5291E">
        <w:t xml:space="preserve"> cost-effectiveness model workbook included with the submission, and OS KM curves digitised using graph presented in Figure 2-6, p75 of the submission due to incomplete KM data provided in Excel workbook.</w:t>
      </w:r>
    </w:p>
    <w:p w14:paraId="5A1494B6" w14:textId="77777777" w:rsidR="00DC2DBD" w:rsidRPr="00A5291E" w:rsidRDefault="00DC2DBD" w:rsidP="0061543E">
      <w:pPr>
        <w:pStyle w:val="TableFigureFooter"/>
        <w:keepNext/>
        <w:keepLines/>
        <w:jc w:val="both"/>
      </w:pPr>
      <w:r w:rsidRPr="00A5291E">
        <w:t>Note: * represents the submission’s choice of parametric function for extrapolation</w:t>
      </w:r>
    </w:p>
    <w:p w14:paraId="6299F8EF" w14:textId="1C89E961" w:rsidR="00DC2DBD" w:rsidRPr="00A5291E" w:rsidRDefault="00DC2DBD" w:rsidP="0061543E">
      <w:pPr>
        <w:pStyle w:val="TableFigureFooter"/>
        <w:jc w:val="both"/>
      </w:pPr>
      <w:r w:rsidRPr="00A5291E">
        <w:t xml:space="preserve">KM = Kaplan-Meier; SoC= Standard of care (physician’s choice chemotherapy); </w:t>
      </w:r>
      <w:r w:rsidR="00A5291E">
        <w:t>T-</w:t>
      </w:r>
      <w:proofErr w:type="spellStart"/>
      <w:r w:rsidR="00A5291E">
        <w:t>DXd</w:t>
      </w:r>
      <w:proofErr w:type="spellEnd"/>
      <w:r w:rsidRPr="00A5291E">
        <w:t xml:space="preserve"> = trastuzumab </w:t>
      </w:r>
      <w:proofErr w:type="spellStart"/>
      <w:r w:rsidRPr="00A5291E">
        <w:t>deruxtecan</w:t>
      </w:r>
      <w:proofErr w:type="spellEnd"/>
      <w:r w:rsidRPr="00A5291E">
        <w:t xml:space="preserve">; TP = truncation point for observed KM data; </w:t>
      </w:r>
      <w:proofErr w:type="spellStart"/>
      <w:r w:rsidRPr="00A5291E">
        <w:t>TP_Eval</w:t>
      </w:r>
      <w:proofErr w:type="spellEnd"/>
      <w:r w:rsidRPr="00A5291E">
        <w:t xml:space="preserve"> = truncation point estimated during evaluation; </w:t>
      </w:r>
      <w:proofErr w:type="spellStart"/>
      <w:r w:rsidRPr="00A5291E">
        <w:t>TP_Sub</w:t>
      </w:r>
      <w:proofErr w:type="spellEnd"/>
      <w:r w:rsidRPr="00A5291E">
        <w:t xml:space="preserve"> = truncation point presented in the submission</w:t>
      </w:r>
    </w:p>
    <w:p w14:paraId="77ACD028" w14:textId="16F3761A" w:rsidR="00DC2DBD" w:rsidRPr="00A5291E" w:rsidRDefault="00DC2DBD" w:rsidP="00DC2DBD">
      <w:pPr>
        <w:pStyle w:val="3-BodyText"/>
      </w:pPr>
      <w:r w:rsidRPr="00A5291E">
        <w:t xml:space="preserve">Comparisons of the observed KM PFS and OS data to the modelled curves for both arms are presented in </w:t>
      </w:r>
      <w:r w:rsidRPr="00A5291E">
        <w:fldChar w:fldCharType="begin"/>
      </w:r>
      <w:r w:rsidRPr="00A5291E">
        <w:instrText xml:space="preserve"> REF _Ref191940629 \h  \* MERGEFORMAT </w:instrText>
      </w:r>
      <w:r w:rsidRPr="00A5291E">
        <w:fldChar w:fldCharType="separate"/>
      </w:r>
      <w:r w:rsidR="00593619" w:rsidRPr="00A5291E">
        <w:t xml:space="preserve">Figure </w:t>
      </w:r>
      <w:r w:rsidR="00593619">
        <w:t>4</w:t>
      </w:r>
      <w:r w:rsidRPr="00A5291E">
        <w:fldChar w:fldCharType="end"/>
      </w:r>
      <w:r w:rsidRPr="00A5291E">
        <w:t>.</w:t>
      </w:r>
      <w:r w:rsidRPr="00E55A74">
        <w:rPr>
          <w:iCs/>
        </w:rPr>
        <w:t xml:space="preserve"> </w:t>
      </w:r>
    </w:p>
    <w:p w14:paraId="3BBA8C09" w14:textId="10C5194B" w:rsidR="00DC2DBD" w:rsidRPr="00A5291E" w:rsidRDefault="00DC2DBD" w:rsidP="0061543E">
      <w:pPr>
        <w:pStyle w:val="Caption"/>
      </w:pPr>
      <w:bookmarkStart w:id="55" w:name="_Ref191940629"/>
      <w:r w:rsidRPr="00A5291E">
        <w:lastRenderedPageBreak/>
        <w:t xml:space="preserve">Figure </w:t>
      </w:r>
      <w:r w:rsidR="008B461E">
        <w:fldChar w:fldCharType="begin"/>
      </w:r>
      <w:r w:rsidR="008B461E">
        <w:instrText xml:space="preserve"> SEQ Figure \* ARABIC </w:instrText>
      </w:r>
      <w:r w:rsidR="008B461E">
        <w:fldChar w:fldCharType="separate"/>
      </w:r>
      <w:r w:rsidR="00593619">
        <w:rPr>
          <w:noProof/>
        </w:rPr>
        <w:t>4</w:t>
      </w:r>
      <w:r w:rsidR="008B461E">
        <w:rPr>
          <w:noProof/>
        </w:rPr>
        <w:fldChar w:fldCharType="end"/>
      </w:r>
      <w:bookmarkEnd w:id="55"/>
      <w:r w:rsidRPr="00A5291E">
        <w:t>: Kaplan-Meier and modelled curves for PFS and OS</w:t>
      </w:r>
    </w:p>
    <w:p w14:paraId="7E9B18B2" w14:textId="77777777" w:rsidR="00DC2DBD" w:rsidRPr="00A5291E" w:rsidRDefault="00DC2DBD" w:rsidP="0061543E">
      <w:pPr>
        <w:keepNext/>
        <w:keepLines/>
      </w:pPr>
      <w:r w:rsidRPr="00A5291E">
        <w:rPr>
          <w:noProof/>
        </w:rPr>
        <w:drawing>
          <wp:inline distT="0" distB="0" distL="0" distR="0" wp14:anchorId="48732E66" wp14:editId="2DF4D629">
            <wp:extent cx="5515661" cy="2940959"/>
            <wp:effectExtent l="0" t="0" r="8890" b="0"/>
            <wp:docPr id="1002301728" name="Picture 1" descr="Line graph - Kaplan-Meier and modelled curves for PFS an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01728" name="Picture 1" descr="Line graph - Kaplan-Meier and modelled curves for PFS and 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443" cy="2948841"/>
                    </a:xfrm>
                    <a:prstGeom prst="rect">
                      <a:avLst/>
                    </a:prstGeom>
                    <a:noFill/>
                  </pic:spPr>
                </pic:pic>
              </a:graphicData>
            </a:graphic>
          </wp:inline>
        </w:drawing>
      </w:r>
    </w:p>
    <w:p w14:paraId="1F0F664B" w14:textId="1141A423" w:rsidR="00DC2DBD" w:rsidRPr="00A5291E" w:rsidRDefault="00DC2DBD" w:rsidP="0061543E">
      <w:pPr>
        <w:pStyle w:val="TableFooter"/>
        <w:keepNext/>
        <w:keepLines/>
        <w:rPr>
          <w:i/>
          <w:iCs/>
        </w:rPr>
      </w:pPr>
      <w:r w:rsidRPr="00A5291E">
        <w:rPr>
          <w:i/>
          <w:iCs/>
        </w:rPr>
        <w:t xml:space="preserve">Source: Constructed during the evaluation, </w:t>
      </w:r>
      <w:r w:rsidRPr="00A5291E">
        <w:t xml:space="preserve">based on the ““Attachment 14 – </w:t>
      </w:r>
      <w:r w:rsidR="00A5291E">
        <w:t>T-</w:t>
      </w:r>
      <w:proofErr w:type="spellStart"/>
      <w:r w:rsidR="00A5291E">
        <w:t>DXd</w:t>
      </w:r>
      <w:proofErr w:type="spellEnd"/>
      <w:r w:rsidRPr="00A5291E">
        <w:t xml:space="preserve"> cost-effectiveness model” Excel workbook included with the submission.</w:t>
      </w:r>
      <w:r w:rsidRPr="00A5291E">
        <w:rPr>
          <w:i/>
          <w:iCs/>
        </w:rPr>
        <w:t xml:space="preserve"> </w:t>
      </w:r>
    </w:p>
    <w:p w14:paraId="5D4440D7" w14:textId="40AE3958" w:rsidR="00DC2DBD" w:rsidRPr="00A5291E" w:rsidRDefault="00DC2DBD" w:rsidP="0061543E">
      <w:pPr>
        <w:pStyle w:val="TableFooter"/>
        <w:spacing w:after="120"/>
      </w:pPr>
      <w:r w:rsidRPr="00A5291E">
        <w:t xml:space="preserve">KM = Kaplan Meier; OS = overall survival; PFS = progression free survival; SoC = standard of care chemotherapies; </w:t>
      </w:r>
      <w:r w:rsidR="00A5291E">
        <w:t>T-</w:t>
      </w:r>
      <w:proofErr w:type="spellStart"/>
      <w:r w:rsidR="00A5291E">
        <w:t>DXd</w:t>
      </w:r>
      <w:proofErr w:type="spellEnd"/>
      <w:r w:rsidRPr="00A5291E">
        <w:t xml:space="preserve"> = trastuzumab </w:t>
      </w:r>
      <w:proofErr w:type="spellStart"/>
      <w:r w:rsidRPr="00A5291E">
        <w:t>deruxtecan</w:t>
      </w:r>
      <w:proofErr w:type="spellEnd"/>
    </w:p>
    <w:p w14:paraId="1E786B93" w14:textId="20DE5E12" w:rsidR="00DC2DBD" w:rsidRPr="00455F25" w:rsidRDefault="00DC2DBD" w:rsidP="00DC2DBD">
      <w:pPr>
        <w:pStyle w:val="3-BodyText"/>
        <w:rPr>
          <w:color w:val="0066FF"/>
        </w:rPr>
      </w:pPr>
      <w:r w:rsidRPr="00455F25">
        <w:t xml:space="preserve">The submission applied utility weights of 0.746 to patients in the PF health state and 0.596 in the PD state. The utility weight for the PF health state was derived from the </w:t>
      </w:r>
      <w:proofErr w:type="gramStart"/>
      <w:r w:rsidRPr="00455F25">
        <w:t>Health</w:t>
      </w:r>
      <w:proofErr w:type="gramEnd"/>
      <w:r w:rsidRPr="00455F25">
        <w:t>-related quality of life (</w:t>
      </w:r>
      <w:proofErr w:type="spellStart"/>
      <w:r w:rsidRPr="00455F25">
        <w:t>HRQoL</w:t>
      </w:r>
      <w:proofErr w:type="spellEnd"/>
      <w:r w:rsidRPr="00455F25">
        <w:t>) assessments of the DG-02 study using the EQ-5D-5L data and mapped using the algorithm by Hernandez-Alava et al (2017)</w:t>
      </w:r>
      <w:r w:rsidRPr="00455F25">
        <w:rPr>
          <w:rStyle w:val="FootnoteReference"/>
        </w:rPr>
        <w:footnoteReference w:id="16"/>
      </w:r>
      <w:r w:rsidRPr="00455F25">
        <w:t>. A utility decrement (0.15) estimated from the utility values reported for PF (0.737) and PD (0.587) in the NICE TA 378 (evidence from the RAINBOW trial for gastric cancer)</w:t>
      </w:r>
      <w:r w:rsidR="004C494B" w:rsidRPr="00455F25">
        <w:rPr>
          <w:rStyle w:val="FootnoteReference"/>
        </w:rPr>
        <w:footnoteReference w:id="17"/>
      </w:r>
      <w:r w:rsidRPr="00455F25">
        <w:t xml:space="preserve"> was applied to the PF utility from DG-02 to estimate the utility in PD health state. The ICER was not found to be sensitive to the alternate utility estimates for PF and PP when tested in a sensitivity analysis.</w:t>
      </w:r>
    </w:p>
    <w:p w14:paraId="0CC3965C" w14:textId="3BF41532" w:rsidR="00DC2DBD" w:rsidRPr="00455F25" w:rsidRDefault="00DC2DBD" w:rsidP="00DC2DBD">
      <w:pPr>
        <w:pStyle w:val="3-BodyText"/>
        <w:rPr>
          <w:color w:val="0066FF"/>
        </w:rPr>
      </w:pPr>
      <w:r w:rsidRPr="00455F25">
        <w:t xml:space="preserve">QALY decrements for each serious TEAE of Grade </w:t>
      </w:r>
      <w:r w:rsidR="00CB7B9D" w:rsidRPr="00455F25">
        <w:t>1-4</w:t>
      </w:r>
      <w:r w:rsidRPr="00455F25">
        <w:t xml:space="preserve"> and with an incidence of ≥2% was estimated by applying a disutility to the incidence and duration of AEs observed in DG-01. The overall weighted AE-associated disutility was applied as a one-off event in the first cycle of the model. The submission made a claim of inferior but manageable safety for </w:t>
      </w:r>
      <w:r w:rsidR="00A5291E" w:rsidRPr="00455F25">
        <w:t>T-</w:t>
      </w:r>
      <w:proofErr w:type="spellStart"/>
      <w:r w:rsidR="00A5291E" w:rsidRPr="00455F25">
        <w:t>DXd</w:t>
      </w:r>
      <w:proofErr w:type="spellEnd"/>
      <w:r w:rsidRPr="00455F25">
        <w:t xml:space="preserve"> compared to SoC which was reflected in the reported incidence of TEAEs. Th</w:t>
      </w:r>
      <w:r w:rsidR="00105B8C">
        <w:t>e evaluation considered th</w:t>
      </w:r>
      <w:r w:rsidRPr="00455F25">
        <w:t>is was reasonable.</w:t>
      </w:r>
    </w:p>
    <w:p w14:paraId="466C047D" w14:textId="31A55D75" w:rsidR="00DC2DBD" w:rsidRPr="00455F25" w:rsidRDefault="00A5291E" w:rsidP="00DC2DBD">
      <w:pPr>
        <w:pStyle w:val="3-BodyText"/>
      </w:pPr>
      <w:r w:rsidRPr="00455F25">
        <w:t>T-</w:t>
      </w:r>
      <w:proofErr w:type="spellStart"/>
      <w:r w:rsidRPr="00455F25">
        <w:t>DXd</w:t>
      </w:r>
      <w:proofErr w:type="spellEnd"/>
      <w:r w:rsidR="00DC2DBD" w:rsidRPr="00455F25">
        <w:t xml:space="preserve"> acquisition costs in the model were derived through a weighted dispensed price per infusion that would account for PBS dispensing fees multiplied by </w:t>
      </w:r>
      <w:r w:rsidR="00DC2DBD" w:rsidRPr="00455F25">
        <w:rPr>
          <w:rStyle w:val="normaltextrun"/>
          <w:rFonts w:eastAsiaTheme="majorEastAsia" w:cs="Calibri"/>
          <w:color w:val="000000"/>
          <w:shd w:val="clear" w:color="auto" w:fill="FFFFFF"/>
        </w:rPr>
        <w:t>relative dose intensity (</w:t>
      </w:r>
      <w:r w:rsidR="00DC2DBD" w:rsidRPr="00455F25">
        <w:t xml:space="preserve">RDI) of 92.5%. The submission’s application of RDI (representing the </w:t>
      </w:r>
      <w:r w:rsidR="00DC2DBD" w:rsidRPr="00455F25">
        <w:lastRenderedPageBreak/>
        <w:t xml:space="preserve">reduction or interruptions in dose) to estimate the cost per week of </w:t>
      </w:r>
      <w:r w:rsidRPr="00455F25">
        <w:t>T-</w:t>
      </w:r>
      <w:proofErr w:type="spellStart"/>
      <w:r w:rsidRPr="00455F25">
        <w:t>DXd</w:t>
      </w:r>
      <w:proofErr w:type="spellEnd"/>
      <w:r w:rsidR="00DC2DBD" w:rsidRPr="00455F25">
        <w:t xml:space="preserve"> and SoC was incorrect. The submission applied the RDI to the weighted </w:t>
      </w:r>
      <w:r w:rsidR="00DC2DBD" w:rsidRPr="00455F25">
        <w:rPr>
          <w:u w:val="single"/>
        </w:rPr>
        <w:t>cost</w:t>
      </w:r>
      <w:r w:rsidR="00DC2DBD" w:rsidRPr="00455F25">
        <w:t xml:space="preserve"> inclusive of the dispensing fee in the model rather than to the planned dose per treatment cycle. By applying RDI to the cost per dispensed drug the submission assumed that EFC dispensing fees are proportional to the cost of the medicine (whereas these are fixed and so apply regardless of amount dispensed). The costs per drug were revised in the respecified base case analysis by correctly applying the RDI to the planned dose and then estimated the weighted cost. This resulted in an increase in ICER by </w:t>
      </w:r>
      <w:proofErr w:type="gramStart"/>
      <w:r w:rsidR="002D5F61" w:rsidRPr="00593619">
        <w:rPr>
          <w:color w:val="000000"/>
          <w:w w:val="15"/>
          <w:shd w:val="solid" w:color="000000" w:fill="000000"/>
          <w:fitText w:val="-20" w:id="-663002109"/>
          <w14:textFill>
            <w14:solidFill>
              <w14:srgbClr w14:val="000000">
                <w14:alpha w14:val="100000"/>
              </w14:srgbClr>
            </w14:solidFill>
          </w14:textFill>
        </w:rPr>
        <w:t xml:space="preserve">|  </w:t>
      </w:r>
      <w:r w:rsidR="002D5F61" w:rsidRPr="00593619">
        <w:rPr>
          <w:color w:val="000000"/>
          <w:spacing w:val="-69"/>
          <w:w w:val="15"/>
          <w:shd w:val="solid" w:color="000000" w:fill="000000"/>
          <w:fitText w:val="-20" w:id="-663002109"/>
          <w14:textFill>
            <w14:solidFill>
              <w14:srgbClr w14:val="000000">
                <w14:alpha w14:val="100000"/>
              </w14:srgbClr>
            </w14:solidFill>
          </w14:textFill>
        </w:rPr>
        <w:t>|</w:t>
      </w:r>
      <w:proofErr w:type="gramEnd"/>
      <w:r w:rsidR="00DC2DBD" w:rsidRPr="00455F25">
        <w:t>%.</w:t>
      </w:r>
    </w:p>
    <w:p w14:paraId="38F50AAC" w14:textId="47C0547E" w:rsidR="00DC2DBD" w:rsidRPr="00455F25" w:rsidRDefault="00DC2DBD" w:rsidP="00DC2DBD">
      <w:pPr>
        <w:pStyle w:val="3-BodyText"/>
      </w:pPr>
      <w:r w:rsidRPr="00455F25">
        <w:t>An administration cost of $123.05 (Scheduled fee for MBS item 13950 parenteral administration) per cycle was applied for all IV infusions. The submission applied the cost per infusion administration for FOLFIRI regimen (irinotecan, folinic acid and fluorouracil) twice arguing that the fluorouracil is administered as infusion pump over 46 hours. This was inappropriate</w:t>
      </w:r>
      <w:r w:rsidR="00F6644A">
        <w:t xml:space="preserve"> as the</w:t>
      </w:r>
      <w:r w:rsidRPr="00455F25">
        <w:t xml:space="preserve"> MBS item 13950 specifies that the administration starts with the establishment of the parenteral route and ends with the disconnection of the infusion, regardless of the time elapsed. Importantly, medical practitioners can only bill item 13950 once per treatment session, even if multiple antineoplastic agents are administered. The impact of this on ICER is likely very low.</w:t>
      </w:r>
    </w:p>
    <w:p w14:paraId="2548E980" w14:textId="3CADC155" w:rsidR="00925718" w:rsidRPr="00E55A74" w:rsidRDefault="00DC2DBD" w:rsidP="00983B86">
      <w:pPr>
        <w:pStyle w:val="3-BodyText"/>
        <w:rPr>
          <w:iCs/>
        </w:rPr>
      </w:pPr>
      <w:r w:rsidRPr="00455F25">
        <w:t>Time on treatment (</w:t>
      </w:r>
      <w:proofErr w:type="spellStart"/>
      <w:r w:rsidRPr="00455F25">
        <w:t>ToT</w:t>
      </w:r>
      <w:proofErr w:type="spellEnd"/>
      <w:r w:rsidRPr="00455F25">
        <w:t xml:space="preserve">) curves were not extrapolated. KM data from DG-01 was used to model the entire treatment period. The submission stated that the </w:t>
      </w:r>
      <w:r w:rsidR="00F41AB0">
        <w:t>time</w:t>
      </w:r>
      <w:r w:rsidR="00F41AB0" w:rsidRPr="00455F25">
        <w:t xml:space="preserve"> </w:t>
      </w:r>
      <w:r w:rsidR="00F41AB0">
        <w:t>on</w:t>
      </w:r>
      <w:r w:rsidRPr="00455F25">
        <w:t xml:space="preserve"> treatment data were mature (8% of patients remained on treatment at the time of DC02) and did not require extrapolation. Th</w:t>
      </w:r>
      <w:r w:rsidR="003F7D71">
        <w:t>e evaluation considere</w:t>
      </w:r>
      <w:r w:rsidR="005D223A">
        <w:t>d</w:t>
      </w:r>
      <w:r w:rsidR="003F7D71">
        <w:t xml:space="preserve"> th</w:t>
      </w:r>
      <w:r w:rsidRPr="00455F25">
        <w:t xml:space="preserve">is was not reasonable and underestimates the costs associated with </w:t>
      </w:r>
      <w:r w:rsidR="00A5291E" w:rsidRPr="00455F25">
        <w:t>T-</w:t>
      </w:r>
      <w:proofErr w:type="spellStart"/>
      <w:r w:rsidR="00A5291E" w:rsidRPr="00455F25">
        <w:t>DXd</w:t>
      </w:r>
      <w:proofErr w:type="spellEnd"/>
      <w:r w:rsidRPr="00455F25">
        <w:t xml:space="preserve"> in the model. Sensitivity analyses were performed to extrapolate </w:t>
      </w:r>
      <w:proofErr w:type="spellStart"/>
      <w:r w:rsidRPr="00455F25">
        <w:t>ToT</w:t>
      </w:r>
      <w:proofErr w:type="spellEnd"/>
      <w:r w:rsidRPr="00455F25">
        <w:t xml:space="preserve"> curves. </w:t>
      </w:r>
      <w:r w:rsidR="00D56C14">
        <w:t>A s</w:t>
      </w:r>
      <w:r w:rsidRPr="00455F25">
        <w:t xml:space="preserve">ensitivity analysis using extrapolation of the </w:t>
      </w:r>
      <w:proofErr w:type="spellStart"/>
      <w:r w:rsidRPr="00455F25">
        <w:t>ToT</w:t>
      </w:r>
      <w:proofErr w:type="spellEnd"/>
      <w:r w:rsidRPr="00455F25">
        <w:t xml:space="preserve"> curves </w:t>
      </w:r>
      <w:r w:rsidR="00274308">
        <w:t xml:space="preserve">from </w:t>
      </w:r>
      <w:r w:rsidR="00274308" w:rsidRPr="00455F25">
        <w:t>16.9 months for T-</w:t>
      </w:r>
      <w:proofErr w:type="spellStart"/>
      <w:r w:rsidR="00274308" w:rsidRPr="00455F25">
        <w:t>DXd</w:t>
      </w:r>
      <w:proofErr w:type="spellEnd"/>
      <w:r w:rsidR="00274308" w:rsidRPr="00455F25">
        <w:t xml:space="preserve"> and 11 months for SoC</w:t>
      </w:r>
      <w:r w:rsidR="00274308">
        <w:t xml:space="preserve"> </w:t>
      </w:r>
      <w:r w:rsidRPr="00455F25">
        <w:t xml:space="preserve">led to an </w:t>
      </w:r>
      <w:proofErr w:type="gramStart"/>
      <w:r w:rsidR="002D5F61" w:rsidRPr="00593619">
        <w:rPr>
          <w:color w:val="000000"/>
          <w:w w:val="15"/>
          <w:shd w:val="solid" w:color="000000" w:fill="000000"/>
          <w:fitText w:val="-20" w:id="-663002108"/>
          <w14:textFill>
            <w14:solidFill>
              <w14:srgbClr w14:val="000000">
                <w14:alpha w14:val="100000"/>
              </w14:srgbClr>
            </w14:solidFill>
          </w14:textFill>
        </w:rPr>
        <w:t xml:space="preserve">|  </w:t>
      </w:r>
      <w:r w:rsidR="002D5F61" w:rsidRPr="00593619">
        <w:rPr>
          <w:color w:val="000000"/>
          <w:spacing w:val="-69"/>
          <w:w w:val="15"/>
          <w:shd w:val="solid" w:color="000000" w:fill="000000"/>
          <w:fitText w:val="-20" w:id="-663002108"/>
          <w14:textFill>
            <w14:solidFill>
              <w14:srgbClr w14:val="000000">
                <w14:alpha w14:val="100000"/>
              </w14:srgbClr>
            </w14:solidFill>
          </w14:textFill>
        </w:rPr>
        <w:t>|</w:t>
      </w:r>
      <w:proofErr w:type="gramEnd"/>
      <w:r w:rsidRPr="00455F25">
        <w:t xml:space="preserve">% increase in the ICER (from </w:t>
      </w:r>
      <w:r w:rsidR="004F1328" w:rsidRPr="004F1328">
        <w:t>$95,000 to &lt; $115,000</w:t>
      </w:r>
      <w:r w:rsidRPr="00455F25">
        <w:t xml:space="preserve">/QALY to </w:t>
      </w:r>
      <w:r w:rsidR="00AD1E20" w:rsidRPr="00AD1E20">
        <w:t>$115,000 to &lt; $135,000</w:t>
      </w:r>
      <w:r w:rsidRPr="00455F25">
        <w:t xml:space="preserve">/QALY). </w:t>
      </w:r>
      <w:proofErr w:type="spellStart"/>
      <w:r w:rsidRPr="00455F25">
        <w:t>ToT</w:t>
      </w:r>
      <w:proofErr w:type="spellEnd"/>
      <w:r w:rsidRPr="00455F25">
        <w:t xml:space="preserve"> curves were extrapolated in the respecified base case analysis</w:t>
      </w:r>
      <w:r w:rsidR="00D56C14">
        <w:t xml:space="preserve"> in the </w:t>
      </w:r>
      <w:r w:rsidR="00853A9B">
        <w:t>Commentary</w:t>
      </w:r>
      <w:r w:rsidRPr="00455F25">
        <w:t>.</w:t>
      </w:r>
      <w:r w:rsidR="00F17E61">
        <w:t xml:space="preserve"> </w:t>
      </w:r>
      <w:r w:rsidR="00F17E61" w:rsidRPr="00E55A74">
        <w:rPr>
          <w:iCs/>
        </w:rPr>
        <w:t>The PSCR disagreed with the extrapolation of treatment curves used in the Commentary respecified base case</w:t>
      </w:r>
      <w:r w:rsidR="00925718" w:rsidRPr="00E55A74">
        <w:rPr>
          <w:iCs/>
        </w:rPr>
        <w:t>. The PSCR argued that the data were mature, however in the intervention arm 8% of patients remained on T-</w:t>
      </w:r>
      <w:proofErr w:type="spellStart"/>
      <w:r w:rsidR="00925718" w:rsidRPr="00E55A74">
        <w:rPr>
          <w:iCs/>
        </w:rPr>
        <w:t>DXd</w:t>
      </w:r>
      <w:proofErr w:type="spellEnd"/>
      <w:r w:rsidR="00925718" w:rsidRPr="00E55A74">
        <w:rPr>
          <w:iCs/>
        </w:rPr>
        <w:t xml:space="preserve"> (at the end of 17 months). The proposed listing for T-</w:t>
      </w:r>
      <w:proofErr w:type="spellStart"/>
      <w:r w:rsidR="00925718" w:rsidRPr="00E55A74">
        <w:rPr>
          <w:iCs/>
        </w:rPr>
        <w:t>DXd</w:t>
      </w:r>
      <w:proofErr w:type="spellEnd"/>
      <w:r w:rsidR="00925718" w:rsidRPr="00E55A74">
        <w:rPr>
          <w:iCs/>
        </w:rPr>
        <w:t xml:space="preserve"> allows for treatment until disease progression. Therefore, </w:t>
      </w:r>
      <w:r w:rsidR="004F259D">
        <w:rPr>
          <w:iCs/>
        </w:rPr>
        <w:t xml:space="preserve">the ESC considered </w:t>
      </w:r>
      <w:r w:rsidR="00925718" w:rsidRPr="00E55A74">
        <w:rPr>
          <w:iCs/>
        </w:rPr>
        <w:t xml:space="preserve">if survival is extrapolated, treatment duration should be extrapolated accordingly to avoid bias in cost-effectiveness results. </w:t>
      </w:r>
      <w:r w:rsidR="00E260D1">
        <w:rPr>
          <w:iCs/>
        </w:rPr>
        <w:t xml:space="preserve">The </w:t>
      </w:r>
      <w:proofErr w:type="gramStart"/>
      <w:r w:rsidR="00E260D1">
        <w:rPr>
          <w:iCs/>
        </w:rPr>
        <w:t>Pre-PBAC</w:t>
      </w:r>
      <w:proofErr w:type="gramEnd"/>
      <w:r w:rsidR="00E260D1">
        <w:rPr>
          <w:iCs/>
        </w:rPr>
        <w:t xml:space="preserve"> response </w:t>
      </w:r>
      <w:r w:rsidR="0002227B">
        <w:rPr>
          <w:iCs/>
        </w:rPr>
        <w:t xml:space="preserve">maintained </w:t>
      </w:r>
      <w:r w:rsidR="00C8535B">
        <w:rPr>
          <w:iCs/>
        </w:rPr>
        <w:t xml:space="preserve">it was not appropriate to extrapolate </w:t>
      </w:r>
      <w:r w:rsidR="00DF5DC5">
        <w:rPr>
          <w:iCs/>
        </w:rPr>
        <w:t xml:space="preserve">treatment duration </w:t>
      </w:r>
      <w:r w:rsidR="007745DA">
        <w:rPr>
          <w:iCs/>
        </w:rPr>
        <w:t xml:space="preserve">as the trial data are </w:t>
      </w:r>
      <w:r w:rsidR="00AD666A">
        <w:rPr>
          <w:iCs/>
        </w:rPr>
        <w:t>highly mature</w:t>
      </w:r>
      <w:r w:rsidR="0002227B">
        <w:rPr>
          <w:iCs/>
        </w:rPr>
        <w:t>.</w:t>
      </w:r>
    </w:p>
    <w:p w14:paraId="4C06EC0C" w14:textId="018C17F6" w:rsidR="00DC2DBD" w:rsidRPr="00455F25" w:rsidRDefault="00DC2DBD" w:rsidP="00DC2DBD">
      <w:pPr>
        <w:pStyle w:val="3-BodyText"/>
      </w:pPr>
      <w:r w:rsidRPr="00455F25">
        <w:t xml:space="preserve">The submission assumed that approximately 27% of patients would receive a subsequent therapy, which is not expected to differ by treatment arm, and was based on the subsequent therapy use in the DG-01 trial </w:t>
      </w:r>
      <w:r w:rsidR="007D4EA8" w:rsidRPr="00455F25">
        <w:t>(nivolumab in 27% of patients)</w:t>
      </w:r>
      <w:r w:rsidR="007D4EA8">
        <w:t xml:space="preserve"> </w:t>
      </w:r>
      <w:r w:rsidRPr="00455F25">
        <w:t xml:space="preserve">and study by </w:t>
      </w:r>
      <w:proofErr w:type="spellStart"/>
      <w:r w:rsidRPr="00455F25">
        <w:t>Ullao</w:t>
      </w:r>
      <w:proofErr w:type="spellEnd"/>
      <w:r w:rsidRPr="00455F25">
        <w:t>-Gomez</w:t>
      </w:r>
      <w:r w:rsidRPr="00455F25">
        <w:rPr>
          <w:rStyle w:val="FootnoteReference"/>
        </w:rPr>
        <w:footnoteReference w:id="18"/>
      </w:r>
      <w:r w:rsidRPr="00455F25">
        <w:t xml:space="preserve">. Nivolumab is not available in Australia for G/GOJ patients </w:t>
      </w:r>
      <w:r w:rsidRPr="00455F25">
        <w:lastRenderedPageBreak/>
        <w:t xml:space="preserve">with HER2-positive disease. The distribution of utilisation of each subsequent treatment was as used for SoC based on the advice from Advisory Board. There is currently no clear proven benefit for third line treatment in this setting and a variety of agents (including those considered as a part of SoC) may be offered. </w:t>
      </w:r>
      <w:r w:rsidR="00C50550" w:rsidRPr="00455F25">
        <w:t>Therefore,</w:t>
      </w:r>
      <w:r w:rsidRPr="00455F25">
        <w:t xml:space="preserve"> </w:t>
      </w:r>
      <w:r w:rsidR="00C50550" w:rsidRPr="00455F25">
        <w:t xml:space="preserve">the </w:t>
      </w:r>
      <w:r w:rsidRPr="00455F25">
        <w:t>submission’s choice of subsequent treatment (SoC in 27% of patients post discontinuation) may be reasonable.</w:t>
      </w:r>
    </w:p>
    <w:p w14:paraId="409A5DB4" w14:textId="1EB1A9F6" w:rsidR="00DC2DBD" w:rsidRPr="00455F25" w:rsidRDefault="00DC2DBD" w:rsidP="00DC2DBD">
      <w:pPr>
        <w:pStyle w:val="3-BodyText"/>
      </w:pPr>
      <w:r w:rsidRPr="00455F25">
        <w:t xml:space="preserve">Key model drivers are presented in </w:t>
      </w:r>
      <w:r w:rsidRPr="00455F25">
        <w:fldChar w:fldCharType="begin"/>
      </w:r>
      <w:r w:rsidRPr="00455F25">
        <w:instrText xml:space="preserve"> REF _Ref192164924 \h </w:instrText>
      </w:r>
      <w:r w:rsidR="00455F25" w:rsidRPr="00455F25">
        <w:instrText xml:space="preserve"> \* MERGEFORMAT </w:instrText>
      </w:r>
      <w:r w:rsidRPr="00455F25">
        <w:fldChar w:fldCharType="separate"/>
      </w:r>
      <w:r w:rsidR="00593619" w:rsidRPr="00455F25">
        <w:t xml:space="preserve">Table </w:t>
      </w:r>
      <w:r w:rsidR="00593619">
        <w:rPr>
          <w:noProof/>
        </w:rPr>
        <w:t>9</w:t>
      </w:r>
      <w:r w:rsidRPr="00455F25">
        <w:fldChar w:fldCharType="end"/>
      </w:r>
      <w:r w:rsidRPr="00455F25">
        <w:t xml:space="preserve">. </w:t>
      </w:r>
    </w:p>
    <w:p w14:paraId="7D0997F5" w14:textId="7275C5F9" w:rsidR="00DC2DBD" w:rsidRPr="00455F25" w:rsidRDefault="00DC2DBD" w:rsidP="00926210">
      <w:pPr>
        <w:pStyle w:val="TableFigureHeading"/>
        <w:spacing w:before="120"/>
        <w:rPr>
          <w:rStyle w:val="CommentReference"/>
          <w:b/>
          <w:szCs w:val="24"/>
        </w:rPr>
      </w:pPr>
      <w:bookmarkStart w:id="56" w:name="_Ref192164924"/>
      <w:r w:rsidRPr="00455F25">
        <w:t xml:space="preserve">Table </w:t>
      </w:r>
      <w:r w:rsidR="008B461E">
        <w:fldChar w:fldCharType="begin"/>
      </w:r>
      <w:r w:rsidR="008B461E">
        <w:instrText xml:space="preserve"> SEQ Table \* ARABIC </w:instrText>
      </w:r>
      <w:r w:rsidR="008B461E">
        <w:fldChar w:fldCharType="separate"/>
      </w:r>
      <w:r w:rsidR="00593619">
        <w:rPr>
          <w:noProof/>
        </w:rPr>
        <w:t>9</w:t>
      </w:r>
      <w:r w:rsidR="008B461E">
        <w:rPr>
          <w:noProof/>
        </w:rPr>
        <w:fldChar w:fldCharType="end"/>
      </w:r>
      <w:bookmarkEnd w:id="56"/>
      <w:r w:rsidRPr="00455F25">
        <w:t>:</w:t>
      </w:r>
      <w:r w:rsidRPr="00455F25">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DC2DBD" w:rsidRPr="00455F25" w14:paraId="2BE4C00E" w14:textId="77777777">
        <w:trPr>
          <w:tblHeader/>
        </w:trPr>
        <w:tc>
          <w:tcPr>
            <w:tcW w:w="626" w:type="pct"/>
            <w:vAlign w:val="center"/>
          </w:tcPr>
          <w:p w14:paraId="74177C79" w14:textId="77777777" w:rsidR="00DC2DBD" w:rsidRPr="00455F25" w:rsidRDefault="00DC2DBD">
            <w:pPr>
              <w:pStyle w:val="In-tableHeading"/>
              <w:jc w:val="center"/>
              <w:rPr>
                <w:lang w:val="en-AU"/>
              </w:rPr>
            </w:pPr>
            <w:r w:rsidRPr="00455F25">
              <w:rPr>
                <w:lang w:val="en-AU"/>
              </w:rPr>
              <w:t>Description</w:t>
            </w:r>
          </w:p>
        </w:tc>
        <w:tc>
          <w:tcPr>
            <w:tcW w:w="2830" w:type="pct"/>
            <w:vAlign w:val="center"/>
          </w:tcPr>
          <w:p w14:paraId="440F3281" w14:textId="77777777" w:rsidR="00DC2DBD" w:rsidRPr="00455F25" w:rsidRDefault="00DC2DBD">
            <w:pPr>
              <w:pStyle w:val="In-tableHeading"/>
              <w:jc w:val="center"/>
              <w:rPr>
                <w:lang w:val="en-AU"/>
              </w:rPr>
            </w:pPr>
            <w:r w:rsidRPr="00455F25">
              <w:rPr>
                <w:lang w:val="en-AU"/>
              </w:rPr>
              <w:t>Method/Value</w:t>
            </w:r>
          </w:p>
        </w:tc>
        <w:tc>
          <w:tcPr>
            <w:tcW w:w="1544" w:type="pct"/>
            <w:vAlign w:val="center"/>
          </w:tcPr>
          <w:p w14:paraId="16116525" w14:textId="77777777" w:rsidR="00DC2DBD" w:rsidRPr="00455F25" w:rsidRDefault="00DC2DBD">
            <w:pPr>
              <w:pStyle w:val="In-tableHeading"/>
              <w:jc w:val="center"/>
              <w:rPr>
                <w:lang w:val="en-AU"/>
              </w:rPr>
            </w:pPr>
            <w:r w:rsidRPr="00455F25">
              <w:rPr>
                <w:lang w:val="en-AU"/>
              </w:rPr>
              <w:t>Impact</w:t>
            </w:r>
          </w:p>
          <w:p w14:paraId="3461ED98" w14:textId="275A706C" w:rsidR="00DC2DBD" w:rsidRPr="00455F25" w:rsidRDefault="00DC2DBD">
            <w:pPr>
              <w:pStyle w:val="In-tableHeading"/>
              <w:jc w:val="center"/>
              <w:rPr>
                <w:lang w:val="en-AU"/>
              </w:rPr>
            </w:pPr>
            <w:r w:rsidRPr="00455F25">
              <w:rPr>
                <w:rFonts w:cs="Arial"/>
                <w:szCs w:val="20"/>
                <w:lang w:val="en-AU"/>
              </w:rPr>
              <w:t>Base case: $</w:t>
            </w:r>
            <w:r w:rsidR="002D5F61" w:rsidRPr="002D5F61">
              <w:rPr>
                <w:rFonts w:cs="Arial"/>
                <w:color w:val="000000"/>
                <w:spacing w:val="40"/>
                <w:szCs w:val="20"/>
                <w:shd w:val="solid" w:color="000000" w:fill="000000"/>
                <w:fitText w:val="306" w:id="-663002107"/>
                <w:lang w:val="en-AU"/>
                <w14:textFill>
                  <w14:solidFill>
                    <w14:srgbClr w14:val="000000">
                      <w14:alpha w14:val="100000"/>
                    </w14:srgbClr>
                  </w14:solidFill>
                </w14:textFill>
              </w:rPr>
              <w:t>|||</w:t>
            </w:r>
            <w:r w:rsidR="002D5F61" w:rsidRPr="002D5F61">
              <w:rPr>
                <w:rFonts w:cs="Arial"/>
                <w:color w:val="000000"/>
                <w:spacing w:val="3"/>
                <w:szCs w:val="20"/>
                <w:shd w:val="solid" w:color="000000" w:fill="000000"/>
                <w:fitText w:val="306" w:id="-663002107"/>
                <w:lang w:val="en-AU"/>
                <w14:textFill>
                  <w14:solidFill>
                    <w14:srgbClr w14:val="000000">
                      <w14:alpha w14:val="100000"/>
                    </w14:srgbClr>
                  </w14:solidFill>
                </w14:textFill>
              </w:rPr>
              <w:t>|</w:t>
            </w:r>
            <w:r w:rsidR="00D859F6">
              <w:rPr>
                <w:rFonts w:cs="Arial"/>
                <w:szCs w:val="20"/>
                <w:lang w:val="en-AU"/>
              </w:rPr>
              <w:t xml:space="preserve"> </w:t>
            </w:r>
            <w:r w:rsidR="00D859F6">
              <w:rPr>
                <w:rFonts w:cs="Arial"/>
                <w:szCs w:val="20"/>
                <w:vertAlign w:val="superscript"/>
                <w:lang w:val="en-AU"/>
              </w:rPr>
              <w:t>1</w:t>
            </w:r>
            <w:r w:rsidRPr="00455F25">
              <w:rPr>
                <w:rFonts w:cs="Arial"/>
                <w:szCs w:val="20"/>
                <w:lang w:val="en-AU"/>
              </w:rPr>
              <w:t>/QALY gained</w:t>
            </w:r>
            <w:r w:rsidR="00D52370" w:rsidRPr="00455F25">
              <w:rPr>
                <w:rFonts w:cs="Arial"/>
                <w:szCs w:val="20"/>
                <w:lang w:val="en-AU"/>
              </w:rPr>
              <w:t xml:space="preserve"> </w:t>
            </w:r>
            <w:r w:rsidR="00D52370" w:rsidRPr="00455F25">
              <w:t>(respecified base case)</w:t>
            </w:r>
            <w:r w:rsidRPr="00455F25">
              <w:rPr>
                <w:rFonts w:cs="Arial"/>
                <w:color w:val="3366FF"/>
                <w:szCs w:val="20"/>
                <w:lang w:val="en-AU"/>
              </w:rPr>
              <w:t>.</w:t>
            </w:r>
          </w:p>
        </w:tc>
      </w:tr>
      <w:tr w:rsidR="00DC2DBD" w:rsidRPr="00455F25" w14:paraId="5F9DED9E" w14:textId="77777777">
        <w:tc>
          <w:tcPr>
            <w:tcW w:w="626" w:type="pct"/>
            <w:vAlign w:val="center"/>
          </w:tcPr>
          <w:p w14:paraId="01A898C7" w14:textId="77777777" w:rsidR="00DC2DBD" w:rsidRPr="00455F25" w:rsidRDefault="00DC2DBD">
            <w:pPr>
              <w:pStyle w:val="TableText0"/>
            </w:pPr>
            <w:r w:rsidRPr="00455F25">
              <w:t>OS Extrapolation</w:t>
            </w:r>
          </w:p>
        </w:tc>
        <w:tc>
          <w:tcPr>
            <w:tcW w:w="2830" w:type="pct"/>
            <w:vAlign w:val="center"/>
          </w:tcPr>
          <w:p w14:paraId="3BF9CCE8" w14:textId="2367D84C" w:rsidR="00DC2DBD" w:rsidRPr="00455F25" w:rsidDel="00DB167A" w:rsidRDefault="00DC2DBD">
            <w:pPr>
              <w:pStyle w:val="TableText0"/>
            </w:pPr>
            <w:r w:rsidRPr="00455F25">
              <w:t>Independent parametric models were fitted to OS and PFS KM data, with log-logistic (</w:t>
            </w:r>
            <w:r w:rsidR="00A5291E" w:rsidRPr="00455F25">
              <w:t>T-</w:t>
            </w:r>
            <w:proofErr w:type="spellStart"/>
            <w:r w:rsidR="00A5291E" w:rsidRPr="00455F25">
              <w:t>DXd</w:t>
            </w:r>
            <w:proofErr w:type="spellEnd"/>
            <w:r w:rsidRPr="00455F25">
              <w:t>) and log-normal (SoC) distributions chosen to model OS and log-normal distributions (</w:t>
            </w:r>
            <w:r w:rsidR="00A5291E" w:rsidRPr="00455F25">
              <w:t>T-</w:t>
            </w:r>
            <w:proofErr w:type="spellStart"/>
            <w:r w:rsidR="00A5291E" w:rsidRPr="00455F25">
              <w:t>DXd</w:t>
            </w:r>
            <w:proofErr w:type="spellEnd"/>
            <w:r w:rsidRPr="00455F25">
              <w:t xml:space="preserve"> and SoC) chosen to model PFS based on AIC/BIC and visual fit.</w:t>
            </w:r>
          </w:p>
          <w:p w14:paraId="7936A61D" w14:textId="70653AAD" w:rsidR="00DC2DBD" w:rsidRPr="00455F25" w:rsidRDefault="00DC2DBD">
            <w:pPr>
              <w:pStyle w:val="TableText0"/>
            </w:pPr>
            <w:r w:rsidRPr="00455F25" w:rsidDel="00DB167A">
              <w:t xml:space="preserve">The independent Weibull curve had </w:t>
            </w:r>
            <w:r w:rsidR="00267C6C">
              <w:t>similar</w:t>
            </w:r>
            <w:r w:rsidR="00267C6C" w:rsidRPr="00455F25">
              <w:t xml:space="preserve"> </w:t>
            </w:r>
            <w:r w:rsidRPr="00455F25" w:rsidDel="00DB167A">
              <w:t>visual and statistical fit than the submission’s base case and estimated convergence of the OS curves at approximately 4 years, indicating a diminishing treatment effect.</w:t>
            </w:r>
          </w:p>
        </w:tc>
        <w:tc>
          <w:tcPr>
            <w:tcW w:w="1544" w:type="pct"/>
            <w:vAlign w:val="center"/>
          </w:tcPr>
          <w:p w14:paraId="408F96EE" w14:textId="5C563629" w:rsidR="00DC2DBD" w:rsidRPr="00455F25" w:rsidRDefault="00DC2DBD">
            <w:pPr>
              <w:pStyle w:val="TableText0"/>
            </w:pPr>
            <w:r w:rsidRPr="00455F25">
              <w:t xml:space="preserve">High, favours </w:t>
            </w:r>
            <w:r w:rsidR="00A5291E" w:rsidRPr="00455F25">
              <w:t>T-</w:t>
            </w:r>
            <w:proofErr w:type="spellStart"/>
            <w:r w:rsidR="00A5291E" w:rsidRPr="00455F25">
              <w:t>DXd</w:t>
            </w:r>
            <w:proofErr w:type="spellEnd"/>
            <w:r w:rsidRPr="00455F25">
              <w:t xml:space="preserve">. Use of independent Weibull OS curves in both arms increased the ICER to </w:t>
            </w:r>
            <w:r w:rsidRPr="00455F25">
              <w:rPr>
                <w:color w:val="000000"/>
                <w:szCs w:val="20"/>
              </w:rPr>
              <w:t>$</w:t>
            </w:r>
            <w:r w:rsidR="002D5F61" w:rsidRPr="002D5F61">
              <w:rPr>
                <w:color w:val="000000"/>
                <w:spacing w:val="52"/>
                <w:szCs w:val="20"/>
                <w:shd w:val="solid" w:color="000000" w:fill="000000"/>
                <w:fitText w:val="327" w:id="-663002106"/>
                <w14:textFill>
                  <w14:solidFill>
                    <w14:srgbClr w14:val="000000">
                      <w14:alpha w14:val="100000"/>
                    </w14:srgbClr>
                  </w14:solidFill>
                </w14:textFill>
              </w:rPr>
              <w:t>|||</w:t>
            </w:r>
            <w:r w:rsidR="002D5F61" w:rsidRPr="002D5F61">
              <w:rPr>
                <w:color w:val="000000"/>
                <w:spacing w:val="1"/>
                <w:szCs w:val="20"/>
                <w:shd w:val="solid" w:color="000000" w:fill="000000"/>
                <w:fitText w:val="327" w:id="-663002106"/>
                <w14:textFill>
                  <w14:solidFill>
                    <w14:srgbClr w14:val="000000">
                      <w14:alpha w14:val="100000"/>
                    </w14:srgbClr>
                  </w14:solidFill>
                </w14:textFill>
              </w:rPr>
              <w:t>|</w:t>
            </w:r>
            <w:r w:rsidR="00D859F6">
              <w:rPr>
                <w:rFonts w:cs="Arial"/>
                <w:szCs w:val="20"/>
              </w:rPr>
              <w:t xml:space="preserve"> </w:t>
            </w:r>
            <w:r w:rsidR="00D859F6">
              <w:rPr>
                <w:rFonts w:cs="Arial"/>
                <w:szCs w:val="20"/>
                <w:vertAlign w:val="superscript"/>
              </w:rPr>
              <w:t>2</w:t>
            </w:r>
            <w:r w:rsidRPr="00455F25">
              <w:t>/QALY gained</w:t>
            </w:r>
          </w:p>
        </w:tc>
      </w:tr>
      <w:tr w:rsidR="00DC2DBD" w:rsidRPr="00455F25" w14:paraId="45F8F8B8" w14:textId="77777777">
        <w:tc>
          <w:tcPr>
            <w:tcW w:w="626" w:type="pct"/>
            <w:vAlign w:val="center"/>
          </w:tcPr>
          <w:p w14:paraId="48B1B957" w14:textId="77777777" w:rsidR="00DC2DBD" w:rsidRPr="00455F25" w:rsidRDefault="00DC2DBD">
            <w:pPr>
              <w:pStyle w:val="TableText0"/>
            </w:pPr>
            <w:r w:rsidRPr="00455F25">
              <w:t>Truncation time point</w:t>
            </w:r>
          </w:p>
        </w:tc>
        <w:tc>
          <w:tcPr>
            <w:tcW w:w="2830" w:type="pct"/>
            <w:vAlign w:val="center"/>
          </w:tcPr>
          <w:p w14:paraId="65200A82" w14:textId="39BB33C9" w:rsidR="00DC2DBD" w:rsidRPr="00455F25" w:rsidRDefault="00DC2DBD">
            <w:pPr>
              <w:pStyle w:val="TableText0"/>
            </w:pPr>
            <w:r w:rsidRPr="00455F25">
              <w:t xml:space="preserve">Truncation time points re-estimated by correctly applying </w:t>
            </w:r>
            <w:proofErr w:type="spellStart"/>
            <w:r w:rsidRPr="00455F25">
              <w:t>Gebski</w:t>
            </w:r>
            <w:proofErr w:type="spellEnd"/>
            <w:r w:rsidRPr="00455F25">
              <w:t xml:space="preserve"> Criteria 2 (</w:t>
            </w:r>
            <w:r w:rsidR="00A5291E" w:rsidRPr="00455F25">
              <w:t>T-</w:t>
            </w:r>
            <w:proofErr w:type="spellStart"/>
            <w:r w:rsidR="00A5291E" w:rsidRPr="00455F25">
              <w:t>DXd</w:t>
            </w:r>
            <w:proofErr w:type="spellEnd"/>
            <w:r w:rsidRPr="00455F25">
              <w:t xml:space="preserve"> OS 21 months, SoC OS 18 months)</w:t>
            </w:r>
          </w:p>
        </w:tc>
        <w:tc>
          <w:tcPr>
            <w:tcW w:w="1544" w:type="pct"/>
            <w:vAlign w:val="center"/>
          </w:tcPr>
          <w:p w14:paraId="193FF725" w14:textId="052C7DBB" w:rsidR="00DC2DBD" w:rsidRPr="00455F25" w:rsidRDefault="00DC2DBD">
            <w:pPr>
              <w:pStyle w:val="TableText0"/>
            </w:pPr>
            <w:r w:rsidRPr="00455F25">
              <w:t xml:space="preserve">Moderate, favours </w:t>
            </w:r>
            <w:r w:rsidR="00A5291E" w:rsidRPr="00455F25">
              <w:t>T-</w:t>
            </w:r>
            <w:proofErr w:type="spellStart"/>
            <w:r w:rsidR="00A5291E" w:rsidRPr="00455F25">
              <w:t>DXd</w:t>
            </w:r>
            <w:proofErr w:type="spellEnd"/>
            <w:r w:rsidRPr="00455F25">
              <w:t xml:space="preserve">. Use of correct application of </w:t>
            </w:r>
            <w:proofErr w:type="spellStart"/>
            <w:r w:rsidRPr="00455F25">
              <w:t>Gebski</w:t>
            </w:r>
            <w:proofErr w:type="spellEnd"/>
            <w:r w:rsidRPr="00455F25">
              <w:t xml:space="preserve"> Criteria increased the ICER to $</w:t>
            </w:r>
            <w:r w:rsidR="002D5F61" w:rsidRPr="002D5F61">
              <w:rPr>
                <w:color w:val="000000"/>
                <w:spacing w:val="52"/>
                <w:shd w:val="solid" w:color="000000" w:fill="000000"/>
                <w:fitText w:val="328" w:id="-663002105"/>
                <w14:textFill>
                  <w14:solidFill>
                    <w14:srgbClr w14:val="000000">
                      <w14:alpha w14:val="100000"/>
                    </w14:srgbClr>
                  </w14:solidFill>
                </w14:textFill>
              </w:rPr>
              <w:t>|||</w:t>
            </w:r>
            <w:r w:rsidR="002D5F61" w:rsidRPr="002D5F61">
              <w:rPr>
                <w:color w:val="000000"/>
                <w:spacing w:val="2"/>
                <w:shd w:val="solid" w:color="000000" w:fill="000000"/>
                <w:fitText w:val="328" w:id="-663002105"/>
                <w14:textFill>
                  <w14:solidFill>
                    <w14:srgbClr w14:val="000000">
                      <w14:alpha w14:val="100000"/>
                    </w14:srgbClr>
                  </w14:solidFill>
                </w14:textFill>
              </w:rPr>
              <w:t>|</w:t>
            </w:r>
            <w:r w:rsidR="00D859F6">
              <w:rPr>
                <w:rFonts w:cs="Arial"/>
                <w:szCs w:val="20"/>
              </w:rPr>
              <w:t xml:space="preserve"> </w:t>
            </w:r>
            <w:r w:rsidR="00D859F6">
              <w:rPr>
                <w:rFonts w:cs="Arial"/>
                <w:szCs w:val="20"/>
                <w:vertAlign w:val="superscript"/>
              </w:rPr>
              <w:t>3</w:t>
            </w:r>
            <w:r w:rsidRPr="00455F25">
              <w:t>/QALY gained</w:t>
            </w:r>
          </w:p>
        </w:tc>
      </w:tr>
      <w:tr w:rsidR="00DC2DBD" w:rsidRPr="00455F25" w14:paraId="6D0022F3" w14:textId="77777777">
        <w:tc>
          <w:tcPr>
            <w:tcW w:w="626" w:type="pct"/>
            <w:vAlign w:val="center"/>
          </w:tcPr>
          <w:p w14:paraId="7B6A801C" w14:textId="77777777" w:rsidR="00DC2DBD" w:rsidRPr="00455F25" w:rsidRDefault="00DC2DBD">
            <w:pPr>
              <w:pStyle w:val="TableText0"/>
            </w:pPr>
            <w:r w:rsidRPr="00455F25">
              <w:t>Time horizon</w:t>
            </w:r>
          </w:p>
        </w:tc>
        <w:tc>
          <w:tcPr>
            <w:tcW w:w="2830" w:type="pct"/>
            <w:vAlign w:val="center"/>
          </w:tcPr>
          <w:p w14:paraId="0335B206" w14:textId="725267E1" w:rsidR="00DC2DBD" w:rsidRPr="00455F25" w:rsidRDefault="00DC2DBD">
            <w:pPr>
              <w:pStyle w:val="TableText0"/>
            </w:pPr>
            <w:r w:rsidRPr="00455F25">
              <w:t xml:space="preserve">Time horizon of 7.5 years in the model base case (vs. a median duration of follow-up of 11.9 months for </w:t>
            </w:r>
            <w:r w:rsidR="00A5291E" w:rsidRPr="00455F25">
              <w:t>T-</w:t>
            </w:r>
            <w:proofErr w:type="spellStart"/>
            <w:r w:rsidR="00A5291E" w:rsidRPr="00455F25">
              <w:t>DXd</w:t>
            </w:r>
            <w:proofErr w:type="spellEnd"/>
            <w:r w:rsidRPr="00455F25">
              <w:t xml:space="preserve"> and 8.5 months for SoC in the DG-01 trial). </w:t>
            </w:r>
          </w:p>
        </w:tc>
        <w:tc>
          <w:tcPr>
            <w:tcW w:w="1544" w:type="pct"/>
            <w:vAlign w:val="center"/>
          </w:tcPr>
          <w:p w14:paraId="3DFB4E85" w14:textId="14678E4F" w:rsidR="00DC2DBD" w:rsidRPr="00455F25" w:rsidRDefault="00DC2DBD">
            <w:pPr>
              <w:pStyle w:val="TableText0"/>
            </w:pPr>
            <w:r w:rsidRPr="00455F25">
              <w:t xml:space="preserve">High, favours </w:t>
            </w:r>
            <w:r w:rsidR="00A5291E" w:rsidRPr="00455F25">
              <w:t>T-</w:t>
            </w:r>
            <w:proofErr w:type="spellStart"/>
            <w:r w:rsidR="00A5291E" w:rsidRPr="00455F25">
              <w:t>DXd</w:t>
            </w:r>
            <w:proofErr w:type="spellEnd"/>
            <w:r w:rsidRPr="00455F25">
              <w:t xml:space="preserve">. Use of time horizon of 2 years increased the ICER to </w:t>
            </w:r>
            <w:r w:rsidRPr="00455F25">
              <w:rPr>
                <w:color w:val="000000"/>
                <w:szCs w:val="20"/>
              </w:rPr>
              <w:t>$</w:t>
            </w:r>
            <w:r w:rsidR="002D5F61" w:rsidRPr="002D5F61">
              <w:rPr>
                <w:color w:val="000000"/>
                <w:spacing w:val="52"/>
                <w:szCs w:val="20"/>
                <w:shd w:val="solid" w:color="000000" w:fill="000000"/>
                <w:fitText w:val="327" w:id="-663002104"/>
                <w14:textFill>
                  <w14:solidFill>
                    <w14:srgbClr w14:val="000000">
                      <w14:alpha w14:val="100000"/>
                    </w14:srgbClr>
                  </w14:solidFill>
                </w14:textFill>
              </w:rPr>
              <w:t>|||</w:t>
            </w:r>
            <w:r w:rsidR="002D5F61" w:rsidRPr="002D5F61">
              <w:rPr>
                <w:color w:val="000000"/>
                <w:spacing w:val="1"/>
                <w:szCs w:val="20"/>
                <w:shd w:val="solid" w:color="000000" w:fill="000000"/>
                <w:fitText w:val="327" w:id="-663002104"/>
                <w14:textFill>
                  <w14:solidFill>
                    <w14:srgbClr w14:val="000000">
                      <w14:alpha w14:val="100000"/>
                    </w14:srgbClr>
                  </w14:solidFill>
                </w14:textFill>
              </w:rPr>
              <w:t>|</w:t>
            </w:r>
            <w:r w:rsidR="00D859F6">
              <w:rPr>
                <w:rFonts w:cs="Arial"/>
                <w:szCs w:val="20"/>
              </w:rPr>
              <w:t xml:space="preserve"> </w:t>
            </w:r>
            <w:r w:rsidR="00D859F6">
              <w:rPr>
                <w:rFonts w:cs="Arial"/>
                <w:szCs w:val="20"/>
                <w:vertAlign w:val="superscript"/>
              </w:rPr>
              <w:t>2</w:t>
            </w:r>
            <w:r w:rsidRPr="00455F25">
              <w:t>/QALY gained.</w:t>
            </w:r>
          </w:p>
        </w:tc>
      </w:tr>
    </w:tbl>
    <w:p w14:paraId="5514021A" w14:textId="77777777" w:rsidR="005F782D" w:rsidRPr="00455F25" w:rsidRDefault="00C02DCB" w:rsidP="00D859F6">
      <w:pPr>
        <w:pStyle w:val="TableFigureFooter"/>
        <w:jc w:val="both"/>
      </w:pPr>
      <w:r w:rsidRPr="00455F25">
        <w:t>Source: Constructed during the evaluation.</w:t>
      </w:r>
    </w:p>
    <w:p w14:paraId="3949C4EE" w14:textId="59DD34D3" w:rsidR="00DC2DBD" w:rsidRDefault="00DC2DBD" w:rsidP="00D859F6">
      <w:pPr>
        <w:pStyle w:val="TableFigureFooter"/>
        <w:jc w:val="both"/>
      </w:pPr>
      <w:r w:rsidRPr="00455F25">
        <w:t xml:space="preserve">AIC = Akaike information criterion; BIC = Bayesian information criterion; ESC = Economics Sub Committee; GOJ = Gastro-oesophageal junction; ICER = incremental cost-effectiveness ratio; KM = Kaplan-Meier; OS = Overall survival; PBAC = Pharmaceutical Benefits Advisory Committee; PFS = Progression-Free Survival; PSD = Public summary document; QALY = Quality-adjusted life-years; SoC = Standard of care;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p>
    <w:p w14:paraId="593BD8D3" w14:textId="77777777" w:rsidR="00D47C65" w:rsidRPr="009A6D58" w:rsidRDefault="00D47C65" w:rsidP="00D47C6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7FA0312" w14:textId="16FEE730" w:rsidR="00D47C65" w:rsidRPr="009A6D58" w:rsidRDefault="00D47C65" w:rsidP="00D47C6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4331E3" w:rsidRPr="004331E3">
        <w:rPr>
          <w:rFonts w:ascii="Arial Narrow" w:hAnsi="Arial Narrow"/>
          <w:i/>
          <w:sz w:val="18"/>
          <w:szCs w:val="18"/>
        </w:rPr>
        <w:t>$115,000 to &lt; $135,000</w:t>
      </w:r>
    </w:p>
    <w:p w14:paraId="7D54C35E" w14:textId="69551251" w:rsidR="00D47C65" w:rsidRPr="009A6D58" w:rsidRDefault="00D47C65" w:rsidP="00D47C6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97292" w:rsidRPr="00C97292">
        <w:rPr>
          <w:rFonts w:ascii="Arial Narrow" w:hAnsi="Arial Narrow"/>
          <w:i/>
          <w:sz w:val="18"/>
          <w:szCs w:val="18"/>
        </w:rPr>
        <w:t>$155,000 to &lt; $255,000</w:t>
      </w:r>
    </w:p>
    <w:p w14:paraId="306321E8" w14:textId="1EBB159C" w:rsidR="00D859F6" w:rsidRPr="00D47C65" w:rsidRDefault="00D47C65" w:rsidP="00D47C65">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13606" w:rsidRPr="00913606">
        <w:rPr>
          <w:rFonts w:ascii="Arial Narrow" w:hAnsi="Arial Narrow"/>
          <w:i/>
          <w:sz w:val="18"/>
          <w:szCs w:val="18"/>
        </w:rPr>
        <w:t>$135,000 to &lt; $155,000</w:t>
      </w:r>
    </w:p>
    <w:p w14:paraId="5E14B3A7" w14:textId="49C305C7" w:rsidR="00DC2DBD" w:rsidRDefault="00DC2DBD" w:rsidP="00DC2DBD">
      <w:pPr>
        <w:pStyle w:val="3-BodyText"/>
      </w:pPr>
      <w:bookmarkStart w:id="57" w:name="_Ref193203645"/>
      <w:r w:rsidRPr="00455F25">
        <w:t xml:space="preserve">The following issues or errors were identified during the evaluation and were revised in a respecified base case analysis presented in the evaluation: a 5% per annum discount rate (compared to 3.5% used in the base case analysis); extrapolation of the </w:t>
      </w:r>
      <w:proofErr w:type="spellStart"/>
      <w:r w:rsidRPr="00455F25">
        <w:t>ToT</w:t>
      </w:r>
      <w:proofErr w:type="spellEnd"/>
      <w:r w:rsidRPr="00455F25">
        <w:t xml:space="preserve"> curves; and application of RDI to dose rather than cost of </w:t>
      </w:r>
      <w:r w:rsidR="00A5291E" w:rsidRPr="00455F25">
        <w:t>T-</w:t>
      </w:r>
      <w:proofErr w:type="spellStart"/>
      <w:r w:rsidR="00A5291E" w:rsidRPr="00455F25">
        <w:t>DXd</w:t>
      </w:r>
      <w:proofErr w:type="spellEnd"/>
      <w:r w:rsidRPr="00455F25">
        <w:t xml:space="preserve"> and SoC treatments. The results of the stepped analysis, using the respecified base case, are presented in </w:t>
      </w:r>
      <w:r w:rsidRPr="00455F25">
        <w:fldChar w:fldCharType="begin"/>
      </w:r>
      <w:r w:rsidRPr="00455F25">
        <w:instrText xml:space="preserve"> REF _Ref192163511 \h  \* MERGEFORMAT </w:instrText>
      </w:r>
      <w:r w:rsidRPr="00455F25">
        <w:fldChar w:fldCharType="separate"/>
      </w:r>
      <w:r w:rsidR="00593619" w:rsidRPr="00455F25">
        <w:t xml:space="preserve">Table </w:t>
      </w:r>
      <w:r w:rsidR="00593619">
        <w:t>10</w:t>
      </w:r>
      <w:r w:rsidRPr="00455F25">
        <w:fldChar w:fldCharType="end"/>
      </w:r>
      <w:r w:rsidRPr="00455F25">
        <w:t xml:space="preserve">. Although the submission regarded Step 1 as a trial-based analysis, it incorporated several modelled assumptions, such as the employment of parametric models to extrapolate PFS and OS, and the specifics of the treatments and distributions as part of the SoC chemotherapy. Additionally, the time horizon of 24 months extended beyond reliable KM data, surpassing the median follow-up durations of 11.9 months in the </w:t>
      </w:r>
      <w:r w:rsidR="00A5291E" w:rsidRPr="00455F25">
        <w:t>T-</w:t>
      </w:r>
      <w:proofErr w:type="spellStart"/>
      <w:r w:rsidR="00A5291E" w:rsidRPr="00455F25">
        <w:t>DXd</w:t>
      </w:r>
      <w:proofErr w:type="spellEnd"/>
      <w:r w:rsidRPr="00455F25">
        <w:t xml:space="preserve"> arm and 8.5 months in the SoC treatment arm.</w:t>
      </w:r>
      <w:bookmarkEnd w:id="57"/>
    </w:p>
    <w:p w14:paraId="4D8F751C" w14:textId="2C0CB5C1" w:rsidR="00DC2DBD" w:rsidRPr="00455F25" w:rsidRDefault="00DC2DBD" w:rsidP="00CA6253">
      <w:pPr>
        <w:pStyle w:val="Caption"/>
        <w:spacing w:before="120"/>
      </w:pPr>
      <w:bookmarkStart w:id="58" w:name="_Ref192163511"/>
      <w:r w:rsidRPr="00455F25">
        <w:lastRenderedPageBreak/>
        <w:t xml:space="preserve">Table </w:t>
      </w:r>
      <w:r w:rsidR="008B461E">
        <w:fldChar w:fldCharType="begin"/>
      </w:r>
      <w:r w:rsidR="008B461E">
        <w:instrText xml:space="preserve"> SEQ Table \* ARABIC </w:instrText>
      </w:r>
      <w:r w:rsidR="008B461E">
        <w:fldChar w:fldCharType="separate"/>
      </w:r>
      <w:r w:rsidR="00593619">
        <w:rPr>
          <w:noProof/>
        </w:rPr>
        <w:t>10</w:t>
      </w:r>
      <w:r w:rsidR="008B461E">
        <w:rPr>
          <w:noProof/>
        </w:rPr>
        <w:fldChar w:fldCharType="end"/>
      </w:r>
      <w:bookmarkEnd w:id="58"/>
      <w:r w:rsidRPr="00455F25">
        <w:t>: Results of the stepped economic evaluation</w:t>
      </w:r>
      <w:r w:rsidR="002819D2" w:rsidRPr="00455F25">
        <w:t xml:space="preserve"> (respecified base case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5"/>
        <w:gridCol w:w="2254"/>
        <w:gridCol w:w="2254"/>
        <w:gridCol w:w="2254"/>
      </w:tblGrid>
      <w:tr w:rsidR="00DC2DBD" w:rsidRPr="00455F25" w14:paraId="44372D91" w14:textId="77777777">
        <w:trPr>
          <w:tblHeader/>
        </w:trPr>
        <w:tc>
          <w:tcPr>
            <w:tcW w:w="1250" w:type="pct"/>
            <w:vAlign w:val="center"/>
          </w:tcPr>
          <w:p w14:paraId="138C9089" w14:textId="77777777" w:rsidR="00DC2DBD" w:rsidRPr="00455F25" w:rsidRDefault="00DC2DBD">
            <w:pPr>
              <w:pStyle w:val="In-tableHeading"/>
              <w:rPr>
                <w:lang w:val="en-AU"/>
              </w:rPr>
            </w:pPr>
            <w:r w:rsidRPr="00455F25">
              <w:rPr>
                <w:lang w:val="en-AU"/>
              </w:rPr>
              <w:t>Step and component</w:t>
            </w:r>
          </w:p>
        </w:tc>
        <w:tc>
          <w:tcPr>
            <w:tcW w:w="1250" w:type="pct"/>
            <w:vAlign w:val="center"/>
          </w:tcPr>
          <w:p w14:paraId="129197B0" w14:textId="62EC895D" w:rsidR="00DC2DBD" w:rsidRPr="00455F25" w:rsidRDefault="00A5291E">
            <w:pPr>
              <w:pStyle w:val="In-tableHeading"/>
              <w:rPr>
                <w:lang w:val="en-AU"/>
              </w:rPr>
            </w:pPr>
            <w:r w:rsidRPr="00455F25">
              <w:rPr>
                <w:lang w:val="en-AU"/>
              </w:rPr>
              <w:t>T-</w:t>
            </w:r>
            <w:proofErr w:type="spellStart"/>
            <w:r w:rsidRPr="00455F25">
              <w:rPr>
                <w:lang w:val="en-AU"/>
              </w:rPr>
              <w:t>DXd</w:t>
            </w:r>
            <w:proofErr w:type="spellEnd"/>
          </w:p>
        </w:tc>
        <w:tc>
          <w:tcPr>
            <w:tcW w:w="1250" w:type="pct"/>
            <w:vAlign w:val="center"/>
          </w:tcPr>
          <w:p w14:paraId="7674EC16" w14:textId="77777777" w:rsidR="00DC2DBD" w:rsidRPr="00455F25" w:rsidRDefault="00DC2DBD">
            <w:pPr>
              <w:pStyle w:val="In-tableHeading"/>
              <w:rPr>
                <w:lang w:val="en-AU"/>
              </w:rPr>
            </w:pPr>
            <w:r w:rsidRPr="00455F25">
              <w:rPr>
                <w:lang w:val="en-AU"/>
              </w:rPr>
              <w:t>SoC</w:t>
            </w:r>
          </w:p>
        </w:tc>
        <w:tc>
          <w:tcPr>
            <w:tcW w:w="1250" w:type="pct"/>
            <w:vAlign w:val="center"/>
          </w:tcPr>
          <w:p w14:paraId="7E920E2F" w14:textId="77777777" w:rsidR="00DC2DBD" w:rsidRPr="00455F25" w:rsidRDefault="00DC2DBD">
            <w:pPr>
              <w:pStyle w:val="In-tableHeading"/>
              <w:rPr>
                <w:lang w:val="en-AU"/>
              </w:rPr>
            </w:pPr>
            <w:r w:rsidRPr="00455F25">
              <w:rPr>
                <w:lang w:val="en-AU"/>
              </w:rPr>
              <w:t>Increment</w:t>
            </w:r>
          </w:p>
        </w:tc>
      </w:tr>
      <w:tr w:rsidR="00DC2DBD" w:rsidRPr="00455F25" w14:paraId="74C6CE8E" w14:textId="77777777">
        <w:tc>
          <w:tcPr>
            <w:tcW w:w="5000" w:type="pct"/>
            <w:gridSpan w:val="4"/>
            <w:vAlign w:val="center"/>
          </w:tcPr>
          <w:p w14:paraId="13DBDD55" w14:textId="75FC0EF8" w:rsidR="00DC2DBD" w:rsidRPr="00455F25" w:rsidRDefault="00DC2DBD">
            <w:pPr>
              <w:pStyle w:val="TableText0"/>
              <w:rPr>
                <w:b/>
                <w:bCs w:val="0"/>
              </w:rPr>
            </w:pPr>
            <w:r w:rsidRPr="00455F25">
              <w:rPr>
                <w:b/>
                <w:bCs w:val="0"/>
              </w:rPr>
              <w:t xml:space="preserve">Step 1: trial-based costs and outcomes (24 months): </w:t>
            </w:r>
            <w:r w:rsidRPr="00455F25">
              <w:t xml:space="preserve">based on the PFS and OS KM data from the DG-01 trial extrapolated with parametric functions. Costs included were </w:t>
            </w:r>
            <w:r w:rsidR="00A5291E" w:rsidRPr="00455F25">
              <w:rPr>
                <w:color w:val="0D0D0D" w:themeColor="text1" w:themeTint="F2"/>
              </w:rPr>
              <w:t>T-</w:t>
            </w:r>
            <w:proofErr w:type="spellStart"/>
            <w:r w:rsidR="00A5291E" w:rsidRPr="00455F25">
              <w:rPr>
                <w:color w:val="0D0D0D" w:themeColor="text1" w:themeTint="F2"/>
              </w:rPr>
              <w:t>DXd</w:t>
            </w:r>
            <w:proofErr w:type="spellEnd"/>
            <w:r w:rsidRPr="00455F25">
              <w:rPr>
                <w:color w:val="0D0D0D" w:themeColor="text1" w:themeTint="F2"/>
              </w:rPr>
              <w:t xml:space="preserve"> treatment costs; SoC treatment costs; AEs costs, terminal care costs, costs for disease management and subsequent treatments.</w:t>
            </w:r>
          </w:p>
        </w:tc>
      </w:tr>
      <w:tr w:rsidR="00491801" w:rsidRPr="00455F25" w14:paraId="0CA6A8FB" w14:textId="77777777">
        <w:tc>
          <w:tcPr>
            <w:tcW w:w="1250" w:type="pct"/>
            <w:vAlign w:val="center"/>
          </w:tcPr>
          <w:p w14:paraId="09EF2523" w14:textId="77777777" w:rsidR="00491801" w:rsidRPr="00455F25" w:rsidRDefault="00491801" w:rsidP="00491801">
            <w:pPr>
              <w:pStyle w:val="TableText0"/>
              <w:rPr>
                <w:rFonts w:ascii="Times" w:hAnsi="Times"/>
              </w:rPr>
            </w:pPr>
            <w:r w:rsidRPr="00455F25">
              <w:t>Costs</w:t>
            </w:r>
          </w:p>
        </w:tc>
        <w:tc>
          <w:tcPr>
            <w:tcW w:w="1250" w:type="pct"/>
          </w:tcPr>
          <w:p w14:paraId="36705375" w14:textId="752995FF" w:rsidR="00491801" w:rsidRPr="00455F25" w:rsidRDefault="00491801" w:rsidP="00491801">
            <w:pPr>
              <w:pStyle w:val="TableText0"/>
              <w:jc w:val="right"/>
              <w:rPr>
                <w:rFonts w:ascii="Times" w:hAnsi="Times"/>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1250" w:type="pct"/>
          </w:tcPr>
          <w:p w14:paraId="0E3E7BA2" w14:textId="28CF23F0" w:rsidR="00491801" w:rsidRPr="00455F25" w:rsidRDefault="00491801" w:rsidP="00491801">
            <w:pPr>
              <w:pStyle w:val="TableText0"/>
              <w:jc w:val="right"/>
              <w:rPr>
                <w:rFonts w:ascii="Times" w:hAnsi="Times"/>
              </w:rPr>
            </w:pPr>
            <w:r w:rsidRPr="00455F25">
              <w:t>$52,864</w:t>
            </w:r>
          </w:p>
        </w:tc>
        <w:tc>
          <w:tcPr>
            <w:tcW w:w="1250" w:type="pct"/>
          </w:tcPr>
          <w:p w14:paraId="0E19BE50" w14:textId="58596252" w:rsidR="00491801" w:rsidRPr="00455F25" w:rsidRDefault="00491801" w:rsidP="00491801">
            <w:pPr>
              <w:pStyle w:val="TableText0"/>
              <w:jc w:val="right"/>
              <w:rPr>
                <w:rFonts w:ascii="Times" w:hAnsi="Times"/>
              </w:rPr>
            </w:pPr>
            <w:r w:rsidRPr="00455F25">
              <w:t>$</w:t>
            </w:r>
            <w:r w:rsidR="002D5F61" w:rsidRPr="002D5F61">
              <w:rPr>
                <w:color w:val="000000"/>
                <w:shd w:val="solid" w:color="000000" w:fill="000000"/>
                <w14:textFill>
                  <w14:solidFill>
                    <w14:srgbClr w14:val="000000">
                      <w14:alpha w14:val="100000"/>
                    </w14:srgbClr>
                  </w14:solidFill>
                </w14:textFill>
              </w:rPr>
              <w:t>|</w:t>
            </w:r>
          </w:p>
        </w:tc>
      </w:tr>
      <w:tr w:rsidR="00DC2DBD" w:rsidRPr="00455F25" w14:paraId="6D3EFCD8" w14:textId="77777777">
        <w:tc>
          <w:tcPr>
            <w:tcW w:w="1250" w:type="pct"/>
            <w:vAlign w:val="center"/>
          </w:tcPr>
          <w:p w14:paraId="70AD5536" w14:textId="77777777" w:rsidR="00DC2DBD" w:rsidRPr="00455F25" w:rsidRDefault="00DC2DBD">
            <w:pPr>
              <w:pStyle w:val="TableText0"/>
              <w:rPr>
                <w:rFonts w:ascii="Times" w:hAnsi="Times"/>
              </w:rPr>
            </w:pPr>
            <w:r w:rsidRPr="00455F25">
              <w:t>LYG</w:t>
            </w:r>
          </w:p>
        </w:tc>
        <w:tc>
          <w:tcPr>
            <w:tcW w:w="1250" w:type="pct"/>
          </w:tcPr>
          <w:p w14:paraId="44AAE304" w14:textId="77777777" w:rsidR="00DC2DBD" w:rsidRPr="00455F25" w:rsidRDefault="00DC2DBD">
            <w:pPr>
              <w:pStyle w:val="TableText0"/>
              <w:jc w:val="right"/>
              <w:rPr>
                <w:rFonts w:ascii="Times" w:hAnsi="Times"/>
              </w:rPr>
            </w:pPr>
            <w:r w:rsidRPr="00455F25">
              <w:t>1.071</w:t>
            </w:r>
          </w:p>
        </w:tc>
        <w:tc>
          <w:tcPr>
            <w:tcW w:w="1250" w:type="pct"/>
          </w:tcPr>
          <w:p w14:paraId="6AD3E798" w14:textId="77777777" w:rsidR="00DC2DBD" w:rsidRPr="00455F25" w:rsidRDefault="00DC2DBD">
            <w:pPr>
              <w:pStyle w:val="TableText0"/>
              <w:jc w:val="right"/>
              <w:rPr>
                <w:rFonts w:ascii="Times" w:hAnsi="Times"/>
              </w:rPr>
            </w:pPr>
            <w:r w:rsidRPr="00455F25">
              <w:t>0.794</w:t>
            </w:r>
          </w:p>
        </w:tc>
        <w:tc>
          <w:tcPr>
            <w:tcW w:w="1250" w:type="pct"/>
          </w:tcPr>
          <w:p w14:paraId="5E689592" w14:textId="77777777" w:rsidR="00DC2DBD" w:rsidRPr="00455F25" w:rsidRDefault="00DC2DBD">
            <w:pPr>
              <w:pStyle w:val="TableText0"/>
              <w:jc w:val="right"/>
            </w:pPr>
            <w:r w:rsidRPr="00455F25">
              <w:t>0.277</w:t>
            </w:r>
          </w:p>
        </w:tc>
      </w:tr>
      <w:tr w:rsidR="00DC2DBD" w:rsidRPr="00455F25" w14:paraId="05D1E7F5" w14:textId="77777777">
        <w:tc>
          <w:tcPr>
            <w:tcW w:w="2500" w:type="pct"/>
            <w:gridSpan w:val="2"/>
            <w:vAlign w:val="center"/>
          </w:tcPr>
          <w:p w14:paraId="2476DF82" w14:textId="77777777" w:rsidR="00DC2DBD" w:rsidRPr="00455F25" w:rsidRDefault="00DC2DBD">
            <w:pPr>
              <w:pStyle w:val="TableText0"/>
              <w:rPr>
                <w:rFonts w:ascii="Times" w:hAnsi="Times"/>
              </w:rPr>
            </w:pPr>
            <w:r w:rsidRPr="00455F25">
              <w:t>Incremental cost/extra LYG gained</w:t>
            </w:r>
          </w:p>
        </w:tc>
        <w:tc>
          <w:tcPr>
            <w:tcW w:w="2500" w:type="pct"/>
            <w:gridSpan w:val="2"/>
            <w:vAlign w:val="center"/>
          </w:tcPr>
          <w:p w14:paraId="7F694D92" w14:textId="074356EF" w:rsidR="00DC2DBD" w:rsidRPr="00CD210C" w:rsidRDefault="00DC2DBD">
            <w:pPr>
              <w:pStyle w:val="TableText0"/>
              <w:jc w:val="right"/>
              <w:rPr>
                <w:vertAlign w:val="superscript"/>
              </w:rPr>
            </w:pPr>
            <w:r w:rsidRPr="00455F25">
              <w:t>$</w:t>
            </w:r>
            <w:r w:rsidR="002D5F61" w:rsidRPr="002D5F61">
              <w:rPr>
                <w:color w:val="000000"/>
                <w:shd w:val="solid" w:color="000000" w:fill="000000"/>
                <w14:textFill>
                  <w14:solidFill>
                    <w14:srgbClr w14:val="000000">
                      <w14:alpha w14:val="100000"/>
                    </w14:srgbClr>
                  </w14:solidFill>
                </w14:textFill>
              </w:rPr>
              <w:t>|</w:t>
            </w:r>
            <w:r w:rsidR="00CD210C">
              <w:t xml:space="preserve"> </w:t>
            </w:r>
            <w:r w:rsidR="00CD210C">
              <w:rPr>
                <w:vertAlign w:val="superscript"/>
              </w:rPr>
              <w:t>1</w:t>
            </w:r>
          </w:p>
        </w:tc>
      </w:tr>
      <w:tr w:rsidR="00DC2DBD" w:rsidRPr="00455F25" w14:paraId="34561F4A" w14:textId="77777777">
        <w:tc>
          <w:tcPr>
            <w:tcW w:w="5000" w:type="pct"/>
            <w:gridSpan w:val="4"/>
            <w:vAlign w:val="center"/>
          </w:tcPr>
          <w:p w14:paraId="60BC56AD" w14:textId="77777777" w:rsidR="00DC2DBD" w:rsidRPr="00455F25" w:rsidRDefault="00DC2DBD">
            <w:pPr>
              <w:pStyle w:val="TableText0"/>
              <w:rPr>
                <w:rFonts w:cs="Times New Roman"/>
                <w:b/>
              </w:rPr>
            </w:pPr>
            <w:r w:rsidRPr="00455F25">
              <w:rPr>
                <w:rFonts w:cs="Times New Roman"/>
                <w:b/>
              </w:rPr>
              <w:t xml:space="preserve">Step 2: time horizon extended to 7.5 years: </w:t>
            </w:r>
            <w:r w:rsidRPr="00455F25">
              <w:rPr>
                <w:color w:val="0D0D0D" w:themeColor="text1" w:themeTint="F2"/>
              </w:rPr>
              <w:t>As in Step 1, extrapolated over the modelled time horizon</w:t>
            </w:r>
          </w:p>
        </w:tc>
      </w:tr>
      <w:tr w:rsidR="00491801" w:rsidRPr="00455F25" w14:paraId="41DE53BB" w14:textId="77777777">
        <w:tc>
          <w:tcPr>
            <w:tcW w:w="1250" w:type="pct"/>
            <w:vAlign w:val="center"/>
          </w:tcPr>
          <w:p w14:paraId="66FB17B2" w14:textId="77777777" w:rsidR="00491801" w:rsidRPr="00455F25" w:rsidRDefault="00491801" w:rsidP="00491801">
            <w:pPr>
              <w:pStyle w:val="TableText0"/>
              <w:rPr>
                <w:rFonts w:ascii="Times" w:hAnsi="Times"/>
              </w:rPr>
            </w:pPr>
            <w:r w:rsidRPr="00455F25">
              <w:t>Costs</w:t>
            </w:r>
          </w:p>
        </w:tc>
        <w:tc>
          <w:tcPr>
            <w:tcW w:w="1250" w:type="pct"/>
          </w:tcPr>
          <w:p w14:paraId="49C9023F" w14:textId="1629286E" w:rsidR="00491801" w:rsidRPr="00455F25" w:rsidRDefault="00491801" w:rsidP="00491801">
            <w:pPr>
              <w:pStyle w:val="TableText0"/>
              <w:jc w:val="right"/>
              <w:rPr>
                <w:rFonts w:ascii="Times" w:hAnsi="Times"/>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1250" w:type="pct"/>
          </w:tcPr>
          <w:p w14:paraId="3F680B05" w14:textId="321AB8AE" w:rsidR="00491801" w:rsidRPr="00455F25" w:rsidRDefault="00491801" w:rsidP="00491801">
            <w:pPr>
              <w:pStyle w:val="TableText0"/>
              <w:jc w:val="right"/>
              <w:rPr>
                <w:rFonts w:ascii="Times" w:hAnsi="Times"/>
              </w:rPr>
            </w:pPr>
            <w:r w:rsidRPr="00455F25">
              <w:t>$56,072</w:t>
            </w:r>
          </w:p>
        </w:tc>
        <w:tc>
          <w:tcPr>
            <w:tcW w:w="1250" w:type="pct"/>
          </w:tcPr>
          <w:p w14:paraId="157B9A62" w14:textId="5771D40D" w:rsidR="00491801" w:rsidRPr="00455F25" w:rsidRDefault="00491801" w:rsidP="00491801">
            <w:pPr>
              <w:pStyle w:val="TableText0"/>
              <w:jc w:val="right"/>
              <w:rPr>
                <w:rFonts w:ascii="Times" w:hAnsi="Times"/>
              </w:rPr>
            </w:pPr>
            <w:r w:rsidRPr="00455F25">
              <w:t>$</w:t>
            </w:r>
            <w:r w:rsidR="002D5F61" w:rsidRPr="002D5F61">
              <w:rPr>
                <w:color w:val="000000"/>
                <w:shd w:val="solid" w:color="000000" w:fill="000000"/>
                <w14:textFill>
                  <w14:solidFill>
                    <w14:srgbClr w14:val="000000">
                      <w14:alpha w14:val="100000"/>
                    </w14:srgbClr>
                  </w14:solidFill>
                </w14:textFill>
              </w:rPr>
              <w:t>|</w:t>
            </w:r>
          </w:p>
        </w:tc>
      </w:tr>
      <w:tr w:rsidR="00DC2DBD" w:rsidRPr="00455F25" w14:paraId="6F12B434" w14:textId="77777777">
        <w:tc>
          <w:tcPr>
            <w:tcW w:w="1250" w:type="pct"/>
            <w:vAlign w:val="center"/>
          </w:tcPr>
          <w:p w14:paraId="093EF445" w14:textId="77777777" w:rsidR="00DC2DBD" w:rsidRPr="00455F25" w:rsidRDefault="00DC2DBD">
            <w:pPr>
              <w:pStyle w:val="TableText0"/>
              <w:rPr>
                <w:rFonts w:ascii="Times" w:hAnsi="Times"/>
              </w:rPr>
            </w:pPr>
            <w:r w:rsidRPr="00455F25">
              <w:t>LYG</w:t>
            </w:r>
          </w:p>
        </w:tc>
        <w:tc>
          <w:tcPr>
            <w:tcW w:w="1250" w:type="pct"/>
          </w:tcPr>
          <w:p w14:paraId="4F2DAB8B" w14:textId="77777777" w:rsidR="00DC2DBD" w:rsidRPr="00455F25" w:rsidRDefault="00DC2DBD">
            <w:pPr>
              <w:pStyle w:val="TableText0"/>
              <w:jc w:val="right"/>
              <w:rPr>
                <w:rFonts w:ascii="Times" w:hAnsi="Times"/>
              </w:rPr>
            </w:pPr>
            <w:r w:rsidRPr="00455F25">
              <w:t>1.341</w:t>
            </w:r>
          </w:p>
        </w:tc>
        <w:tc>
          <w:tcPr>
            <w:tcW w:w="1250" w:type="pct"/>
          </w:tcPr>
          <w:p w14:paraId="261AE158" w14:textId="77777777" w:rsidR="00DC2DBD" w:rsidRPr="00455F25" w:rsidRDefault="00DC2DBD">
            <w:pPr>
              <w:pStyle w:val="TableText0"/>
              <w:jc w:val="right"/>
              <w:rPr>
                <w:rFonts w:ascii="Times" w:hAnsi="Times"/>
              </w:rPr>
            </w:pPr>
            <w:r w:rsidRPr="00455F25">
              <w:t>0.853</w:t>
            </w:r>
          </w:p>
        </w:tc>
        <w:tc>
          <w:tcPr>
            <w:tcW w:w="1250" w:type="pct"/>
          </w:tcPr>
          <w:p w14:paraId="7043AB62" w14:textId="77777777" w:rsidR="00DC2DBD" w:rsidRPr="00455F25" w:rsidRDefault="00DC2DBD">
            <w:pPr>
              <w:pStyle w:val="TableText0"/>
              <w:jc w:val="right"/>
            </w:pPr>
            <w:r w:rsidRPr="00455F25">
              <w:t>0.488</w:t>
            </w:r>
          </w:p>
        </w:tc>
      </w:tr>
      <w:tr w:rsidR="00DC2DBD" w:rsidRPr="00455F25" w14:paraId="3C15DD83" w14:textId="77777777">
        <w:tc>
          <w:tcPr>
            <w:tcW w:w="2500" w:type="pct"/>
            <w:gridSpan w:val="2"/>
            <w:vAlign w:val="center"/>
          </w:tcPr>
          <w:p w14:paraId="3B98146B" w14:textId="77777777" w:rsidR="00DC2DBD" w:rsidRPr="00455F25" w:rsidRDefault="00DC2DBD">
            <w:pPr>
              <w:pStyle w:val="TableText0"/>
              <w:rPr>
                <w:rFonts w:ascii="Times" w:hAnsi="Times"/>
              </w:rPr>
            </w:pPr>
            <w:r w:rsidRPr="00455F25">
              <w:t>Incremental cost/extra LYG gained</w:t>
            </w:r>
          </w:p>
        </w:tc>
        <w:tc>
          <w:tcPr>
            <w:tcW w:w="2500" w:type="pct"/>
            <w:gridSpan w:val="2"/>
            <w:vAlign w:val="center"/>
          </w:tcPr>
          <w:p w14:paraId="54542B81" w14:textId="535C934A" w:rsidR="00DC2DBD" w:rsidRPr="00455F25" w:rsidRDefault="00DC2DBD">
            <w:pPr>
              <w:pStyle w:val="TableText0"/>
              <w:jc w:val="right"/>
            </w:pPr>
            <w:r w:rsidRPr="00455F25">
              <w:t>$</w:t>
            </w:r>
            <w:r w:rsidR="002D5F61" w:rsidRPr="002D5F61">
              <w:rPr>
                <w:color w:val="000000"/>
                <w:shd w:val="solid" w:color="000000" w:fill="000000"/>
                <w14:textFill>
                  <w14:solidFill>
                    <w14:srgbClr w14:val="000000">
                      <w14:alpha w14:val="100000"/>
                    </w14:srgbClr>
                  </w14:solidFill>
                </w14:textFill>
              </w:rPr>
              <w:t>|</w:t>
            </w:r>
            <w:r w:rsidR="00CD210C">
              <w:t xml:space="preserve"> </w:t>
            </w:r>
            <w:r w:rsidR="00CD210C">
              <w:rPr>
                <w:vertAlign w:val="superscript"/>
              </w:rPr>
              <w:t>2</w:t>
            </w:r>
          </w:p>
        </w:tc>
      </w:tr>
      <w:tr w:rsidR="00DC2DBD" w:rsidRPr="00455F25" w14:paraId="7D263A21" w14:textId="77777777">
        <w:tc>
          <w:tcPr>
            <w:tcW w:w="5000" w:type="pct"/>
            <w:gridSpan w:val="4"/>
            <w:vAlign w:val="center"/>
          </w:tcPr>
          <w:p w14:paraId="2DDFC8C7" w14:textId="77777777" w:rsidR="00DC2DBD" w:rsidRPr="00455F25" w:rsidRDefault="00DC2DBD">
            <w:pPr>
              <w:pStyle w:val="TableText0"/>
              <w:rPr>
                <w:rFonts w:cs="Times New Roman"/>
                <w:b/>
              </w:rPr>
            </w:pPr>
            <w:r w:rsidRPr="00455F25">
              <w:rPr>
                <w:rFonts w:cs="Times New Roman"/>
                <w:b/>
              </w:rPr>
              <w:t xml:space="preserve">Step 3: transformation into QALYs: </w:t>
            </w:r>
            <w:r w:rsidRPr="00455F25">
              <w:rPr>
                <w:rFonts w:cs="Times New Roman"/>
                <w:bCs w:val="0"/>
              </w:rPr>
              <w:t>As in step 2 with utility weights applied based on the progression status</w:t>
            </w:r>
          </w:p>
        </w:tc>
      </w:tr>
      <w:tr w:rsidR="00491801" w:rsidRPr="00455F25" w14:paraId="116C7027" w14:textId="77777777">
        <w:tc>
          <w:tcPr>
            <w:tcW w:w="1250" w:type="pct"/>
            <w:vAlign w:val="center"/>
          </w:tcPr>
          <w:p w14:paraId="3E90FAE6" w14:textId="77777777" w:rsidR="00491801" w:rsidRPr="00455F25" w:rsidRDefault="00491801" w:rsidP="00491801">
            <w:pPr>
              <w:pStyle w:val="TableText0"/>
              <w:rPr>
                <w:rFonts w:ascii="Times" w:hAnsi="Times"/>
              </w:rPr>
            </w:pPr>
            <w:r w:rsidRPr="00455F25">
              <w:t>Costs</w:t>
            </w:r>
          </w:p>
        </w:tc>
        <w:tc>
          <w:tcPr>
            <w:tcW w:w="1250" w:type="pct"/>
          </w:tcPr>
          <w:p w14:paraId="5AF62D95" w14:textId="2EF66F07" w:rsidR="00491801" w:rsidRPr="00455F25" w:rsidRDefault="00491801" w:rsidP="00491801">
            <w:pPr>
              <w:pStyle w:val="TableText0"/>
              <w:jc w:val="right"/>
              <w:rPr>
                <w:rFonts w:ascii="Times" w:hAnsi="Times"/>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1250" w:type="pct"/>
          </w:tcPr>
          <w:p w14:paraId="313F99C7" w14:textId="28DA586E" w:rsidR="00491801" w:rsidRPr="00455F25" w:rsidRDefault="00491801" w:rsidP="00491801">
            <w:pPr>
              <w:pStyle w:val="TableText0"/>
              <w:jc w:val="right"/>
              <w:rPr>
                <w:rFonts w:ascii="Times" w:hAnsi="Times"/>
              </w:rPr>
            </w:pPr>
            <w:r w:rsidRPr="00455F25">
              <w:t>$56,072</w:t>
            </w:r>
          </w:p>
        </w:tc>
        <w:tc>
          <w:tcPr>
            <w:tcW w:w="1250" w:type="pct"/>
          </w:tcPr>
          <w:p w14:paraId="6FFB294D" w14:textId="33985609" w:rsidR="00491801" w:rsidRPr="00455F25" w:rsidRDefault="00491801" w:rsidP="00491801">
            <w:pPr>
              <w:pStyle w:val="TableText0"/>
              <w:jc w:val="right"/>
              <w:rPr>
                <w:rFonts w:ascii="Times" w:hAnsi="Times"/>
              </w:rPr>
            </w:pPr>
            <w:r w:rsidRPr="00455F25">
              <w:t>$</w:t>
            </w:r>
            <w:r w:rsidR="002D5F61" w:rsidRPr="002D5F61">
              <w:rPr>
                <w:color w:val="000000"/>
                <w:shd w:val="solid" w:color="000000" w:fill="000000"/>
                <w14:textFill>
                  <w14:solidFill>
                    <w14:srgbClr w14:val="000000">
                      <w14:alpha w14:val="100000"/>
                    </w14:srgbClr>
                  </w14:solidFill>
                </w14:textFill>
              </w:rPr>
              <w:t>|</w:t>
            </w:r>
          </w:p>
        </w:tc>
      </w:tr>
      <w:tr w:rsidR="00DC2DBD" w:rsidRPr="00455F25" w14:paraId="4B2E3352" w14:textId="77777777">
        <w:tc>
          <w:tcPr>
            <w:tcW w:w="1250" w:type="pct"/>
            <w:vAlign w:val="center"/>
          </w:tcPr>
          <w:p w14:paraId="08174158" w14:textId="77777777" w:rsidR="00DC2DBD" w:rsidRPr="00455F25" w:rsidRDefault="00DC2DBD">
            <w:pPr>
              <w:pStyle w:val="TableText0"/>
              <w:rPr>
                <w:rFonts w:ascii="Times" w:hAnsi="Times"/>
              </w:rPr>
            </w:pPr>
            <w:r w:rsidRPr="00455F25">
              <w:t>QALYs</w:t>
            </w:r>
          </w:p>
        </w:tc>
        <w:tc>
          <w:tcPr>
            <w:tcW w:w="1250" w:type="pct"/>
          </w:tcPr>
          <w:p w14:paraId="7F3270C8" w14:textId="77777777" w:rsidR="00DC2DBD" w:rsidRPr="00455F25" w:rsidRDefault="00DC2DBD">
            <w:pPr>
              <w:pStyle w:val="TableText0"/>
              <w:jc w:val="right"/>
              <w:rPr>
                <w:rFonts w:ascii="Times" w:hAnsi="Times"/>
              </w:rPr>
            </w:pPr>
            <w:r w:rsidRPr="00455F25">
              <w:t>0.913</w:t>
            </w:r>
          </w:p>
        </w:tc>
        <w:tc>
          <w:tcPr>
            <w:tcW w:w="1250" w:type="pct"/>
          </w:tcPr>
          <w:p w14:paraId="4D1DA21D" w14:textId="77777777" w:rsidR="00DC2DBD" w:rsidRPr="00455F25" w:rsidRDefault="00DC2DBD">
            <w:pPr>
              <w:pStyle w:val="TableText0"/>
              <w:jc w:val="right"/>
              <w:rPr>
                <w:rFonts w:ascii="Times" w:hAnsi="Times"/>
              </w:rPr>
            </w:pPr>
            <w:r w:rsidRPr="00455F25">
              <w:t>0.558</w:t>
            </w:r>
          </w:p>
        </w:tc>
        <w:tc>
          <w:tcPr>
            <w:tcW w:w="1250" w:type="pct"/>
          </w:tcPr>
          <w:p w14:paraId="04E11D50" w14:textId="77777777" w:rsidR="00DC2DBD" w:rsidRPr="00455F25" w:rsidRDefault="00DC2DBD">
            <w:pPr>
              <w:pStyle w:val="TableText0"/>
              <w:jc w:val="right"/>
            </w:pPr>
            <w:r w:rsidRPr="00455F25">
              <w:t>0.355</w:t>
            </w:r>
          </w:p>
        </w:tc>
      </w:tr>
      <w:tr w:rsidR="00DC2DBD" w:rsidRPr="00455F25" w14:paraId="3E082A77" w14:textId="77777777">
        <w:trPr>
          <w:trHeight w:val="64"/>
        </w:trPr>
        <w:tc>
          <w:tcPr>
            <w:tcW w:w="2500" w:type="pct"/>
            <w:gridSpan w:val="2"/>
            <w:tcBorders>
              <w:bottom w:val="single" w:sz="4" w:space="0" w:color="auto"/>
            </w:tcBorders>
            <w:vAlign w:val="center"/>
          </w:tcPr>
          <w:p w14:paraId="46739F8A" w14:textId="77777777" w:rsidR="00DC2DBD" w:rsidRPr="00455F25" w:rsidRDefault="00DC2DBD">
            <w:pPr>
              <w:pStyle w:val="TableText0"/>
              <w:rPr>
                <w:rFonts w:ascii="Times" w:hAnsi="Times"/>
                <w:b/>
              </w:rPr>
            </w:pPr>
            <w:r w:rsidRPr="00455F25">
              <w:rPr>
                <w:b/>
              </w:rPr>
              <w:t>Incremental cost/extra QALY gained (respecified base case)</w:t>
            </w:r>
          </w:p>
        </w:tc>
        <w:tc>
          <w:tcPr>
            <w:tcW w:w="2500" w:type="pct"/>
            <w:gridSpan w:val="2"/>
            <w:tcBorders>
              <w:bottom w:val="single" w:sz="4" w:space="0" w:color="auto"/>
            </w:tcBorders>
            <w:vAlign w:val="center"/>
          </w:tcPr>
          <w:p w14:paraId="5CBC474D" w14:textId="04D566E0" w:rsidR="00DC2DBD" w:rsidRPr="00AC2090" w:rsidRDefault="00DC2DBD">
            <w:pPr>
              <w:pStyle w:val="TableText0"/>
              <w:jc w:val="right"/>
              <w:rPr>
                <w:b/>
                <w:bCs w:val="0"/>
              </w:rPr>
            </w:pPr>
            <w:r w:rsidRPr="00455F25">
              <w:t>$</w:t>
            </w:r>
            <w:r w:rsidR="002D5F61" w:rsidRPr="002D5F61">
              <w:rPr>
                <w:color w:val="000000"/>
                <w:shd w:val="solid" w:color="000000" w:fill="000000"/>
                <w14:textFill>
                  <w14:solidFill>
                    <w14:srgbClr w14:val="000000">
                      <w14:alpha w14:val="100000"/>
                    </w14:srgbClr>
                  </w14:solidFill>
                </w14:textFill>
              </w:rPr>
              <w:t>|</w:t>
            </w:r>
            <w:r w:rsidR="00AC2090">
              <w:t xml:space="preserve"> </w:t>
            </w:r>
            <w:r w:rsidR="00AC2090">
              <w:rPr>
                <w:vertAlign w:val="superscript"/>
              </w:rPr>
              <w:t>3</w:t>
            </w:r>
          </w:p>
        </w:tc>
      </w:tr>
    </w:tbl>
    <w:p w14:paraId="7BA176BC" w14:textId="77A58DFE" w:rsidR="005F782D" w:rsidRPr="00455F25" w:rsidRDefault="00C02DCB" w:rsidP="009B1D5D">
      <w:pPr>
        <w:pStyle w:val="TableFigureFooter"/>
        <w:jc w:val="both"/>
      </w:pPr>
      <w:r w:rsidRPr="00455F25">
        <w:t>Source: Table 3-29, p 138 of the submission. All results costs and outcomes are based on the respecified base case analysis</w:t>
      </w:r>
      <w:r w:rsidR="00D52370" w:rsidRPr="00455F25">
        <w:t xml:space="preserve">. The submission reported a base case ICER of </w:t>
      </w:r>
      <w:r w:rsidR="009B1D5D" w:rsidRPr="009B1D5D">
        <w:t>$95,000 to &lt; $115,000</w:t>
      </w:r>
      <w:r w:rsidR="00D52370" w:rsidRPr="00455F25">
        <w:t>/QALY</w:t>
      </w:r>
      <w:r w:rsidR="001B2B56" w:rsidRPr="00455F25">
        <w:t xml:space="preserve"> (see paragraph </w:t>
      </w:r>
      <w:r w:rsidR="001B2B56" w:rsidRPr="00455F25">
        <w:fldChar w:fldCharType="begin"/>
      </w:r>
      <w:r w:rsidR="001B2B56" w:rsidRPr="00455F25">
        <w:instrText xml:space="preserve"> REF _Ref193203645 \r \h </w:instrText>
      </w:r>
      <w:r w:rsidR="00455F25" w:rsidRPr="00455F25">
        <w:instrText xml:space="preserve"> \* MERGEFORMAT </w:instrText>
      </w:r>
      <w:r w:rsidR="001B2B56" w:rsidRPr="00455F25">
        <w:fldChar w:fldCharType="separate"/>
      </w:r>
      <w:r w:rsidR="00593619">
        <w:t>6.52</w:t>
      </w:r>
      <w:r w:rsidR="001B2B56" w:rsidRPr="00455F25">
        <w:fldChar w:fldCharType="end"/>
      </w:r>
      <w:r w:rsidR="001B2B56" w:rsidRPr="00455F25">
        <w:t xml:space="preserve"> regarding corrections made in respecified base case)</w:t>
      </w:r>
      <w:r w:rsidR="00D52370" w:rsidRPr="00455F25">
        <w:t>.</w:t>
      </w:r>
    </w:p>
    <w:p w14:paraId="5A51FABC" w14:textId="187A2491" w:rsidR="00DC2DBD" w:rsidRDefault="00DC2DBD" w:rsidP="009B1D5D">
      <w:pPr>
        <w:pStyle w:val="TableFigureFooter"/>
        <w:jc w:val="both"/>
      </w:pPr>
      <w:r w:rsidRPr="00455F25">
        <w:t xml:space="preserve">KM = Kaplan-Meier; LYG = Life-years gained; OS = Overall survival; PFS = Progression-Free Survival; QALY = Quality-adjusted life-years; SoC = Standard of care;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p>
    <w:p w14:paraId="220C777E" w14:textId="77777777" w:rsidR="00C452BB" w:rsidRPr="009A6D58" w:rsidRDefault="00C452BB" w:rsidP="00C452B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350D113" w14:textId="3D7D7455" w:rsidR="00C452BB" w:rsidRPr="009A6D58" w:rsidRDefault="00C452BB" w:rsidP="00C452B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54202E" w:rsidRPr="0054202E">
        <w:rPr>
          <w:rFonts w:ascii="Arial Narrow" w:hAnsi="Arial Narrow"/>
          <w:i/>
          <w:sz w:val="18"/>
          <w:szCs w:val="18"/>
        </w:rPr>
        <w:t>$135,000 to &lt; $155,000</w:t>
      </w:r>
    </w:p>
    <w:p w14:paraId="5E71977F" w14:textId="7AA3FD55" w:rsidR="00C452BB" w:rsidRPr="009A6D58" w:rsidRDefault="00C452BB" w:rsidP="00C452B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C7011" w:rsidRPr="00DC7011">
        <w:rPr>
          <w:rFonts w:ascii="Arial Narrow" w:hAnsi="Arial Narrow"/>
          <w:i/>
          <w:sz w:val="18"/>
          <w:szCs w:val="18"/>
        </w:rPr>
        <w:t>$75,000 to &lt; $95,000</w:t>
      </w:r>
    </w:p>
    <w:p w14:paraId="09E76272" w14:textId="0B17B1F2" w:rsidR="00C452BB" w:rsidRPr="00C452BB" w:rsidRDefault="00C452BB" w:rsidP="00C452B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548BD" w:rsidRPr="003548BD">
        <w:rPr>
          <w:rFonts w:ascii="Arial Narrow" w:hAnsi="Arial Narrow"/>
          <w:i/>
          <w:sz w:val="18"/>
          <w:szCs w:val="18"/>
        </w:rPr>
        <w:t>$115,000 to &lt; $135,000</w:t>
      </w:r>
    </w:p>
    <w:p w14:paraId="070E79E8" w14:textId="74C1CA5F" w:rsidR="00DC2DBD" w:rsidRPr="00455F25" w:rsidRDefault="00DC2DBD" w:rsidP="00DC2DBD">
      <w:pPr>
        <w:pStyle w:val="3-BodyText"/>
      </w:pPr>
      <w:r w:rsidRPr="00455F25">
        <w:fldChar w:fldCharType="begin"/>
      </w:r>
      <w:r w:rsidRPr="00455F25">
        <w:instrText xml:space="preserve"> REF _Ref192166020 \h </w:instrText>
      </w:r>
      <w:r w:rsidR="00455F25" w:rsidRPr="00455F25">
        <w:instrText xml:space="preserve"> \* MERGEFORMAT </w:instrText>
      </w:r>
      <w:r w:rsidRPr="00455F25">
        <w:fldChar w:fldCharType="separate"/>
      </w:r>
      <w:r w:rsidR="00593619" w:rsidRPr="00455F25">
        <w:t xml:space="preserve">Figure </w:t>
      </w:r>
      <w:r w:rsidR="00593619">
        <w:rPr>
          <w:noProof/>
        </w:rPr>
        <w:t>5</w:t>
      </w:r>
      <w:r w:rsidRPr="00455F25">
        <w:fldChar w:fldCharType="end"/>
      </w:r>
      <w:r w:rsidRPr="00455F25">
        <w:t xml:space="preserve"> depicts life years gained over the time horizon. </w:t>
      </w:r>
      <w:r w:rsidR="00536E45">
        <w:t xml:space="preserve">The evaluation </w:t>
      </w:r>
      <w:r w:rsidRPr="00455F25">
        <w:t>noted that 63% of the incremental life years in the base case occurred after the maximum trial observation period</w:t>
      </w:r>
      <w:r w:rsidR="008A7219">
        <w:t xml:space="preserve">, which </w:t>
      </w:r>
      <w:r w:rsidRPr="00455F25">
        <w:t>may be overly optimistic due to the approach used to extrapolate OS.</w:t>
      </w:r>
    </w:p>
    <w:p w14:paraId="51676B1C" w14:textId="1343AF92" w:rsidR="00DC2DBD" w:rsidRPr="00455F25" w:rsidRDefault="00DC2DBD" w:rsidP="00DC2DBD">
      <w:pPr>
        <w:pStyle w:val="Caption"/>
      </w:pPr>
      <w:bookmarkStart w:id="59" w:name="_Ref192166020"/>
      <w:r w:rsidRPr="00455F25">
        <w:lastRenderedPageBreak/>
        <w:t xml:space="preserve">Figure </w:t>
      </w:r>
      <w:r w:rsidR="008B461E">
        <w:fldChar w:fldCharType="begin"/>
      </w:r>
      <w:r w:rsidR="008B461E">
        <w:instrText xml:space="preserve"> SEQ Figure \* ARABIC </w:instrText>
      </w:r>
      <w:r w:rsidR="008B461E">
        <w:fldChar w:fldCharType="separate"/>
      </w:r>
      <w:r w:rsidR="00593619">
        <w:rPr>
          <w:noProof/>
        </w:rPr>
        <w:t>5</w:t>
      </w:r>
      <w:r w:rsidR="008B461E">
        <w:rPr>
          <w:noProof/>
        </w:rPr>
        <w:fldChar w:fldCharType="end"/>
      </w:r>
      <w:bookmarkEnd w:id="59"/>
      <w:r w:rsidRPr="00455F25">
        <w:t>: Incremental LYs (undiscounted) gained over the modelled time horizon by treatment arm.</w:t>
      </w:r>
    </w:p>
    <w:p w14:paraId="0784E2FF" w14:textId="77777777" w:rsidR="00DC2DBD" w:rsidRPr="00A5291E" w:rsidRDefault="00DC2DBD" w:rsidP="00EB566D">
      <w:pPr>
        <w:pStyle w:val="3-BodyText"/>
        <w:numPr>
          <w:ilvl w:val="0"/>
          <w:numId w:val="0"/>
        </w:numPr>
        <w:spacing w:before="0" w:after="0"/>
        <w:jc w:val="left"/>
      </w:pPr>
      <w:r w:rsidRPr="00E55A74">
        <w:rPr>
          <w:iCs/>
          <w:noProof/>
        </w:rPr>
        <w:drawing>
          <wp:inline distT="0" distB="0" distL="0" distR="0" wp14:anchorId="5E90D519" wp14:editId="5D6C4386">
            <wp:extent cx="5658928" cy="3965951"/>
            <wp:effectExtent l="0" t="0" r="0" b="0"/>
            <wp:docPr id="2059246734" name="Picture 2" descr="Incremental LYs (undiscounted) gained over the modelled time horizon by treat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46734" name="Picture 2" descr="Incremental LYs (undiscounted) gained over the modelled time horizon by treatment a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6240" cy="3971075"/>
                    </a:xfrm>
                    <a:prstGeom prst="rect">
                      <a:avLst/>
                    </a:prstGeom>
                    <a:noFill/>
                  </pic:spPr>
                </pic:pic>
              </a:graphicData>
            </a:graphic>
          </wp:inline>
        </w:drawing>
      </w:r>
    </w:p>
    <w:p w14:paraId="1005119A" w14:textId="52ED0924" w:rsidR="00DC2DBD" w:rsidRPr="00A5291E" w:rsidRDefault="00DC2DBD" w:rsidP="00EB566D">
      <w:pPr>
        <w:pStyle w:val="TableFigureFooter"/>
        <w:spacing w:after="120"/>
        <w:jc w:val="both"/>
      </w:pPr>
      <w:r w:rsidRPr="00A5291E">
        <w:t xml:space="preserve">Source: constructed during the evaluation using Attachment 14 – </w:t>
      </w:r>
      <w:r w:rsidR="00A5291E">
        <w:t>T-</w:t>
      </w:r>
      <w:proofErr w:type="spellStart"/>
      <w:r w:rsidR="00A5291E">
        <w:t>DXd</w:t>
      </w:r>
      <w:proofErr w:type="spellEnd"/>
      <w:r w:rsidRPr="00A5291E">
        <w:t xml:space="preserve"> cost-effectiveness model, included with the submission.</w:t>
      </w:r>
    </w:p>
    <w:p w14:paraId="2D8106EE" w14:textId="7B07660C" w:rsidR="00DC2DBD" w:rsidRPr="00A5291E" w:rsidRDefault="00DC2DBD" w:rsidP="00EB566D">
      <w:pPr>
        <w:pStyle w:val="TableFigureFooter"/>
        <w:spacing w:after="120"/>
        <w:jc w:val="both"/>
      </w:pPr>
      <w:r w:rsidRPr="00A5291E">
        <w:t xml:space="preserve">LYG = Life-years gained; LYs = Life-years; Max = maximum; OS = Overall survival; SoC = standard of care chemotherapies; </w:t>
      </w:r>
      <w:r w:rsidR="00A5291E">
        <w:t>T-</w:t>
      </w:r>
      <w:proofErr w:type="spellStart"/>
      <w:r w:rsidR="00A5291E">
        <w:t>DXd</w:t>
      </w:r>
      <w:proofErr w:type="spellEnd"/>
      <w:r w:rsidRPr="00A5291E">
        <w:t xml:space="preserve"> = trastuzumab </w:t>
      </w:r>
      <w:proofErr w:type="spellStart"/>
      <w:r w:rsidRPr="00A5291E">
        <w:t>deruxtecan</w:t>
      </w:r>
      <w:proofErr w:type="spellEnd"/>
    </w:p>
    <w:p w14:paraId="49F3A4F6" w14:textId="60EE800A" w:rsidR="00DC2DBD" w:rsidRPr="00455F25" w:rsidRDefault="00DC2DBD" w:rsidP="00DC2DBD">
      <w:pPr>
        <w:pStyle w:val="3-BodyText"/>
      </w:pPr>
      <w:r w:rsidRPr="00455F25">
        <w:t xml:space="preserve">The disaggregated summary for costs and health outcomes </w:t>
      </w:r>
      <w:r w:rsidR="000B5AF8">
        <w:t>is</w:t>
      </w:r>
      <w:r w:rsidR="000B5AF8" w:rsidRPr="00455F25">
        <w:t xml:space="preserve"> </w:t>
      </w:r>
      <w:r w:rsidRPr="00455F25">
        <w:t xml:space="preserve">presented in </w:t>
      </w:r>
      <w:r w:rsidRPr="00455F25">
        <w:fldChar w:fldCharType="begin"/>
      </w:r>
      <w:r w:rsidRPr="00455F25">
        <w:instrText xml:space="preserve"> REF _Ref192166283 \h </w:instrText>
      </w:r>
      <w:r w:rsidR="00455F25" w:rsidRPr="00455F25">
        <w:instrText xml:space="preserve"> \* MERGEFORMAT </w:instrText>
      </w:r>
      <w:r w:rsidRPr="00455F25">
        <w:fldChar w:fldCharType="separate"/>
      </w:r>
      <w:r w:rsidR="00593619" w:rsidRPr="00455F25">
        <w:t xml:space="preserve">Table </w:t>
      </w:r>
      <w:r w:rsidR="00593619">
        <w:rPr>
          <w:noProof/>
        </w:rPr>
        <w:t>11</w:t>
      </w:r>
      <w:r w:rsidRPr="00455F25">
        <w:fldChar w:fldCharType="end"/>
      </w:r>
      <w:r w:rsidRPr="00455F25">
        <w:t xml:space="preserve">. The largest contributor to the incremental costs for </w:t>
      </w:r>
      <w:r w:rsidR="00A5291E" w:rsidRPr="00455F25">
        <w:t>T-</w:t>
      </w:r>
      <w:proofErr w:type="spellStart"/>
      <w:r w:rsidR="00A5291E" w:rsidRPr="00455F25">
        <w:t>DXd</w:t>
      </w:r>
      <w:proofErr w:type="spellEnd"/>
      <w:r w:rsidRPr="00455F25">
        <w:t xml:space="preserve"> versus SoC were the treatment costs, with cost-offsets driven by a reduction in terminal care costs. Patients in the </w:t>
      </w:r>
      <w:r w:rsidR="00A5291E" w:rsidRPr="00455F25">
        <w:t>T-</w:t>
      </w:r>
      <w:proofErr w:type="spellStart"/>
      <w:r w:rsidR="00A5291E" w:rsidRPr="00455F25">
        <w:t>DXd</w:t>
      </w:r>
      <w:proofErr w:type="spellEnd"/>
      <w:r w:rsidRPr="00455F25">
        <w:t xml:space="preserve"> arm accrued more life years and QALYs in both the PF and PP health states. While the incremental outcome gain in the PP health state was small, due to the time horizon and parametric models used for OS extrapolation, the absolute life years gained are likely to be overestimated.</w:t>
      </w:r>
    </w:p>
    <w:p w14:paraId="230C5CAB" w14:textId="2D950EAC" w:rsidR="00DC2DBD" w:rsidRPr="00455F25" w:rsidRDefault="00DC2DBD" w:rsidP="00DC2DBD">
      <w:pPr>
        <w:pStyle w:val="Caption"/>
      </w:pPr>
      <w:bookmarkStart w:id="60" w:name="_Ref192166283"/>
      <w:r w:rsidRPr="00455F25">
        <w:lastRenderedPageBreak/>
        <w:t xml:space="preserve">Table </w:t>
      </w:r>
      <w:r w:rsidR="008B461E">
        <w:fldChar w:fldCharType="begin"/>
      </w:r>
      <w:r w:rsidR="008B461E">
        <w:instrText xml:space="preserve"> SEQ Table \* ARABIC </w:instrText>
      </w:r>
      <w:r w:rsidR="008B461E">
        <w:fldChar w:fldCharType="separate"/>
      </w:r>
      <w:r w:rsidR="00593619">
        <w:rPr>
          <w:noProof/>
        </w:rPr>
        <w:t>11</w:t>
      </w:r>
      <w:r w:rsidR="008B461E">
        <w:rPr>
          <w:noProof/>
        </w:rPr>
        <w:fldChar w:fldCharType="end"/>
      </w:r>
      <w:bookmarkEnd w:id="60"/>
      <w:r w:rsidRPr="00455F25">
        <w:t>: Disaggregated summary of cost impacts and health outcomes (discounted)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440"/>
        <w:gridCol w:w="1530"/>
        <w:gridCol w:w="1620"/>
        <w:gridCol w:w="1192"/>
      </w:tblGrid>
      <w:tr w:rsidR="00DC2DBD" w:rsidRPr="00455F25" w14:paraId="57D3BE4D" w14:textId="77777777">
        <w:trPr>
          <w:tblHeader/>
        </w:trPr>
        <w:tc>
          <w:tcPr>
            <w:tcW w:w="3235" w:type="dxa"/>
            <w:vAlign w:val="center"/>
          </w:tcPr>
          <w:p w14:paraId="2C4BC3CB" w14:textId="77777777" w:rsidR="00DC2DBD" w:rsidRPr="00455F25" w:rsidRDefault="00DC2DBD">
            <w:pPr>
              <w:pStyle w:val="In-tableHeading"/>
              <w:rPr>
                <w:szCs w:val="20"/>
                <w:lang w:val="en-AU"/>
              </w:rPr>
            </w:pPr>
            <w:r w:rsidRPr="00455F25">
              <w:rPr>
                <w:szCs w:val="20"/>
                <w:lang w:val="en-AU"/>
              </w:rPr>
              <w:t>Resource item</w:t>
            </w:r>
          </w:p>
        </w:tc>
        <w:tc>
          <w:tcPr>
            <w:tcW w:w="1440" w:type="dxa"/>
            <w:vAlign w:val="center"/>
          </w:tcPr>
          <w:p w14:paraId="71A31B02" w14:textId="1094F8F8" w:rsidR="00DC2DBD" w:rsidRPr="00455F25" w:rsidRDefault="00A5291E">
            <w:pPr>
              <w:pStyle w:val="In-tableHeading"/>
              <w:rPr>
                <w:szCs w:val="20"/>
                <w:lang w:val="en-AU"/>
              </w:rPr>
            </w:pPr>
            <w:r w:rsidRPr="00455F25">
              <w:rPr>
                <w:szCs w:val="20"/>
                <w:lang w:val="en-AU"/>
              </w:rPr>
              <w:t>T-</w:t>
            </w:r>
            <w:proofErr w:type="spellStart"/>
            <w:r w:rsidRPr="00455F25">
              <w:rPr>
                <w:szCs w:val="20"/>
                <w:lang w:val="en-AU"/>
              </w:rPr>
              <w:t>DXd</w:t>
            </w:r>
            <w:proofErr w:type="spellEnd"/>
          </w:p>
        </w:tc>
        <w:tc>
          <w:tcPr>
            <w:tcW w:w="1530" w:type="dxa"/>
            <w:vAlign w:val="center"/>
          </w:tcPr>
          <w:p w14:paraId="19501AE2" w14:textId="77777777" w:rsidR="00DC2DBD" w:rsidRPr="00455F25" w:rsidRDefault="00DC2DBD">
            <w:pPr>
              <w:pStyle w:val="In-tableHeading"/>
              <w:rPr>
                <w:szCs w:val="20"/>
                <w:lang w:val="en-AU"/>
              </w:rPr>
            </w:pPr>
            <w:r w:rsidRPr="00455F25">
              <w:rPr>
                <w:szCs w:val="20"/>
                <w:lang w:val="en-AU"/>
              </w:rPr>
              <w:t>SoC</w:t>
            </w:r>
          </w:p>
        </w:tc>
        <w:tc>
          <w:tcPr>
            <w:tcW w:w="1620" w:type="dxa"/>
            <w:vAlign w:val="center"/>
          </w:tcPr>
          <w:p w14:paraId="31240D05" w14:textId="77777777" w:rsidR="00DC2DBD" w:rsidRPr="00455F25" w:rsidRDefault="00DC2DBD">
            <w:pPr>
              <w:pStyle w:val="In-tableHeading"/>
              <w:rPr>
                <w:szCs w:val="20"/>
                <w:lang w:val="en-AU"/>
              </w:rPr>
            </w:pPr>
            <w:r w:rsidRPr="00455F25">
              <w:rPr>
                <w:szCs w:val="20"/>
                <w:lang w:val="en-AU"/>
              </w:rPr>
              <w:t>Increment</w:t>
            </w:r>
          </w:p>
        </w:tc>
        <w:tc>
          <w:tcPr>
            <w:tcW w:w="1192" w:type="dxa"/>
            <w:vAlign w:val="center"/>
          </w:tcPr>
          <w:p w14:paraId="4F144624" w14:textId="77777777" w:rsidR="00DC2DBD" w:rsidRPr="00455F25" w:rsidRDefault="00DC2DBD">
            <w:pPr>
              <w:pStyle w:val="In-tableHeading"/>
              <w:rPr>
                <w:szCs w:val="20"/>
                <w:lang w:val="en-AU"/>
              </w:rPr>
            </w:pPr>
            <w:r w:rsidRPr="00455F25">
              <w:rPr>
                <w:szCs w:val="20"/>
                <w:lang w:val="en-AU"/>
              </w:rPr>
              <w:t>% of total increment</w:t>
            </w:r>
          </w:p>
        </w:tc>
      </w:tr>
      <w:tr w:rsidR="00DC2DBD" w:rsidRPr="00455F25" w14:paraId="1BD5C706" w14:textId="77777777">
        <w:tc>
          <w:tcPr>
            <w:tcW w:w="9017" w:type="dxa"/>
            <w:gridSpan w:val="5"/>
            <w:vAlign w:val="center"/>
          </w:tcPr>
          <w:p w14:paraId="71386709" w14:textId="77777777" w:rsidR="00DC2DBD" w:rsidRPr="00455F25" w:rsidRDefault="00DC2DBD">
            <w:pPr>
              <w:pStyle w:val="TableText0"/>
              <w:rPr>
                <w:b/>
                <w:bCs w:val="0"/>
                <w:szCs w:val="20"/>
              </w:rPr>
            </w:pPr>
            <w:r w:rsidRPr="00455F25">
              <w:rPr>
                <w:b/>
                <w:bCs w:val="0"/>
                <w:szCs w:val="20"/>
              </w:rPr>
              <w:t>Costs</w:t>
            </w:r>
          </w:p>
        </w:tc>
      </w:tr>
      <w:tr w:rsidR="00DC2DBD" w:rsidRPr="00455F25" w14:paraId="335A5039" w14:textId="77777777">
        <w:tc>
          <w:tcPr>
            <w:tcW w:w="3235" w:type="dxa"/>
            <w:vAlign w:val="center"/>
          </w:tcPr>
          <w:p w14:paraId="7340E34E" w14:textId="77777777" w:rsidR="00DC2DBD" w:rsidRPr="00455F25" w:rsidRDefault="00DC2DBD">
            <w:pPr>
              <w:pStyle w:val="TableText0"/>
              <w:rPr>
                <w:szCs w:val="20"/>
              </w:rPr>
            </w:pPr>
            <w:r w:rsidRPr="00455F25">
              <w:rPr>
                <w:szCs w:val="20"/>
              </w:rPr>
              <w:t>HER2 test costs</w:t>
            </w:r>
          </w:p>
        </w:tc>
        <w:tc>
          <w:tcPr>
            <w:tcW w:w="1440" w:type="dxa"/>
          </w:tcPr>
          <w:p w14:paraId="1B5D1509" w14:textId="77777777" w:rsidR="00DC2DBD" w:rsidRPr="00455F25" w:rsidRDefault="00DC2DBD">
            <w:pPr>
              <w:pStyle w:val="TableText0"/>
              <w:jc w:val="right"/>
              <w:rPr>
                <w:szCs w:val="20"/>
              </w:rPr>
            </w:pPr>
            <w:r w:rsidRPr="00455F25">
              <w:t>$94.23</w:t>
            </w:r>
          </w:p>
        </w:tc>
        <w:tc>
          <w:tcPr>
            <w:tcW w:w="1530" w:type="dxa"/>
          </w:tcPr>
          <w:p w14:paraId="5CFCAABF" w14:textId="77777777" w:rsidR="00DC2DBD" w:rsidRPr="00455F25" w:rsidRDefault="00DC2DBD">
            <w:pPr>
              <w:pStyle w:val="TableText0"/>
              <w:jc w:val="right"/>
              <w:rPr>
                <w:szCs w:val="20"/>
              </w:rPr>
            </w:pPr>
            <w:r w:rsidRPr="00455F25">
              <w:t>$0.00</w:t>
            </w:r>
          </w:p>
        </w:tc>
        <w:tc>
          <w:tcPr>
            <w:tcW w:w="1620" w:type="dxa"/>
          </w:tcPr>
          <w:p w14:paraId="642F4F3B" w14:textId="77777777" w:rsidR="00DC2DBD" w:rsidRPr="00455F25" w:rsidRDefault="00DC2DBD">
            <w:pPr>
              <w:pStyle w:val="TableText0"/>
              <w:jc w:val="right"/>
              <w:rPr>
                <w:szCs w:val="20"/>
              </w:rPr>
            </w:pPr>
            <w:r w:rsidRPr="00455F25">
              <w:t>$94.23</w:t>
            </w:r>
          </w:p>
        </w:tc>
        <w:tc>
          <w:tcPr>
            <w:tcW w:w="1192" w:type="dxa"/>
          </w:tcPr>
          <w:p w14:paraId="05FF6F37" w14:textId="768086ED" w:rsidR="00DC2DBD" w:rsidRPr="00455F25" w:rsidRDefault="002D5F61">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00DC2DBD" w:rsidRPr="00455F25">
              <w:t>%</w:t>
            </w:r>
          </w:p>
        </w:tc>
      </w:tr>
      <w:tr w:rsidR="00DC2DBD" w:rsidRPr="00455F25" w14:paraId="4FC59FEC" w14:textId="77777777">
        <w:tc>
          <w:tcPr>
            <w:tcW w:w="3235" w:type="dxa"/>
            <w:vAlign w:val="center"/>
          </w:tcPr>
          <w:p w14:paraId="2AC459E0" w14:textId="77777777" w:rsidR="00DC2DBD" w:rsidRPr="00455F25" w:rsidRDefault="00DC2DBD">
            <w:pPr>
              <w:pStyle w:val="TableText0"/>
              <w:rPr>
                <w:szCs w:val="20"/>
              </w:rPr>
            </w:pPr>
            <w:r w:rsidRPr="00455F25">
              <w:rPr>
                <w:szCs w:val="20"/>
              </w:rPr>
              <w:t>Drug costs</w:t>
            </w:r>
          </w:p>
        </w:tc>
        <w:tc>
          <w:tcPr>
            <w:tcW w:w="1440" w:type="dxa"/>
          </w:tcPr>
          <w:p w14:paraId="49B89E92" w14:textId="4572E41D" w:rsidR="00DC2DBD" w:rsidRPr="00455F25" w:rsidRDefault="00DC2DBD">
            <w:pPr>
              <w:pStyle w:val="TableText0"/>
              <w:jc w:val="right"/>
              <w:rPr>
                <w:szCs w:val="20"/>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1530" w:type="dxa"/>
          </w:tcPr>
          <w:p w14:paraId="4AA829B8" w14:textId="77777777" w:rsidR="00DC2DBD" w:rsidRPr="00455F25" w:rsidRDefault="00DC2DBD">
            <w:pPr>
              <w:pStyle w:val="TableText0"/>
              <w:jc w:val="right"/>
              <w:rPr>
                <w:szCs w:val="20"/>
              </w:rPr>
            </w:pPr>
            <w:r w:rsidRPr="00455F25">
              <w:t>$1,582.61</w:t>
            </w:r>
          </w:p>
        </w:tc>
        <w:tc>
          <w:tcPr>
            <w:tcW w:w="1620" w:type="dxa"/>
          </w:tcPr>
          <w:p w14:paraId="30555A27" w14:textId="07A8BC34" w:rsidR="00DC2DBD" w:rsidRPr="00455F25" w:rsidRDefault="00DC2DBD">
            <w:pPr>
              <w:pStyle w:val="TableText0"/>
              <w:jc w:val="right"/>
              <w:rPr>
                <w:szCs w:val="20"/>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1192" w:type="dxa"/>
          </w:tcPr>
          <w:p w14:paraId="557049A2" w14:textId="25DF970B" w:rsidR="00DC2DBD" w:rsidRPr="00455F25" w:rsidRDefault="002D5F61">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00DC2DBD" w:rsidRPr="00455F25">
              <w:t>%</w:t>
            </w:r>
          </w:p>
        </w:tc>
      </w:tr>
      <w:tr w:rsidR="00DC2DBD" w:rsidRPr="00455F25" w14:paraId="28773AB7" w14:textId="77777777">
        <w:tc>
          <w:tcPr>
            <w:tcW w:w="3235" w:type="dxa"/>
            <w:vAlign w:val="center"/>
          </w:tcPr>
          <w:p w14:paraId="6B94F2EE" w14:textId="77777777" w:rsidR="00DC2DBD" w:rsidRPr="00455F25" w:rsidRDefault="00DC2DBD">
            <w:pPr>
              <w:pStyle w:val="TableText0"/>
              <w:rPr>
                <w:szCs w:val="20"/>
              </w:rPr>
            </w:pPr>
            <w:r w:rsidRPr="00455F25">
              <w:rPr>
                <w:szCs w:val="20"/>
              </w:rPr>
              <w:t>Administration of infusion</w:t>
            </w:r>
          </w:p>
        </w:tc>
        <w:tc>
          <w:tcPr>
            <w:tcW w:w="1440" w:type="dxa"/>
          </w:tcPr>
          <w:p w14:paraId="4C387844" w14:textId="77777777" w:rsidR="00DC2DBD" w:rsidRPr="00455F25" w:rsidRDefault="00DC2DBD">
            <w:pPr>
              <w:pStyle w:val="TableText0"/>
              <w:jc w:val="right"/>
              <w:rPr>
                <w:szCs w:val="20"/>
              </w:rPr>
            </w:pPr>
            <w:r w:rsidRPr="00455F25">
              <w:t>$1,271.99</w:t>
            </w:r>
          </w:p>
        </w:tc>
        <w:tc>
          <w:tcPr>
            <w:tcW w:w="1530" w:type="dxa"/>
          </w:tcPr>
          <w:p w14:paraId="2D6AA072" w14:textId="77777777" w:rsidR="00DC2DBD" w:rsidRPr="00455F25" w:rsidRDefault="00DC2DBD">
            <w:pPr>
              <w:pStyle w:val="TableText0"/>
              <w:jc w:val="right"/>
              <w:rPr>
                <w:szCs w:val="20"/>
              </w:rPr>
            </w:pPr>
            <w:r w:rsidRPr="00455F25">
              <w:t>$1,266.20</w:t>
            </w:r>
          </w:p>
        </w:tc>
        <w:tc>
          <w:tcPr>
            <w:tcW w:w="1620" w:type="dxa"/>
          </w:tcPr>
          <w:p w14:paraId="6E9A03C9" w14:textId="77777777" w:rsidR="00DC2DBD" w:rsidRPr="00455F25" w:rsidRDefault="00DC2DBD">
            <w:pPr>
              <w:pStyle w:val="TableText0"/>
              <w:jc w:val="right"/>
              <w:rPr>
                <w:szCs w:val="20"/>
              </w:rPr>
            </w:pPr>
            <w:r w:rsidRPr="00455F25">
              <w:t>$5.79</w:t>
            </w:r>
          </w:p>
        </w:tc>
        <w:tc>
          <w:tcPr>
            <w:tcW w:w="1192" w:type="dxa"/>
          </w:tcPr>
          <w:p w14:paraId="25903613" w14:textId="7C85526F" w:rsidR="00DC2DBD" w:rsidRPr="00455F25" w:rsidRDefault="002D5F61">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00DC2DBD" w:rsidRPr="00455F25">
              <w:t>%</w:t>
            </w:r>
          </w:p>
        </w:tc>
      </w:tr>
      <w:tr w:rsidR="00DC2DBD" w:rsidRPr="00455F25" w14:paraId="2DBBFF49" w14:textId="77777777">
        <w:tc>
          <w:tcPr>
            <w:tcW w:w="3235" w:type="dxa"/>
            <w:vAlign w:val="center"/>
          </w:tcPr>
          <w:p w14:paraId="011440B9" w14:textId="77777777" w:rsidR="00DC2DBD" w:rsidRPr="00455F25" w:rsidRDefault="00DC2DBD">
            <w:pPr>
              <w:pStyle w:val="TableText0"/>
              <w:rPr>
                <w:szCs w:val="20"/>
              </w:rPr>
            </w:pPr>
            <w:r w:rsidRPr="00455F25">
              <w:rPr>
                <w:szCs w:val="20"/>
              </w:rPr>
              <w:t xml:space="preserve">Subsequent treatment with administration cost </w:t>
            </w:r>
          </w:p>
        </w:tc>
        <w:tc>
          <w:tcPr>
            <w:tcW w:w="1440" w:type="dxa"/>
          </w:tcPr>
          <w:p w14:paraId="01039C34" w14:textId="77777777" w:rsidR="00DC2DBD" w:rsidRPr="00455F25" w:rsidRDefault="00DC2DBD">
            <w:pPr>
              <w:pStyle w:val="TableText0"/>
              <w:jc w:val="right"/>
              <w:rPr>
                <w:szCs w:val="20"/>
              </w:rPr>
            </w:pPr>
            <w:r w:rsidRPr="00455F25">
              <w:t>$754.52</w:t>
            </w:r>
          </w:p>
        </w:tc>
        <w:tc>
          <w:tcPr>
            <w:tcW w:w="1530" w:type="dxa"/>
          </w:tcPr>
          <w:p w14:paraId="028C23B4" w14:textId="77777777" w:rsidR="00DC2DBD" w:rsidRPr="00455F25" w:rsidRDefault="00DC2DBD">
            <w:pPr>
              <w:pStyle w:val="TableText0"/>
              <w:jc w:val="right"/>
              <w:rPr>
                <w:szCs w:val="20"/>
              </w:rPr>
            </w:pPr>
            <w:r w:rsidRPr="00455F25">
              <w:t>$760.99</w:t>
            </w:r>
          </w:p>
        </w:tc>
        <w:tc>
          <w:tcPr>
            <w:tcW w:w="1620" w:type="dxa"/>
          </w:tcPr>
          <w:p w14:paraId="554260D4" w14:textId="77777777" w:rsidR="00DC2DBD" w:rsidRPr="00455F25" w:rsidRDefault="00DC2DBD">
            <w:pPr>
              <w:pStyle w:val="TableText0"/>
              <w:jc w:val="right"/>
              <w:rPr>
                <w:szCs w:val="20"/>
              </w:rPr>
            </w:pPr>
            <w:r w:rsidRPr="00455F25">
              <w:t>-$6.47</w:t>
            </w:r>
          </w:p>
        </w:tc>
        <w:tc>
          <w:tcPr>
            <w:tcW w:w="1192" w:type="dxa"/>
          </w:tcPr>
          <w:p w14:paraId="6E898B90" w14:textId="217F0131" w:rsidR="00DC2DBD" w:rsidRPr="00455F25" w:rsidRDefault="002D5F61">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00DC2DBD" w:rsidRPr="00455F25">
              <w:t>%</w:t>
            </w:r>
          </w:p>
        </w:tc>
      </w:tr>
      <w:tr w:rsidR="00DC2DBD" w:rsidRPr="00455F25" w14:paraId="2D6A333B" w14:textId="77777777">
        <w:tc>
          <w:tcPr>
            <w:tcW w:w="3235" w:type="dxa"/>
            <w:vAlign w:val="center"/>
          </w:tcPr>
          <w:p w14:paraId="203D639F" w14:textId="77777777" w:rsidR="00DC2DBD" w:rsidRPr="00455F25" w:rsidRDefault="00DC2DBD">
            <w:pPr>
              <w:pStyle w:val="TableText0"/>
              <w:rPr>
                <w:szCs w:val="20"/>
              </w:rPr>
            </w:pPr>
            <w:r w:rsidRPr="00455F25">
              <w:rPr>
                <w:szCs w:val="20"/>
              </w:rPr>
              <w:t>Disease management</w:t>
            </w:r>
          </w:p>
        </w:tc>
        <w:tc>
          <w:tcPr>
            <w:tcW w:w="1440" w:type="dxa"/>
          </w:tcPr>
          <w:p w14:paraId="6E2384E7" w14:textId="77777777" w:rsidR="00DC2DBD" w:rsidRPr="00455F25" w:rsidRDefault="00DC2DBD">
            <w:pPr>
              <w:pStyle w:val="TableText0"/>
              <w:jc w:val="right"/>
              <w:rPr>
                <w:szCs w:val="20"/>
              </w:rPr>
            </w:pPr>
            <w:r w:rsidRPr="00455F25">
              <w:t>$3,924.29</w:t>
            </w:r>
          </w:p>
        </w:tc>
        <w:tc>
          <w:tcPr>
            <w:tcW w:w="1530" w:type="dxa"/>
          </w:tcPr>
          <w:p w14:paraId="63AE9052" w14:textId="77777777" w:rsidR="00DC2DBD" w:rsidRPr="00455F25" w:rsidRDefault="00DC2DBD">
            <w:pPr>
              <w:pStyle w:val="TableText0"/>
              <w:jc w:val="right"/>
              <w:rPr>
                <w:szCs w:val="20"/>
              </w:rPr>
            </w:pPr>
            <w:r w:rsidRPr="00455F25">
              <w:t>$1,960.31</w:t>
            </w:r>
          </w:p>
        </w:tc>
        <w:tc>
          <w:tcPr>
            <w:tcW w:w="1620" w:type="dxa"/>
          </w:tcPr>
          <w:p w14:paraId="3AE3841D" w14:textId="77777777" w:rsidR="00DC2DBD" w:rsidRPr="00455F25" w:rsidRDefault="00DC2DBD">
            <w:pPr>
              <w:pStyle w:val="TableText0"/>
              <w:jc w:val="right"/>
              <w:rPr>
                <w:szCs w:val="20"/>
              </w:rPr>
            </w:pPr>
            <w:r w:rsidRPr="00455F25">
              <w:t>$1,963.99</w:t>
            </w:r>
          </w:p>
        </w:tc>
        <w:tc>
          <w:tcPr>
            <w:tcW w:w="1192" w:type="dxa"/>
          </w:tcPr>
          <w:p w14:paraId="45501CB5" w14:textId="07FFF97B" w:rsidR="00DC2DBD" w:rsidRPr="00455F25" w:rsidRDefault="002D5F61">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00DC2DBD" w:rsidRPr="00455F25">
              <w:t>%</w:t>
            </w:r>
          </w:p>
        </w:tc>
      </w:tr>
      <w:tr w:rsidR="00DC2DBD" w:rsidRPr="00455F25" w14:paraId="0274D034" w14:textId="77777777">
        <w:tc>
          <w:tcPr>
            <w:tcW w:w="3235" w:type="dxa"/>
            <w:vAlign w:val="center"/>
          </w:tcPr>
          <w:p w14:paraId="5E3C325A" w14:textId="77777777" w:rsidR="00DC2DBD" w:rsidRPr="00455F25" w:rsidRDefault="00DC2DBD">
            <w:pPr>
              <w:pStyle w:val="TableText0"/>
              <w:rPr>
                <w:szCs w:val="20"/>
              </w:rPr>
            </w:pPr>
            <w:r w:rsidRPr="00455F25">
              <w:rPr>
                <w:szCs w:val="20"/>
              </w:rPr>
              <w:t>Management of AEs</w:t>
            </w:r>
          </w:p>
        </w:tc>
        <w:tc>
          <w:tcPr>
            <w:tcW w:w="1440" w:type="dxa"/>
          </w:tcPr>
          <w:p w14:paraId="46649151" w14:textId="77777777" w:rsidR="00DC2DBD" w:rsidRPr="00455F25" w:rsidRDefault="00DC2DBD">
            <w:pPr>
              <w:pStyle w:val="TableText0"/>
              <w:jc w:val="right"/>
              <w:rPr>
                <w:szCs w:val="20"/>
              </w:rPr>
            </w:pPr>
            <w:r w:rsidRPr="00455F25">
              <w:t>$1,035.99</w:t>
            </w:r>
          </w:p>
        </w:tc>
        <w:tc>
          <w:tcPr>
            <w:tcW w:w="1530" w:type="dxa"/>
          </w:tcPr>
          <w:p w14:paraId="1B27BC7A" w14:textId="77777777" w:rsidR="00DC2DBD" w:rsidRPr="00455F25" w:rsidRDefault="00DC2DBD">
            <w:pPr>
              <w:pStyle w:val="TableText0"/>
              <w:jc w:val="right"/>
              <w:rPr>
                <w:szCs w:val="20"/>
              </w:rPr>
            </w:pPr>
            <w:r w:rsidRPr="00455F25">
              <w:t>$414.53</w:t>
            </w:r>
          </w:p>
        </w:tc>
        <w:tc>
          <w:tcPr>
            <w:tcW w:w="1620" w:type="dxa"/>
          </w:tcPr>
          <w:p w14:paraId="5E7644F2" w14:textId="77777777" w:rsidR="00DC2DBD" w:rsidRPr="00455F25" w:rsidRDefault="00DC2DBD">
            <w:pPr>
              <w:pStyle w:val="TableText0"/>
              <w:jc w:val="right"/>
              <w:rPr>
                <w:szCs w:val="20"/>
              </w:rPr>
            </w:pPr>
            <w:r w:rsidRPr="00455F25">
              <w:t>$621.46</w:t>
            </w:r>
          </w:p>
        </w:tc>
        <w:tc>
          <w:tcPr>
            <w:tcW w:w="1192" w:type="dxa"/>
          </w:tcPr>
          <w:p w14:paraId="7A3FF3B1" w14:textId="60C31AE0" w:rsidR="00DC2DBD" w:rsidRPr="00455F25" w:rsidRDefault="002D5F61">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00DC2DBD" w:rsidRPr="00455F25">
              <w:t>%</w:t>
            </w:r>
          </w:p>
        </w:tc>
      </w:tr>
      <w:tr w:rsidR="00DC2DBD" w:rsidRPr="00455F25" w14:paraId="6C11406D" w14:textId="77777777">
        <w:tc>
          <w:tcPr>
            <w:tcW w:w="3235" w:type="dxa"/>
            <w:vAlign w:val="center"/>
          </w:tcPr>
          <w:p w14:paraId="56641AF4" w14:textId="77777777" w:rsidR="00DC2DBD" w:rsidRPr="00455F25" w:rsidRDefault="00DC2DBD">
            <w:pPr>
              <w:pStyle w:val="TableText0"/>
              <w:rPr>
                <w:szCs w:val="20"/>
              </w:rPr>
            </w:pPr>
            <w:r w:rsidRPr="00455F25">
              <w:rPr>
                <w:szCs w:val="20"/>
              </w:rPr>
              <w:t xml:space="preserve">Terminal care </w:t>
            </w:r>
          </w:p>
        </w:tc>
        <w:tc>
          <w:tcPr>
            <w:tcW w:w="1440" w:type="dxa"/>
          </w:tcPr>
          <w:p w14:paraId="596AE818" w14:textId="77777777" w:rsidR="00DC2DBD" w:rsidRPr="00455F25" w:rsidRDefault="00DC2DBD">
            <w:pPr>
              <w:pStyle w:val="TableText0"/>
              <w:jc w:val="right"/>
              <w:rPr>
                <w:szCs w:val="20"/>
              </w:rPr>
            </w:pPr>
            <w:r w:rsidRPr="00455F25">
              <w:t>$48,247.03</w:t>
            </w:r>
          </w:p>
        </w:tc>
        <w:tc>
          <w:tcPr>
            <w:tcW w:w="1530" w:type="dxa"/>
          </w:tcPr>
          <w:p w14:paraId="7556CF4F" w14:textId="77777777" w:rsidR="00DC2DBD" w:rsidRPr="00455F25" w:rsidRDefault="00DC2DBD">
            <w:pPr>
              <w:pStyle w:val="TableText0"/>
              <w:jc w:val="right"/>
              <w:rPr>
                <w:szCs w:val="20"/>
              </w:rPr>
            </w:pPr>
            <w:r w:rsidRPr="00455F25">
              <w:t>$50,087.35</w:t>
            </w:r>
          </w:p>
        </w:tc>
        <w:tc>
          <w:tcPr>
            <w:tcW w:w="1620" w:type="dxa"/>
          </w:tcPr>
          <w:p w14:paraId="1E5C0DCD" w14:textId="77777777" w:rsidR="00DC2DBD" w:rsidRPr="00455F25" w:rsidRDefault="00DC2DBD">
            <w:pPr>
              <w:pStyle w:val="TableText0"/>
              <w:jc w:val="right"/>
              <w:rPr>
                <w:szCs w:val="20"/>
              </w:rPr>
            </w:pPr>
            <w:r w:rsidRPr="00455F25">
              <w:t>-$1,840.31</w:t>
            </w:r>
          </w:p>
        </w:tc>
        <w:tc>
          <w:tcPr>
            <w:tcW w:w="1192" w:type="dxa"/>
          </w:tcPr>
          <w:p w14:paraId="4C8A2DF0" w14:textId="32E3D2B2" w:rsidR="00DC2DBD" w:rsidRPr="00455F25" w:rsidRDefault="00DC2DBD">
            <w:pPr>
              <w:pStyle w:val="TableText0"/>
              <w:jc w:val="right"/>
              <w:rPr>
                <w:szCs w:val="20"/>
              </w:rPr>
            </w:pPr>
            <w:r w:rsidRPr="00455F25">
              <w:t>–</w:t>
            </w:r>
            <w:r w:rsidR="002D5F61" w:rsidRPr="00593619">
              <w:rPr>
                <w:rFonts w:hint="eastAsia"/>
                <w:color w:val="000000"/>
                <w:w w:val="15"/>
                <w:shd w:val="solid" w:color="000000" w:fill="000000"/>
                <w:fitText w:val="21" w:id="-663002103"/>
                <w14:textFill>
                  <w14:solidFill>
                    <w14:srgbClr w14:val="000000">
                      <w14:alpha w14:val="100000"/>
                    </w14:srgbClr>
                  </w14:solidFill>
                </w14:textFill>
              </w:rPr>
              <w:t xml:space="preserve">　</w:t>
            </w:r>
            <w:r w:rsidR="002D5F61" w:rsidRPr="00593619">
              <w:rPr>
                <w:color w:val="000000"/>
                <w:w w:val="15"/>
                <w:shd w:val="solid" w:color="000000" w:fill="000000"/>
                <w:fitText w:val="21" w:id="-663002103"/>
                <w14:textFill>
                  <w14:solidFill>
                    <w14:srgbClr w14:val="000000">
                      <w14:alpha w14:val="100000"/>
                    </w14:srgbClr>
                  </w14:solidFill>
                </w14:textFill>
              </w:rPr>
              <w:t>|</w:t>
            </w:r>
            <w:r w:rsidR="002D5F61" w:rsidRPr="00593619">
              <w:rPr>
                <w:rFonts w:hint="eastAsia"/>
                <w:color w:val="000000"/>
                <w:spacing w:val="-44"/>
                <w:w w:val="15"/>
                <w:shd w:val="solid" w:color="000000" w:fill="000000"/>
                <w:fitText w:val="21" w:id="-663002103"/>
                <w14:textFill>
                  <w14:solidFill>
                    <w14:srgbClr w14:val="000000">
                      <w14:alpha w14:val="100000"/>
                    </w14:srgbClr>
                  </w14:solidFill>
                </w14:textFill>
              </w:rPr>
              <w:t xml:space="preserve">　</w:t>
            </w:r>
            <w:r w:rsidRPr="00455F25">
              <w:t>%</w:t>
            </w:r>
          </w:p>
        </w:tc>
      </w:tr>
      <w:tr w:rsidR="00DC2DBD" w:rsidRPr="00455F25" w14:paraId="607268AF" w14:textId="77777777">
        <w:tc>
          <w:tcPr>
            <w:tcW w:w="3235" w:type="dxa"/>
            <w:vAlign w:val="center"/>
          </w:tcPr>
          <w:p w14:paraId="6CE1998B" w14:textId="77777777" w:rsidR="00DC2DBD" w:rsidRPr="00455F25" w:rsidRDefault="00DC2DBD">
            <w:pPr>
              <w:pStyle w:val="TableText0"/>
              <w:rPr>
                <w:b/>
                <w:bCs w:val="0"/>
                <w:szCs w:val="20"/>
              </w:rPr>
            </w:pPr>
            <w:r w:rsidRPr="00455F25">
              <w:rPr>
                <w:b/>
                <w:bCs w:val="0"/>
                <w:szCs w:val="20"/>
              </w:rPr>
              <w:t>Total cost</w:t>
            </w:r>
          </w:p>
        </w:tc>
        <w:tc>
          <w:tcPr>
            <w:tcW w:w="1440" w:type="dxa"/>
          </w:tcPr>
          <w:p w14:paraId="25CC64C1" w14:textId="5DE40DD3" w:rsidR="00DC2DBD" w:rsidRPr="00455F25" w:rsidRDefault="00DC2DBD">
            <w:pPr>
              <w:pStyle w:val="TableText0"/>
              <w:jc w:val="right"/>
              <w:rPr>
                <w:b/>
                <w:bCs w:val="0"/>
                <w:szCs w:val="20"/>
              </w:rPr>
            </w:pPr>
            <w:r w:rsidRPr="00455F25">
              <w:rPr>
                <w:b/>
                <w:bCs w:val="0"/>
              </w:rPr>
              <w:t>$</w:t>
            </w:r>
            <w:r w:rsidR="002D5F61" w:rsidRPr="002D5F61">
              <w:rPr>
                <w:b/>
                <w:bCs w:val="0"/>
                <w:color w:val="000000"/>
                <w:shd w:val="solid" w:color="000000" w:fill="000000"/>
                <w14:textFill>
                  <w14:solidFill>
                    <w14:srgbClr w14:val="000000">
                      <w14:alpha w14:val="100000"/>
                    </w14:srgbClr>
                  </w14:solidFill>
                </w14:textFill>
              </w:rPr>
              <w:t>|</w:t>
            </w:r>
          </w:p>
        </w:tc>
        <w:tc>
          <w:tcPr>
            <w:tcW w:w="1530" w:type="dxa"/>
          </w:tcPr>
          <w:p w14:paraId="2D421250" w14:textId="0422C0F6" w:rsidR="00DC2DBD" w:rsidRPr="00455F25" w:rsidRDefault="00DC2DBD">
            <w:pPr>
              <w:pStyle w:val="TableText0"/>
              <w:jc w:val="right"/>
              <w:rPr>
                <w:b/>
                <w:bCs w:val="0"/>
                <w:szCs w:val="20"/>
              </w:rPr>
            </w:pPr>
            <w:r w:rsidRPr="00455F25">
              <w:rPr>
                <w:b/>
                <w:bCs w:val="0"/>
              </w:rPr>
              <w:t>$56,071.9</w:t>
            </w:r>
            <w:r w:rsidR="00F4377A" w:rsidRPr="00455F25">
              <w:rPr>
                <w:b/>
                <w:bCs w:val="0"/>
              </w:rPr>
              <w:t>9</w:t>
            </w:r>
          </w:p>
        </w:tc>
        <w:tc>
          <w:tcPr>
            <w:tcW w:w="1620" w:type="dxa"/>
          </w:tcPr>
          <w:p w14:paraId="5AC54481" w14:textId="7FA2EB7B" w:rsidR="00DC2DBD" w:rsidRPr="00455F25" w:rsidRDefault="00DC2DBD">
            <w:pPr>
              <w:pStyle w:val="TableText0"/>
              <w:jc w:val="right"/>
              <w:rPr>
                <w:b/>
                <w:bCs w:val="0"/>
                <w:szCs w:val="20"/>
              </w:rPr>
            </w:pPr>
            <w:r w:rsidRPr="00455F25">
              <w:rPr>
                <w:b/>
                <w:bCs w:val="0"/>
              </w:rPr>
              <w:t>$</w:t>
            </w:r>
            <w:r w:rsidR="002D5F61" w:rsidRPr="002D5F61">
              <w:rPr>
                <w:b/>
                <w:bCs w:val="0"/>
                <w:color w:val="000000"/>
                <w:shd w:val="solid" w:color="000000" w:fill="000000"/>
                <w14:textFill>
                  <w14:solidFill>
                    <w14:srgbClr w14:val="000000">
                      <w14:alpha w14:val="100000"/>
                    </w14:srgbClr>
                  </w14:solidFill>
                </w14:textFill>
              </w:rPr>
              <w:t>|</w:t>
            </w:r>
          </w:p>
        </w:tc>
        <w:tc>
          <w:tcPr>
            <w:tcW w:w="1192" w:type="dxa"/>
          </w:tcPr>
          <w:p w14:paraId="5CE1E09A" w14:textId="77777777" w:rsidR="00DC2DBD" w:rsidRPr="00455F25" w:rsidRDefault="00DC2DBD">
            <w:pPr>
              <w:pStyle w:val="TableText0"/>
              <w:jc w:val="right"/>
              <w:rPr>
                <w:b/>
                <w:bCs w:val="0"/>
                <w:szCs w:val="20"/>
              </w:rPr>
            </w:pPr>
          </w:p>
        </w:tc>
      </w:tr>
      <w:tr w:rsidR="00DC2DBD" w:rsidRPr="00455F25" w14:paraId="0DB68371" w14:textId="77777777">
        <w:tc>
          <w:tcPr>
            <w:tcW w:w="9017" w:type="dxa"/>
            <w:gridSpan w:val="5"/>
            <w:vAlign w:val="center"/>
          </w:tcPr>
          <w:p w14:paraId="2026DB44" w14:textId="77777777" w:rsidR="00DC2DBD" w:rsidRPr="00455F25" w:rsidRDefault="00DC2DBD">
            <w:pPr>
              <w:pStyle w:val="TableText0"/>
              <w:rPr>
                <w:b/>
                <w:bCs w:val="0"/>
                <w:szCs w:val="20"/>
              </w:rPr>
            </w:pPr>
            <w:r w:rsidRPr="00455F25">
              <w:rPr>
                <w:b/>
                <w:bCs w:val="0"/>
                <w:szCs w:val="20"/>
              </w:rPr>
              <w:t>Outcomes</w:t>
            </w:r>
          </w:p>
        </w:tc>
      </w:tr>
      <w:tr w:rsidR="00DC2DBD" w:rsidRPr="00455F25" w14:paraId="13B68942" w14:textId="77777777">
        <w:tc>
          <w:tcPr>
            <w:tcW w:w="3235" w:type="dxa"/>
            <w:vAlign w:val="center"/>
          </w:tcPr>
          <w:p w14:paraId="2DDD4152" w14:textId="77777777" w:rsidR="00DC2DBD" w:rsidRPr="00455F25" w:rsidRDefault="00DC2DBD">
            <w:pPr>
              <w:pStyle w:val="TableText0"/>
              <w:rPr>
                <w:szCs w:val="20"/>
              </w:rPr>
            </w:pPr>
            <w:r w:rsidRPr="00455F25">
              <w:rPr>
                <w:szCs w:val="20"/>
              </w:rPr>
              <w:t>Progression-free LYs</w:t>
            </w:r>
          </w:p>
        </w:tc>
        <w:tc>
          <w:tcPr>
            <w:tcW w:w="1440" w:type="dxa"/>
          </w:tcPr>
          <w:p w14:paraId="1C1FB444" w14:textId="77777777" w:rsidR="00DC2DBD" w:rsidRPr="00455F25" w:rsidRDefault="00DC2DBD">
            <w:pPr>
              <w:pStyle w:val="TableText0"/>
              <w:jc w:val="right"/>
              <w:rPr>
                <w:szCs w:val="20"/>
              </w:rPr>
            </w:pPr>
            <w:r w:rsidRPr="00455F25">
              <w:t>0.769</w:t>
            </w:r>
          </w:p>
        </w:tc>
        <w:tc>
          <w:tcPr>
            <w:tcW w:w="1530" w:type="dxa"/>
          </w:tcPr>
          <w:p w14:paraId="07536781" w14:textId="77777777" w:rsidR="00DC2DBD" w:rsidRPr="00455F25" w:rsidRDefault="00DC2DBD">
            <w:pPr>
              <w:pStyle w:val="TableText0"/>
              <w:jc w:val="right"/>
              <w:rPr>
                <w:szCs w:val="20"/>
              </w:rPr>
            </w:pPr>
            <w:r w:rsidRPr="00455F25">
              <w:t>0.332</w:t>
            </w:r>
          </w:p>
        </w:tc>
        <w:tc>
          <w:tcPr>
            <w:tcW w:w="1620" w:type="dxa"/>
          </w:tcPr>
          <w:p w14:paraId="25B66854" w14:textId="77777777" w:rsidR="00DC2DBD" w:rsidRPr="00455F25" w:rsidRDefault="00DC2DBD">
            <w:pPr>
              <w:pStyle w:val="TableText0"/>
              <w:jc w:val="right"/>
              <w:rPr>
                <w:szCs w:val="20"/>
              </w:rPr>
            </w:pPr>
            <w:r w:rsidRPr="00455F25">
              <w:t>0.437</w:t>
            </w:r>
          </w:p>
        </w:tc>
        <w:tc>
          <w:tcPr>
            <w:tcW w:w="1192" w:type="dxa"/>
          </w:tcPr>
          <w:p w14:paraId="61CD1549" w14:textId="77777777" w:rsidR="00DC2DBD" w:rsidRPr="00455F25" w:rsidRDefault="00DC2DBD">
            <w:pPr>
              <w:pStyle w:val="TableText0"/>
              <w:jc w:val="right"/>
              <w:rPr>
                <w:szCs w:val="20"/>
              </w:rPr>
            </w:pPr>
            <w:r w:rsidRPr="00455F25">
              <w:t>89.6%</w:t>
            </w:r>
          </w:p>
        </w:tc>
      </w:tr>
      <w:tr w:rsidR="00DC2DBD" w:rsidRPr="00455F25" w14:paraId="3C01C1DC" w14:textId="77777777">
        <w:tc>
          <w:tcPr>
            <w:tcW w:w="3235" w:type="dxa"/>
            <w:vAlign w:val="center"/>
          </w:tcPr>
          <w:p w14:paraId="5CBC667E" w14:textId="77777777" w:rsidR="00DC2DBD" w:rsidRPr="00455F25" w:rsidRDefault="00DC2DBD">
            <w:pPr>
              <w:pStyle w:val="TableText0"/>
              <w:rPr>
                <w:szCs w:val="20"/>
              </w:rPr>
            </w:pPr>
            <w:r w:rsidRPr="00455F25">
              <w:rPr>
                <w:szCs w:val="20"/>
              </w:rPr>
              <w:t>Progressed LYs</w:t>
            </w:r>
          </w:p>
        </w:tc>
        <w:tc>
          <w:tcPr>
            <w:tcW w:w="1440" w:type="dxa"/>
          </w:tcPr>
          <w:p w14:paraId="42B4CE7C" w14:textId="77777777" w:rsidR="00DC2DBD" w:rsidRPr="00455F25" w:rsidRDefault="00DC2DBD">
            <w:pPr>
              <w:pStyle w:val="TableText0"/>
              <w:jc w:val="right"/>
              <w:rPr>
                <w:szCs w:val="20"/>
              </w:rPr>
            </w:pPr>
            <w:r w:rsidRPr="00455F25">
              <w:t>0.572</w:t>
            </w:r>
          </w:p>
        </w:tc>
        <w:tc>
          <w:tcPr>
            <w:tcW w:w="1530" w:type="dxa"/>
          </w:tcPr>
          <w:p w14:paraId="2D62354D" w14:textId="77777777" w:rsidR="00DC2DBD" w:rsidRPr="00455F25" w:rsidRDefault="00DC2DBD">
            <w:pPr>
              <w:pStyle w:val="TableText0"/>
              <w:jc w:val="right"/>
              <w:rPr>
                <w:szCs w:val="20"/>
              </w:rPr>
            </w:pPr>
            <w:r w:rsidRPr="00455F25">
              <w:t>0.521</w:t>
            </w:r>
          </w:p>
        </w:tc>
        <w:tc>
          <w:tcPr>
            <w:tcW w:w="1620" w:type="dxa"/>
          </w:tcPr>
          <w:p w14:paraId="2BA3A50A" w14:textId="77777777" w:rsidR="00DC2DBD" w:rsidRPr="00455F25" w:rsidRDefault="00DC2DBD">
            <w:pPr>
              <w:pStyle w:val="TableText0"/>
              <w:jc w:val="right"/>
              <w:rPr>
                <w:szCs w:val="20"/>
              </w:rPr>
            </w:pPr>
            <w:r w:rsidRPr="00455F25">
              <w:t>0.051</w:t>
            </w:r>
          </w:p>
        </w:tc>
        <w:tc>
          <w:tcPr>
            <w:tcW w:w="1192" w:type="dxa"/>
          </w:tcPr>
          <w:p w14:paraId="3FFF30D9" w14:textId="77777777" w:rsidR="00DC2DBD" w:rsidRPr="00455F25" w:rsidRDefault="00DC2DBD">
            <w:pPr>
              <w:pStyle w:val="TableText0"/>
              <w:jc w:val="right"/>
              <w:rPr>
                <w:szCs w:val="20"/>
              </w:rPr>
            </w:pPr>
            <w:r w:rsidRPr="00455F25">
              <w:t>10.4%</w:t>
            </w:r>
          </w:p>
        </w:tc>
      </w:tr>
      <w:tr w:rsidR="00DC2DBD" w:rsidRPr="00455F25" w14:paraId="386B9CA2" w14:textId="77777777">
        <w:tc>
          <w:tcPr>
            <w:tcW w:w="3235" w:type="dxa"/>
            <w:vAlign w:val="center"/>
          </w:tcPr>
          <w:p w14:paraId="2A76E446" w14:textId="77777777" w:rsidR="00DC2DBD" w:rsidRPr="00455F25" w:rsidRDefault="00DC2DBD">
            <w:pPr>
              <w:pStyle w:val="TableText0"/>
              <w:rPr>
                <w:b/>
                <w:bCs w:val="0"/>
                <w:szCs w:val="20"/>
              </w:rPr>
            </w:pPr>
            <w:r w:rsidRPr="00455F25">
              <w:rPr>
                <w:b/>
                <w:bCs w:val="0"/>
                <w:szCs w:val="20"/>
              </w:rPr>
              <w:t>Total LYs</w:t>
            </w:r>
          </w:p>
        </w:tc>
        <w:tc>
          <w:tcPr>
            <w:tcW w:w="1440" w:type="dxa"/>
          </w:tcPr>
          <w:p w14:paraId="2E20129E" w14:textId="77777777" w:rsidR="00DC2DBD" w:rsidRPr="00455F25" w:rsidRDefault="00DC2DBD">
            <w:pPr>
              <w:pStyle w:val="TableText0"/>
              <w:jc w:val="right"/>
              <w:rPr>
                <w:b/>
                <w:bCs w:val="0"/>
                <w:szCs w:val="20"/>
              </w:rPr>
            </w:pPr>
            <w:r w:rsidRPr="00455F25">
              <w:rPr>
                <w:b/>
                <w:bCs w:val="0"/>
              </w:rPr>
              <w:t>1.341</w:t>
            </w:r>
          </w:p>
        </w:tc>
        <w:tc>
          <w:tcPr>
            <w:tcW w:w="1530" w:type="dxa"/>
          </w:tcPr>
          <w:p w14:paraId="1F77124A" w14:textId="77777777" w:rsidR="00DC2DBD" w:rsidRPr="00455F25" w:rsidRDefault="00DC2DBD">
            <w:pPr>
              <w:pStyle w:val="TableText0"/>
              <w:jc w:val="right"/>
              <w:rPr>
                <w:b/>
                <w:bCs w:val="0"/>
                <w:szCs w:val="20"/>
              </w:rPr>
            </w:pPr>
            <w:r w:rsidRPr="00455F25">
              <w:rPr>
                <w:b/>
                <w:bCs w:val="0"/>
              </w:rPr>
              <w:t>0.853</w:t>
            </w:r>
          </w:p>
        </w:tc>
        <w:tc>
          <w:tcPr>
            <w:tcW w:w="1620" w:type="dxa"/>
          </w:tcPr>
          <w:p w14:paraId="36056106" w14:textId="77777777" w:rsidR="00DC2DBD" w:rsidRPr="00455F25" w:rsidRDefault="00DC2DBD">
            <w:pPr>
              <w:pStyle w:val="TableText0"/>
              <w:jc w:val="right"/>
              <w:rPr>
                <w:b/>
                <w:bCs w:val="0"/>
                <w:szCs w:val="20"/>
              </w:rPr>
            </w:pPr>
            <w:r w:rsidRPr="00455F25">
              <w:rPr>
                <w:b/>
                <w:bCs w:val="0"/>
              </w:rPr>
              <w:t>0.488</w:t>
            </w:r>
          </w:p>
        </w:tc>
        <w:tc>
          <w:tcPr>
            <w:tcW w:w="1192" w:type="dxa"/>
          </w:tcPr>
          <w:p w14:paraId="0767E93E" w14:textId="77777777" w:rsidR="00DC2DBD" w:rsidRPr="00455F25" w:rsidRDefault="00DC2DBD">
            <w:pPr>
              <w:pStyle w:val="TableText0"/>
              <w:jc w:val="right"/>
              <w:rPr>
                <w:b/>
                <w:bCs w:val="0"/>
                <w:szCs w:val="20"/>
              </w:rPr>
            </w:pPr>
          </w:p>
        </w:tc>
      </w:tr>
      <w:tr w:rsidR="00DC2DBD" w:rsidRPr="00455F25" w14:paraId="73E2261D" w14:textId="77777777">
        <w:tc>
          <w:tcPr>
            <w:tcW w:w="3235" w:type="dxa"/>
            <w:vAlign w:val="center"/>
          </w:tcPr>
          <w:p w14:paraId="1364B3AB" w14:textId="77777777" w:rsidR="00DC2DBD" w:rsidRPr="00455F25" w:rsidRDefault="00DC2DBD">
            <w:pPr>
              <w:pStyle w:val="TableText0"/>
              <w:rPr>
                <w:szCs w:val="20"/>
              </w:rPr>
            </w:pPr>
            <w:r w:rsidRPr="00455F25">
              <w:rPr>
                <w:szCs w:val="20"/>
              </w:rPr>
              <w:t>Progression-free QALYs</w:t>
            </w:r>
          </w:p>
        </w:tc>
        <w:tc>
          <w:tcPr>
            <w:tcW w:w="1440" w:type="dxa"/>
          </w:tcPr>
          <w:p w14:paraId="194D5F2C" w14:textId="77777777" w:rsidR="00DC2DBD" w:rsidRPr="00455F25" w:rsidRDefault="00DC2DBD">
            <w:pPr>
              <w:pStyle w:val="TableText0"/>
              <w:jc w:val="right"/>
              <w:rPr>
                <w:szCs w:val="20"/>
              </w:rPr>
            </w:pPr>
            <w:r w:rsidRPr="00455F25">
              <w:t>0.574</w:t>
            </w:r>
          </w:p>
        </w:tc>
        <w:tc>
          <w:tcPr>
            <w:tcW w:w="1530" w:type="dxa"/>
          </w:tcPr>
          <w:p w14:paraId="4848C95D" w14:textId="77777777" w:rsidR="00DC2DBD" w:rsidRPr="00455F25" w:rsidRDefault="00DC2DBD">
            <w:pPr>
              <w:pStyle w:val="TableText0"/>
              <w:jc w:val="right"/>
              <w:rPr>
                <w:szCs w:val="20"/>
              </w:rPr>
            </w:pPr>
            <w:r w:rsidRPr="00455F25">
              <w:t>0.248</w:t>
            </w:r>
          </w:p>
        </w:tc>
        <w:tc>
          <w:tcPr>
            <w:tcW w:w="1620" w:type="dxa"/>
          </w:tcPr>
          <w:p w14:paraId="2B61DF56" w14:textId="77777777" w:rsidR="00DC2DBD" w:rsidRPr="00455F25" w:rsidRDefault="00DC2DBD">
            <w:pPr>
              <w:pStyle w:val="TableText0"/>
              <w:jc w:val="right"/>
              <w:rPr>
                <w:szCs w:val="20"/>
              </w:rPr>
            </w:pPr>
            <w:r w:rsidRPr="00455F25">
              <w:t>0.326</w:t>
            </w:r>
          </w:p>
        </w:tc>
        <w:tc>
          <w:tcPr>
            <w:tcW w:w="1192" w:type="dxa"/>
          </w:tcPr>
          <w:p w14:paraId="64C1A4F5" w14:textId="77777777" w:rsidR="00DC2DBD" w:rsidRPr="00455F25" w:rsidRDefault="00DC2DBD">
            <w:pPr>
              <w:pStyle w:val="TableText0"/>
              <w:jc w:val="right"/>
              <w:rPr>
                <w:szCs w:val="20"/>
              </w:rPr>
            </w:pPr>
            <w:r w:rsidRPr="00455F25">
              <w:t>91.9%</w:t>
            </w:r>
          </w:p>
        </w:tc>
      </w:tr>
      <w:tr w:rsidR="00DC2DBD" w:rsidRPr="00455F25" w14:paraId="32149B35" w14:textId="77777777">
        <w:tc>
          <w:tcPr>
            <w:tcW w:w="3235" w:type="dxa"/>
            <w:vAlign w:val="center"/>
          </w:tcPr>
          <w:p w14:paraId="45DD21F1" w14:textId="77777777" w:rsidR="00DC2DBD" w:rsidRPr="00455F25" w:rsidRDefault="00DC2DBD">
            <w:pPr>
              <w:pStyle w:val="TableText0"/>
              <w:rPr>
                <w:szCs w:val="20"/>
              </w:rPr>
            </w:pPr>
            <w:r w:rsidRPr="00455F25">
              <w:rPr>
                <w:szCs w:val="20"/>
              </w:rPr>
              <w:t xml:space="preserve">Progressed QALYs </w:t>
            </w:r>
          </w:p>
        </w:tc>
        <w:tc>
          <w:tcPr>
            <w:tcW w:w="1440" w:type="dxa"/>
          </w:tcPr>
          <w:p w14:paraId="4F6BFAAF" w14:textId="77777777" w:rsidR="00DC2DBD" w:rsidRPr="00455F25" w:rsidRDefault="00DC2DBD">
            <w:pPr>
              <w:pStyle w:val="TableText0"/>
              <w:jc w:val="right"/>
              <w:rPr>
                <w:szCs w:val="20"/>
              </w:rPr>
            </w:pPr>
            <w:r w:rsidRPr="00455F25">
              <w:t>0.341</w:t>
            </w:r>
          </w:p>
        </w:tc>
        <w:tc>
          <w:tcPr>
            <w:tcW w:w="1530" w:type="dxa"/>
          </w:tcPr>
          <w:p w14:paraId="7C7CE722" w14:textId="77777777" w:rsidR="00DC2DBD" w:rsidRPr="00455F25" w:rsidRDefault="00DC2DBD">
            <w:pPr>
              <w:pStyle w:val="TableText0"/>
              <w:jc w:val="right"/>
              <w:rPr>
                <w:szCs w:val="20"/>
              </w:rPr>
            </w:pPr>
            <w:r w:rsidRPr="00455F25">
              <w:t>0.311</w:t>
            </w:r>
          </w:p>
        </w:tc>
        <w:tc>
          <w:tcPr>
            <w:tcW w:w="1620" w:type="dxa"/>
          </w:tcPr>
          <w:p w14:paraId="5EBC0234" w14:textId="77777777" w:rsidR="00DC2DBD" w:rsidRPr="00455F25" w:rsidRDefault="00DC2DBD">
            <w:pPr>
              <w:pStyle w:val="TableText0"/>
              <w:jc w:val="right"/>
              <w:rPr>
                <w:szCs w:val="20"/>
              </w:rPr>
            </w:pPr>
            <w:r w:rsidRPr="00455F25">
              <w:t>0.030</w:t>
            </w:r>
          </w:p>
        </w:tc>
        <w:tc>
          <w:tcPr>
            <w:tcW w:w="1192" w:type="dxa"/>
          </w:tcPr>
          <w:p w14:paraId="6DAD72A8" w14:textId="77777777" w:rsidR="00DC2DBD" w:rsidRPr="00455F25" w:rsidRDefault="00DC2DBD">
            <w:pPr>
              <w:pStyle w:val="TableText0"/>
              <w:jc w:val="right"/>
              <w:rPr>
                <w:szCs w:val="20"/>
              </w:rPr>
            </w:pPr>
            <w:r w:rsidRPr="00455F25">
              <w:t>8.5%</w:t>
            </w:r>
          </w:p>
        </w:tc>
      </w:tr>
      <w:tr w:rsidR="00DC2DBD" w:rsidRPr="00455F25" w14:paraId="282E554B" w14:textId="77777777">
        <w:tc>
          <w:tcPr>
            <w:tcW w:w="3235" w:type="dxa"/>
            <w:vAlign w:val="center"/>
          </w:tcPr>
          <w:p w14:paraId="5B93039D" w14:textId="77777777" w:rsidR="00DC2DBD" w:rsidRPr="00455F25" w:rsidRDefault="00DC2DBD">
            <w:pPr>
              <w:pStyle w:val="TableText0"/>
              <w:rPr>
                <w:szCs w:val="20"/>
              </w:rPr>
            </w:pPr>
            <w:r w:rsidRPr="00455F25">
              <w:rPr>
                <w:szCs w:val="20"/>
              </w:rPr>
              <w:t>Disutility due to AEs</w:t>
            </w:r>
          </w:p>
        </w:tc>
        <w:tc>
          <w:tcPr>
            <w:tcW w:w="1440" w:type="dxa"/>
          </w:tcPr>
          <w:p w14:paraId="31FE8331" w14:textId="77777777" w:rsidR="00DC2DBD" w:rsidRPr="00455F25" w:rsidRDefault="00DC2DBD">
            <w:pPr>
              <w:pStyle w:val="TableText0"/>
              <w:jc w:val="right"/>
              <w:rPr>
                <w:szCs w:val="20"/>
              </w:rPr>
            </w:pPr>
            <w:r w:rsidRPr="00455F25">
              <w:t>0.002</w:t>
            </w:r>
          </w:p>
        </w:tc>
        <w:tc>
          <w:tcPr>
            <w:tcW w:w="1530" w:type="dxa"/>
          </w:tcPr>
          <w:p w14:paraId="0BFBAA86" w14:textId="77777777" w:rsidR="00DC2DBD" w:rsidRPr="00455F25" w:rsidRDefault="00DC2DBD">
            <w:pPr>
              <w:pStyle w:val="TableText0"/>
              <w:jc w:val="right"/>
              <w:rPr>
                <w:szCs w:val="20"/>
              </w:rPr>
            </w:pPr>
            <w:r w:rsidRPr="00455F25">
              <w:t>0.000</w:t>
            </w:r>
          </w:p>
        </w:tc>
        <w:tc>
          <w:tcPr>
            <w:tcW w:w="1620" w:type="dxa"/>
          </w:tcPr>
          <w:p w14:paraId="50C9813D" w14:textId="77777777" w:rsidR="00DC2DBD" w:rsidRPr="00455F25" w:rsidRDefault="00DC2DBD">
            <w:pPr>
              <w:pStyle w:val="TableText0"/>
              <w:jc w:val="right"/>
              <w:rPr>
                <w:szCs w:val="20"/>
              </w:rPr>
            </w:pPr>
            <w:r w:rsidRPr="00455F25">
              <w:t>0.002</w:t>
            </w:r>
          </w:p>
        </w:tc>
        <w:tc>
          <w:tcPr>
            <w:tcW w:w="1192" w:type="dxa"/>
          </w:tcPr>
          <w:p w14:paraId="5D6FE197" w14:textId="576CB92A" w:rsidR="00DC2DBD" w:rsidRPr="00455F25" w:rsidRDefault="00AE54DF">
            <w:pPr>
              <w:pStyle w:val="TableText0"/>
              <w:jc w:val="right"/>
              <w:rPr>
                <w:szCs w:val="20"/>
              </w:rPr>
            </w:pPr>
            <w:r w:rsidRPr="00455F25">
              <w:t>–</w:t>
            </w:r>
            <w:r w:rsidR="00DC2DBD" w:rsidRPr="00455F25">
              <w:t>0.4%</w:t>
            </w:r>
          </w:p>
        </w:tc>
      </w:tr>
      <w:tr w:rsidR="00DC2DBD" w:rsidRPr="00455F25" w14:paraId="561595A3" w14:textId="77777777">
        <w:tc>
          <w:tcPr>
            <w:tcW w:w="3235" w:type="dxa"/>
            <w:vAlign w:val="center"/>
          </w:tcPr>
          <w:p w14:paraId="148AE641" w14:textId="77777777" w:rsidR="00DC2DBD" w:rsidRPr="00455F25" w:rsidRDefault="00DC2DBD">
            <w:pPr>
              <w:pStyle w:val="TableText0"/>
              <w:rPr>
                <w:b/>
                <w:bCs w:val="0"/>
                <w:szCs w:val="20"/>
              </w:rPr>
            </w:pPr>
            <w:r w:rsidRPr="00455F25">
              <w:rPr>
                <w:b/>
                <w:bCs w:val="0"/>
                <w:szCs w:val="20"/>
              </w:rPr>
              <w:t xml:space="preserve">Total QALYs </w:t>
            </w:r>
          </w:p>
        </w:tc>
        <w:tc>
          <w:tcPr>
            <w:tcW w:w="1440" w:type="dxa"/>
          </w:tcPr>
          <w:p w14:paraId="2FB01472" w14:textId="77777777" w:rsidR="00DC2DBD" w:rsidRPr="00455F25" w:rsidRDefault="00DC2DBD">
            <w:pPr>
              <w:pStyle w:val="TableText0"/>
              <w:jc w:val="right"/>
              <w:rPr>
                <w:b/>
                <w:bCs w:val="0"/>
                <w:szCs w:val="20"/>
              </w:rPr>
            </w:pPr>
            <w:r w:rsidRPr="00455F25">
              <w:rPr>
                <w:b/>
                <w:bCs w:val="0"/>
              </w:rPr>
              <w:t>0.913</w:t>
            </w:r>
          </w:p>
        </w:tc>
        <w:tc>
          <w:tcPr>
            <w:tcW w:w="1530" w:type="dxa"/>
          </w:tcPr>
          <w:p w14:paraId="110D222C" w14:textId="77777777" w:rsidR="00DC2DBD" w:rsidRPr="00455F25" w:rsidRDefault="00DC2DBD">
            <w:pPr>
              <w:pStyle w:val="TableText0"/>
              <w:jc w:val="right"/>
              <w:rPr>
                <w:b/>
                <w:bCs w:val="0"/>
                <w:szCs w:val="20"/>
              </w:rPr>
            </w:pPr>
            <w:r w:rsidRPr="00455F25">
              <w:rPr>
                <w:b/>
                <w:bCs w:val="0"/>
              </w:rPr>
              <w:t>0.558</w:t>
            </w:r>
          </w:p>
        </w:tc>
        <w:tc>
          <w:tcPr>
            <w:tcW w:w="1620" w:type="dxa"/>
          </w:tcPr>
          <w:p w14:paraId="3FE4B3C6" w14:textId="77777777" w:rsidR="00DC2DBD" w:rsidRPr="00455F25" w:rsidRDefault="00DC2DBD">
            <w:pPr>
              <w:pStyle w:val="TableText0"/>
              <w:jc w:val="right"/>
              <w:rPr>
                <w:b/>
                <w:bCs w:val="0"/>
                <w:szCs w:val="20"/>
              </w:rPr>
            </w:pPr>
            <w:r w:rsidRPr="00455F25">
              <w:rPr>
                <w:b/>
                <w:bCs w:val="0"/>
              </w:rPr>
              <w:t>0.355</w:t>
            </w:r>
          </w:p>
        </w:tc>
        <w:tc>
          <w:tcPr>
            <w:tcW w:w="1192" w:type="dxa"/>
          </w:tcPr>
          <w:p w14:paraId="43D178D6" w14:textId="77777777" w:rsidR="00DC2DBD" w:rsidRPr="00455F25" w:rsidRDefault="00DC2DBD">
            <w:pPr>
              <w:pStyle w:val="TableText0"/>
              <w:jc w:val="right"/>
              <w:rPr>
                <w:b/>
                <w:bCs w:val="0"/>
                <w:szCs w:val="20"/>
              </w:rPr>
            </w:pPr>
          </w:p>
        </w:tc>
      </w:tr>
    </w:tbl>
    <w:p w14:paraId="7C54FB96" w14:textId="77777777" w:rsidR="005F782D" w:rsidRPr="00455F25" w:rsidRDefault="00C02DCB" w:rsidP="008220FC">
      <w:pPr>
        <w:pStyle w:val="TableFigureFooter"/>
      </w:pPr>
      <w:r w:rsidRPr="00455F25">
        <w:t>Source: Table 3-30 and 3-31, p139 of the submission regenerated with respecified base case results</w:t>
      </w:r>
    </w:p>
    <w:p w14:paraId="151A7DA3" w14:textId="6B3C5249" w:rsidR="00DC2DBD" w:rsidRPr="00455F25" w:rsidRDefault="00DC2DBD" w:rsidP="00EB566D">
      <w:pPr>
        <w:pStyle w:val="TableFigureFooter"/>
        <w:spacing w:after="120"/>
      </w:pPr>
      <w:r w:rsidRPr="00455F25">
        <w:t xml:space="preserve">HER2 = human epidermal growth factor receptor 2; SoC = Standard of care;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p>
    <w:p w14:paraId="34528D83" w14:textId="3E6E58B4" w:rsidR="00DC2DBD" w:rsidRDefault="00DC2DBD" w:rsidP="00DC2DBD">
      <w:pPr>
        <w:pStyle w:val="3-BodyText"/>
      </w:pPr>
      <w:r w:rsidRPr="00455F25">
        <w:t xml:space="preserve">Key sensitivity analyses conducted during the evaluation using respecified base case are presented in </w:t>
      </w:r>
      <w:r w:rsidR="00210785" w:rsidRPr="00455F25">
        <w:fldChar w:fldCharType="begin"/>
      </w:r>
      <w:r w:rsidR="00210785" w:rsidRPr="00455F25">
        <w:instrText xml:space="preserve"> REF _Ref192166283 \h </w:instrText>
      </w:r>
      <w:r w:rsidR="00455F25" w:rsidRPr="00455F25">
        <w:instrText xml:space="preserve"> \* MERGEFORMAT </w:instrText>
      </w:r>
      <w:r w:rsidR="00210785" w:rsidRPr="00455F25">
        <w:fldChar w:fldCharType="separate"/>
      </w:r>
      <w:r w:rsidR="00593619" w:rsidRPr="00455F25">
        <w:t xml:space="preserve">Table </w:t>
      </w:r>
      <w:r w:rsidR="00593619">
        <w:rPr>
          <w:noProof/>
        </w:rPr>
        <w:t>11</w:t>
      </w:r>
      <w:r w:rsidR="00210785" w:rsidRPr="00455F25">
        <w:fldChar w:fldCharType="end"/>
      </w:r>
      <w:r w:rsidR="00210785" w:rsidRPr="00455F25">
        <w:t>.</w:t>
      </w:r>
      <w:r w:rsidR="00541ED0" w:rsidRPr="00455F25">
        <w:t xml:space="preserve"> The model was most sensitive to the time horizon and the nominated OS parametric model extrapolation.</w:t>
      </w:r>
    </w:p>
    <w:p w14:paraId="50B514B8" w14:textId="07932082" w:rsidR="00053329" w:rsidRPr="00E55A74" w:rsidRDefault="00053329" w:rsidP="00053329">
      <w:pPr>
        <w:pStyle w:val="3-BodyText"/>
        <w:rPr>
          <w:iCs/>
        </w:rPr>
      </w:pPr>
      <w:r w:rsidRPr="00E55A74">
        <w:rPr>
          <w:iCs/>
        </w:rPr>
        <w:t>The PSCR proposed a new respecified base case with</w:t>
      </w:r>
      <w:r w:rsidR="004A407C">
        <w:rPr>
          <w:iCs/>
        </w:rPr>
        <w:t xml:space="preserve"> corrections to the discounting rate and application of RDI</w:t>
      </w:r>
      <w:r w:rsidR="00985176">
        <w:rPr>
          <w:iCs/>
        </w:rPr>
        <w:t xml:space="preserve"> </w:t>
      </w:r>
      <w:r w:rsidR="007906FA">
        <w:rPr>
          <w:iCs/>
        </w:rPr>
        <w:t xml:space="preserve">as in the commentary revised base case, </w:t>
      </w:r>
      <w:r w:rsidR="00985176">
        <w:rPr>
          <w:iCs/>
        </w:rPr>
        <w:t>and</w:t>
      </w:r>
      <w:r w:rsidRPr="00E55A74">
        <w:rPr>
          <w:iCs/>
        </w:rPr>
        <w:t xml:space="preserve"> the following </w:t>
      </w:r>
      <w:r w:rsidR="007906FA">
        <w:rPr>
          <w:iCs/>
        </w:rPr>
        <w:t xml:space="preserve">additional </w:t>
      </w:r>
      <w:r w:rsidRPr="00E55A74">
        <w:rPr>
          <w:iCs/>
        </w:rPr>
        <w:t>changes:</w:t>
      </w:r>
    </w:p>
    <w:p w14:paraId="343ADE6E" w14:textId="77777777" w:rsidR="00053329" w:rsidRPr="00E55A74" w:rsidRDefault="00053329" w:rsidP="00EB566D">
      <w:pPr>
        <w:pStyle w:val="3-BodyText"/>
        <w:numPr>
          <w:ilvl w:val="1"/>
          <w:numId w:val="11"/>
        </w:numPr>
        <w:ind w:left="993" w:hanging="283"/>
        <w:rPr>
          <w:iCs/>
        </w:rPr>
      </w:pPr>
      <w:r w:rsidRPr="00E55A74">
        <w:rPr>
          <w:iCs/>
        </w:rPr>
        <w:t xml:space="preserve">Using the mean RDI (89.95%) instead of the median value (92.5%). </w:t>
      </w:r>
    </w:p>
    <w:p w14:paraId="5173FB80" w14:textId="77777777" w:rsidR="00053329" w:rsidRPr="00E55A74" w:rsidRDefault="00053329" w:rsidP="00EB566D">
      <w:pPr>
        <w:pStyle w:val="3-BodyText"/>
        <w:numPr>
          <w:ilvl w:val="1"/>
          <w:numId w:val="11"/>
        </w:numPr>
        <w:ind w:left="993" w:hanging="283"/>
        <w:rPr>
          <w:iCs/>
        </w:rPr>
      </w:pPr>
      <w:r w:rsidRPr="00E55A74">
        <w:rPr>
          <w:iCs/>
        </w:rPr>
        <w:t>Re-estimating the truncation points for OS and PFS by using criteria of 20% of patients remaining at risk for OS and PFS, respectively.</w:t>
      </w:r>
    </w:p>
    <w:p w14:paraId="698439A9" w14:textId="7FBAC9E7" w:rsidR="00053329" w:rsidRPr="00E55A74" w:rsidRDefault="00053329" w:rsidP="00EB566D">
      <w:pPr>
        <w:pStyle w:val="3-BodyText"/>
        <w:numPr>
          <w:ilvl w:val="1"/>
          <w:numId w:val="11"/>
        </w:numPr>
        <w:ind w:left="993" w:hanging="283"/>
        <w:rPr>
          <w:iCs/>
        </w:rPr>
      </w:pPr>
      <w:r w:rsidRPr="00E55A74">
        <w:rPr>
          <w:iCs/>
        </w:rPr>
        <w:t>Changing the mean patient weight to 64.8 kg (72.5 kg used in the submission) based on the mean patient weight in the RAINBOW trial.</w:t>
      </w:r>
    </w:p>
    <w:p w14:paraId="72CB6A0E" w14:textId="12B5966C" w:rsidR="00053329" w:rsidRPr="00E55A74" w:rsidRDefault="00053329">
      <w:pPr>
        <w:pStyle w:val="3-BodyText"/>
        <w:rPr>
          <w:iCs/>
        </w:rPr>
      </w:pPr>
      <w:r w:rsidRPr="00E55A74">
        <w:rPr>
          <w:iCs/>
        </w:rPr>
        <w:t xml:space="preserve">The ESC considered the change to the mean patient weight </w:t>
      </w:r>
      <w:r w:rsidR="00C5225A" w:rsidRPr="00E55A74">
        <w:rPr>
          <w:iCs/>
        </w:rPr>
        <w:t xml:space="preserve">proposed in the sponsor’s PSCR </w:t>
      </w:r>
      <w:r w:rsidRPr="00E55A74">
        <w:rPr>
          <w:iCs/>
        </w:rPr>
        <w:t>was not appropriate. The expected average weight of Australian patients is likely to be higher than the RAINBOW baseline patient population in which around one-third of all patients were Asian. According to the National Health Survey 2017–18, an average Australian male weighs around 87 kg and female weighs 72 kg</w:t>
      </w:r>
      <w:r w:rsidRPr="00E55A74">
        <w:rPr>
          <w:rStyle w:val="FootnoteReference"/>
          <w:iCs/>
        </w:rPr>
        <w:footnoteReference w:id="19"/>
      </w:r>
      <w:r w:rsidRPr="00E55A74">
        <w:rPr>
          <w:iCs/>
        </w:rPr>
        <w:t>. Based on measured data from the ABS 2022 National Health Survey (NHS)</w:t>
      </w:r>
      <w:r w:rsidRPr="00E55A74">
        <w:rPr>
          <w:rStyle w:val="FootnoteReference"/>
          <w:iCs/>
        </w:rPr>
        <w:footnoteReference w:id="20"/>
      </w:r>
      <w:r w:rsidRPr="00E55A74">
        <w:rPr>
          <w:iCs/>
        </w:rPr>
        <w:t>, 65.8% of Australians aged 18 years and over were living with overweight or obesity.</w:t>
      </w:r>
      <w:r w:rsidR="00AD666A">
        <w:rPr>
          <w:iCs/>
        </w:rPr>
        <w:t xml:space="preserve"> The </w:t>
      </w:r>
      <w:r w:rsidR="008D62F3">
        <w:rPr>
          <w:iCs/>
        </w:rPr>
        <w:t>p</w:t>
      </w:r>
      <w:r w:rsidR="00AD666A">
        <w:rPr>
          <w:iCs/>
        </w:rPr>
        <w:t>re</w:t>
      </w:r>
      <w:r w:rsidR="003163E9">
        <w:rPr>
          <w:iCs/>
        </w:rPr>
        <w:noBreakHyphen/>
      </w:r>
      <w:r w:rsidR="00AD666A">
        <w:rPr>
          <w:iCs/>
        </w:rPr>
        <w:t xml:space="preserve">PBAC response </w:t>
      </w:r>
      <w:r w:rsidR="00B74CD8">
        <w:rPr>
          <w:iCs/>
        </w:rPr>
        <w:t xml:space="preserve">noted </w:t>
      </w:r>
      <w:r w:rsidR="004156AE">
        <w:rPr>
          <w:iCs/>
        </w:rPr>
        <w:t>that</w:t>
      </w:r>
      <w:r w:rsidR="00D2105D">
        <w:rPr>
          <w:iCs/>
        </w:rPr>
        <w:t>,</w:t>
      </w:r>
      <w:r w:rsidR="004156AE">
        <w:rPr>
          <w:iCs/>
        </w:rPr>
        <w:t xml:space="preserve"> accounting for wastage</w:t>
      </w:r>
      <w:r w:rsidR="00D2105D">
        <w:rPr>
          <w:iCs/>
        </w:rPr>
        <w:t xml:space="preserve">, 5 vials of </w:t>
      </w:r>
      <w:r w:rsidR="00835F4D">
        <w:rPr>
          <w:iCs/>
        </w:rPr>
        <w:t>T-</w:t>
      </w:r>
      <w:proofErr w:type="spellStart"/>
      <w:r w:rsidR="00835F4D">
        <w:rPr>
          <w:iCs/>
        </w:rPr>
        <w:t>DXd</w:t>
      </w:r>
      <w:proofErr w:type="spellEnd"/>
      <w:r w:rsidR="00835F4D">
        <w:rPr>
          <w:iCs/>
        </w:rPr>
        <w:t xml:space="preserve"> are required for patients </w:t>
      </w:r>
      <w:r w:rsidR="006D0897">
        <w:rPr>
          <w:iCs/>
        </w:rPr>
        <w:t>weighing 72.4 kg</w:t>
      </w:r>
      <w:r w:rsidR="00495FFA">
        <w:rPr>
          <w:iCs/>
        </w:rPr>
        <w:t xml:space="preserve">, whereas only 4 vials are required for patients weighing </w:t>
      </w:r>
      <w:r w:rsidR="00CF65CD">
        <w:rPr>
          <w:iCs/>
        </w:rPr>
        <w:lastRenderedPageBreak/>
        <w:t>64.8</w:t>
      </w:r>
      <w:r w:rsidR="00EB566D">
        <w:rPr>
          <w:iCs/>
        </w:rPr>
        <w:t> </w:t>
      </w:r>
      <w:r w:rsidR="00CF65CD">
        <w:rPr>
          <w:iCs/>
        </w:rPr>
        <w:t xml:space="preserve">kg (accounting for RDI). The </w:t>
      </w:r>
      <w:r w:rsidR="008D62F3">
        <w:rPr>
          <w:iCs/>
        </w:rPr>
        <w:t>pre-PBAC response argued that, g</w:t>
      </w:r>
      <w:r w:rsidR="00CF65CD">
        <w:t>iven that both mean patient weights are plausible and result in a mean dose close to 400 mg, the assumption of 4 dispensed vials per infusion is reasonable</w:t>
      </w:r>
      <w:r w:rsidR="008D62F3">
        <w:t xml:space="preserve">. </w:t>
      </w:r>
      <w:r w:rsidR="00750DDE">
        <w:rPr>
          <w:iCs/>
        </w:rPr>
        <w:t xml:space="preserve">The pre-PBAC response also proposed that uncertainty </w:t>
      </w:r>
      <w:proofErr w:type="gramStart"/>
      <w:r w:rsidR="00750DDE">
        <w:rPr>
          <w:iCs/>
        </w:rPr>
        <w:t>with regard to</w:t>
      </w:r>
      <w:proofErr w:type="gramEnd"/>
      <w:r w:rsidR="00750DDE">
        <w:rPr>
          <w:iCs/>
        </w:rPr>
        <w:t xml:space="preserve"> the number of via</w:t>
      </w:r>
      <w:r w:rsidR="00695B26">
        <w:rPr>
          <w:iCs/>
        </w:rPr>
        <w:t xml:space="preserve">ls required </w:t>
      </w:r>
      <w:r w:rsidR="006078C3">
        <w:rPr>
          <w:iCs/>
        </w:rPr>
        <w:t xml:space="preserve">per patient </w:t>
      </w:r>
      <w:r w:rsidR="00695B26">
        <w:rPr>
          <w:iCs/>
        </w:rPr>
        <w:t>may be addressed via risk-sharing ar</w:t>
      </w:r>
      <w:r w:rsidR="006078C3">
        <w:rPr>
          <w:iCs/>
        </w:rPr>
        <w:t xml:space="preserve">rangements. </w:t>
      </w:r>
    </w:p>
    <w:p w14:paraId="75FCE5C6" w14:textId="5656C794" w:rsidR="00053329" w:rsidRPr="00E55A74" w:rsidRDefault="00053329">
      <w:pPr>
        <w:pStyle w:val="3-BodyText"/>
        <w:rPr>
          <w:iCs/>
        </w:rPr>
      </w:pPr>
      <w:r w:rsidRPr="00E55A74">
        <w:rPr>
          <w:iCs/>
        </w:rPr>
        <w:t xml:space="preserve">The ESC noted that the method of truncation </w:t>
      </w:r>
      <w:r w:rsidR="006C323B">
        <w:rPr>
          <w:iCs/>
        </w:rPr>
        <w:t xml:space="preserve">in the PSCR proposed respecified base case </w:t>
      </w:r>
      <w:r w:rsidR="000C377C" w:rsidRPr="00E55A74">
        <w:rPr>
          <w:iCs/>
        </w:rPr>
        <w:t xml:space="preserve">was </w:t>
      </w:r>
      <w:r w:rsidRPr="00E55A74">
        <w:rPr>
          <w:iCs/>
        </w:rPr>
        <w:t>based on 20% of patients at risk for OS and PFS. Th</w:t>
      </w:r>
      <w:r w:rsidR="000C377C" w:rsidRPr="00E55A74">
        <w:rPr>
          <w:iCs/>
        </w:rPr>
        <w:t>is appeared consistent with</w:t>
      </w:r>
      <w:r w:rsidRPr="00E55A74">
        <w:rPr>
          <w:iCs/>
        </w:rPr>
        <w:t xml:space="preserve"> </w:t>
      </w:r>
      <w:r w:rsidR="000C377C" w:rsidRPr="00E55A74">
        <w:rPr>
          <w:iCs/>
        </w:rPr>
        <w:t xml:space="preserve">ESC’s </w:t>
      </w:r>
      <w:r w:rsidRPr="00E55A74">
        <w:rPr>
          <w:iCs/>
        </w:rPr>
        <w:t xml:space="preserve">preferred approach for estimating the truncation points </w:t>
      </w:r>
      <w:r w:rsidR="000C377C" w:rsidRPr="00E55A74">
        <w:rPr>
          <w:iCs/>
        </w:rPr>
        <w:t xml:space="preserve">based on </w:t>
      </w:r>
      <w:proofErr w:type="spellStart"/>
      <w:r w:rsidRPr="00E55A74">
        <w:rPr>
          <w:iCs/>
        </w:rPr>
        <w:t>Gebski</w:t>
      </w:r>
      <w:proofErr w:type="spellEnd"/>
      <w:r w:rsidRPr="00E55A74">
        <w:rPr>
          <w:iCs/>
        </w:rPr>
        <w:t xml:space="preserve"> Criteria 2 </w:t>
      </w:r>
      <w:r w:rsidR="000C377C" w:rsidRPr="00E55A74">
        <w:rPr>
          <w:iCs/>
        </w:rPr>
        <w:t>(</w:t>
      </w:r>
      <w:r w:rsidRPr="00E55A74">
        <w:rPr>
          <w:iCs/>
        </w:rPr>
        <w:t>20% patients at risk)</w:t>
      </w:r>
      <w:r w:rsidR="000C377C" w:rsidRPr="00E55A74">
        <w:rPr>
          <w:iCs/>
        </w:rPr>
        <w:t xml:space="preserve"> as discussed in the evaluation</w:t>
      </w:r>
      <w:r w:rsidRPr="00E55A74">
        <w:rPr>
          <w:iCs/>
        </w:rPr>
        <w:t>.</w:t>
      </w:r>
    </w:p>
    <w:p w14:paraId="660B8447" w14:textId="4607637D" w:rsidR="00B278AD" w:rsidRDefault="006631A2">
      <w:pPr>
        <w:pStyle w:val="3-BodyText"/>
        <w:rPr>
          <w:iCs/>
        </w:rPr>
      </w:pPr>
      <w:bookmarkStart w:id="61" w:name="_Ref195737965"/>
      <w:r w:rsidRPr="00E55A74">
        <w:rPr>
          <w:iCs/>
        </w:rPr>
        <w:t xml:space="preserve">The ESC advised that an appropriate re-specified base case would apply the following: 1) Time horizon of 4 years; 2) </w:t>
      </w:r>
      <w:proofErr w:type="spellStart"/>
      <w:r w:rsidRPr="00E55A74">
        <w:rPr>
          <w:iCs/>
        </w:rPr>
        <w:t>Gebski</w:t>
      </w:r>
      <w:proofErr w:type="spellEnd"/>
      <w:r w:rsidRPr="00E55A74">
        <w:rPr>
          <w:iCs/>
        </w:rPr>
        <w:t xml:space="preserve"> criterion to inform truncation points; and 3) Weibull extrapolations for OS. The corresponding MVSA has been added to </w:t>
      </w:r>
      <w:r w:rsidRPr="00E55A74">
        <w:rPr>
          <w:iCs/>
        </w:rPr>
        <w:fldChar w:fldCharType="begin"/>
      </w:r>
      <w:r w:rsidRPr="00E55A74">
        <w:rPr>
          <w:iCs/>
        </w:rPr>
        <w:instrText xml:space="preserve"> REF _Ref195734792 \h </w:instrText>
      </w:r>
      <w:r w:rsidR="0046389B" w:rsidRPr="00E55A74">
        <w:rPr>
          <w:iCs/>
        </w:rPr>
        <w:instrText xml:space="preserve"> \* MERGEFORMAT </w:instrText>
      </w:r>
      <w:r w:rsidRPr="00E55A74">
        <w:rPr>
          <w:iCs/>
        </w:rPr>
      </w:r>
      <w:r w:rsidRPr="00E55A74">
        <w:rPr>
          <w:iCs/>
        </w:rPr>
        <w:fldChar w:fldCharType="separate"/>
      </w:r>
      <w:r w:rsidR="00593619" w:rsidRPr="00593619">
        <w:rPr>
          <w:iCs/>
        </w:rPr>
        <w:t xml:space="preserve">Table </w:t>
      </w:r>
      <w:r w:rsidR="00593619" w:rsidRPr="00593619">
        <w:rPr>
          <w:iCs/>
          <w:noProof/>
        </w:rPr>
        <w:t>12</w:t>
      </w:r>
      <w:r w:rsidRPr="00E55A74">
        <w:rPr>
          <w:iCs/>
        </w:rPr>
        <w:fldChar w:fldCharType="end"/>
      </w:r>
      <w:r w:rsidRPr="00E55A74">
        <w:rPr>
          <w:iCs/>
        </w:rPr>
        <w:t xml:space="preserve"> below.</w:t>
      </w:r>
      <w:bookmarkEnd w:id="61"/>
      <w:r w:rsidR="0020306D">
        <w:rPr>
          <w:iCs/>
        </w:rPr>
        <w:t xml:space="preserve"> </w:t>
      </w:r>
      <w:r w:rsidR="00E62925">
        <w:rPr>
          <w:iCs/>
        </w:rPr>
        <w:t xml:space="preserve">The pre-PBAC response argued that this </w:t>
      </w:r>
      <w:r w:rsidR="000A75C5">
        <w:rPr>
          <w:iCs/>
        </w:rPr>
        <w:t xml:space="preserve">reflected highly conservative assumptions </w:t>
      </w:r>
      <w:proofErr w:type="gramStart"/>
      <w:r w:rsidR="002D5F61" w:rsidRPr="00593619">
        <w:rPr>
          <w:iCs/>
          <w:color w:val="000000"/>
          <w:w w:val="15"/>
          <w:shd w:val="solid" w:color="000000" w:fill="000000"/>
          <w:fitText w:val="-20" w:id="-663002102"/>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2"/>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01"/>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1"/>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00"/>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0"/>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099"/>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099"/>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098"/>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098"/>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097"/>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097"/>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096"/>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096"/>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12"/>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12"/>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11"/>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11"/>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10"/>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10"/>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09"/>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9"/>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08"/>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8"/>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07"/>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7"/>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2106"/>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2106"/>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6"/>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6"/>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5"/>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5"/>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4"/>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4"/>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3"/>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3"/>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2"/>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2"/>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1"/>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1"/>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50"/>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50"/>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49"/>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49"/>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48"/>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48"/>
          <w14:textFill>
            <w14:solidFill>
              <w14:srgbClr w14:val="000000">
                <w14:alpha w14:val="100000"/>
              </w14:srgbClr>
            </w14:solidFill>
          </w14:textFill>
        </w:rPr>
        <w:t>|</w:t>
      </w:r>
      <w:proofErr w:type="gramEnd"/>
      <w:r w:rsidR="004423CE" w:rsidRPr="004423CE">
        <w:rPr>
          <w:iCs/>
        </w:rPr>
        <w:t xml:space="preserve"> </w:t>
      </w:r>
      <w:proofErr w:type="gramStart"/>
      <w:r w:rsidR="002D5F61" w:rsidRPr="00593619">
        <w:rPr>
          <w:iCs/>
          <w:color w:val="000000"/>
          <w:w w:val="15"/>
          <w:shd w:val="solid" w:color="000000" w:fill="000000"/>
          <w:fitText w:val="-20" w:id="-663001847"/>
          <w14:textFill>
            <w14:solidFill>
              <w14:srgbClr w14:val="000000">
                <w14:alpha w14:val="100000"/>
              </w14:srgbClr>
            </w14:solidFill>
          </w14:textFill>
        </w:rPr>
        <w:t xml:space="preserve">|  </w:t>
      </w:r>
      <w:r w:rsidR="002D5F61" w:rsidRPr="00593619">
        <w:rPr>
          <w:iCs/>
          <w:color w:val="000000"/>
          <w:spacing w:val="-69"/>
          <w:w w:val="15"/>
          <w:shd w:val="solid" w:color="000000" w:fill="000000"/>
          <w:fitText w:val="-20" w:id="-663001847"/>
          <w14:textFill>
            <w14:solidFill>
              <w14:srgbClr w14:val="000000">
                <w14:alpha w14:val="100000"/>
              </w14:srgbClr>
            </w14:solidFill>
          </w14:textFill>
        </w:rPr>
        <w:t>|</w:t>
      </w:r>
      <w:proofErr w:type="gramEnd"/>
      <w:r w:rsidR="004423CE" w:rsidRPr="004423CE">
        <w:rPr>
          <w:iCs/>
        </w:rPr>
        <w:t xml:space="preserve"> </w:t>
      </w:r>
    </w:p>
    <w:p w14:paraId="74125071" w14:textId="5B5856D1" w:rsidR="006631A2" w:rsidRPr="005827A9" w:rsidRDefault="000051BD" w:rsidP="005827A9">
      <w:pPr>
        <w:pStyle w:val="3-BodyText"/>
        <w:rPr>
          <w:iCs/>
        </w:rPr>
      </w:pPr>
      <w:r>
        <w:rPr>
          <w:iCs/>
        </w:rPr>
        <w:t xml:space="preserve">The </w:t>
      </w:r>
      <w:proofErr w:type="gramStart"/>
      <w:r>
        <w:rPr>
          <w:iCs/>
        </w:rPr>
        <w:t>Pre-PBAC</w:t>
      </w:r>
      <w:proofErr w:type="gramEnd"/>
      <w:r>
        <w:rPr>
          <w:iCs/>
        </w:rPr>
        <w:t xml:space="preserve"> </w:t>
      </w:r>
      <w:r w:rsidR="00045CFA">
        <w:rPr>
          <w:iCs/>
        </w:rPr>
        <w:t xml:space="preserve">proposed a modified respecified base case </w:t>
      </w:r>
      <w:r w:rsidR="007C118B">
        <w:rPr>
          <w:iCs/>
        </w:rPr>
        <w:t xml:space="preserve">with assumptions the sponsor considered </w:t>
      </w:r>
      <w:r w:rsidR="00FA278B">
        <w:rPr>
          <w:iCs/>
        </w:rPr>
        <w:t>reasonable and plausible</w:t>
      </w:r>
      <w:r w:rsidR="00BA7ECB">
        <w:rPr>
          <w:iCs/>
        </w:rPr>
        <w:t xml:space="preserve">. </w:t>
      </w:r>
      <w:r w:rsidR="00E31601">
        <w:rPr>
          <w:iCs/>
        </w:rPr>
        <w:t>The pre-PBAC respecified base case included</w:t>
      </w:r>
      <w:r w:rsidR="00722EDF">
        <w:rPr>
          <w:iCs/>
        </w:rPr>
        <w:t>:</w:t>
      </w:r>
      <w:r w:rsidR="00E31601">
        <w:rPr>
          <w:iCs/>
        </w:rPr>
        <w:t xml:space="preserve"> </w:t>
      </w:r>
      <w:r w:rsidR="00333E5D">
        <w:rPr>
          <w:iCs/>
        </w:rPr>
        <w:t>1) Time horizon of 5 years</w:t>
      </w:r>
      <w:r w:rsidR="005E63D7">
        <w:rPr>
          <w:iCs/>
        </w:rPr>
        <w:t>;</w:t>
      </w:r>
      <w:r w:rsidR="00333E5D">
        <w:rPr>
          <w:iCs/>
        </w:rPr>
        <w:t xml:space="preserve"> 2) </w:t>
      </w:r>
      <w:proofErr w:type="spellStart"/>
      <w:r w:rsidR="005E63D7" w:rsidRPr="00E55A74">
        <w:rPr>
          <w:iCs/>
        </w:rPr>
        <w:t>Gebski</w:t>
      </w:r>
      <w:proofErr w:type="spellEnd"/>
      <w:r w:rsidR="005E63D7" w:rsidRPr="00E55A74">
        <w:rPr>
          <w:iCs/>
        </w:rPr>
        <w:t xml:space="preserve"> criterion to inform truncation points</w:t>
      </w:r>
      <w:r w:rsidR="005E63D7">
        <w:rPr>
          <w:iCs/>
        </w:rPr>
        <w:t>; 3)</w:t>
      </w:r>
      <w:r w:rsidR="00173E42">
        <w:rPr>
          <w:iCs/>
        </w:rPr>
        <w:t xml:space="preserve"> Mean patient weight 64.8 kg</w:t>
      </w:r>
      <w:r w:rsidR="00832895">
        <w:rPr>
          <w:iCs/>
        </w:rPr>
        <w:t xml:space="preserve">; </w:t>
      </w:r>
      <w:r w:rsidR="001A49E8">
        <w:rPr>
          <w:iCs/>
        </w:rPr>
        <w:t>4) Maintaining OS extrapolations as per base case.</w:t>
      </w:r>
      <w:r w:rsidR="00173E42">
        <w:rPr>
          <w:iCs/>
        </w:rPr>
        <w:t xml:space="preserve"> </w:t>
      </w:r>
      <w:r w:rsidR="00BA7ECB">
        <w:rPr>
          <w:iCs/>
        </w:rPr>
        <w:t>The sponsor considered these inputs</w:t>
      </w:r>
      <w:r w:rsidR="00FA278B">
        <w:rPr>
          <w:iCs/>
        </w:rPr>
        <w:t xml:space="preserve"> </w:t>
      </w:r>
      <w:r w:rsidR="00B90CC5">
        <w:rPr>
          <w:iCs/>
        </w:rPr>
        <w:t xml:space="preserve">were </w:t>
      </w:r>
      <w:r w:rsidR="00FA278B">
        <w:rPr>
          <w:iCs/>
        </w:rPr>
        <w:t>justifiable in the context of conservative modelling</w:t>
      </w:r>
      <w:r w:rsidR="00F712A6">
        <w:rPr>
          <w:iCs/>
        </w:rPr>
        <w:t xml:space="preserve"> </w:t>
      </w:r>
      <w:r w:rsidR="001E19B0">
        <w:rPr>
          <w:iCs/>
        </w:rPr>
        <w:t xml:space="preserve">of outcomes </w:t>
      </w:r>
      <w:r w:rsidR="00F712A6">
        <w:rPr>
          <w:iCs/>
        </w:rPr>
        <w:t>based on DG-01, which had a shorte</w:t>
      </w:r>
      <w:r w:rsidR="00CB4375">
        <w:rPr>
          <w:iCs/>
        </w:rPr>
        <w:t>r</w:t>
      </w:r>
      <w:r w:rsidR="00F712A6">
        <w:rPr>
          <w:iCs/>
        </w:rPr>
        <w:t xml:space="preserve"> median OS compared with DG-04 (</w:t>
      </w:r>
      <w:r w:rsidR="00BC22C9">
        <w:rPr>
          <w:iCs/>
        </w:rPr>
        <w:t xml:space="preserve">12.5 months vs </w:t>
      </w:r>
      <w:r w:rsidR="005536D2">
        <w:rPr>
          <w:iCs/>
        </w:rPr>
        <w:t xml:space="preserve">14.7 months) as it was in a more heavily pre-treated population. </w:t>
      </w:r>
      <w:r w:rsidR="001E19B0">
        <w:rPr>
          <w:iCs/>
        </w:rPr>
        <w:t>Th</w:t>
      </w:r>
      <w:r w:rsidR="005E009B">
        <w:rPr>
          <w:iCs/>
        </w:rPr>
        <w:t>e</w:t>
      </w:r>
      <w:r w:rsidR="001F2635">
        <w:rPr>
          <w:iCs/>
        </w:rPr>
        <w:t xml:space="preserve"> pre-PBAC response stated that the</w:t>
      </w:r>
      <w:r w:rsidR="005E009B">
        <w:rPr>
          <w:iCs/>
        </w:rPr>
        <w:t xml:space="preserve">se changes </w:t>
      </w:r>
      <w:r w:rsidR="001E19B0">
        <w:rPr>
          <w:iCs/>
        </w:rPr>
        <w:t xml:space="preserve">resulted in an ICER of </w:t>
      </w:r>
      <w:r w:rsidR="00062CB7" w:rsidRPr="00062CB7">
        <w:rPr>
          <w:iCs/>
        </w:rPr>
        <w:t>$95,000 to &lt; $115,000</w:t>
      </w:r>
      <w:r w:rsidR="00062CB7">
        <w:rPr>
          <w:iCs/>
        </w:rPr>
        <w:t xml:space="preserve"> </w:t>
      </w:r>
      <w:r w:rsidR="00045CFA" w:rsidRPr="005827A9">
        <w:rPr>
          <w:iCs/>
        </w:rPr>
        <w:t>per QALY</w:t>
      </w:r>
      <w:r w:rsidR="00722EDF">
        <w:rPr>
          <w:iCs/>
        </w:rPr>
        <w:t>.</w:t>
      </w:r>
    </w:p>
    <w:p w14:paraId="511B2941" w14:textId="59991AC7" w:rsidR="00210785" w:rsidRPr="00455F25" w:rsidRDefault="00210785" w:rsidP="00CA6253">
      <w:pPr>
        <w:pStyle w:val="Caption"/>
        <w:keepNext w:val="0"/>
        <w:keepLines w:val="0"/>
        <w:widowControl w:val="0"/>
        <w:spacing w:before="120"/>
      </w:pPr>
      <w:bookmarkStart w:id="62" w:name="_Ref195734792"/>
      <w:r w:rsidRPr="00455F25">
        <w:t xml:space="preserve">Table </w:t>
      </w:r>
      <w:r w:rsidR="008B461E">
        <w:fldChar w:fldCharType="begin"/>
      </w:r>
      <w:r w:rsidR="008B461E">
        <w:instrText xml:space="preserve"> SEQ Table \* ARABIC </w:instrText>
      </w:r>
      <w:r w:rsidR="008B461E">
        <w:fldChar w:fldCharType="separate"/>
      </w:r>
      <w:r w:rsidR="00593619">
        <w:rPr>
          <w:noProof/>
        </w:rPr>
        <w:t>12</w:t>
      </w:r>
      <w:r w:rsidR="008B461E">
        <w:rPr>
          <w:noProof/>
        </w:rPr>
        <w:fldChar w:fldCharType="end"/>
      </w:r>
      <w:bookmarkEnd w:id="62"/>
      <w:r w:rsidRPr="00455F25">
        <w:t xml:space="preserve">: </w:t>
      </w:r>
      <w:r w:rsidR="005713EB" w:rsidRPr="00455F25">
        <w:t>Results of univariate and multivariate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15"/>
        <w:gridCol w:w="1096"/>
        <w:gridCol w:w="1035"/>
        <w:gridCol w:w="1131"/>
        <w:gridCol w:w="940"/>
      </w:tblGrid>
      <w:tr w:rsidR="00210785" w:rsidRPr="00455F25" w14:paraId="06960477" w14:textId="77777777" w:rsidTr="008C2019">
        <w:trPr>
          <w:tblHeader/>
        </w:trPr>
        <w:tc>
          <w:tcPr>
            <w:tcW w:w="4815" w:type="dxa"/>
          </w:tcPr>
          <w:p w14:paraId="5B32A533" w14:textId="77777777" w:rsidR="00210785" w:rsidRPr="00455F25" w:rsidRDefault="00210785" w:rsidP="001F2635">
            <w:pPr>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Analyses</w:t>
            </w:r>
          </w:p>
        </w:tc>
        <w:tc>
          <w:tcPr>
            <w:tcW w:w="1096" w:type="dxa"/>
          </w:tcPr>
          <w:p w14:paraId="40F87237" w14:textId="77777777" w:rsidR="00210785" w:rsidRPr="00455F25" w:rsidRDefault="00210785" w:rsidP="001F2635">
            <w:pPr>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Incremental cost</w:t>
            </w:r>
          </w:p>
        </w:tc>
        <w:tc>
          <w:tcPr>
            <w:tcW w:w="1035" w:type="dxa"/>
          </w:tcPr>
          <w:p w14:paraId="164275E9" w14:textId="77777777" w:rsidR="00210785" w:rsidRPr="00455F25" w:rsidRDefault="00210785" w:rsidP="001F2635">
            <w:pPr>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Incremental QALY</w:t>
            </w:r>
          </w:p>
        </w:tc>
        <w:tc>
          <w:tcPr>
            <w:tcW w:w="1131" w:type="dxa"/>
          </w:tcPr>
          <w:p w14:paraId="0EB21B87" w14:textId="77777777" w:rsidR="00210785" w:rsidRPr="00455F25" w:rsidRDefault="00210785" w:rsidP="001F2635">
            <w:pPr>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ICER</w:t>
            </w:r>
          </w:p>
        </w:tc>
        <w:tc>
          <w:tcPr>
            <w:tcW w:w="940" w:type="dxa"/>
          </w:tcPr>
          <w:p w14:paraId="61D6C024" w14:textId="77777777" w:rsidR="00210785" w:rsidRPr="00455F25" w:rsidRDefault="00210785" w:rsidP="001F2635">
            <w:pPr>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 change from baseline</w:t>
            </w:r>
          </w:p>
        </w:tc>
      </w:tr>
      <w:tr w:rsidR="00210785" w:rsidRPr="00455F25" w14:paraId="77AE689F" w14:textId="77777777" w:rsidTr="008C2019">
        <w:trPr>
          <w:tblHeader/>
        </w:trPr>
        <w:tc>
          <w:tcPr>
            <w:tcW w:w="4815" w:type="dxa"/>
          </w:tcPr>
          <w:p w14:paraId="44360579" w14:textId="77777777" w:rsidR="00210785" w:rsidRPr="00455F25" w:rsidRDefault="00210785" w:rsidP="001F2635">
            <w:pPr>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
                <w:color w:val="000000" w:themeColor="text1"/>
                <w:sz w:val="20"/>
                <w:szCs w:val="20"/>
              </w:rPr>
              <w:t>Revised base case</w:t>
            </w:r>
          </w:p>
        </w:tc>
        <w:tc>
          <w:tcPr>
            <w:tcW w:w="1096" w:type="dxa"/>
            <w:vAlign w:val="center"/>
          </w:tcPr>
          <w:p w14:paraId="677CCE4B" w14:textId="0A37E635" w:rsidR="00210785" w:rsidRPr="00455F25" w:rsidRDefault="00210785" w:rsidP="001F2635">
            <w:pPr>
              <w:widowControl w:val="0"/>
              <w:jc w:val="right"/>
              <w:rPr>
                <w:rFonts w:ascii="Arial Narrow" w:eastAsiaTheme="majorEastAsia" w:hAnsi="Arial Narrow" w:cstheme="majorBidi"/>
                <w:b/>
                <w:bCs/>
                <w:color w:val="000000" w:themeColor="text1"/>
                <w:sz w:val="20"/>
                <w:szCs w:val="20"/>
              </w:rPr>
            </w:pPr>
            <w:r w:rsidRPr="00455F25">
              <w:rPr>
                <w:rFonts w:ascii="Arial Narrow" w:hAnsi="Arial Narrow"/>
                <w:b/>
                <w:bCs/>
                <w:color w:val="000000"/>
                <w:sz w:val="20"/>
                <w:szCs w:val="20"/>
              </w:rPr>
              <w:t>$</w:t>
            </w:r>
            <w:r w:rsidR="002D5F61" w:rsidRPr="002D5F61">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1035" w:type="dxa"/>
            <w:vAlign w:val="center"/>
          </w:tcPr>
          <w:p w14:paraId="3A02FD32" w14:textId="77777777" w:rsidR="00210785" w:rsidRPr="00455F25" w:rsidRDefault="00210785" w:rsidP="001F2635">
            <w:pPr>
              <w:widowControl w:val="0"/>
              <w:jc w:val="right"/>
              <w:rPr>
                <w:rFonts w:ascii="Arial Narrow" w:eastAsiaTheme="majorEastAsia" w:hAnsi="Arial Narrow" w:cstheme="majorBidi"/>
                <w:b/>
                <w:bCs/>
                <w:color w:val="000000" w:themeColor="text1"/>
                <w:sz w:val="20"/>
                <w:szCs w:val="20"/>
              </w:rPr>
            </w:pPr>
            <w:r w:rsidRPr="00455F25">
              <w:rPr>
                <w:rFonts w:ascii="Arial Narrow" w:hAnsi="Arial Narrow"/>
                <w:b/>
                <w:bCs/>
                <w:color w:val="000000"/>
                <w:sz w:val="20"/>
                <w:szCs w:val="20"/>
              </w:rPr>
              <w:t>0.35</w:t>
            </w:r>
          </w:p>
        </w:tc>
        <w:tc>
          <w:tcPr>
            <w:tcW w:w="1131" w:type="dxa"/>
            <w:vAlign w:val="center"/>
          </w:tcPr>
          <w:p w14:paraId="1FB83ADC" w14:textId="098D7E37" w:rsidR="00210785" w:rsidRPr="00262915" w:rsidRDefault="00210785" w:rsidP="001F2635">
            <w:pPr>
              <w:widowControl w:val="0"/>
              <w:jc w:val="right"/>
              <w:rPr>
                <w:rFonts w:ascii="Arial Narrow" w:eastAsiaTheme="majorEastAsia" w:hAnsi="Arial Narrow" w:cstheme="majorBidi"/>
                <w:b/>
                <w:bCs/>
                <w:color w:val="000000" w:themeColor="text1"/>
                <w:sz w:val="20"/>
                <w:szCs w:val="20"/>
                <w:vertAlign w:val="superscript"/>
              </w:rPr>
            </w:pPr>
            <w:r w:rsidRPr="00455F25">
              <w:rPr>
                <w:rFonts w:ascii="Arial Narrow" w:hAnsi="Arial Narrow"/>
                <w:b/>
                <w:bCs/>
                <w:color w:val="000000"/>
                <w:sz w:val="20"/>
                <w:szCs w:val="20"/>
              </w:rPr>
              <w:t>$</w:t>
            </w:r>
            <w:r w:rsidR="002D5F61" w:rsidRPr="00593619">
              <w:rPr>
                <w:rFonts w:ascii="Arial Narrow" w:hAnsi="Arial Narrow" w:hint="eastAsia"/>
                <w:b/>
                <w:bCs/>
                <w:color w:val="000000"/>
                <w:w w:val="15"/>
                <w:sz w:val="20"/>
                <w:szCs w:val="20"/>
                <w:shd w:val="solid" w:color="000000" w:fill="000000"/>
                <w:fitText w:val="11" w:id="-663001846"/>
                <w14:textFill>
                  <w14:solidFill>
                    <w14:srgbClr w14:val="000000">
                      <w14:alpha w14:val="100000"/>
                    </w14:srgbClr>
                  </w14:solidFill>
                </w14:textFill>
              </w:rPr>
              <w:t xml:space="preserve">　</w:t>
            </w:r>
            <w:proofErr w:type="gramStart"/>
            <w:r w:rsidR="002D5F61" w:rsidRPr="00593619">
              <w:rPr>
                <w:rFonts w:ascii="Arial Narrow" w:hAnsi="Arial Narrow"/>
                <w:b/>
                <w:bCs/>
                <w:color w:val="000000"/>
                <w:w w:val="15"/>
                <w:sz w:val="20"/>
                <w:szCs w:val="20"/>
                <w:shd w:val="solid" w:color="000000" w:fill="000000"/>
                <w:fitText w:val="11" w:id="-663001846"/>
                <w14:textFill>
                  <w14:solidFill>
                    <w14:srgbClr w14:val="000000">
                      <w14:alpha w14:val="100000"/>
                    </w14:srgbClr>
                  </w14:solidFill>
                </w14:textFill>
              </w:rPr>
              <w:t>|</w:t>
            </w:r>
            <w:r w:rsidR="002D5F61" w:rsidRPr="00593619">
              <w:rPr>
                <w:rFonts w:ascii="Arial Narrow" w:hAnsi="Arial Narrow" w:hint="eastAsia"/>
                <w:b/>
                <w:bCs/>
                <w:color w:val="000000"/>
                <w:spacing w:val="-55"/>
                <w:w w:val="15"/>
                <w:sz w:val="20"/>
                <w:szCs w:val="20"/>
                <w:shd w:val="solid" w:color="000000" w:fill="000000"/>
                <w:fitText w:val="11" w:id="-663001846"/>
                <w14:textFill>
                  <w14:solidFill>
                    <w14:srgbClr w14:val="000000">
                      <w14:alpha w14:val="100000"/>
                    </w14:srgbClr>
                  </w14:solidFill>
                </w14:textFill>
              </w:rPr>
              <w:t xml:space="preserve">　</w:t>
            </w:r>
            <w:r w:rsidR="00262915">
              <w:rPr>
                <w:rFonts w:ascii="Arial Narrow" w:hAnsi="Arial Narrow"/>
                <w:b/>
                <w:bCs/>
                <w:color w:val="000000"/>
                <w:sz w:val="20"/>
                <w:szCs w:val="20"/>
              </w:rPr>
              <w:t xml:space="preserve"> </w:t>
            </w:r>
            <w:r w:rsidR="00262915">
              <w:rPr>
                <w:rFonts w:ascii="Arial Narrow" w:hAnsi="Arial Narrow"/>
                <w:b/>
                <w:bCs/>
                <w:color w:val="000000"/>
                <w:sz w:val="20"/>
                <w:szCs w:val="20"/>
                <w:vertAlign w:val="superscript"/>
              </w:rPr>
              <w:t>1</w:t>
            </w:r>
            <w:proofErr w:type="gramEnd"/>
          </w:p>
        </w:tc>
        <w:tc>
          <w:tcPr>
            <w:tcW w:w="940" w:type="dxa"/>
          </w:tcPr>
          <w:p w14:paraId="79B6DFA3" w14:textId="77777777" w:rsidR="00210785" w:rsidRPr="00455F25" w:rsidRDefault="00210785" w:rsidP="001F2635">
            <w:pPr>
              <w:widowControl w:val="0"/>
              <w:jc w:val="righ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
                <w:color w:val="000000" w:themeColor="text1"/>
                <w:sz w:val="20"/>
                <w:szCs w:val="20"/>
              </w:rPr>
              <w:t>-</w:t>
            </w:r>
          </w:p>
        </w:tc>
      </w:tr>
      <w:tr w:rsidR="00210785" w:rsidRPr="00455F25" w14:paraId="4106AB34" w14:textId="77777777" w:rsidTr="00677AE6">
        <w:tc>
          <w:tcPr>
            <w:tcW w:w="9017" w:type="dxa"/>
            <w:gridSpan w:val="5"/>
            <w:tcBorders>
              <w:bottom w:val="single" w:sz="4" w:space="0" w:color="auto"/>
            </w:tcBorders>
            <w:shd w:val="clear" w:color="auto" w:fill="D9D9D9" w:themeFill="background1" w:themeFillShade="D9"/>
          </w:tcPr>
          <w:p w14:paraId="78F09811" w14:textId="77777777" w:rsidR="00210785" w:rsidRPr="00455F25" w:rsidRDefault="00210785"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Time horizon (base case: 7.5 years)</w:t>
            </w:r>
          </w:p>
        </w:tc>
      </w:tr>
      <w:tr w:rsidR="00210785" w:rsidRPr="00455F25" w14:paraId="149A14BB" w14:textId="77777777" w:rsidTr="008C2019">
        <w:tc>
          <w:tcPr>
            <w:tcW w:w="4815" w:type="dxa"/>
            <w:tcBorders>
              <w:bottom w:val="nil"/>
            </w:tcBorders>
          </w:tcPr>
          <w:p w14:paraId="37E2BA70" w14:textId="77777777" w:rsidR="00210785" w:rsidRPr="00455F25" w:rsidRDefault="00210785" w:rsidP="001F2635">
            <w:pPr>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2 years</w:t>
            </w:r>
            <w:r w:rsidRPr="00455F25">
              <w:rPr>
                <w:rFonts w:ascii="Arial Narrow" w:eastAsiaTheme="majorEastAsia" w:hAnsi="Arial Narrow" w:cstheme="majorBidi"/>
                <w:b/>
                <w:color w:val="000000" w:themeColor="text1"/>
                <w:sz w:val="20"/>
                <w:szCs w:val="20"/>
              </w:rPr>
              <w:t xml:space="preserve"> #1</w:t>
            </w:r>
          </w:p>
        </w:tc>
        <w:tc>
          <w:tcPr>
            <w:tcW w:w="1096" w:type="dxa"/>
            <w:tcBorders>
              <w:bottom w:val="nil"/>
            </w:tcBorders>
            <w:vAlign w:val="center"/>
          </w:tcPr>
          <w:p w14:paraId="10173EA5" w14:textId="62AB9AAC" w:rsidR="00210785" w:rsidRPr="00455F25" w:rsidRDefault="00210785" w:rsidP="001F2635">
            <w:pPr>
              <w:widowControl w:val="0"/>
              <w:jc w:val="right"/>
              <w:rPr>
                <w:rFonts w:ascii="Arial Narrow" w:eastAsiaTheme="majorEastAsia" w:hAnsi="Arial Narrow" w:cstheme="majorBidi"/>
                <w:bCs/>
                <w:color w:val="000000" w:themeColor="text1"/>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bottom w:val="nil"/>
            </w:tcBorders>
            <w:vAlign w:val="center"/>
          </w:tcPr>
          <w:p w14:paraId="66CAFF41" w14:textId="77777777" w:rsidR="00210785" w:rsidRPr="00455F25" w:rsidRDefault="00210785" w:rsidP="001F2635">
            <w:pPr>
              <w:widowControl w:val="0"/>
              <w:jc w:val="right"/>
              <w:rPr>
                <w:rFonts w:ascii="Arial Narrow" w:eastAsiaTheme="majorEastAsia" w:hAnsi="Arial Narrow" w:cstheme="majorBidi"/>
                <w:bCs/>
                <w:color w:val="000000" w:themeColor="text1"/>
                <w:sz w:val="20"/>
                <w:szCs w:val="20"/>
              </w:rPr>
            </w:pPr>
            <w:r w:rsidRPr="00455F25">
              <w:rPr>
                <w:rFonts w:ascii="Arial Narrow" w:hAnsi="Arial Narrow"/>
                <w:color w:val="000000"/>
                <w:sz w:val="20"/>
                <w:szCs w:val="20"/>
              </w:rPr>
              <w:t>0.214</w:t>
            </w:r>
          </w:p>
        </w:tc>
        <w:tc>
          <w:tcPr>
            <w:tcW w:w="1131" w:type="dxa"/>
            <w:tcBorders>
              <w:bottom w:val="nil"/>
            </w:tcBorders>
            <w:vAlign w:val="center"/>
          </w:tcPr>
          <w:p w14:paraId="14AF4D1D" w14:textId="5B3A8B4B" w:rsidR="00210785" w:rsidRPr="00455F25" w:rsidRDefault="00210785" w:rsidP="001F2635">
            <w:pPr>
              <w:widowControl w:val="0"/>
              <w:jc w:val="right"/>
              <w:rPr>
                <w:rFonts w:ascii="Arial Narrow" w:eastAsiaTheme="majorEastAsia" w:hAnsi="Arial Narrow" w:cstheme="majorBidi"/>
                <w:bCs/>
                <w:color w:val="000000" w:themeColor="text1"/>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bottom w:val="nil"/>
            </w:tcBorders>
            <w:vAlign w:val="center"/>
          </w:tcPr>
          <w:p w14:paraId="242E059D" w14:textId="59FA2F7C" w:rsidR="00210785" w:rsidRPr="00455F25" w:rsidRDefault="002D5F61" w:rsidP="001F2635">
            <w:pPr>
              <w:widowControl w:val="0"/>
              <w:jc w:val="right"/>
              <w:rPr>
                <w:rFonts w:ascii="Arial Narrow" w:eastAsiaTheme="majorEastAsia" w:hAnsi="Arial Narrow" w:cstheme="majorBidi"/>
                <w:bCs/>
                <w:color w:val="000000" w:themeColor="text1"/>
                <w:sz w:val="20"/>
                <w:szCs w:val="20"/>
              </w:rPr>
            </w:pPr>
            <w:r w:rsidRPr="002D5F61">
              <w:rPr>
                <w:rFonts w:ascii="Arial Narrow" w:hAnsi="Arial Narrow" w:hint="eastAsia"/>
                <w:color w:val="000000"/>
                <w:w w:val="19"/>
                <w:sz w:val="20"/>
                <w:szCs w:val="20"/>
                <w:shd w:val="solid" w:color="000000" w:fill="000000"/>
                <w:fitText w:val="88" w:id="-663001845"/>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5"/>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5"/>
                <w14:textFill>
                  <w14:solidFill>
                    <w14:srgbClr w14:val="000000">
                      <w14:alpha w14:val="100000"/>
                    </w14:srgbClr>
                  </w14:solidFill>
                </w14:textFill>
              </w:rPr>
              <w:t xml:space="preserve">　</w:t>
            </w:r>
            <w:r w:rsidR="00210785" w:rsidRPr="00455F25">
              <w:rPr>
                <w:rFonts w:ascii="Arial Narrow" w:hAnsi="Arial Narrow"/>
                <w:color w:val="000000"/>
                <w:sz w:val="20"/>
                <w:szCs w:val="20"/>
              </w:rPr>
              <w:t>%</w:t>
            </w:r>
          </w:p>
        </w:tc>
      </w:tr>
      <w:tr w:rsidR="006631A2" w:rsidRPr="00455F25" w14:paraId="22FE9128" w14:textId="77777777" w:rsidTr="008C2019">
        <w:tc>
          <w:tcPr>
            <w:tcW w:w="4815" w:type="dxa"/>
            <w:tcBorders>
              <w:bottom w:val="single" w:sz="4" w:space="0" w:color="auto"/>
            </w:tcBorders>
          </w:tcPr>
          <w:p w14:paraId="2A0BA8B8" w14:textId="757E28D7"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3 years</w:t>
            </w:r>
          </w:p>
        </w:tc>
        <w:tc>
          <w:tcPr>
            <w:tcW w:w="1096" w:type="dxa"/>
            <w:tcBorders>
              <w:bottom w:val="single" w:sz="4" w:space="0" w:color="auto"/>
            </w:tcBorders>
            <w:vAlign w:val="center"/>
          </w:tcPr>
          <w:p w14:paraId="1C5471FD" w14:textId="4B9EF9C9" w:rsidR="006631A2" w:rsidRPr="007F3DC7"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bottom w:val="single" w:sz="4" w:space="0" w:color="auto"/>
            </w:tcBorders>
            <w:vAlign w:val="center"/>
          </w:tcPr>
          <w:p w14:paraId="6EA5B3E6" w14:textId="294FBD41" w:rsidR="006631A2" w:rsidRPr="007F3DC7"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0.273</w:t>
            </w:r>
          </w:p>
        </w:tc>
        <w:tc>
          <w:tcPr>
            <w:tcW w:w="1131" w:type="dxa"/>
            <w:tcBorders>
              <w:bottom w:val="single" w:sz="4" w:space="0" w:color="auto"/>
            </w:tcBorders>
            <w:vAlign w:val="center"/>
          </w:tcPr>
          <w:p w14:paraId="65F37936" w14:textId="16ECB32B" w:rsidR="006631A2" w:rsidRPr="007F3DC7"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bottom w:val="single" w:sz="4" w:space="0" w:color="auto"/>
            </w:tcBorders>
            <w:vAlign w:val="center"/>
          </w:tcPr>
          <w:p w14:paraId="487DF3CB" w14:textId="609D6761" w:rsidR="006631A2" w:rsidRPr="007F3DC7" w:rsidRDefault="002D5F61" w:rsidP="001F2635">
            <w:pPr>
              <w:widowControl w:val="0"/>
              <w:jc w:val="right"/>
              <w:rPr>
                <w:rFonts w:ascii="Arial Narrow" w:eastAsiaTheme="majorEastAsia" w:hAnsi="Arial Narrow" w:cstheme="majorBidi"/>
                <w:bCs/>
                <w:color w:val="000000" w:themeColor="text1"/>
                <w:sz w:val="20"/>
                <w:szCs w:val="20"/>
              </w:rPr>
            </w:pPr>
            <w:r w:rsidRPr="002D5F61">
              <w:rPr>
                <w:rFonts w:ascii="Arial Narrow" w:eastAsiaTheme="majorEastAsia" w:hAnsi="Arial Narrow" w:cstheme="majorBidi" w:hint="eastAsia"/>
                <w:bCs/>
                <w:color w:val="000000" w:themeColor="text1"/>
                <w:w w:val="19"/>
                <w:sz w:val="20"/>
                <w:szCs w:val="20"/>
                <w:shd w:val="solid" w:color="000000" w:fill="000000"/>
                <w:fitText w:val="88" w:id="-663001844"/>
                <w14:textFill>
                  <w14:solidFill>
                    <w14:schemeClr w14:val="tx1">
                      <w14:alpha w14:val="100000"/>
                    </w14:schemeClr>
                  </w14:solidFill>
                </w14:textFill>
              </w:rPr>
              <w:t xml:space="preserve">　</w:t>
            </w:r>
            <w:r w:rsidRPr="002D5F61">
              <w:rPr>
                <w:rFonts w:ascii="Arial Narrow" w:eastAsiaTheme="majorEastAsia" w:hAnsi="Arial Narrow" w:cstheme="majorBidi"/>
                <w:bCs/>
                <w:color w:val="000000" w:themeColor="text1"/>
                <w:w w:val="19"/>
                <w:sz w:val="20"/>
                <w:szCs w:val="20"/>
                <w:shd w:val="solid" w:color="000000" w:fill="000000"/>
                <w:fitText w:val="88" w:id="-663001844"/>
                <w14:textFill>
                  <w14:solidFill>
                    <w14:schemeClr w14:val="tx1">
                      <w14:alpha w14:val="100000"/>
                    </w14:schemeClr>
                  </w14:solidFill>
                </w14:textFill>
              </w:rPr>
              <w:t>|</w:t>
            </w:r>
            <w:r w:rsidRPr="002D5F61">
              <w:rPr>
                <w:rFonts w:ascii="Arial Narrow" w:eastAsiaTheme="majorEastAsia" w:hAnsi="Arial Narrow" w:cstheme="majorBidi" w:hint="eastAsia"/>
                <w:bCs/>
                <w:color w:val="000000" w:themeColor="text1"/>
                <w:spacing w:val="4"/>
                <w:w w:val="19"/>
                <w:sz w:val="20"/>
                <w:szCs w:val="20"/>
                <w:shd w:val="solid" w:color="000000" w:fill="000000"/>
                <w:fitText w:val="88" w:id="-663001844"/>
                <w14:textFill>
                  <w14:solidFill>
                    <w14:schemeClr w14:val="tx1">
                      <w14:alpha w14:val="100000"/>
                    </w14:schemeClr>
                  </w14:solidFill>
                </w14:textFill>
              </w:rPr>
              <w:t xml:space="preserve">　</w:t>
            </w:r>
            <w:r w:rsidR="006631A2" w:rsidRPr="007F3DC7">
              <w:rPr>
                <w:rFonts w:ascii="Arial Narrow" w:eastAsiaTheme="majorEastAsia" w:hAnsi="Arial Narrow" w:cstheme="majorBidi"/>
                <w:bCs/>
                <w:color w:val="000000" w:themeColor="text1"/>
                <w:sz w:val="20"/>
                <w:szCs w:val="20"/>
              </w:rPr>
              <w:t>%</w:t>
            </w:r>
          </w:p>
        </w:tc>
      </w:tr>
      <w:tr w:rsidR="006631A2" w:rsidRPr="00455F25" w14:paraId="4D6538DD" w14:textId="77777777" w:rsidTr="008C2019">
        <w:tc>
          <w:tcPr>
            <w:tcW w:w="4815" w:type="dxa"/>
            <w:tcBorders>
              <w:bottom w:val="single" w:sz="4" w:space="0" w:color="auto"/>
            </w:tcBorders>
          </w:tcPr>
          <w:p w14:paraId="41735CDB" w14:textId="73A0DC80" w:rsidR="006631A2" w:rsidRPr="007F3DC7" w:rsidRDefault="006631A2" w:rsidP="001F2635">
            <w:pPr>
              <w:widowControl w:val="0"/>
              <w:jc w:val="lef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4 years</w:t>
            </w:r>
          </w:p>
        </w:tc>
        <w:tc>
          <w:tcPr>
            <w:tcW w:w="1096" w:type="dxa"/>
            <w:tcBorders>
              <w:bottom w:val="single" w:sz="4" w:space="0" w:color="auto"/>
            </w:tcBorders>
          </w:tcPr>
          <w:p w14:paraId="01BE1D65" w14:textId="3A5E85CC" w:rsidR="006631A2" w:rsidRPr="007F3DC7"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bottom w:val="single" w:sz="4" w:space="0" w:color="auto"/>
            </w:tcBorders>
          </w:tcPr>
          <w:p w14:paraId="757A6B61" w14:textId="42A7D1F6" w:rsidR="006631A2" w:rsidRPr="007F3DC7"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0.306</w:t>
            </w:r>
          </w:p>
        </w:tc>
        <w:tc>
          <w:tcPr>
            <w:tcW w:w="1131" w:type="dxa"/>
            <w:tcBorders>
              <w:bottom w:val="single" w:sz="4" w:space="0" w:color="auto"/>
            </w:tcBorders>
          </w:tcPr>
          <w:p w14:paraId="74765136" w14:textId="6374CD13" w:rsidR="006631A2" w:rsidRPr="007F3DC7"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bottom w:val="single" w:sz="4" w:space="0" w:color="auto"/>
            </w:tcBorders>
          </w:tcPr>
          <w:p w14:paraId="7A1687D0" w14:textId="2ED6AC2F" w:rsidR="006631A2" w:rsidRPr="007F3DC7" w:rsidRDefault="002D5F61" w:rsidP="001F2635">
            <w:pPr>
              <w:widowControl w:val="0"/>
              <w:jc w:val="right"/>
              <w:rPr>
                <w:rFonts w:ascii="Arial Narrow" w:eastAsiaTheme="majorEastAsia" w:hAnsi="Arial Narrow" w:cstheme="majorBidi"/>
                <w:bCs/>
                <w:color w:val="000000" w:themeColor="text1"/>
                <w:sz w:val="20"/>
                <w:szCs w:val="20"/>
              </w:rPr>
            </w:pPr>
            <w:r w:rsidRPr="002D5F61">
              <w:rPr>
                <w:rFonts w:ascii="Arial Narrow" w:eastAsiaTheme="majorEastAsia" w:hAnsi="Arial Narrow" w:cstheme="majorBidi" w:hint="eastAsia"/>
                <w:bCs/>
                <w:color w:val="000000" w:themeColor="text1"/>
                <w:w w:val="19"/>
                <w:sz w:val="20"/>
                <w:szCs w:val="20"/>
                <w:shd w:val="solid" w:color="000000" w:fill="000000"/>
                <w:fitText w:val="88" w:id="-663001843"/>
                <w14:textFill>
                  <w14:solidFill>
                    <w14:schemeClr w14:val="tx1">
                      <w14:alpha w14:val="100000"/>
                    </w14:schemeClr>
                  </w14:solidFill>
                </w14:textFill>
              </w:rPr>
              <w:t xml:space="preserve">　</w:t>
            </w:r>
            <w:r w:rsidRPr="002D5F61">
              <w:rPr>
                <w:rFonts w:ascii="Arial Narrow" w:eastAsiaTheme="majorEastAsia" w:hAnsi="Arial Narrow" w:cstheme="majorBidi"/>
                <w:bCs/>
                <w:color w:val="000000" w:themeColor="text1"/>
                <w:w w:val="19"/>
                <w:sz w:val="20"/>
                <w:szCs w:val="20"/>
                <w:shd w:val="solid" w:color="000000" w:fill="000000"/>
                <w:fitText w:val="88" w:id="-663001843"/>
                <w14:textFill>
                  <w14:solidFill>
                    <w14:schemeClr w14:val="tx1">
                      <w14:alpha w14:val="100000"/>
                    </w14:schemeClr>
                  </w14:solidFill>
                </w14:textFill>
              </w:rPr>
              <w:t>|</w:t>
            </w:r>
            <w:r w:rsidRPr="002D5F61">
              <w:rPr>
                <w:rFonts w:ascii="Arial Narrow" w:eastAsiaTheme="majorEastAsia" w:hAnsi="Arial Narrow" w:cstheme="majorBidi" w:hint="eastAsia"/>
                <w:bCs/>
                <w:color w:val="000000" w:themeColor="text1"/>
                <w:spacing w:val="4"/>
                <w:w w:val="19"/>
                <w:sz w:val="20"/>
                <w:szCs w:val="20"/>
                <w:shd w:val="solid" w:color="000000" w:fill="000000"/>
                <w:fitText w:val="88" w:id="-663001843"/>
                <w14:textFill>
                  <w14:solidFill>
                    <w14:schemeClr w14:val="tx1">
                      <w14:alpha w14:val="100000"/>
                    </w14:schemeClr>
                  </w14:solidFill>
                </w14:textFill>
              </w:rPr>
              <w:t xml:space="preserve">　</w:t>
            </w:r>
            <w:r w:rsidR="006631A2" w:rsidRPr="007F3DC7">
              <w:rPr>
                <w:rFonts w:ascii="Arial Narrow" w:eastAsiaTheme="majorEastAsia" w:hAnsi="Arial Narrow" w:cstheme="majorBidi"/>
                <w:bCs/>
                <w:color w:val="000000" w:themeColor="text1"/>
                <w:sz w:val="20"/>
                <w:szCs w:val="20"/>
              </w:rPr>
              <w:t>%</w:t>
            </w:r>
          </w:p>
        </w:tc>
      </w:tr>
      <w:tr w:rsidR="006631A2" w:rsidRPr="00455F25" w14:paraId="5A3FEB09" w14:textId="77777777" w:rsidTr="008C2019">
        <w:tc>
          <w:tcPr>
            <w:tcW w:w="4815" w:type="dxa"/>
            <w:tcBorders>
              <w:top w:val="single" w:sz="4" w:space="0" w:color="auto"/>
            </w:tcBorders>
          </w:tcPr>
          <w:p w14:paraId="761A025A" w14:textId="77777777"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5 years</w:t>
            </w:r>
          </w:p>
        </w:tc>
        <w:tc>
          <w:tcPr>
            <w:tcW w:w="1096" w:type="dxa"/>
            <w:tcBorders>
              <w:top w:val="single" w:sz="4" w:space="0" w:color="auto"/>
            </w:tcBorders>
            <w:vAlign w:val="center"/>
          </w:tcPr>
          <w:p w14:paraId="5ED92E48" w14:textId="13954D2A"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top w:val="single" w:sz="4" w:space="0" w:color="auto"/>
            </w:tcBorders>
            <w:vAlign w:val="center"/>
          </w:tcPr>
          <w:p w14:paraId="4CD15619" w14:textId="77777777"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0.327</w:t>
            </w:r>
          </w:p>
        </w:tc>
        <w:tc>
          <w:tcPr>
            <w:tcW w:w="1131" w:type="dxa"/>
            <w:tcBorders>
              <w:top w:val="single" w:sz="4" w:space="0" w:color="auto"/>
            </w:tcBorders>
            <w:vAlign w:val="center"/>
          </w:tcPr>
          <w:p w14:paraId="15E0E409" w14:textId="5EBB8C64"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top w:val="single" w:sz="4" w:space="0" w:color="auto"/>
            </w:tcBorders>
            <w:vAlign w:val="center"/>
          </w:tcPr>
          <w:p w14:paraId="6F98F6C6" w14:textId="4775ECDD" w:rsidR="006631A2" w:rsidRPr="00455F25" w:rsidRDefault="002D5F61" w:rsidP="001F2635">
            <w:pPr>
              <w:widowControl w:val="0"/>
              <w:jc w:val="right"/>
              <w:rPr>
                <w:rFonts w:ascii="Arial Narrow" w:eastAsiaTheme="majorEastAsia" w:hAnsi="Arial Narrow" w:cstheme="majorBidi"/>
                <w:bCs/>
                <w:color w:val="000000" w:themeColor="text1"/>
                <w:sz w:val="20"/>
                <w:szCs w:val="20"/>
              </w:rPr>
            </w:pPr>
            <w:r w:rsidRPr="002D5F61">
              <w:rPr>
                <w:rFonts w:ascii="Arial Narrow" w:eastAsiaTheme="majorEastAsia" w:hAnsi="Arial Narrow" w:cstheme="majorBidi" w:hint="eastAsia"/>
                <w:bCs/>
                <w:color w:val="000000" w:themeColor="text1"/>
                <w:w w:val="19"/>
                <w:sz w:val="20"/>
                <w:szCs w:val="20"/>
                <w:shd w:val="solid" w:color="000000" w:fill="000000"/>
                <w:fitText w:val="88" w:id="-663001842"/>
                <w14:textFill>
                  <w14:solidFill>
                    <w14:schemeClr w14:val="tx1">
                      <w14:alpha w14:val="100000"/>
                    </w14:schemeClr>
                  </w14:solidFill>
                </w14:textFill>
              </w:rPr>
              <w:t xml:space="preserve">　</w:t>
            </w:r>
            <w:r w:rsidRPr="002D5F61">
              <w:rPr>
                <w:rFonts w:ascii="Arial Narrow" w:eastAsiaTheme="majorEastAsia" w:hAnsi="Arial Narrow" w:cstheme="majorBidi"/>
                <w:bCs/>
                <w:color w:val="000000" w:themeColor="text1"/>
                <w:w w:val="19"/>
                <w:sz w:val="20"/>
                <w:szCs w:val="20"/>
                <w:shd w:val="solid" w:color="000000" w:fill="000000"/>
                <w:fitText w:val="88" w:id="-663001842"/>
                <w14:textFill>
                  <w14:solidFill>
                    <w14:schemeClr w14:val="tx1">
                      <w14:alpha w14:val="100000"/>
                    </w14:schemeClr>
                  </w14:solidFill>
                </w14:textFill>
              </w:rPr>
              <w:t>|</w:t>
            </w:r>
            <w:r w:rsidRPr="002D5F61">
              <w:rPr>
                <w:rFonts w:ascii="Arial Narrow" w:eastAsiaTheme="majorEastAsia" w:hAnsi="Arial Narrow" w:cstheme="majorBidi" w:hint="eastAsia"/>
                <w:bCs/>
                <w:color w:val="000000" w:themeColor="text1"/>
                <w:spacing w:val="4"/>
                <w:w w:val="19"/>
                <w:sz w:val="20"/>
                <w:szCs w:val="20"/>
                <w:shd w:val="solid" w:color="000000" w:fill="000000"/>
                <w:fitText w:val="88" w:id="-663001842"/>
                <w14:textFill>
                  <w14:solidFill>
                    <w14:schemeClr w14:val="tx1">
                      <w14:alpha w14:val="100000"/>
                    </w14:schemeClr>
                  </w14:solidFill>
                </w14:textFill>
              </w:rPr>
              <w:t xml:space="preserve">　</w:t>
            </w:r>
            <w:r w:rsidR="006631A2" w:rsidRPr="007F3DC7">
              <w:rPr>
                <w:rFonts w:ascii="Arial Narrow" w:eastAsiaTheme="majorEastAsia" w:hAnsi="Arial Narrow" w:cstheme="majorBidi"/>
                <w:bCs/>
                <w:color w:val="000000" w:themeColor="text1"/>
                <w:sz w:val="20"/>
                <w:szCs w:val="20"/>
              </w:rPr>
              <w:t>%</w:t>
            </w:r>
          </w:p>
        </w:tc>
      </w:tr>
      <w:tr w:rsidR="006631A2" w:rsidRPr="00455F25" w14:paraId="4B5A2407" w14:textId="77777777" w:rsidTr="00677AE6">
        <w:tc>
          <w:tcPr>
            <w:tcW w:w="9017" w:type="dxa"/>
            <w:gridSpan w:val="5"/>
            <w:tcBorders>
              <w:bottom w:val="single" w:sz="4" w:space="0" w:color="auto"/>
            </w:tcBorders>
            <w:shd w:val="clear" w:color="auto" w:fill="D9D9D9" w:themeFill="background1" w:themeFillShade="D9"/>
          </w:tcPr>
          <w:p w14:paraId="560650E4" w14:textId="77777777"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Utilities (base case: PF = 0.746; PD = 0.596)</w:t>
            </w:r>
          </w:p>
        </w:tc>
      </w:tr>
      <w:tr w:rsidR="006631A2" w:rsidRPr="00455F25" w14:paraId="48DEDC9C" w14:textId="77777777" w:rsidTr="008C2019">
        <w:tc>
          <w:tcPr>
            <w:tcW w:w="4815" w:type="dxa"/>
            <w:tcBorders>
              <w:bottom w:val="nil"/>
            </w:tcBorders>
          </w:tcPr>
          <w:p w14:paraId="5C24FB48" w14:textId="77777777"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 xml:space="preserve">PF = 0.746; PD = 0.644 </w:t>
            </w:r>
          </w:p>
        </w:tc>
        <w:tc>
          <w:tcPr>
            <w:tcW w:w="1096" w:type="dxa"/>
            <w:tcBorders>
              <w:bottom w:val="nil"/>
            </w:tcBorders>
            <w:vAlign w:val="center"/>
          </w:tcPr>
          <w:p w14:paraId="11C8D1BA" w14:textId="0985A4F0"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bottom w:val="nil"/>
            </w:tcBorders>
            <w:vAlign w:val="center"/>
          </w:tcPr>
          <w:p w14:paraId="60227481"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0.357</w:t>
            </w:r>
          </w:p>
        </w:tc>
        <w:tc>
          <w:tcPr>
            <w:tcW w:w="1131" w:type="dxa"/>
            <w:tcBorders>
              <w:bottom w:val="nil"/>
            </w:tcBorders>
            <w:vAlign w:val="center"/>
          </w:tcPr>
          <w:p w14:paraId="24DC71F3" w14:textId="4744F694"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262915">
              <w:rPr>
                <w:rFonts w:ascii="Arial Narrow" w:hAnsi="Arial Narrow"/>
                <w:b/>
                <w:bCs/>
                <w:color w:val="000000"/>
                <w:sz w:val="20"/>
                <w:szCs w:val="20"/>
              </w:rPr>
              <w:t xml:space="preserve"> </w:t>
            </w:r>
            <w:r w:rsidR="00262915">
              <w:rPr>
                <w:rFonts w:ascii="Arial Narrow" w:hAnsi="Arial Narrow"/>
                <w:b/>
                <w:bCs/>
                <w:color w:val="000000"/>
                <w:sz w:val="20"/>
                <w:szCs w:val="20"/>
                <w:vertAlign w:val="superscript"/>
              </w:rPr>
              <w:t>1</w:t>
            </w:r>
          </w:p>
        </w:tc>
        <w:tc>
          <w:tcPr>
            <w:tcW w:w="940" w:type="dxa"/>
            <w:tcBorders>
              <w:bottom w:val="nil"/>
            </w:tcBorders>
            <w:vAlign w:val="center"/>
          </w:tcPr>
          <w:p w14:paraId="380C3F22" w14:textId="67F89139"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hint="eastAsia"/>
                <w:color w:val="000000"/>
                <w:w w:val="32"/>
                <w:sz w:val="20"/>
                <w:szCs w:val="20"/>
                <w:shd w:val="solid" w:color="000000" w:fill="000000"/>
                <w:fitText w:val="142" w:id="-663001841"/>
                <w14:textFill>
                  <w14:solidFill>
                    <w14:srgbClr w14:val="000000">
                      <w14:alpha w14:val="100000"/>
                    </w14:srgbClr>
                  </w14:solidFill>
                </w14:textFill>
              </w:rPr>
              <w:t xml:space="preserve">　</w:t>
            </w:r>
            <w:r w:rsidR="002D5F61" w:rsidRPr="002D5F61">
              <w:rPr>
                <w:rFonts w:ascii="Arial Narrow" w:hAnsi="Arial Narrow"/>
                <w:color w:val="000000"/>
                <w:w w:val="32"/>
                <w:sz w:val="20"/>
                <w:szCs w:val="20"/>
                <w:shd w:val="solid" w:color="000000" w:fill="000000"/>
                <w:fitText w:val="142" w:id="-663001841"/>
                <w14:textFill>
                  <w14:solidFill>
                    <w14:srgbClr w14:val="000000">
                      <w14:alpha w14:val="100000"/>
                    </w14:srgbClr>
                  </w14:solidFill>
                </w14:textFill>
              </w:rPr>
              <w:t>|</w:t>
            </w:r>
            <w:r w:rsidR="002D5F61" w:rsidRPr="002D5F61">
              <w:rPr>
                <w:rFonts w:ascii="Arial Narrow" w:hAnsi="Arial Narrow" w:hint="eastAsia"/>
                <w:color w:val="000000"/>
                <w:w w:val="32"/>
                <w:sz w:val="20"/>
                <w:szCs w:val="20"/>
                <w:shd w:val="solid" w:color="000000" w:fill="000000"/>
                <w:fitText w:val="142" w:id="-663001841"/>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631A2" w:rsidRPr="00455F25" w14:paraId="3E48F953" w14:textId="77777777" w:rsidTr="008C2019">
        <w:tc>
          <w:tcPr>
            <w:tcW w:w="4815" w:type="dxa"/>
            <w:tcBorders>
              <w:top w:val="nil"/>
            </w:tcBorders>
          </w:tcPr>
          <w:p w14:paraId="28C21DAC" w14:textId="77777777"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PF = 0.700; PD = 0.640</w:t>
            </w:r>
          </w:p>
        </w:tc>
        <w:tc>
          <w:tcPr>
            <w:tcW w:w="1096" w:type="dxa"/>
            <w:tcBorders>
              <w:top w:val="nil"/>
            </w:tcBorders>
            <w:vAlign w:val="center"/>
          </w:tcPr>
          <w:p w14:paraId="39F91086" w14:textId="0145A679"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tcBorders>
            <w:vAlign w:val="center"/>
          </w:tcPr>
          <w:p w14:paraId="22FBB1A2"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0.337</w:t>
            </w:r>
          </w:p>
        </w:tc>
        <w:tc>
          <w:tcPr>
            <w:tcW w:w="1131" w:type="dxa"/>
            <w:tcBorders>
              <w:top w:val="nil"/>
            </w:tcBorders>
            <w:vAlign w:val="center"/>
          </w:tcPr>
          <w:p w14:paraId="2CDA5C3C" w14:textId="3CABF35A"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top w:val="nil"/>
            </w:tcBorders>
            <w:vAlign w:val="center"/>
          </w:tcPr>
          <w:p w14:paraId="50112F1B" w14:textId="0012DE39" w:rsidR="006631A2" w:rsidRPr="00455F25" w:rsidRDefault="002D5F61" w:rsidP="001F2635">
            <w:pPr>
              <w:widowControl w:val="0"/>
              <w:jc w:val="right"/>
              <w:rPr>
                <w:rFonts w:ascii="Arial Narrow" w:eastAsiaTheme="majorEastAsia" w:hAnsi="Arial Narrow" w:cstheme="majorBidi"/>
                <w:bCs/>
                <w:sz w:val="20"/>
                <w:szCs w:val="20"/>
              </w:rPr>
            </w:pPr>
            <w:r w:rsidRPr="002D5F61">
              <w:rPr>
                <w:rFonts w:ascii="Arial Narrow" w:hAnsi="Arial Narrow" w:hint="eastAsia"/>
                <w:color w:val="000000"/>
                <w:w w:val="19"/>
                <w:sz w:val="20"/>
                <w:szCs w:val="20"/>
                <w:shd w:val="solid" w:color="000000" w:fill="000000"/>
                <w:fitText w:val="88" w:id="-663001840"/>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0"/>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0"/>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3F060E3A" w14:textId="77777777" w:rsidTr="00677AE6">
        <w:tc>
          <w:tcPr>
            <w:tcW w:w="9017" w:type="dxa"/>
            <w:gridSpan w:val="5"/>
            <w:tcBorders>
              <w:bottom w:val="single" w:sz="4" w:space="0" w:color="auto"/>
            </w:tcBorders>
            <w:shd w:val="clear" w:color="auto" w:fill="D9D9D9" w:themeFill="background1" w:themeFillShade="D9"/>
          </w:tcPr>
          <w:p w14:paraId="1091A8D1" w14:textId="1A502AD2" w:rsidR="006631A2" w:rsidRPr="00455F25" w:rsidRDefault="006631A2" w:rsidP="001F2635">
            <w:pPr>
              <w:widowControl w:val="0"/>
              <w:jc w:val="left"/>
              <w:rPr>
                <w:rFonts w:ascii="Arial Narrow" w:eastAsiaTheme="majorEastAsia" w:hAnsi="Arial Narrow" w:cstheme="majorBidi"/>
                <w:bCs/>
                <w:sz w:val="20"/>
                <w:szCs w:val="20"/>
              </w:rPr>
            </w:pPr>
            <w:r w:rsidRPr="00455F25">
              <w:rPr>
                <w:rFonts w:ascii="Arial Narrow" w:eastAsiaTheme="majorEastAsia" w:hAnsi="Arial Narrow" w:cstheme="majorBidi"/>
                <w:bCs/>
                <w:sz w:val="20"/>
                <w:szCs w:val="20"/>
              </w:rPr>
              <w:t xml:space="preserve">Truncation time point (base case: T-DXD – PFS = 9 months, OS = 16.5 months; SoC – PFS = 3 months, OS = 11 months; </w:t>
            </w:r>
            <w:proofErr w:type="spellStart"/>
            <w:r w:rsidRPr="00455F25">
              <w:rPr>
                <w:rFonts w:ascii="Arial Narrow" w:eastAsiaTheme="majorEastAsia" w:hAnsi="Arial Narrow" w:cstheme="majorBidi"/>
                <w:bCs/>
                <w:sz w:val="20"/>
                <w:szCs w:val="20"/>
              </w:rPr>
              <w:t>ToT</w:t>
            </w:r>
            <w:proofErr w:type="spellEnd"/>
            <w:r w:rsidRPr="00455F25">
              <w:rPr>
                <w:rFonts w:ascii="Arial Narrow" w:eastAsiaTheme="majorEastAsia" w:hAnsi="Arial Narrow" w:cstheme="majorBidi"/>
                <w:bCs/>
                <w:sz w:val="20"/>
                <w:szCs w:val="20"/>
              </w:rPr>
              <w:t xml:space="preserve"> as for OS)</w:t>
            </w:r>
          </w:p>
        </w:tc>
      </w:tr>
      <w:tr w:rsidR="006631A2" w:rsidRPr="00455F25" w14:paraId="12B54902" w14:textId="77777777" w:rsidTr="008C2019">
        <w:tc>
          <w:tcPr>
            <w:tcW w:w="4815" w:type="dxa"/>
            <w:tcBorders>
              <w:top w:val="nil"/>
              <w:bottom w:val="nil"/>
            </w:tcBorders>
          </w:tcPr>
          <w:p w14:paraId="665C98AA" w14:textId="70EA6523"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proofErr w:type="spellStart"/>
            <w:r w:rsidRPr="00455F25">
              <w:rPr>
                <w:rFonts w:ascii="Arial Narrow" w:eastAsiaTheme="majorEastAsia" w:hAnsi="Arial Narrow" w:cstheme="majorBidi"/>
                <w:bCs/>
                <w:color w:val="000000" w:themeColor="text1"/>
                <w:sz w:val="20"/>
                <w:szCs w:val="20"/>
              </w:rPr>
              <w:t>ToT</w:t>
            </w:r>
            <w:proofErr w:type="spellEnd"/>
            <w:r w:rsidRPr="00455F25">
              <w:rPr>
                <w:rFonts w:ascii="Arial Narrow" w:eastAsiaTheme="majorEastAsia" w:hAnsi="Arial Narrow" w:cstheme="majorBidi"/>
                <w:bCs/>
                <w:color w:val="000000" w:themeColor="text1"/>
                <w:sz w:val="20"/>
                <w:szCs w:val="20"/>
              </w:rPr>
              <w:t>: 15 months(T-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w:t>
            </w:r>
          </w:p>
        </w:tc>
        <w:tc>
          <w:tcPr>
            <w:tcW w:w="1096" w:type="dxa"/>
            <w:tcBorders>
              <w:top w:val="nil"/>
              <w:bottom w:val="nil"/>
            </w:tcBorders>
            <w:vAlign w:val="center"/>
          </w:tcPr>
          <w:p w14:paraId="0959AA8C" w14:textId="3E4BA185"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4FF068D7" w14:textId="77777777"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0.355</w:t>
            </w:r>
          </w:p>
        </w:tc>
        <w:tc>
          <w:tcPr>
            <w:tcW w:w="1131" w:type="dxa"/>
            <w:tcBorders>
              <w:top w:val="nil"/>
              <w:bottom w:val="nil"/>
            </w:tcBorders>
            <w:vAlign w:val="center"/>
          </w:tcPr>
          <w:p w14:paraId="54F2F1D8" w14:textId="024EAA5E"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top w:val="nil"/>
              <w:bottom w:val="nil"/>
            </w:tcBorders>
            <w:vAlign w:val="center"/>
          </w:tcPr>
          <w:p w14:paraId="0734E156" w14:textId="0BE8E08B" w:rsidR="006631A2" w:rsidRPr="00455F25" w:rsidRDefault="002D5F61" w:rsidP="001F2635">
            <w:pPr>
              <w:widowControl w:val="0"/>
              <w:jc w:val="right"/>
              <w:rPr>
                <w:rFonts w:ascii="Arial Narrow" w:hAnsi="Arial Narrow"/>
                <w:color w:val="000000"/>
                <w:sz w:val="20"/>
                <w:szCs w:val="20"/>
              </w:rPr>
            </w:pPr>
            <w:r w:rsidRPr="002D5F61">
              <w:rPr>
                <w:rFonts w:ascii="Arial Narrow" w:hAnsi="Arial Narrow" w:hint="eastAsia"/>
                <w:color w:val="000000"/>
                <w:w w:val="19"/>
                <w:sz w:val="20"/>
                <w:szCs w:val="20"/>
                <w:shd w:val="solid" w:color="000000" w:fill="000000"/>
                <w:fitText w:val="88" w:id="-663001856"/>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56"/>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56"/>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318E5F21" w14:textId="77777777" w:rsidTr="008C2019">
        <w:tc>
          <w:tcPr>
            <w:tcW w:w="4815" w:type="dxa"/>
            <w:tcBorders>
              <w:top w:val="nil"/>
              <w:bottom w:val="nil"/>
            </w:tcBorders>
          </w:tcPr>
          <w:p w14:paraId="4FBE7E02" w14:textId="3403CE8A"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PFS: 15 months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(#A)</w:t>
            </w:r>
          </w:p>
        </w:tc>
        <w:tc>
          <w:tcPr>
            <w:tcW w:w="1096" w:type="dxa"/>
            <w:tcBorders>
              <w:top w:val="nil"/>
              <w:bottom w:val="nil"/>
            </w:tcBorders>
            <w:vAlign w:val="center"/>
          </w:tcPr>
          <w:p w14:paraId="59F4F9FA" w14:textId="3D3F881A"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top w:val="nil"/>
              <w:bottom w:val="nil"/>
            </w:tcBorders>
            <w:vAlign w:val="center"/>
          </w:tcPr>
          <w:p w14:paraId="2626D133" w14:textId="77777777"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0.369</w:t>
            </w:r>
          </w:p>
        </w:tc>
        <w:tc>
          <w:tcPr>
            <w:tcW w:w="1131" w:type="dxa"/>
            <w:tcBorders>
              <w:top w:val="nil"/>
              <w:bottom w:val="nil"/>
            </w:tcBorders>
            <w:vAlign w:val="center"/>
          </w:tcPr>
          <w:p w14:paraId="3A346227" w14:textId="28FDDDCD"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sidR="00262915">
              <w:rPr>
                <w:rFonts w:ascii="Arial Narrow" w:hAnsi="Arial Narrow"/>
                <w:b/>
                <w:bCs/>
                <w:color w:val="000000"/>
                <w:sz w:val="20"/>
                <w:szCs w:val="20"/>
              </w:rPr>
              <w:t xml:space="preserve"> </w:t>
            </w:r>
            <w:r w:rsidR="00262915">
              <w:rPr>
                <w:rFonts w:ascii="Arial Narrow" w:hAnsi="Arial Narrow"/>
                <w:b/>
                <w:bCs/>
                <w:color w:val="000000"/>
                <w:sz w:val="20"/>
                <w:szCs w:val="20"/>
                <w:vertAlign w:val="superscript"/>
              </w:rPr>
              <w:t>1</w:t>
            </w:r>
          </w:p>
        </w:tc>
        <w:tc>
          <w:tcPr>
            <w:tcW w:w="940" w:type="dxa"/>
            <w:tcBorders>
              <w:top w:val="nil"/>
              <w:bottom w:val="nil"/>
            </w:tcBorders>
            <w:vAlign w:val="center"/>
          </w:tcPr>
          <w:p w14:paraId="06A636BB" w14:textId="2399087C" w:rsidR="006631A2" w:rsidRPr="00455F25" w:rsidRDefault="006631A2" w:rsidP="001F2635">
            <w:pPr>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w:t>
            </w:r>
            <w:r w:rsidR="002D5F61" w:rsidRPr="002D5F61">
              <w:rPr>
                <w:rFonts w:ascii="Arial Narrow" w:eastAsiaTheme="majorEastAsia" w:hAnsi="Arial Narrow" w:cstheme="majorBidi" w:hint="eastAsia"/>
                <w:bCs/>
                <w:color w:val="000000" w:themeColor="text1"/>
                <w:w w:val="32"/>
                <w:sz w:val="20"/>
                <w:szCs w:val="20"/>
                <w:shd w:val="solid" w:color="000000" w:fill="000000"/>
                <w:fitText w:val="142" w:id="-663001855"/>
                <w14:textFill>
                  <w14:solidFill>
                    <w14:schemeClr w14:val="tx1">
                      <w14:alpha w14:val="100000"/>
                    </w14:schemeClr>
                  </w14:solidFill>
                </w14:textFill>
              </w:rPr>
              <w:t xml:space="preserve">　</w:t>
            </w:r>
            <w:r w:rsidR="002D5F61" w:rsidRPr="002D5F61">
              <w:rPr>
                <w:rFonts w:ascii="Arial Narrow" w:eastAsiaTheme="majorEastAsia" w:hAnsi="Arial Narrow" w:cstheme="majorBidi"/>
                <w:bCs/>
                <w:color w:val="000000" w:themeColor="text1"/>
                <w:w w:val="32"/>
                <w:sz w:val="20"/>
                <w:szCs w:val="20"/>
                <w:shd w:val="solid" w:color="000000" w:fill="000000"/>
                <w:fitText w:val="142" w:id="-663001855"/>
                <w14:textFill>
                  <w14:solidFill>
                    <w14:schemeClr w14:val="tx1">
                      <w14:alpha w14:val="100000"/>
                    </w14:schemeClr>
                  </w14:solidFill>
                </w14:textFill>
              </w:rPr>
              <w:t>|</w:t>
            </w:r>
            <w:r w:rsidR="002D5F61" w:rsidRPr="002D5F61">
              <w:rPr>
                <w:rFonts w:ascii="Arial Narrow" w:eastAsiaTheme="majorEastAsia" w:hAnsi="Arial Narrow" w:cstheme="majorBidi" w:hint="eastAsia"/>
                <w:bCs/>
                <w:color w:val="000000" w:themeColor="text1"/>
                <w:w w:val="32"/>
                <w:sz w:val="20"/>
                <w:szCs w:val="20"/>
                <w:shd w:val="solid" w:color="000000" w:fill="000000"/>
                <w:fitText w:val="142" w:id="-663001855"/>
                <w14:textFill>
                  <w14:solidFill>
                    <w14:schemeClr w14:val="tx1">
                      <w14:alpha w14:val="100000"/>
                    </w14:schemeClr>
                  </w14:solidFill>
                </w14:textFill>
              </w:rPr>
              <w:t xml:space="preserve">　</w:t>
            </w:r>
            <w:r w:rsidRPr="00455F25">
              <w:rPr>
                <w:rFonts w:ascii="Arial Narrow" w:eastAsiaTheme="majorEastAsia" w:hAnsi="Arial Narrow" w:cstheme="majorBidi"/>
                <w:bCs/>
                <w:color w:val="000000" w:themeColor="text1"/>
                <w:sz w:val="20"/>
                <w:szCs w:val="20"/>
              </w:rPr>
              <w:t>%</w:t>
            </w:r>
          </w:p>
        </w:tc>
      </w:tr>
      <w:tr w:rsidR="006631A2" w:rsidRPr="00455F25" w14:paraId="32EB9B73" w14:textId="77777777" w:rsidTr="008C2019">
        <w:tc>
          <w:tcPr>
            <w:tcW w:w="4815" w:type="dxa"/>
            <w:tcBorders>
              <w:top w:val="nil"/>
              <w:bottom w:val="nil"/>
            </w:tcBorders>
          </w:tcPr>
          <w:p w14:paraId="3DE43B7F" w14:textId="44C29611"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PFS: 18 months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(#B)</w:t>
            </w:r>
          </w:p>
        </w:tc>
        <w:tc>
          <w:tcPr>
            <w:tcW w:w="1096" w:type="dxa"/>
            <w:tcBorders>
              <w:top w:val="nil"/>
              <w:bottom w:val="nil"/>
            </w:tcBorders>
            <w:vAlign w:val="center"/>
          </w:tcPr>
          <w:p w14:paraId="77CB4E0D" w14:textId="616D8F4E"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4D7E3D89" w14:textId="77777777"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0.370</w:t>
            </w:r>
          </w:p>
        </w:tc>
        <w:tc>
          <w:tcPr>
            <w:tcW w:w="1131" w:type="dxa"/>
            <w:tcBorders>
              <w:top w:val="nil"/>
              <w:bottom w:val="nil"/>
            </w:tcBorders>
            <w:vAlign w:val="center"/>
          </w:tcPr>
          <w:p w14:paraId="7F0B9180" w14:textId="5A2B807F"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262915">
              <w:rPr>
                <w:rFonts w:ascii="Arial Narrow" w:hAnsi="Arial Narrow"/>
                <w:b/>
                <w:bCs/>
                <w:color w:val="000000"/>
                <w:sz w:val="20"/>
                <w:szCs w:val="20"/>
              </w:rPr>
              <w:t xml:space="preserve"> </w:t>
            </w:r>
            <w:r w:rsidR="00262915">
              <w:rPr>
                <w:rFonts w:ascii="Arial Narrow" w:hAnsi="Arial Narrow"/>
                <w:b/>
                <w:bCs/>
                <w:color w:val="000000"/>
                <w:sz w:val="20"/>
                <w:szCs w:val="20"/>
                <w:vertAlign w:val="superscript"/>
              </w:rPr>
              <w:t>1</w:t>
            </w:r>
          </w:p>
        </w:tc>
        <w:tc>
          <w:tcPr>
            <w:tcW w:w="940" w:type="dxa"/>
            <w:tcBorders>
              <w:top w:val="nil"/>
              <w:bottom w:val="nil"/>
            </w:tcBorders>
            <w:vAlign w:val="center"/>
          </w:tcPr>
          <w:p w14:paraId="79D9C871" w14:textId="681B8A93"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hint="eastAsia"/>
                <w:color w:val="000000"/>
                <w:w w:val="32"/>
                <w:sz w:val="20"/>
                <w:szCs w:val="20"/>
                <w:shd w:val="solid" w:color="000000" w:fill="000000"/>
                <w:fitText w:val="142" w:id="-663001854"/>
                <w14:textFill>
                  <w14:solidFill>
                    <w14:srgbClr w14:val="000000">
                      <w14:alpha w14:val="100000"/>
                    </w14:srgbClr>
                  </w14:solidFill>
                </w14:textFill>
              </w:rPr>
              <w:t xml:space="preserve">　</w:t>
            </w:r>
            <w:r w:rsidR="002D5F61" w:rsidRPr="002D5F61">
              <w:rPr>
                <w:rFonts w:ascii="Arial Narrow" w:hAnsi="Arial Narrow"/>
                <w:color w:val="000000"/>
                <w:w w:val="32"/>
                <w:sz w:val="20"/>
                <w:szCs w:val="20"/>
                <w:shd w:val="solid" w:color="000000" w:fill="000000"/>
                <w:fitText w:val="142" w:id="-663001854"/>
                <w14:textFill>
                  <w14:solidFill>
                    <w14:srgbClr w14:val="000000">
                      <w14:alpha w14:val="100000"/>
                    </w14:srgbClr>
                  </w14:solidFill>
                </w14:textFill>
              </w:rPr>
              <w:t>|</w:t>
            </w:r>
            <w:r w:rsidR="002D5F61" w:rsidRPr="002D5F61">
              <w:rPr>
                <w:rFonts w:ascii="Arial Narrow" w:hAnsi="Arial Narrow" w:hint="eastAsia"/>
                <w:color w:val="000000"/>
                <w:w w:val="32"/>
                <w:sz w:val="20"/>
                <w:szCs w:val="20"/>
                <w:shd w:val="solid" w:color="000000" w:fill="000000"/>
                <w:fitText w:val="142" w:id="-663001854"/>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631A2" w:rsidRPr="00455F25" w14:paraId="2F11597D" w14:textId="77777777" w:rsidTr="008C2019">
        <w:tc>
          <w:tcPr>
            <w:tcW w:w="4815" w:type="dxa"/>
            <w:tcBorders>
              <w:top w:val="nil"/>
              <w:bottom w:val="nil"/>
            </w:tcBorders>
          </w:tcPr>
          <w:p w14:paraId="0372F962" w14:textId="464F9625" w:rsidR="006631A2" w:rsidRPr="00455F25" w:rsidRDefault="006631A2" w:rsidP="001F2635">
            <w:pPr>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OS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21 months, SoC: 18 months (#C)</w:t>
            </w:r>
          </w:p>
        </w:tc>
        <w:tc>
          <w:tcPr>
            <w:tcW w:w="1096" w:type="dxa"/>
            <w:tcBorders>
              <w:top w:val="nil"/>
              <w:bottom w:val="nil"/>
            </w:tcBorders>
            <w:vAlign w:val="center"/>
          </w:tcPr>
          <w:p w14:paraId="6CD5D753" w14:textId="1CC77C3D"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62B28A3B" w14:textId="77777777"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0.318</w:t>
            </w:r>
          </w:p>
        </w:tc>
        <w:tc>
          <w:tcPr>
            <w:tcW w:w="1131" w:type="dxa"/>
            <w:tcBorders>
              <w:top w:val="nil"/>
              <w:bottom w:val="nil"/>
            </w:tcBorders>
            <w:vAlign w:val="center"/>
          </w:tcPr>
          <w:p w14:paraId="766DD5AB" w14:textId="7792C8FB"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top w:val="nil"/>
              <w:bottom w:val="nil"/>
            </w:tcBorders>
            <w:vAlign w:val="center"/>
          </w:tcPr>
          <w:p w14:paraId="6EAAF1F6" w14:textId="11CBB4EF" w:rsidR="006631A2" w:rsidRPr="00455F25" w:rsidRDefault="002D5F61" w:rsidP="001F2635">
            <w:pPr>
              <w:widowControl w:val="0"/>
              <w:jc w:val="right"/>
              <w:rPr>
                <w:rFonts w:ascii="Arial Narrow" w:hAnsi="Arial Narrow"/>
                <w:color w:val="000000"/>
                <w:sz w:val="20"/>
                <w:szCs w:val="20"/>
              </w:rPr>
            </w:pPr>
            <w:r w:rsidRPr="002D5F61">
              <w:rPr>
                <w:rFonts w:ascii="Arial Narrow" w:hAnsi="Arial Narrow" w:hint="eastAsia"/>
                <w:color w:val="000000"/>
                <w:w w:val="19"/>
                <w:sz w:val="20"/>
                <w:szCs w:val="20"/>
                <w:shd w:val="solid" w:color="000000" w:fill="000000"/>
                <w:fitText w:val="88" w:id="-663001853"/>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53"/>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53"/>
                <w14:textFill>
                  <w14:solidFill>
                    <w14:srgbClr w14:val="000000">
                      <w14:alpha w14:val="100000"/>
                    </w14:srgbClr>
                  </w14:solidFill>
                </w14:textFill>
              </w:rPr>
              <w:t xml:space="preserve">　</w:t>
            </w:r>
            <w:r w:rsidR="006631A2" w:rsidRPr="006B6260">
              <w:rPr>
                <w:rFonts w:ascii="Arial Narrow" w:hAnsi="Arial Narrow"/>
                <w:color w:val="000000"/>
                <w:sz w:val="20"/>
                <w:szCs w:val="20"/>
              </w:rPr>
              <w:t>%</w:t>
            </w:r>
          </w:p>
        </w:tc>
      </w:tr>
      <w:tr w:rsidR="006631A2" w:rsidRPr="00455F25" w14:paraId="4AE23045" w14:textId="77777777" w:rsidTr="008C2019">
        <w:tc>
          <w:tcPr>
            <w:tcW w:w="4815" w:type="dxa"/>
            <w:tcBorders>
              <w:top w:val="nil"/>
              <w:bottom w:val="single" w:sz="4" w:space="0" w:color="auto"/>
            </w:tcBorders>
          </w:tcPr>
          <w:p w14:paraId="47A2D246" w14:textId="0CA00B97" w:rsidR="006631A2" w:rsidRPr="00455F25" w:rsidRDefault="006631A2" w:rsidP="001F2635">
            <w:pPr>
              <w:widowControl w:val="0"/>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OS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18 months, SoC: 15 months (#D)</w:t>
            </w:r>
          </w:p>
        </w:tc>
        <w:tc>
          <w:tcPr>
            <w:tcW w:w="1096" w:type="dxa"/>
            <w:tcBorders>
              <w:top w:val="nil"/>
              <w:bottom w:val="single" w:sz="4" w:space="0" w:color="auto"/>
            </w:tcBorders>
            <w:vAlign w:val="center"/>
          </w:tcPr>
          <w:p w14:paraId="4C69944E" w14:textId="1BAF276D"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096B5C1E"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0.343</w:t>
            </w:r>
          </w:p>
        </w:tc>
        <w:tc>
          <w:tcPr>
            <w:tcW w:w="1131" w:type="dxa"/>
            <w:tcBorders>
              <w:top w:val="nil"/>
              <w:bottom w:val="single" w:sz="4" w:space="0" w:color="auto"/>
            </w:tcBorders>
            <w:vAlign w:val="center"/>
          </w:tcPr>
          <w:p w14:paraId="76B98DF6" w14:textId="01D7EC0B"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262915">
              <w:rPr>
                <w:rFonts w:ascii="Arial Narrow" w:hAnsi="Arial Narrow"/>
                <w:b/>
                <w:bCs/>
                <w:color w:val="000000"/>
                <w:sz w:val="20"/>
                <w:szCs w:val="20"/>
              </w:rPr>
              <w:t xml:space="preserve"> </w:t>
            </w:r>
            <w:r w:rsidR="00262915">
              <w:rPr>
                <w:rFonts w:ascii="Arial Narrow" w:hAnsi="Arial Narrow"/>
                <w:b/>
                <w:bCs/>
                <w:color w:val="000000"/>
                <w:sz w:val="20"/>
                <w:szCs w:val="20"/>
                <w:vertAlign w:val="superscript"/>
              </w:rPr>
              <w:t>1</w:t>
            </w:r>
          </w:p>
        </w:tc>
        <w:tc>
          <w:tcPr>
            <w:tcW w:w="940" w:type="dxa"/>
            <w:tcBorders>
              <w:top w:val="nil"/>
              <w:bottom w:val="single" w:sz="4" w:space="0" w:color="auto"/>
            </w:tcBorders>
            <w:vAlign w:val="center"/>
          </w:tcPr>
          <w:p w14:paraId="478816DE" w14:textId="5F1D1004" w:rsidR="006631A2" w:rsidRPr="00455F25" w:rsidRDefault="002D5F61" w:rsidP="001F2635">
            <w:pPr>
              <w:widowControl w:val="0"/>
              <w:jc w:val="right"/>
              <w:rPr>
                <w:rFonts w:ascii="Arial Narrow" w:eastAsiaTheme="majorEastAsia" w:hAnsi="Arial Narrow" w:cstheme="majorBidi"/>
                <w:bCs/>
                <w:sz w:val="20"/>
                <w:szCs w:val="20"/>
              </w:rPr>
            </w:pPr>
            <w:r w:rsidRPr="002D5F61">
              <w:rPr>
                <w:rFonts w:ascii="Arial Narrow" w:hAnsi="Arial Narrow" w:hint="eastAsia"/>
                <w:color w:val="000000"/>
                <w:w w:val="19"/>
                <w:sz w:val="20"/>
                <w:szCs w:val="20"/>
                <w:shd w:val="solid" w:color="000000" w:fill="000000"/>
                <w:fitText w:val="88" w:id="-663001852"/>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52"/>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52"/>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0964893C" w14:textId="77777777" w:rsidTr="008C2019">
        <w:tc>
          <w:tcPr>
            <w:tcW w:w="4815" w:type="dxa"/>
            <w:tcBorders>
              <w:top w:val="nil"/>
              <w:bottom w:val="nil"/>
            </w:tcBorders>
          </w:tcPr>
          <w:p w14:paraId="626296F0" w14:textId="77777777" w:rsidR="006631A2" w:rsidRPr="00455F25" w:rsidRDefault="006631A2" w:rsidP="001F2635">
            <w:pPr>
              <w:widowControl w:val="0"/>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 xml:space="preserve">TP as estimated from </w:t>
            </w:r>
            <w:proofErr w:type="spellStart"/>
            <w:r w:rsidRPr="00455F25">
              <w:rPr>
                <w:rFonts w:ascii="Arial Narrow" w:eastAsiaTheme="majorEastAsia" w:hAnsi="Arial Narrow" w:cstheme="majorBidi"/>
                <w:bCs/>
                <w:color w:val="000000" w:themeColor="text1"/>
                <w:sz w:val="20"/>
                <w:szCs w:val="20"/>
              </w:rPr>
              <w:t>Gebski</w:t>
            </w:r>
            <w:proofErr w:type="spellEnd"/>
            <w:r w:rsidRPr="00455F25">
              <w:rPr>
                <w:rFonts w:ascii="Arial Narrow" w:eastAsiaTheme="majorEastAsia" w:hAnsi="Arial Narrow" w:cstheme="majorBidi"/>
                <w:bCs/>
                <w:color w:val="000000" w:themeColor="text1"/>
                <w:sz w:val="20"/>
                <w:szCs w:val="20"/>
              </w:rPr>
              <w:t xml:space="preserve"> (#B and #C) </w:t>
            </w:r>
            <w:r w:rsidRPr="00455F25">
              <w:rPr>
                <w:rFonts w:ascii="Arial Narrow" w:eastAsiaTheme="majorEastAsia" w:hAnsi="Arial Narrow" w:cstheme="majorBidi"/>
                <w:b/>
                <w:color w:val="000000" w:themeColor="text1"/>
                <w:sz w:val="20"/>
                <w:szCs w:val="20"/>
              </w:rPr>
              <w:t>#4</w:t>
            </w:r>
          </w:p>
        </w:tc>
        <w:tc>
          <w:tcPr>
            <w:tcW w:w="1096" w:type="dxa"/>
            <w:tcBorders>
              <w:top w:val="nil"/>
              <w:bottom w:val="nil"/>
            </w:tcBorders>
            <w:vAlign w:val="center"/>
          </w:tcPr>
          <w:p w14:paraId="7B456726" w14:textId="368B0031"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30932793"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0.332</w:t>
            </w:r>
          </w:p>
        </w:tc>
        <w:tc>
          <w:tcPr>
            <w:tcW w:w="1131" w:type="dxa"/>
            <w:tcBorders>
              <w:top w:val="nil"/>
              <w:bottom w:val="nil"/>
            </w:tcBorders>
            <w:vAlign w:val="center"/>
          </w:tcPr>
          <w:p w14:paraId="1861F52B" w14:textId="3FD43D1E"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top w:val="nil"/>
              <w:bottom w:val="nil"/>
            </w:tcBorders>
            <w:vAlign w:val="center"/>
          </w:tcPr>
          <w:p w14:paraId="01072008" w14:textId="05079B12" w:rsidR="006631A2" w:rsidRPr="00455F25" w:rsidRDefault="002D5F61" w:rsidP="001F2635">
            <w:pPr>
              <w:widowControl w:val="0"/>
              <w:jc w:val="right"/>
              <w:rPr>
                <w:rFonts w:ascii="Arial Narrow" w:eastAsiaTheme="majorEastAsia" w:hAnsi="Arial Narrow" w:cstheme="majorBidi"/>
                <w:bCs/>
                <w:sz w:val="20"/>
                <w:szCs w:val="20"/>
              </w:rPr>
            </w:pPr>
            <w:r w:rsidRPr="002D5F61">
              <w:rPr>
                <w:rFonts w:ascii="Arial Narrow" w:hAnsi="Arial Narrow" w:hint="eastAsia"/>
                <w:color w:val="000000"/>
                <w:w w:val="19"/>
                <w:sz w:val="20"/>
                <w:szCs w:val="20"/>
                <w:shd w:val="solid" w:color="000000" w:fill="000000"/>
                <w:fitText w:val="88" w:id="-663001851"/>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51"/>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51"/>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1E7C5306" w14:textId="77777777" w:rsidTr="008C2019">
        <w:tc>
          <w:tcPr>
            <w:tcW w:w="4815" w:type="dxa"/>
            <w:tcBorders>
              <w:top w:val="nil"/>
              <w:bottom w:val="single" w:sz="4" w:space="0" w:color="auto"/>
            </w:tcBorders>
          </w:tcPr>
          <w:p w14:paraId="70F16A5C" w14:textId="77777777" w:rsidR="006631A2" w:rsidRPr="00455F25" w:rsidRDefault="006631A2" w:rsidP="001F2635">
            <w:pPr>
              <w:widowControl w:val="0"/>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 xml:space="preserve">TP as assessed from visual fit (#A and #D) </w:t>
            </w:r>
            <w:r w:rsidRPr="00455F25">
              <w:rPr>
                <w:rFonts w:ascii="Arial Narrow" w:eastAsiaTheme="majorEastAsia" w:hAnsi="Arial Narrow" w:cstheme="majorBidi"/>
                <w:b/>
                <w:color w:val="000000" w:themeColor="text1"/>
                <w:sz w:val="20"/>
                <w:szCs w:val="20"/>
              </w:rPr>
              <w:t>#5</w:t>
            </w:r>
          </w:p>
        </w:tc>
        <w:tc>
          <w:tcPr>
            <w:tcW w:w="1096" w:type="dxa"/>
            <w:tcBorders>
              <w:top w:val="nil"/>
              <w:bottom w:val="single" w:sz="4" w:space="0" w:color="auto"/>
            </w:tcBorders>
            <w:vAlign w:val="center"/>
          </w:tcPr>
          <w:p w14:paraId="788A2D2A" w14:textId="11FA94BC"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67F38F7A"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0.357</w:t>
            </w:r>
          </w:p>
        </w:tc>
        <w:tc>
          <w:tcPr>
            <w:tcW w:w="1131" w:type="dxa"/>
            <w:tcBorders>
              <w:top w:val="nil"/>
              <w:bottom w:val="single" w:sz="4" w:space="0" w:color="auto"/>
            </w:tcBorders>
            <w:vAlign w:val="center"/>
          </w:tcPr>
          <w:p w14:paraId="05D438D4" w14:textId="75AB5566"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262915">
              <w:rPr>
                <w:rFonts w:ascii="Arial Narrow" w:hAnsi="Arial Narrow"/>
                <w:b/>
                <w:bCs/>
                <w:color w:val="000000"/>
                <w:sz w:val="20"/>
                <w:szCs w:val="20"/>
              </w:rPr>
              <w:t xml:space="preserve"> </w:t>
            </w:r>
            <w:r w:rsidR="00262915">
              <w:rPr>
                <w:rFonts w:ascii="Arial Narrow" w:hAnsi="Arial Narrow"/>
                <w:b/>
                <w:bCs/>
                <w:color w:val="000000"/>
                <w:sz w:val="20"/>
                <w:szCs w:val="20"/>
                <w:vertAlign w:val="superscript"/>
              </w:rPr>
              <w:t>1</w:t>
            </w:r>
          </w:p>
        </w:tc>
        <w:tc>
          <w:tcPr>
            <w:tcW w:w="940" w:type="dxa"/>
            <w:tcBorders>
              <w:top w:val="nil"/>
              <w:bottom w:val="single" w:sz="4" w:space="0" w:color="auto"/>
            </w:tcBorders>
            <w:vAlign w:val="center"/>
          </w:tcPr>
          <w:p w14:paraId="3994DA02" w14:textId="5A271BFA" w:rsidR="006631A2" w:rsidRPr="00455F25" w:rsidRDefault="002D5F61" w:rsidP="001F2635">
            <w:pPr>
              <w:widowControl w:val="0"/>
              <w:jc w:val="right"/>
              <w:rPr>
                <w:rFonts w:ascii="Arial Narrow" w:eastAsiaTheme="majorEastAsia" w:hAnsi="Arial Narrow" w:cstheme="majorBidi"/>
                <w:bCs/>
                <w:sz w:val="20"/>
                <w:szCs w:val="20"/>
              </w:rPr>
            </w:pPr>
            <w:r w:rsidRPr="002D5F61">
              <w:rPr>
                <w:rFonts w:ascii="Arial Narrow" w:hAnsi="Arial Narrow" w:hint="eastAsia"/>
                <w:color w:val="000000"/>
                <w:w w:val="19"/>
                <w:sz w:val="20"/>
                <w:szCs w:val="20"/>
                <w:shd w:val="solid" w:color="000000" w:fill="000000"/>
                <w:fitText w:val="88" w:id="-663001850"/>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50"/>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50"/>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1BAD87D1" w14:textId="77777777" w:rsidTr="00677AE6">
        <w:tc>
          <w:tcPr>
            <w:tcW w:w="9017" w:type="dxa"/>
            <w:gridSpan w:val="5"/>
            <w:tcBorders>
              <w:bottom w:val="single" w:sz="4" w:space="0" w:color="auto"/>
            </w:tcBorders>
            <w:shd w:val="clear" w:color="auto" w:fill="D9D9D9" w:themeFill="background1" w:themeFillShade="D9"/>
          </w:tcPr>
          <w:p w14:paraId="2289CDEB" w14:textId="7C0C3719" w:rsidR="006631A2" w:rsidRPr="00455F25" w:rsidRDefault="006631A2" w:rsidP="005B1C61">
            <w:pPr>
              <w:keepNext/>
              <w:widowControl w:val="0"/>
              <w:jc w:val="left"/>
              <w:rPr>
                <w:rFonts w:ascii="Arial Narrow" w:eastAsiaTheme="majorEastAsia" w:hAnsi="Arial Narrow" w:cstheme="majorBidi"/>
                <w:bCs/>
                <w:sz w:val="20"/>
                <w:szCs w:val="20"/>
              </w:rPr>
            </w:pPr>
            <w:r w:rsidRPr="00455F25">
              <w:rPr>
                <w:rFonts w:ascii="Arial Narrow" w:eastAsiaTheme="majorEastAsia" w:hAnsi="Arial Narrow" w:cstheme="majorBidi"/>
                <w:bCs/>
                <w:sz w:val="20"/>
                <w:szCs w:val="20"/>
              </w:rPr>
              <w:lastRenderedPageBreak/>
              <w:t>Extrapolation of OS (base case: log-logistic for T-</w:t>
            </w:r>
            <w:proofErr w:type="spellStart"/>
            <w:r w:rsidRPr="00455F25">
              <w:rPr>
                <w:rFonts w:ascii="Arial Narrow" w:eastAsiaTheme="majorEastAsia" w:hAnsi="Arial Narrow" w:cstheme="majorBidi"/>
                <w:bCs/>
                <w:sz w:val="20"/>
                <w:szCs w:val="20"/>
              </w:rPr>
              <w:t>DXd</w:t>
            </w:r>
            <w:proofErr w:type="spellEnd"/>
            <w:r w:rsidRPr="00455F25">
              <w:rPr>
                <w:rFonts w:ascii="Arial Narrow" w:eastAsiaTheme="majorEastAsia" w:hAnsi="Arial Narrow" w:cstheme="majorBidi"/>
                <w:bCs/>
                <w:sz w:val="20"/>
                <w:szCs w:val="20"/>
              </w:rPr>
              <w:t xml:space="preserve"> OS and lognormal for SoC OS)</w:t>
            </w:r>
          </w:p>
        </w:tc>
      </w:tr>
      <w:tr w:rsidR="006631A2" w:rsidRPr="00455F25" w14:paraId="32A5A324" w14:textId="77777777" w:rsidTr="008C2019">
        <w:tc>
          <w:tcPr>
            <w:tcW w:w="4815" w:type="dxa"/>
            <w:tcBorders>
              <w:top w:val="nil"/>
              <w:bottom w:val="nil"/>
            </w:tcBorders>
          </w:tcPr>
          <w:p w14:paraId="6EF03604" w14:textId="615741A4" w:rsidR="006631A2" w:rsidRPr="00455F25" w:rsidRDefault="006631A2" w:rsidP="001F2635">
            <w:pPr>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Weibull for both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xml:space="preserve">: and SoC </w:t>
            </w:r>
            <w:r w:rsidRPr="00455F25">
              <w:rPr>
                <w:rFonts w:ascii="Arial Narrow" w:eastAsiaTheme="majorEastAsia" w:hAnsi="Arial Narrow" w:cstheme="majorBidi"/>
                <w:b/>
                <w:color w:val="000000" w:themeColor="text1"/>
                <w:sz w:val="20"/>
                <w:szCs w:val="20"/>
              </w:rPr>
              <w:t>#2</w:t>
            </w:r>
          </w:p>
        </w:tc>
        <w:tc>
          <w:tcPr>
            <w:tcW w:w="1096" w:type="dxa"/>
            <w:tcBorders>
              <w:top w:val="nil"/>
              <w:bottom w:val="nil"/>
            </w:tcBorders>
            <w:vAlign w:val="center"/>
          </w:tcPr>
          <w:p w14:paraId="1055260D" w14:textId="7AF9198A"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2DA17819" w14:textId="77777777"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0.274</w:t>
            </w:r>
          </w:p>
        </w:tc>
        <w:tc>
          <w:tcPr>
            <w:tcW w:w="1131" w:type="dxa"/>
            <w:tcBorders>
              <w:top w:val="nil"/>
              <w:bottom w:val="nil"/>
            </w:tcBorders>
            <w:vAlign w:val="center"/>
          </w:tcPr>
          <w:p w14:paraId="2689137A" w14:textId="7F3A5D20"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top w:val="nil"/>
              <w:bottom w:val="nil"/>
            </w:tcBorders>
            <w:vAlign w:val="center"/>
          </w:tcPr>
          <w:p w14:paraId="73BCF23A" w14:textId="6F2C3939" w:rsidR="006631A2" w:rsidRPr="00455F25" w:rsidRDefault="002D5F61" w:rsidP="001F2635">
            <w:pPr>
              <w:widowControl w:val="0"/>
              <w:jc w:val="right"/>
              <w:rPr>
                <w:rFonts w:ascii="Arial Narrow" w:hAnsi="Arial Narrow"/>
                <w:color w:val="000000"/>
                <w:sz w:val="20"/>
                <w:szCs w:val="20"/>
              </w:rPr>
            </w:pPr>
            <w:r w:rsidRPr="002D5F61">
              <w:rPr>
                <w:rFonts w:ascii="Arial Narrow" w:hAnsi="Arial Narrow" w:hint="eastAsia"/>
                <w:color w:val="000000"/>
                <w:w w:val="19"/>
                <w:sz w:val="20"/>
                <w:szCs w:val="20"/>
                <w:shd w:val="solid" w:color="000000" w:fill="000000"/>
                <w:fitText w:val="88" w:id="-663001849"/>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9"/>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9"/>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49100E47" w14:textId="77777777" w:rsidTr="008C2019">
        <w:tc>
          <w:tcPr>
            <w:tcW w:w="4815" w:type="dxa"/>
            <w:tcBorders>
              <w:top w:val="nil"/>
              <w:bottom w:val="single" w:sz="4" w:space="0" w:color="auto"/>
            </w:tcBorders>
          </w:tcPr>
          <w:p w14:paraId="421E644C" w14:textId="616D4DFC" w:rsidR="006631A2" w:rsidRPr="00455F25" w:rsidRDefault="006631A2" w:rsidP="001F2635">
            <w:pPr>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Lognormal for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xml:space="preserve"> and loglogistic for SoC </w:t>
            </w:r>
            <w:r w:rsidRPr="00455F25">
              <w:rPr>
                <w:rFonts w:ascii="Arial Narrow" w:eastAsiaTheme="majorEastAsia" w:hAnsi="Arial Narrow" w:cstheme="majorBidi"/>
                <w:b/>
                <w:color w:val="000000" w:themeColor="text1"/>
                <w:sz w:val="20"/>
                <w:szCs w:val="20"/>
              </w:rPr>
              <w:t>#3</w:t>
            </w:r>
          </w:p>
        </w:tc>
        <w:tc>
          <w:tcPr>
            <w:tcW w:w="1096" w:type="dxa"/>
            <w:tcBorders>
              <w:top w:val="nil"/>
              <w:bottom w:val="single" w:sz="4" w:space="0" w:color="auto"/>
            </w:tcBorders>
            <w:vAlign w:val="center"/>
          </w:tcPr>
          <w:p w14:paraId="22FAA036" w14:textId="7CAE2D00"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03E100FA" w14:textId="77777777"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0.327</w:t>
            </w:r>
          </w:p>
        </w:tc>
        <w:tc>
          <w:tcPr>
            <w:tcW w:w="1131" w:type="dxa"/>
            <w:tcBorders>
              <w:top w:val="nil"/>
              <w:bottom w:val="single" w:sz="4" w:space="0" w:color="auto"/>
            </w:tcBorders>
            <w:vAlign w:val="center"/>
          </w:tcPr>
          <w:p w14:paraId="69EF23A0" w14:textId="416BEDE6"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3</w:t>
            </w:r>
          </w:p>
        </w:tc>
        <w:tc>
          <w:tcPr>
            <w:tcW w:w="940" w:type="dxa"/>
            <w:tcBorders>
              <w:top w:val="nil"/>
              <w:bottom w:val="single" w:sz="4" w:space="0" w:color="auto"/>
            </w:tcBorders>
            <w:vAlign w:val="center"/>
          </w:tcPr>
          <w:p w14:paraId="1636A2CB" w14:textId="6CF9E48A" w:rsidR="006631A2" w:rsidRPr="00455F25" w:rsidRDefault="002D5F61" w:rsidP="001F2635">
            <w:pPr>
              <w:widowControl w:val="0"/>
              <w:jc w:val="right"/>
              <w:rPr>
                <w:rFonts w:ascii="Arial Narrow" w:hAnsi="Arial Narrow"/>
                <w:color w:val="000000"/>
                <w:sz w:val="20"/>
                <w:szCs w:val="20"/>
              </w:rPr>
            </w:pPr>
            <w:r w:rsidRPr="002D5F61">
              <w:rPr>
                <w:rFonts w:ascii="Arial Narrow" w:hAnsi="Arial Narrow" w:hint="eastAsia"/>
                <w:color w:val="000000"/>
                <w:w w:val="19"/>
                <w:sz w:val="20"/>
                <w:szCs w:val="20"/>
                <w:shd w:val="solid" w:color="000000" w:fill="000000"/>
                <w:fitText w:val="88" w:id="-663001848"/>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8"/>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8"/>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1CCEA2C7" w14:textId="77777777" w:rsidTr="00677AE6">
        <w:tc>
          <w:tcPr>
            <w:tcW w:w="9017" w:type="dxa"/>
            <w:gridSpan w:val="5"/>
            <w:tcBorders>
              <w:bottom w:val="single" w:sz="4" w:space="0" w:color="auto"/>
            </w:tcBorders>
            <w:shd w:val="clear" w:color="auto" w:fill="D9D9D9" w:themeFill="background1" w:themeFillShade="D9"/>
          </w:tcPr>
          <w:p w14:paraId="0D15EA6A" w14:textId="77777777" w:rsidR="006631A2" w:rsidRPr="00455F25" w:rsidRDefault="006631A2" w:rsidP="001F2635">
            <w:pPr>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Multivariate sensitivity analyses</w:t>
            </w:r>
          </w:p>
        </w:tc>
      </w:tr>
      <w:tr w:rsidR="006631A2" w:rsidRPr="00455F25" w14:paraId="5914B618" w14:textId="77777777" w:rsidTr="008C2019">
        <w:tc>
          <w:tcPr>
            <w:tcW w:w="4815" w:type="dxa"/>
            <w:tcBorders>
              <w:bottom w:val="nil"/>
            </w:tcBorders>
          </w:tcPr>
          <w:p w14:paraId="3E475D99" w14:textId="77777777" w:rsidR="006631A2" w:rsidRPr="00455F25" w:rsidRDefault="006631A2" w:rsidP="001F2635">
            <w:pPr>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#2</w:t>
            </w:r>
          </w:p>
        </w:tc>
        <w:tc>
          <w:tcPr>
            <w:tcW w:w="1096" w:type="dxa"/>
            <w:tcBorders>
              <w:bottom w:val="nil"/>
            </w:tcBorders>
            <w:vAlign w:val="center"/>
          </w:tcPr>
          <w:p w14:paraId="52DE7DFD" w14:textId="33BE1958"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bottom w:val="nil"/>
            </w:tcBorders>
            <w:vAlign w:val="center"/>
          </w:tcPr>
          <w:p w14:paraId="3C9430B9"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0.221</w:t>
            </w:r>
          </w:p>
        </w:tc>
        <w:tc>
          <w:tcPr>
            <w:tcW w:w="1131" w:type="dxa"/>
            <w:tcBorders>
              <w:bottom w:val="nil"/>
            </w:tcBorders>
            <w:vAlign w:val="center"/>
          </w:tcPr>
          <w:p w14:paraId="1C1DEC92" w14:textId="7DF8F255"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bottom w:val="nil"/>
            </w:tcBorders>
            <w:vAlign w:val="center"/>
          </w:tcPr>
          <w:p w14:paraId="43095BD4" w14:textId="78D5316E" w:rsidR="006631A2" w:rsidRPr="00455F25" w:rsidRDefault="002D5F61" w:rsidP="001F2635">
            <w:pPr>
              <w:widowControl w:val="0"/>
              <w:jc w:val="right"/>
              <w:rPr>
                <w:rFonts w:ascii="Arial Narrow" w:eastAsiaTheme="majorEastAsia" w:hAnsi="Arial Narrow" w:cstheme="majorBidi"/>
                <w:bCs/>
                <w:sz w:val="20"/>
                <w:szCs w:val="20"/>
              </w:rPr>
            </w:pPr>
            <w:r w:rsidRPr="002D5F61">
              <w:rPr>
                <w:rFonts w:ascii="Arial Narrow" w:hAnsi="Arial Narrow" w:hint="eastAsia"/>
                <w:color w:val="000000"/>
                <w:w w:val="19"/>
                <w:sz w:val="20"/>
                <w:szCs w:val="20"/>
                <w:shd w:val="solid" w:color="000000" w:fill="000000"/>
                <w:fitText w:val="88" w:id="-663001847"/>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7"/>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7"/>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42585767" w14:textId="77777777" w:rsidTr="008C2019">
        <w:tc>
          <w:tcPr>
            <w:tcW w:w="4815" w:type="dxa"/>
            <w:tcBorders>
              <w:top w:val="nil"/>
              <w:bottom w:val="nil"/>
            </w:tcBorders>
          </w:tcPr>
          <w:p w14:paraId="0A9AAE02" w14:textId="77777777" w:rsidR="006631A2" w:rsidRPr="00455F25" w:rsidRDefault="006631A2" w:rsidP="001F2635">
            <w:pPr>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#2 and #4</w:t>
            </w:r>
          </w:p>
        </w:tc>
        <w:tc>
          <w:tcPr>
            <w:tcW w:w="1096" w:type="dxa"/>
            <w:tcBorders>
              <w:top w:val="nil"/>
              <w:bottom w:val="nil"/>
            </w:tcBorders>
            <w:vAlign w:val="center"/>
          </w:tcPr>
          <w:p w14:paraId="6B123CCB" w14:textId="329CE30C"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35B32F2F" w14:textId="77777777"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0.205</w:t>
            </w:r>
          </w:p>
        </w:tc>
        <w:tc>
          <w:tcPr>
            <w:tcW w:w="1131" w:type="dxa"/>
            <w:tcBorders>
              <w:top w:val="nil"/>
              <w:bottom w:val="nil"/>
            </w:tcBorders>
            <w:vAlign w:val="center"/>
          </w:tcPr>
          <w:p w14:paraId="3625E63B" w14:textId="594D0046" w:rsidR="006631A2" w:rsidRPr="00455F25" w:rsidRDefault="006631A2" w:rsidP="001F2635">
            <w:pPr>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top w:val="nil"/>
              <w:bottom w:val="nil"/>
            </w:tcBorders>
            <w:vAlign w:val="center"/>
          </w:tcPr>
          <w:p w14:paraId="66FE3C33" w14:textId="6EEDA70F" w:rsidR="006631A2" w:rsidRPr="00455F25" w:rsidRDefault="002D5F61" w:rsidP="001F2635">
            <w:pPr>
              <w:widowControl w:val="0"/>
              <w:jc w:val="right"/>
              <w:rPr>
                <w:rFonts w:ascii="Arial Narrow" w:eastAsiaTheme="majorEastAsia" w:hAnsi="Arial Narrow" w:cstheme="majorBidi"/>
                <w:bCs/>
                <w:sz w:val="20"/>
                <w:szCs w:val="20"/>
              </w:rPr>
            </w:pPr>
            <w:r w:rsidRPr="002D5F61">
              <w:rPr>
                <w:rFonts w:ascii="Arial Narrow" w:hAnsi="Arial Narrow" w:hint="eastAsia"/>
                <w:color w:val="000000"/>
                <w:w w:val="19"/>
                <w:sz w:val="20"/>
                <w:szCs w:val="20"/>
                <w:shd w:val="solid" w:color="000000" w:fill="000000"/>
                <w:fitText w:val="88" w:id="-663001846"/>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6"/>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6"/>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15CF464E" w14:textId="77777777" w:rsidTr="008C2019">
        <w:tc>
          <w:tcPr>
            <w:tcW w:w="4815" w:type="dxa"/>
            <w:tcBorders>
              <w:top w:val="nil"/>
              <w:bottom w:val="nil"/>
            </w:tcBorders>
          </w:tcPr>
          <w:p w14:paraId="521DF351" w14:textId="77777777" w:rsidR="006631A2" w:rsidRPr="00455F25" w:rsidRDefault="006631A2" w:rsidP="001F2635">
            <w:pPr>
              <w:widowControl w:val="0"/>
              <w:jc w:val="left"/>
              <w:rPr>
                <w:rFonts w:ascii="Arial Narrow" w:hAnsi="Arial Narrow"/>
                <w:b/>
                <w:sz w:val="20"/>
                <w:szCs w:val="20"/>
              </w:rPr>
            </w:pPr>
            <w:r w:rsidRPr="00455F25">
              <w:rPr>
                <w:rFonts w:ascii="Arial Narrow" w:eastAsiaTheme="majorEastAsia" w:hAnsi="Arial Narrow" w:cstheme="majorBidi"/>
                <w:b/>
                <w:sz w:val="20"/>
                <w:szCs w:val="20"/>
              </w:rPr>
              <w:t>#1 and #2 and #5</w:t>
            </w:r>
          </w:p>
        </w:tc>
        <w:tc>
          <w:tcPr>
            <w:tcW w:w="1096" w:type="dxa"/>
            <w:tcBorders>
              <w:top w:val="nil"/>
              <w:bottom w:val="nil"/>
            </w:tcBorders>
            <w:vAlign w:val="center"/>
          </w:tcPr>
          <w:p w14:paraId="620C4FA7" w14:textId="1741E259" w:rsidR="006631A2" w:rsidRPr="00455F25" w:rsidRDefault="006631A2" w:rsidP="001F2635">
            <w:pPr>
              <w:widowControl w:val="0"/>
              <w:jc w:val="right"/>
              <w:rPr>
                <w:rFonts w:ascii="Arial Narrow" w:hAnsi="Arial Narrow"/>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0D58A2B9" w14:textId="77777777" w:rsidR="006631A2" w:rsidRPr="00455F25" w:rsidRDefault="006631A2" w:rsidP="001F2635">
            <w:pPr>
              <w:widowControl w:val="0"/>
              <w:jc w:val="right"/>
              <w:rPr>
                <w:rFonts w:ascii="Arial Narrow" w:hAnsi="Arial Narrow"/>
                <w:sz w:val="20"/>
                <w:szCs w:val="20"/>
              </w:rPr>
            </w:pPr>
            <w:r w:rsidRPr="00455F25">
              <w:rPr>
                <w:rFonts w:ascii="Arial Narrow" w:hAnsi="Arial Narrow"/>
                <w:color w:val="000000"/>
                <w:sz w:val="20"/>
                <w:szCs w:val="20"/>
              </w:rPr>
              <w:t>0.218</w:t>
            </w:r>
          </w:p>
        </w:tc>
        <w:tc>
          <w:tcPr>
            <w:tcW w:w="1131" w:type="dxa"/>
            <w:tcBorders>
              <w:top w:val="nil"/>
              <w:bottom w:val="nil"/>
            </w:tcBorders>
            <w:vAlign w:val="center"/>
          </w:tcPr>
          <w:p w14:paraId="1C6739A6" w14:textId="732B7990" w:rsidR="006631A2" w:rsidRPr="00455F25" w:rsidRDefault="006631A2" w:rsidP="001F2635">
            <w:pPr>
              <w:widowControl w:val="0"/>
              <w:jc w:val="right"/>
              <w:rPr>
                <w:rFonts w:ascii="Arial Narrow" w:hAnsi="Arial Narrow"/>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top w:val="nil"/>
              <w:bottom w:val="nil"/>
            </w:tcBorders>
            <w:vAlign w:val="center"/>
          </w:tcPr>
          <w:p w14:paraId="3F1B4FC0" w14:textId="43B0FFB2" w:rsidR="006631A2" w:rsidRPr="00455F25" w:rsidRDefault="002D5F61" w:rsidP="001F2635">
            <w:pPr>
              <w:widowControl w:val="0"/>
              <w:jc w:val="right"/>
              <w:rPr>
                <w:rFonts w:ascii="Arial Narrow" w:hAnsi="Arial Narrow"/>
                <w:sz w:val="20"/>
                <w:szCs w:val="20"/>
              </w:rPr>
            </w:pPr>
            <w:r w:rsidRPr="002D5F61">
              <w:rPr>
                <w:rFonts w:ascii="Arial Narrow" w:hAnsi="Arial Narrow" w:hint="eastAsia"/>
                <w:color w:val="000000"/>
                <w:w w:val="19"/>
                <w:sz w:val="20"/>
                <w:szCs w:val="20"/>
                <w:shd w:val="solid" w:color="000000" w:fill="000000"/>
                <w:fitText w:val="88" w:id="-663001845"/>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5"/>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5"/>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2354AFAA" w14:textId="77777777" w:rsidTr="008C2019">
        <w:trPr>
          <w:trHeight w:val="126"/>
        </w:trPr>
        <w:tc>
          <w:tcPr>
            <w:tcW w:w="4815" w:type="dxa"/>
            <w:tcBorders>
              <w:top w:val="nil"/>
              <w:bottom w:val="nil"/>
            </w:tcBorders>
          </w:tcPr>
          <w:p w14:paraId="4BC8D1BD" w14:textId="77777777" w:rsidR="006631A2" w:rsidRPr="00455F25" w:rsidRDefault="006631A2" w:rsidP="001F2635">
            <w:pPr>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#3 and #4</w:t>
            </w:r>
          </w:p>
        </w:tc>
        <w:tc>
          <w:tcPr>
            <w:tcW w:w="1096" w:type="dxa"/>
            <w:tcBorders>
              <w:top w:val="nil"/>
              <w:bottom w:val="nil"/>
            </w:tcBorders>
            <w:vAlign w:val="center"/>
          </w:tcPr>
          <w:p w14:paraId="72230A5C" w14:textId="7BA8177F" w:rsidR="006631A2" w:rsidRPr="00455F25" w:rsidRDefault="006631A2" w:rsidP="001F2635">
            <w:pPr>
              <w:widowControl w:val="0"/>
              <w:jc w:val="right"/>
              <w:rPr>
                <w:rFonts w:ascii="Arial Narrow" w:hAnsi="Arial Narrow"/>
                <w:color w:val="000000"/>
                <w:sz w:val="20"/>
                <w:szCs w:val="20"/>
              </w:rPr>
            </w:pPr>
            <w:r w:rsidRPr="006B6260">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45516F4C" w14:textId="77777777"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0.200</w:t>
            </w:r>
          </w:p>
        </w:tc>
        <w:tc>
          <w:tcPr>
            <w:tcW w:w="1131" w:type="dxa"/>
            <w:tcBorders>
              <w:top w:val="nil"/>
              <w:bottom w:val="nil"/>
            </w:tcBorders>
            <w:vAlign w:val="center"/>
          </w:tcPr>
          <w:p w14:paraId="60278475" w14:textId="553C54E4" w:rsidR="006631A2" w:rsidRPr="00455F25" w:rsidRDefault="006631A2" w:rsidP="001F2635">
            <w:pPr>
              <w:widowControl w:val="0"/>
              <w:jc w:val="right"/>
              <w:rPr>
                <w:rFonts w:ascii="Arial Narrow" w:hAnsi="Arial Narrow"/>
                <w:color w:val="000000"/>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top w:val="nil"/>
              <w:bottom w:val="nil"/>
            </w:tcBorders>
            <w:vAlign w:val="center"/>
          </w:tcPr>
          <w:p w14:paraId="67117224" w14:textId="2E8E1BE0" w:rsidR="006631A2" w:rsidRPr="00455F25" w:rsidRDefault="002D5F61" w:rsidP="001F2635">
            <w:pPr>
              <w:widowControl w:val="0"/>
              <w:jc w:val="right"/>
              <w:rPr>
                <w:rFonts w:ascii="Arial Narrow" w:hAnsi="Arial Narrow"/>
                <w:color w:val="000000"/>
                <w:sz w:val="20"/>
                <w:szCs w:val="20"/>
              </w:rPr>
            </w:pPr>
            <w:r w:rsidRPr="002D5F61">
              <w:rPr>
                <w:rFonts w:ascii="Arial Narrow" w:hAnsi="Arial Narrow" w:hint="eastAsia"/>
                <w:color w:val="000000"/>
                <w:w w:val="19"/>
                <w:sz w:val="20"/>
                <w:szCs w:val="20"/>
                <w:shd w:val="solid" w:color="000000" w:fill="000000"/>
                <w:fitText w:val="88" w:id="-663001844"/>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4"/>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4"/>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6631A2" w:rsidRPr="00455F25" w14:paraId="60706B6B" w14:textId="77777777" w:rsidTr="008C2019">
        <w:tc>
          <w:tcPr>
            <w:tcW w:w="4815" w:type="dxa"/>
            <w:tcBorders>
              <w:top w:val="nil"/>
              <w:bottom w:val="single" w:sz="4" w:space="0" w:color="auto"/>
            </w:tcBorders>
          </w:tcPr>
          <w:p w14:paraId="02E3C568" w14:textId="77777777" w:rsidR="006631A2" w:rsidRPr="00455F25" w:rsidRDefault="006631A2" w:rsidP="001F2635">
            <w:pPr>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#3 and #5</w:t>
            </w:r>
          </w:p>
        </w:tc>
        <w:tc>
          <w:tcPr>
            <w:tcW w:w="1096" w:type="dxa"/>
            <w:tcBorders>
              <w:top w:val="nil"/>
              <w:bottom w:val="single" w:sz="4" w:space="0" w:color="auto"/>
            </w:tcBorders>
            <w:vAlign w:val="center"/>
          </w:tcPr>
          <w:p w14:paraId="7718E68B" w14:textId="5486516F" w:rsidR="006631A2" w:rsidRPr="00455F25" w:rsidRDefault="006631A2" w:rsidP="001F2635">
            <w:pPr>
              <w:widowControl w:val="0"/>
              <w:jc w:val="right"/>
              <w:rPr>
                <w:rFonts w:ascii="Arial Narrow" w:hAnsi="Arial Narrow"/>
                <w:color w:val="595454"/>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11515272" w14:textId="77777777" w:rsidR="006631A2" w:rsidRPr="00455F25" w:rsidRDefault="006631A2" w:rsidP="001F2635">
            <w:pPr>
              <w:widowControl w:val="0"/>
              <w:jc w:val="right"/>
              <w:rPr>
                <w:rFonts w:ascii="Arial Narrow" w:hAnsi="Arial Narrow"/>
                <w:color w:val="595454"/>
                <w:sz w:val="20"/>
                <w:szCs w:val="20"/>
              </w:rPr>
            </w:pPr>
            <w:r w:rsidRPr="00455F25">
              <w:rPr>
                <w:rFonts w:ascii="Arial Narrow" w:hAnsi="Arial Narrow"/>
                <w:color w:val="000000"/>
                <w:sz w:val="20"/>
                <w:szCs w:val="20"/>
              </w:rPr>
              <w:t>0.213</w:t>
            </w:r>
          </w:p>
        </w:tc>
        <w:tc>
          <w:tcPr>
            <w:tcW w:w="1131" w:type="dxa"/>
            <w:tcBorders>
              <w:top w:val="nil"/>
              <w:bottom w:val="single" w:sz="4" w:space="0" w:color="auto"/>
            </w:tcBorders>
            <w:vAlign w:val="center"/>
          </w:tcPr>
          <w:p w14:paraId="77D491D6" w14:textId="7A52EADC" w:rsidR="006631A2" w:rsidRPr="00455F25" w:rsidRDefault="006631A2" w:rsidP="001F2635">
            <w:pPr>
              <w:widowControl w:val="0"/>
              <w:jc w:val="right"/>
              <w:rPr>
                <w:rFonts w:ascii="Arial Narrow" w:hAnsi="Arial Narrow"/>
                <w:color w:val="595454"/>
                <w:sz w:val="20"/>
                <w:szCs w:val="20"/>
              </w:rPr>
            </w:pPr>
            <w:r w:rsidRPr="00455F25">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2</w:t>
            </w:r>
          </w:p>
        </w:tc>
        <w:tc>
          <w:tcPr>
            <w:tcW w:w="940" w:type="dxa"/>
            <w:tcBorders>
              <w:top w:val="nil"/>
              <w:bottom w:val="single" w:sz="4" w:space="0" w:color="auto"/>
            </w:tcBorders>
            <w:vAlign w:val="center"/>
          </w:tcPr>
          <w:p w14:paraId="30EBC850" w14:textId="1622C475" w:rsidR="006631A2" w:rsidRPr="00455F25" w:rsidRDefault="002D5F61" w:rsidP="001F2635">
            <w:pPr>
              <w:widowControl w:val="0"/>
              <w:jc w:val="right"/>
              <w:rPr>
                <w:rFonts w:ascii="Arial Narrow" w:hAnsi="Arial Narrow"/>
                <w:color w:val="595454"/>
                <w:sz w:val="20"/>
                <w:szCs w:val="20"/>
              </w:rPr>
            </w:pPr>
            <w:r w:rsidRPr="002D5F61">
              <w:rPr>
                <w:rFonts w:ascii="Arial Narrow" w:hAnsi="Arial Narrow" w:hint="eastAsia"/>
                <w:color w:val="000000"/>
                <w:w w:val="19"/>
                <w:sz w:val="20"/>
                <w:szCs w:val="20"/>
                <w:shd w:val="solid" w:color="000000" w:fill="000000"/>
                <w:fitText w:val="88" w:id="-663001843"/>
                <w14:textFill>
                  <w14:solidFill>
                    <w14:srgbClr w14:val="000000">
                      <w14:alpha w14:val="100000"/>
                    </w14:srgbClr>
                  </w14:solidFill>
                </w14:textFill>
              </w:rPr>
              <w:t xml:space="preserve">　</w:t>
            </w:r>
            <w:r w:rsidRPr="002D5F61">
              <w:rPr>
                <w:rFonts w:ascii="Arial Narrow" w:hAnsi="Arial Narrow"/>
                <w:color w:val="000000"/>
                <w:w w:val="19"/>
                <w:sz w:val="20"/>
                <w:szCs w:val="20"/>
                <w:shd w:val="solid" w:color="000000" w:fill="000000"/>
                <w:fitText w:val="88" w:id="-663001843"/>
                <w14:textFill>
                  <w14:solidFill>
                    <w14:srgbClr w14:val="000000">
                      <w14:alpha w14:val="100000"/>
                    </w14:srgbClr>
                  </w14:solidFill>
                </w14:textFill>
              </w:rPr>
              <w:t>|</w:t>
            </w:r>
            <w:r w:rsidRPr="002D5F61">
              <w:rPr>
                <w:rFonts w:ascii="Arial Narrow" w:hAnsi="Arial Narrow" w:hint="eastAsia"/>
                <w:color w:val="000000"/>
                <w:spacing w:val="4"/>
                <w:w w:val="19"/>
                <w:sz w:val="20"/>
                <w:szCs w:val="20"/>
                <w:shd w:val="solid" w:color="000000" w:fill="000000"/>
                <w:fitText w:val="88" w:id="-663001843"/>
                <w14:textFill>
                  <w14:solidFill>
                    <w14:srgbClr w14:val="000000">
                      <w14:alpha w14:val="100000"/>
                    </w14:srgbClr>
                  </w14:solidFill>
                </w14:textFill>
              </w:rPr>
              <w:t xml:space="preserve">　</w:t>
            </w:r>
            <w:r w:rsidR="006631A2" w:rsidRPr="00455F25">
              <w:rPr>
                <w:rFonts w:ascii="Arial Narrow" w:hAnsi="Arial Narrow"/>
                <w:color w:val="000000"/>
                <w:sz w:val="20"/>
                <w:szCs w:val="20"/>
              </w:rPr>
              <w:t>%</w:t>
            </w:r>
          </w:p>
        </w:tc>
      </w:tr>
      <w:tr w:rsidR="00995FB5" w:rsidRPr="007D3D63" w14:paraId="42D53E1F" w14:textId="77777777" w:rsidTr="00677AE6">
        <w:tc>
          <w:tcPr>
            <w:tcW w:w="9017" w:type="dxa"/>
            <w:gridSpan w:val="5"/>
            <w:tcBorders>
              <w:top w:val="nil"/>
              <w:bottom w:val="single" w:sz="4" w:space="0" w:color="auto"/>
            </w:tcBorders>
            <w:shd w:val="clear" w:color="auto" w:fill="D9D9D9" w:themeFill="background1" w:themeFillShade="D9"/>
          </w:tcPr>
          <w:p w14:paraId="5E2B6BD9" w14:textId="1EBDAF53" w:rsidR="00995FB5" w:rsidRPr="007D3D63" w:rsidRDefault="00995FB5" w:rsidP="001F2635">
            <w:pPr>
              <w:widowControl w:val="0"/>
              <w:jc w:val="left"/>
              <w:rPr>
                <w:rFonts w:ascii="Arial Narrow" w:hAnsi="Arial Narrow"/>
                <w:color w:val="000000"/>
                <w:sz w:val="20"/>
                <w:szCs w:val="20"/>
              </w:rPr>
            </w:pPr>
            <w:r w:rsidRPr="007D3D63">
              <w:rPr>
                <w:rFonts w:ascii="Arial Narrow" w:eastAsiaTheme="majorEastAsia" w:hAnsi="Arial Narrow" w:cstheme="majorBidi"/>
                <w:b/>
                <w:sz w:val="20"/>
                <w:szCs w:val="20"/>
              </w:rPr>
              <w:t>PSCR</w:t>
            </w:r>
          </w:p>
        </w:tc>
      </w:tr>
      <w:tr w:rsidR="007F3DC7" w:rsidRPr="007D3D63" w14:paraId="7DFC20ED" w14:textId="77777777" w:rsidTr="008C2019">
        <w:tc>
          <w:tcPr>
            <w:tcW w:w="4815" w:type="dxa"/>
            <w:tcBorders>
              <w:top w:val="nil"/>
              <w:bottom w:val="single" w:sz="4" w:space="0" w:color="auto"/>
            </w:tcBorders>
          </w:tcPr>
          <w:p w14:paraId="594FA403" w14:textId="4180C9D3" w:rsidR="007F3DC7" w:rsidRPr="007D3D63" w:rsidRDefault="007F3DC7" w:rsidP="001F2635">
            <w:pPr>
              <w:pStyle w:val="TableText0"/>
              <w:keepNext w:val="0"/>
              <w:keepLines w:val="0"/>
              <w:widowControl w:val="0"/>
            </w:pPr>
            <w:r w:rsidRPr="007D3D63">
              <w:t>PSCR base case: 5% discount rate, truncation point 20% at risk, apply RDI to average dose, patient weight 64.8 kg</w:t>
            </w:r>
          </w:p>
        </w:tc>
        <w:tc>
          <w:tcPr>
            <w:tcW w:w="1096" w:type="dxa"/>
            <w:tcBorders>
              <w:top w:val="nil"/>
              <w:bottom w:val="single" w:sz="4" w:space="0" w:color="auto"/>
            </w:tcBorders>
          </w:tcPr>
          <w:p w14:paraId="5F53E4F9" w14:textId="69AB7927" w:rsidR="007F3DC7" w:rsidRPr="007D3D63" w:rsidRDefault="007F3DC7" w:rsidP="001F2635">
            <w:pPr>
              <w:widowControl w:val="0"/>
              <w:jc w:val="right"/>
              <w:rPr>
                <w:rFonts w:ascii="Arial Narrow" w:hAnsi="Arial Narrow"/>
                <w:color w:val="000000"/>
                <w:sz w:val="20"/>
                <w:szCs w:val="20"/>
              </w:rPr>
            </w:pPr>
            <w:r w:rsidRPr="007D3D63">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tcPr>
          <w:p w14:paraId="30841527" w14:textId="361DDE03" w:rsidR="007F3DC7" w:rsidRPr="007D3D63" w:rsidRDefault="007F3DC7" w:rsidP="001F2635">
            <w:pPr>
              <w:widowControl w:val="0"/>
              <w:jc w:val="right"/>
              <w:rPr>
                <w:rFonts w:ascii="Arial Narrow" w:hAnsi="Arial Narrow"/>
                <w:color w:val="000000"/>
                <w:sz w:val="20"/>
                <w:szCs w:val="20"/>
              </w:rPr>
            </w:pPr>
            <w:r w:rsidRPr="007D3D63">
              <w:rPr>
                <w:rFonts w:ascii="Arial Narrow" w:hAnsi="Arial Narrow"/>
                <w:color w:val="000000"/>
                <w:sz w:val="20"/>
                <w:szCs w:val="20"/>
              </w:rPr>
              <w:t>0.342</w:t>
            </w:r>
          </w:p>
        </w:tc>
        <w:tc>
          <w:tcPr>
            <w:tcW w:w="1131" w:type="dxa"/>
            <w:tcBorders>
              <w:top w:val="nil"/>
              <w:bottom w:val="single" w:sz="4" w:space="0" w:color="auto"/>
            </w:tcBorders>
          </w:tcPr>
          <w:p w14:paraId="562C33D6" w14:textId="01615461" w:rsidR="007F3DC7" w:rsidRPr="007D3D63" w:rsidRDefault="007F3DC7" w:rsidP="001F2635">
            <w:pPr>
              <w:widowControl w:val="0"/>
              <w:jc w:val="right"/>
              <w:rPr>
                <w:rFonts w:ascii="Arial Narrow" w:hAnsi="Arial Narrow"/>
                <w:color w:val="000000"/>
                <w:sz w:val="20"/>
                <w:szCs w:val="20"/>
              </w:rPr>
            </w:pPr>
            <w:r w:rsidRPr="007D3D63">
              <w:rPr>
                <w:rFonts w:ascii="Arial Narrow" w:hAnsi="Arial Narrow"/>
                <w:color w:val="000000"/>
                <w:sz w:val="20"/>
                <w:szCs w:val="20"/>
              </w:rPr>
              <w:t>$</w:t>
            </w:r>
            <w:r w:rsidR="002D5F61" w:rsidRPr="002D5F61">
              <w:rPr>
                <w:rFonts w:ascii="Arial Narrow" w:hAnsi="Arial Narrow"/>
                <w:color w:val="000000"/>
                <w:sz w:val="20"/>
                <w:szCs w:val="20"/>
                <w:shd w:val="solid" w:color="000000" w:fill="000000"/>
                <w14:textFill>
                  <w14:solidFill>
                    <w14:srgbClr w14:val="000000">
                      <w14:alpha w14:val="100000"/>
                    </w14:srgbClr>
                  </w14:solidFill>
                </w14:textFill>
              </w:rPr>
              <w:t>|</w:t>
            </w:r>
            <w:r w:rsidR="00AC0EA5">
              <w:rPr>
                <w:rFonts w:ascii="Arial Narrow" w:hAnsi="Arial Narrow"/>
                <w:b/>
                <w:bCs/>
                <w:color w:val="000000"/>
                <w:sz w:val="20"/>
                <w:szCs w:val="20"/>
              </w:rPr>
              <w:t xml:space="preserve"> </w:t>
            </w:r>
            <w:r w:rsidR="00AC0EA5">
              <w:rPr>
                <w:rFonts w:ascii="Arial Narrow" w:hAnsi="Arial Narrow"/>
                <w:b/>
                <w:bCs/>
                <w:color w:val="000000"/>
                <w:sz w:val="20"/>
                <w:szCs w:val="20"/>
                <w:vertAlign w:val="superscript"/>
              </w:rPr>
              <w:t>4</w:t>
            </w:r>
          </w:p>
        </w:tc>
        <w:tc>
          <w:tcPr>
            <w:tcW w:w="940" w:type="dxa"/>
            <w:tcBorders>
              <w:top w:val="nil"/>
              <w:bottom w:val="single" w:sz="4" w:space="0" w:color="auto"/>
            </w:tcBorders>
          </w:tcPr>
          <w:p w14:paraId="78CD7B32" w14:textId="538F57A1" w:rsidR="007F3DC7" w:rsidRPr="007D3D63" w:rsidRDefault="007F3DC7" w:rsidP="001F2635">
            <w:pPr>
              <w:widowControl w:val="0"/>
              <w:jc w:val="right"/>
              <w:rPr>
                <w:rFonts w:ascii="Arial Narrow" w:hAnsi="Arial Narrow"/>
                <w:color w:val="000000"/>
                <w:sz w:val="20"/>
                <w:szCs w:val="20"/>
              </w:rPr>
            </w:pPr>
            <w:r w:rsidRPr="007D3D63">
              <w:rPr>
                <w:rFonts w:ascii="Arial Narrow" w:hAnsi="Arial Narrow"/>
                <w:color w:val="000000"/>
                <w:sz w:val="20"/>
                <w:szCs w:val="20"/>
              </w:rPr>
              <w:t>-</w:t>
            </w:r>
            <w:r w:rsidR="002D5F61" w:rsidRPr="002D5F61">
              <w:rPr>
                <w:rFonts w:ascii="Arial Narrow" w:hAnsi="Arial Narrow" w:hint="eastAsia"/>
                <w:color w:val="000000"/>
                <w:w w:val="32"/>
                <w:sz w:val="20"/>
                <w:szCs w:val="20"/>
                <w:shd w:val="solid" w:color="000000" w:fill="000000"/>
                <w:fitText w:val="142" w:id="-663001842"/>
                <w14:textFill>
                  <w14:solidFill>
                    <w14:srgbClr w14:val="000000">
                      <w14:alpha w14:val="100000"/>
                    </w14:srgbClr>
                  </w14:solidFill>
                </w14:textFill>
              </w:rPr>
              <w:t xml:space="preserve">　</w:t>
            </w:r>
            <w:r w:rsidR="002D5F61" w:rsidRPr="002D5F61">
              <w:rPr>
                <w:rFonts w:ascii="Arial Narrow" w:hAnsi="Arial Narrow"/>
                <w:color w:val="000000"/>
                <w:w w:val="32"/>
                <w:sz w:val="20"/>
                <w:szCs w:val="20"/>
                <w:shd w:val="solid" w:color="000000" w:fill="000000"/>
                <w:fitText w:val="142" w:id="-663001842"/>
                <w14:textFill>
                  <w14:solidFill>
                    <w14:srgbClr w14:val="000000">
                      <w14:alpha w14:val="100000"/>
                    </w14:srgbClr>
                  </w14:solidFill>
                </w14:textFill>
              </w:rPr>
              <w:t>|</w:t>
            </w:r>
            <w:r w:rsidR="002D5F61" w:rsidRPr="002D5F61">
              <w:rPr>
                <w:rFonts w:ascii="Arial Narrow" w:hAnsi="Arial Narrow" w:hint="eastAsia"/>
                <w:color w:val="000000"/>
                <w:w w:val="32"/>
                <w:sz w:val="20"/>
                <w:szCs w:val="20"/>
                <w:shd w:val="solid" w:color="000000" w:fill="000000"/>
                <w:fitText w:val="142" w:id="-663001842"/>
                <w14:textFill>
                  <w14:solidFill>
                    <w14:srgbClr w14:val="000000">
                      <w14:alpha w14:val="100000"/>
                    </w14:srgbClr>
                  </w14:solidFill>
                </w14:textFill>
              </w:rPr>
              <w:t xml:space="preserve">　</w:t>
            </w:r>
            <w:r w:rsidRPr="007D3D63">
              <w:rPr>
                <w:rFonts w:ascii="Arial Narrow" w:hAnsi="Arial Narrow"/>
                <w:color w:val="000000"/>
                <w:sz w:val="20"/>
                <w:szCs w:val="20"/>
              </w:rPr>
              <w:t>%</w:t>
            </w:r>
          </w:p>
        </w:tc>
      </w:tr>
      <w:tr w:rsidR="007F3DC7" w:rsidRPr="007D3D63" w14:paraId="146538AE" w14:textId="77777777" w:rsidTr="00677AE6">
        <w:tc>
          <w:tcPr>
            <w:tcW w:w="9017" w:type="dxa"/>
            <w:gridSpan w:val="5"/>
            <w:tcBorders>
              <w:top w:val="single" w:sz="4" w:space="0" w:color="auto"/>
              <w:bottom w:val="single" w:sz="4" w:space="0" w:color="auto"/>
            </w:tcBorders>
            <w:shd w:val="clear" w:color="auto" w:fill="D9D9D9" w:themeFill="background1" w:themeFillShade="D9"/>
          </w:tcPr>
          <w:p w14:paraId="0190359B" w14:textId="2BAE007B" w:rsidR="007F3DC7" w:rsidRPr="007D3D63" w:rsidRDefault="007F3DC7" w:rsidP="001F2635">
            <w:pPr>
              <w:widowControl w:val="0"/>
              <w:jc w:val="left"/>
              <w:rPr>
                <w:rFonts w:ascii="Arial Narrow" w:hAnsi="Arial Narrow"/>
                <w:color w:val="000000"/>
                <w:sz w:val="20"/>
                <w:szCs w:val="20"/>
              </w:rPr>
            </w:pPr>
            <w:r w:rsidRPr="007D3D63">
              <w:rPr>
                <w:rFonts w:ascii="Arial Narrow" w:eastAsiaTheme="majorEastAsia" w:hAnsi="Arial Narrow" w:cstheme="majorBidi"/>
                <w:b/>
                <w:sz w:val="20"/>
                <w:szCs w:val="20"/>
              </w:rPr>
              <w:t>ESC Respecified base case</w:t>
            </w:r>
          </w:p>
        </w:tc>
      </w:tr>
      <w:tr w:rsidR="00483E2B" w:rsidRPr="007D3D63" w14:paraId="487BDBD6" w14:textId="77777777" w:rsidTr="008C2019">
        <w:tc>
          <w:tcPr>
            <w:tcW w:w="4815" w:type="dxa"/>
            <w:tcBorders>
              <w:top w:val="single" w:sz="4" w:space="0" w:color="auto"/>
              <w:bottom w:val="single" w:sz="4" w:space="0" w:color="auto"/>
            </w:tcBorders>
          </w:tcPr>
          <w:p w14:paraId="0A245D90" w14:textId="6E8EA04D" w:rsidR="00483E2B" w:rsidRPr="007D3D63" w:rsidRDefault="00DA6B12" w:rsidP="001F2635">
            <w:pPr>
              <w:pStyle w:val="TableText0"/>
              <w:keepNext w:val="0"/>
              <w:keepLines w:val="0"/>
              <w:widowControl w:val="0"/>
            </w:pPr>
            <w:r w:rsidRPr="007D3D63">
              <w:rPr>
                <w:bCs w:val="0"/>
                <w:color w:val="000000" w:themeColor="text1"/>
                <w:szCs w:val="20"/>
              </w:rPr>
              <w:t xml:space="preserve">Step 1 - </w:t>
            </w:r>
            <w:r w:rsidR="00483E2B" w:rsidRPr="007D3D63">
              <w:rPr>
                <w:bCs w:val="0"/>
                <w:color w:val="000000" w:themeColor="text1"/>
                <w:szCs w:val="20"/>
              </w:rPr>
              <w:t>4 Year TH</w:t>
            </w:r>
          </w:p>
        </w:tc>
        <w:tc>
          <w:tcPr>
            <w:tcW w:w="1096" w:type="dxa"/>
            <w:tcBorders>
              <w:top w:val="single" w:sz="4" w:space="0" w:color="auto"/>
              <w:bottom w:val="single" w:sz="4" w:space="0" w:color="auto"/>
            </w:tcBorders>
          </w:tcPr>
          <w:p w14:paraId="30260CBE" w14:textId="0C81805F" w:rsidR="00483E2B" w:rsidRPr="007D3D63" w:rsidRDefault="00483E2B" w:rsidP="001F2635">
            <w:pPr>
              <w:pStyle w:val="TableText0"/>
              <w:keepNext w:val="0"/>
              <w:keepLines w:val="0"/>
              <w:widowControl w:val="0"/>
              <w:jc w:val="right"/>
            </w:pPr>
            <w:r w:rsidRPr="007D3D63">
              <w:rPr>
                <w:bCs w:val="0"/>
                <w:color w:val="000000" w:themeColor="text1"/>
                <w:szCs w:val="20"/>
              </w:rPr>
              <w:t>$</w:t>
            </w:r>
            <w:r w:rsidR="002D5F61" w:rsidRPr="002D5F61">
              <w:rPr>
                <w:bCs w:val="0"/>
                <w:color w:val="000000" w:themeColor="text1"/>
                <w:szCs w:val="20"/>
                <w:shd w:val="solid" w:color="000000" w:fill="000000"/>
                <w14:textFill>
                  <w14:solidFill>
                    <w14:schemeClr w14:val="tx1">
                      <w14:alpha w14:val="100000"/>
                    </w14:schemeClr>
                  </w14:solidFill>
                </w14:textFill>
              </w:rPr>
              <w:t>|</w:t>
            </w:r>
          </w:p>
        </w:tc>
        <w:tc>
          <w:tcPr>
            <w:tcW w:w="1035" w:type="dxa"/>
            <w:tcBorders>
              <w:top w:val="single" w:sz="4" w:space="0" w:color="auto"/>
              <w:bottom w:val="single" w:sz="4" w:space="0" w:color="auto"/>
            </w:tcBorders>
          </w:tcPr>
          <w:p w14:paraId="3EC3AE0A" w14:textId="48F014D6" w:rsidR="00483E2B" w:rsidRPr="007D3D63" w:rsidRDefault="00483E2B" w:rsidP="001F2635">
            <w:pPr>
              <w:pStyle w:val="TableText0"/>
              <w:keepNext w:val="0"/>
              <w:keepLines w:val="0"/>
              <w:widowControl w:val="0"/>
              <w:jc w:val="right"/>
            </w:pPr>
            <w:r w:rsidRPr="007D3D63">
              <w:rPr>
                <w:bCs w:val="0"/>
                <w:color w:val="000000" w:themeColor="text1"/>
                <w:szCs w:val="20"/>
              </w:rPr>
              <w:t>0.306</w:t>
            </w:r>
          </w:p>
        </w:tc>
        <w:tc>
          <w:tcPr>
            <w:tcW w:w="1131" w:type="dxa"/>
            <w:tcBorders>
              <w:top w:val="single" w:sz="4" w:space="0" w:color="auto"/>
              <w:bottom w:val="single" w:sz="4" w:space="0" w:color="auto"/>
            </w:tcBorders>
          </w:tcPr>
          <w:p w14:paraId="73F88760" w14:textId="7F78F980" w:rsidR="00483E2B" w:rsidRPr="007D3D63" w:rsidRDefault="00483E2B" w:rsidP="001F2635">
            <w:pPr>
              <w:pStyle w:val="TableText0"/>
              <w:keepNext w:val="0"/>
              <w:keepLines w:val="0"/>
              <w:widowControl w:val="0"/>
              <w:jc w:val="right"/>
            </w:pPr>
            <w:r w:rsidRPr="007D3D63">
              <w:rPr>
                <w:bCs w:val="0"/>
                <w:color w:val="000000" w:themeColor="text1"/>
                <w:szCs w:val="20"/>
              </w:rPr>
              <w:t>$</w:t>
            </w:r>
            <w:r w:rsidR="002D5F61" w:rsidRPr="002D5F61">
              <w:rPr>
                <w:bCs w:val="0"/>
                <w:color w:val="000000" w:themeColor="text1"/>
                <w:szCs w:val="20"/>
                <w:shd w:val="solid" w:color="000000" w:fill="000000"/>
                <w14:textFill>
                  <w14:solidFill>
                    <w14:schemeClr w14:val="tx1">
                      <w14:alpha w14:val="100000"/>
                    </w14:schemeClr>
                  </w14:solidFill>
                </w14:textFill>
              </w:rPr>
              <w:t>|</w:t>
            </w:r>
            <w:r w:rsidR="00AC0EA5">
              <w:rPr>
                <w:b/>
                <w:bCs w:val="0"/>
                <w:color w:val="000000"/>
                <w:szCs w:val="20"/>
              </w:rPr>
              <w:t xml:space="preserve"> </w:t>
            </w:r>
            <w:r w:rsidR="00AC0EA5">
              <w:rPr>
                <w:b/>
                <w:bCs w:val="0"/>
                <w:color w:val="000000"/>
                <w:szCs w:val="20"/>
                <w:vertAlign w:val="superscript"/>
              </w:rPr>
              <w:t>3</w:t>
            </w:r>
          </w:p>
        </w:tc>
        <w:tc>
          <w:tcPr>
            <w:tcW w:w="940" w:type="dxa"/>
            <w:tcBorders>
              <w:top w:val="single" w:sz="4" w:space="0" w:color="auto"/>
              <w:bottom w:val="single" w:sz="4" w:space="0" w:color="auto"/>
            </w:tcBorders>
          </w:tcPr>
          <w:p w14:paraId="206E7499" w14:textId="2037B409" w:rsidR="00483E2B" w:rsidRPr="007D3D63" w:rsidRDefault="002D5F61" w:rsidP="001F2635">
            <w:pPr>
              <w:pStyle w:val="TableText0"/>
              <w:keepNext w:val="0"/>
              <w:keepLines w:val="0"/>
              <w:widowControl w:val="0"/>
              <w:jc w:val="right"/>
            </w:pPr>
            <w:r w:rsidRPr="002D5F61">
              <w:rPr>
                <w:rFonts w:hint="eastAsia"/>
                <w:bCs w:val="0"/>
                <w:color w:val="000000" w:themeColor="text1"/>
                <w:w w:val="19"/>
                <w:szCs w:val="20"/>
                <w:shd w:val="solid" w:color="000000" w:fill="000000"/>
                <w:fitText w:val="88" w:id="-663001841"/>
                <w14:textFill>
                  <w14:solidFill>
                    <w14:schemeClr w14:val="tx1">
                      <w14:alpha w14:val="100000"/>
                    </w14:schemeClr>
                  </w14:solidFill>
                </w14:textFill>
              </w:rPr>
              <w:t xml:space="preserve">　</w:t>
            </w:r>
            <w:r w:rsidRPr="002D5F61">
              <w:rPr>
                <w:bCs w:val="0"/>
                <w:color w:val="000000" w:themeColor="text1"/>
                <w:w w:val="19"/>
                <w:szCs w:val="20"/>
                <w:shd w:val="solid" w:color="000000" w:fill="000000"/>
                <w:fitText w:val="88" w:id="-663001841"/>
                <w14:textFill>
                  <w14:solidFill>
                    <w14:schemeClr w14:val="tx1">
                      <w14:alpha w14:val="100000"/>
                    </w14:schemeClr>
                  </w14:solidFill>
                </w14:textFill>
              </w:rPr>
              <w:t>|</w:t>
            </w:r>
            <w:r w:rsidRPr="002D5F61">
              <w:rPr>
                <w:rFonts w:hint="eastAsia"/>
                <w:bCs w:val="0"/>
                <w:color w:val="000000" w:themeColor="text1"/>
                <w:spacing w:val="4"/>
                <w:w w:val="19"/>
                <w:szCs w:val="20"/>
                <w:shd w:val="solid" w:color="000000" w:fill="000000"/>
                <w:fitText w:val="88" w:id="-663001841"/>
                <w14:textFill>
                  <w14:solidFill>
                    <w14:schemeClr w14:val="tx1">
                      <w14:alpha w14:val="100000"/>
                    </w14:schemeClr>
                  </w14:solidFill>
                </w14:textFill>
              </w:rPr>
              <w:t xml:space="preserve">　</w:t>
            </w:r>
            <w:r w:rsidR="00483E2B" w:rsidRPr="007D3D63">
              <w:rPr>
                <w:bCs w:val="0"/>
                <w:color w:val="000000" w:themeColor="text1"/>
                <w:szCs w:val="20"/>
              </w:rPr>
              <w:t>%</w:t>
            </w:r>
          </w:p>
        </w:tc>
      </w:tr>
      <w:tr w:rsidR="00483E2B" w:rsidRPr="007D3D63" w14:paraId="62F4DB56" w14:textId="77777777" w:rsidTr="008C2019">
        <w:tc>
          <w:tcPr>
            <w:tcW w:w="4815" w:type="dxa"/>
            <w:tcBorders>
              <w:top w:val="single" w:sz="4" w:space="0" w:color="auto"/>
              <w:bottom w:val="single" w:sz="4" w:space="0" w:color="auto"/>
            </w:tcBorders>
          </w:tcPr>
          <w:p w14:paraId="30806DE2" w14:textId="6C69356A" w:rsidR="00483E2B" w:rsidRPr="007D3D63" w:rsidRDefault="00DA6B12" w:rsidP="001F2635">
            <w:pPr>
              <w:pStyle w:val="TableText0"/>
              <w:keepNext w:val="0"/>
              <w:keepLines w:val="0"/>
              <w:widowControl w:val="0"/>
            </w:pPr>
            <w:r w:rsidRPr="007D3D63">
              <w:t xml:space="preserve">Step 2 - </w:t>
            </w:r>
            <w:r w:rsidR="00483E2B" w:rsidRPr="007D3D63">
              <w:t xml:space="preserve">4 Year TH and TP as estimated from </w:t>
            </w:r>
            <w:proofErr w:type="spellStart"/>
            <w:r w:rsidR="00483E2B" w:rsidRPr="007D3D63">
              <w:t>Gebski</w:t>
            </w:r>
            <w:proofErr w:type="spellEnd"/>
          </w:p>
        </w:tc>
        <w:tc>
          <w:tcPr>
            <w:tcW w:w="1096" w:type="dxa"/>
            <w:tcBorders>
              <w:top w:val="single" w:sz="4" w:space="0" w:color="auto"/>
              <w:bottom w:val="single" w:sz="4" w:space="0" w:color="auto"/>
            </w:tcBorders>
            <w:vAlign w:val="center"/>
          </w:tcPr>
          <w:p w14:paraId="4A043AFC" w14:textId="12B67368" w:rsidR="00483E2B" w:rsidRPr="007D3D63" w:rsidRDefault="00483E2B" w:rsidP="001F2635">
            <w:pPr>
              <w:pStyle w:val="TableText0"/>
              <w:keepNext w:val="0"/>
              <w:keepLines w:val="0"/>
              <w:widowControl w:val="0"/>
              <w:jc w:val="right"/>
            </w:pPr>
            <w:r w:rsidRPr="007D3D63">
              <w:t>$</w:t>
            </w:r>
            <w:r w:rsidR="002D5F61" w:rsidRPr="002D5F61">
              <w:rPr>
                <w:color w:val="000000"/>
                <w:shd w:val="solid" w:color="000000" w:fill="000000"/>
                <w14:textFill>
                  <w14:solidFill>
                    <w14:srgbClr w14:val="000000">
                      <w14:alpha w14:val="100000"/>
                    </w14:srgbClr>
                  </w14:solidFill>
                </w14:textFill>
              </w:rPr>
              <w:t>|</w:t>
            </w:r>
          </w:p>
        </w:tc>
        <w:tc>
          <w:tcPr>
            <w:tcW w:w="1035" w:type="dxa"/>
            <w:tcBorders>
              <w:top w:val="single" w:sz="4" w:space="0" w:color="auto"/>
              <w:bottom w:val="single" w:sz="4" w:space="0" w:color="auto"/>
            </w:tcBorders>
            <w:vAlign w:val="center"/>
          </w:tcPr>
          <w:p w14:paraId="1F57C51E" w14:textId="2D1B82C3" w:rsidR="00483E2B" w:rsidRPr="007D3D63" w:rsidRDefault="00483E2B" w:rsidP="001F2635">
            <w:pPr>
              <w:pStyle w:val="TableText0"/>
              <w:keepNext w:val="0"/>
              <w:keepLines w:val="0"/>
              <w:widowControl w:val="0"/>
              <w:jc w:val="right"/>
            </w:pPr>
            <w:r w:rsidRPr="007D3D63">
              <w:t>0.285</w:t>
            </w:r>
          </w:p>
        </w:tc>
        <w:tc>
          <w:tcPr>
            <w:tcW w:w="1131" w:type="dxa"/>
            <w:tcBorders>
              <w:top w:val="single" w:sz="4" w:space="0" w:color="auto"/>
              <w:bottom w:val="single" w:sz="4" w:space="0" w:color="auto"/>
            </w:tcBorders>
            <w:vAlign w:val="center"/>
          </w:tcPr>
          <w:p w14:paraId="0531D523" w14:textId="7F74A9CF" w:rsidR="00483E2B" w:rsidRPr="007D3D63" w:rsidRDefault="00483E2B" w:rsidP="001F2635">
            <w:pPr>
              <w:pStyle w:val="TableText0"/>
              <w:keepNext w:val="0"/>
              <w:keepLines w:val="0"/>
              <w:widowControl w:val="0"/>
              <w:jc w:val="right"/>
            </w:pPr>
            <w:r w:rsidRPr="007D3D63">
              <w:t>$</w:t>
            </w:r>
            <w:r w:rsidR="002D5F61" w:rsidRPr="002D5F61">
              <w:rPr>
                <w:color w:val="000000"/>
                <w:shd w:val="solid" w:color="000000" w:fill="000000"/>
                <w14:textFill>
                  <w14:solidFill>
                    <w14:srgbClr w14:val="000000">
                      <w14:alpha w14:val="100000"/>
                    </w14:srgbClr>
                  </w14:solidFill>
                </w14:textFill>
              </w:rPr>
              <w:t>|</w:t>
            </w:r>
            <w:r w:rsidR="00AC0EA5">
              <w:rPr>
                <w:b/>
                <w:bCs w:val="0"/>
                <w:color w:val="000000"/>
                <w:szCs w:val="20"/>
              </w:rPr>
              <w:t xml:space="preserve"> </w:t>
            </w:r>
            <w:r w:rsidR="00AC0EA5">
              <w:rPr>
                <w:b/>
                <w:bCs w:val="0"/>
                <w:color w:val="000000"/>
                <w:szCs w:val="20"/>
                <w:vertAlign w:val="superscript"/>
              </w:rPr>
              <w:t>2</w:t>
            </w:r>
          </w:p>
        </w:tc>
        <w:tc>
          <w:tcPr>
            <w:tcW w:w="940" w:type="dxa"/>
            <w:tcBorders>
              <w:top w:val="single" w:sz="4" w:space="0" w:color="auto"/>
              <w:bottom w:val="single" w:sz="4" w:space="0" w:color="auto"/>
            </w:tcBorders>
            <w:vAlign w:val="center"/>
          </w:tcPr>
          <w:p w14:paraId="63CA4CE5" w14:textId="1CBD723F" w:rsidR="00483E2B" w:rsidRPr="007D3D63" w:rsidRDefault="002D5F61" w:rsidP="001F2635">
            <w:pPr>
              <w:pStyle w:val="TableText0"/>
              <w:keepNext w:val="0"/>
              <w:keepLines w:val="0"/>
              <w:widowControl w:val="0"/>
              <w:jc w:val="right"/>
            </w:pPr>
            <w:r w:rsidRPr="002D5F61">
              <w:rPr>
                <w:rFonts w:hint="eastAsia"/>
                <w:color w:val="000000"/>
                <w:w w:val="19"/>
                <w:shd w:val="solid" w:color="000000" w:fill="000000"/>
                <w:fitText w:val="88" w:id="-663001840"/>
                <w14:textFill>
                  <w14:solidFill>
                    <w14:srgbClr w14:val="000000">
                      <w14:alpha w14:val="100000"/>
                    </w14:srgbClr>
                  </w14:solidFill>
                </w14:textFill>
              </w:rPr>
              <w:t xml:space="preserve">　</w:t>
            </w:r>
            <w:r w:rsidRPr="002D5F61">
              <w:rPr>
                <w:color w:val="000000"/>
                <w:w w:val="19"/>
                <w:shd w:val="solid" w:color="000000" w:fill="000000"/>
                <w:fitText w:val="88" w:id="-663001840"/>
                <w14:textFill>
                  <w14:solidFill>
                    <w14:srgbClr w14:val="000000">
                      <w14:alpha w14:val="100000"/>
                    </w14:srgbClr>
                  </w14:solidFill>
                </w14:textFill>
              </w:rPr>
              <w:t>|</w:t>
            </w:r>
            <w:r w:rsidRPr="002D5F61">
              <w:rPr>
                <w:rFonts w:hint="eastAsia"/>
                <w:color w:val="000000"/>
                <w:spacing w:val="4"/>
                <w:w w:val="19"/>
                <w:shd w:val="solid" w:color="000000" w:fill="000000"/>
                <w:fitText w:val="88" w:id="-663001840"/>
                <w14:textFill>
                  <w14:solidFill>
                    <w14:srgbClr w14:val="000000">
                      <w14:alpha w14:val="100000"/>
                    </w14:srgbClr>
                  </w14:solidFill>
                </w14:textFill>
              </w:rPr>
              <w:t xml:space="preserve">　</w:t>
            </w:r>
            <w:r w:rsidR="00483E2B" w:rsidRPr="007D3D63">
              <w:t>%</w:t>
            </w:r>
          </w:p>
        </w:tc>
      </w:tr>
      <w:tr w:rsidR="00483E2B" w:rsidRPr="007D3D63" w14:paraId="2D4CCC20" w14:textId="77777777" w:rsidTr="008C2019">
        <w:tc>
          <w:tcPr>
            <w:tcW w:w="4815" w:type="dxa"/>
            <w:tcBorders>
              <w:top w:val="single" w:sz="4" w:space="0" w:color="auto"/>
              <w:bottom w:val="single" w:sz="4" w:space="0" w:color="auto"/>
            </w:tcBorders>
          </w:tcPr>
          <w:p w14:paraId="4D778589" w14:textId="1A1E6953" w:rsidR="00483E2B" w:rsidRPr="007D3D63" w:rsidRDefault="00DA6B12" w:rsidP="001F2635">
            <w:pPr>
              <w:pStyle w:val="TableText0"/>
              <w:keepNext w:val="0"/>
              <w:keepLines w:val="0"/>
              <w:widowControl w:val="0"/>
            </w:pPr>
            <w:r w:rsidRPr="007D3D63">
              <w:t xml:space="preserve">Step 3 - </w:t>
            </w:r>
            <w:r w:rsidR="00483E2B" w:rsidRPr="007D3D63">
              <w:t>4 Year TH and Weibull for both T-</w:t>
            </w:r>
            <w:proofErr w:type="spellStart"/>
            <w:r w:rsidR="00483E2B" w:rsidRPr="007D3D63">
              <w:t>DXd</w:t>
            </w:r>
            <w:proofErr w:type="spellEnd"/>
            <w:r w:rsidR="00483E2B" w:rsidRPr="007D3D63">
              <w:t>: and SoC</w:t>
            </w:r>
          </w:p>
        </w:tc>
        <w:tc>
          <w:tcPr>
            <w:tcW w:w="1096" w:type="dxa"/>
            <w:tcBorders>
              <w:top w:val="single" w:sz="4" w:space="0" w:color="auto"/>
              <w:bottom w:val="single" w:sz="4" w:space="0" w:color="auto"/>
            </w:tcBorders>
            <w:vAlign w:val="center"/>
          </w:tcPr>
          <w:p w14:paraId="7D4ABB26" w14:textId="6E056CB9" w:rsidR="00483E2B" w:rsidRPr="007D3D63" w:rsidRDefault="00483E2B" w:rsidP="001F2635">
            <w:pPr>
              <w:pStyle w:val="TableText0"/>
              <w:keepNext w:val="0"/>
              <w:keepLines w:val="0"/>
              <w:widowControl w:val="0"/>
              <w:jc w:val="right"/>
            </w:pPr>
            <w:r w:rsidRPr="007D3D63">
              <w:t>$</w:t>
            </w:r>
            <w:r w:rsidR="002D5F61" w:rsidRPr="002D5F61">
              <w:rPr>
                <w:color w:val="000000"/>
                <w:shd w:val="solid" w:color="000000" w:fill="000000"/>
                <w14:textFill>
                  <w14:solidFill>
                    <w14:srgbClr w14:val="000000">
                      <w14:alpha w14:val="100000"/>
                    </w14:srgbClr>
                  </w14:solidFill>
                </w14:textFill>
              </w:rPr>
              <w:t>|</w:t>
            </w:r>
          </w:p>
        </w:tc>
        <w:tc>
          <w:tcPr>
            <w:tcW w:w="1035" w:type="dxa"/>
            <w:tcBorders>
              <w:top w:val="single" w:sz="4" w:space="0" w:color="auto"/>
              <w:bottom w:val="single" w:sz="4" w:space="0" w:color="auto"/>
            </w:tcBorders>
            <w:vAlign w:val="center"/>
          </w:tcPr>
          <w:p w14:paraId="36FA8D9A" w14:textId="59BE9E6B" w:rsidR="00483E2B" w:rsidRPr="007D3D63" w:rsidRDefault="00483E2B" w:rsidP="001F2635">
            <w:pPr>
              <w:pStyle w:val="TableText0"/>
              <w:keepNext w:val="0"/>
              <w:keepLines w:val="0"/>
              <w:widowControl w:val="0"/>
              <w:jc w:val="right"/>
            </w:pPr>
            <w:r w:rsidRPr="007D3D63">
              <w:t>0.273</w:t>
            </w:r>
          </w:p>
        </w:tc>
        <w:tc>
          <w:tcPr>
            <w:tcW w:w="1131" w:type="dxa"/>
            <w:tcBorders>
              <w:top w:val="single" w:sz="4" w:space="0" w:color="auto"/>
              <w:bottom w:val="single" w:sz="4" w:space="0" w:color="auto"/>
            </w:tcBorders>
            <w:vAlign w:val="center"/>
          </w:tcPr>
          <w:p w14:paraId="45171CE5" w14:textId="6E5C9B97" w:rsidR="00483E2B" w:rsidRPr="007D3D63" w:rsidRDefault="00483E2B" w:rsidP="001F2635">
            <w:pPr>
              <w:pStyle w:val="TableText0"/>
              <w:keepNext w:val="0"/>
              <w:keepLines w:val="0"/>
              <w:widowControl w:val="0"/>
              <w:jc w:val="right"/>
            </w:pPr>
            <w:r w:rsidRPr="007D3D63">
              <w:t>$</w:t>
            </w:r>
            <w:r w:rsidR="002D5F61" w:rsidRPr="002D5F61">
              <w:rPr>
                <w:color w:val="000000"/>
                <w:shd w:val="solid" w:color="000000" w:fill="000000"/>
                <w14:textFill>
                  <w14:solidFill>
                    <w14:srgbClr w14:val="000000">
                      <w14:alpha w14:val="100000"/>
                    </w14:srgbClr>
                  </w14:solidFill>
                </w14:textFill>
              </w:rPr>
              <w:t>|</w:t>
            </w:r>
            <w:r w:rsidR="00AC0EA5">
              <w:rPr>
                <w:b/>
                <w:bCs w:val="0"/>
                <w:color w:val="000000"/>
                <w:szCs w:val="20"/>
              </w:rPr>
              <w:t xml:space="preserve"> </w:t>
            </w:r>
            <w:r w:rsidR="00AC0EA5">
              <w:rPr>
                <w:b/>
                <w:bCs w:val="0"/>
                <w:color w:val="000000"/>
                <w:szCs w:val="20"/>
                <w:vertAlign w:val="superscript"/>
              </w:rPr>
              <w:t>2</w:t>
            </w:r>
          </w:p>
        </w:tc>
        <w:tc>
          <w:tcPr>
            <w:tcW w:w="940" w:type="dxa"/>
            <w:tcBorders>
              <w:top w:val="single" w:sz="4" w:space="0" w:color="auto"/>
              <w:bottom w:val="single" w:sz="4" w:space="0" w:color="auto"/>
            </w:tcBorders>
            <w:vAlign w:val="center"/>
          </w:tcPr>
          <w:p w14:paraId="22BC4FC4" w14:textId="48186A9E" w:rsidR="00483E2B" w:rsidRPr="007D3D63" w:rsidRDefault="002D5F61" w:rsidP="001F2635">
            <w:pPr>
              <w:pStyle w:val="TableText0"/>
              <w:keepNext w:val="0"/>
              <w:keepLines w:val="0"/>
              <w:widowControl w:val="0"/>
              <w:jc w:val="right"/>
            </w:pPr>
            <w:r w:rsidRPr="002D5F61">
              <w:rPr>
                <w:rFonts w:hint="eastAsia"/>
                <w:color w:val="000000"/>
                <w:w w:val="19"/>
                <w:shd w:val="solid" w:color="000000" w:fill="000000"/>
                <w:fitText w:val="88" w:id="-663001856"/>
                <w14:textFill>
                  <w14:solidFill>
                    <w14:srgbClr w14:val="000000">
                      <w14:alpha w14:val="100000"/>
                    </w14:srgbClr>
                  </w14:solidFill>
                </w14:textFill>
              </w:rPr>
              <w:t xml:space="preserve">　</w:t>
            </w:r>
            <w:r w:rsidRPr="002D5F61">
              <w:rPr>
                <w:color w:val="000000"/>
                <w:w w:val="19"/>
                <w:shd w:val="solid" w:color="000000" w:fill="000000"/>
                <w:fitText w:val="88" w:id="-663001856"/>
                <w14:textFill>
                  <w14:solidFill>
                    <w14:srgbClr w14:val="000000">
                      <w14:alpha w14:val="100000"/>
                    </w14:srgbClr>
                  </w14:solidFill>
                </w14:textFill>
              </w:rPr>
              <w:t>|</w:t>
            </w:r>
            <w:r w:rsidRPr="002D5F61">
              <w:rPr>
                <w:rFonts w:hint="eastAsia"/>
                <w:color w:val="000000"/>
                <w:spacing w:val="4"/>
                <w:w w:val="19"/>
                <w:shd w:val="solid" w:color="000000" w:fill="000000"/>
                <w:fitText w:val="88" w:id="-663001856"/>
                <w14:textFill>
                  <w14:solidFill>
                    <w14:srgbClr w14:val="000000">
                      <w14:alpha w14:val="100000"/>
                    </w14:srgbClr>
                  </w14:solidFill>
                </w14:textFill>
              </w:rPr>
              <w:t xml:space="preserve">　</w:t>
            </w:r>
            <w:r w:rsidR="00483E2B" w:rsidRPr="007D3D63">
              <w:t>%</w:t>
            </w:r>
          </w:p>
        </w:tc>
      </w:tr>
      <w:tr w:rsidR="00483E2B" w:rsidRPr="007D3D63" w14:paraId="7752EEB4" w14:textId="77777777" w:rsidTr="008C2019">
        <w:tc>
          <w:tcPr>
            <w:tcW w:w="4815" w:type="dxa"/>
            <w:tcBorders>
              <w:top w:val="single" w:sz="4" w:space="0" w:color="auto"/>
              <w:bottom w:val="single" w:sz="4" w:space="0" w:color="auto"/>
            </w:tcBorders>
          </w:tcPr>
          <w:p w14:paraId="0ABFEB0B" w14:textId="77777777" w:rsidR="00483E2B" w:rsidRDefault="00DA6B12" w:rsidP="001F2635">
            <w:pPr>
              <w:pStyle w:val="TableText0"/>
              <w:keepNext w:val="0"/>
              <w:keepLines w:val="0"/>
              <w:widowControl w:val="0"/>
            </w:pPr>
            <w:r w:rsidRPr="007D3D63">
              <w:t xml:space="preserve">ESC MVSA - </w:t>
            </w:r>
            <w:r w:rsidR="00483E2B" w:rsidRPr="007D3D63">
              <w:t xml:space="preserve">4 Year TH and TP as estimated from </w:t>
            </w:r>
            <w:proofErr w:type="spellStart"/>
            <w:r w:rsidR="00483E2B" w:rsidRPr="007D3D63">
              <w:t>Gebski</w:t>
            </w:r>
            <w:proofErr w:type="spellEnd"/>
            <w:r w:rsidR="00483E2B" w:rsidRPr="007D3D63">
              <w:t xml:space="preserve"> and Weibull for both T-</w:t>
            </w:r>
            <w:proofErr w:type="spellStart"/>
            <w:r w:rsidR="00483E2B" w:rsidRPr="007D3D63">
              <w:t>DXd</w:t>
            </w:r>
            <w:proofErr w:type="spellEnd"/>
            <w:r w:rsidR="00483E2B" w:rsidRPr="007D3D63">
              <w:t>: and SoC</w:t>
            </w:r>
          </w:p>
          <w:p w14:paraId="3C3066BF" w14:textId="469FD1CE" w:rsidR="0016748B" w:rsidRPr="007D3D63" w:rsidRDefault="0016748B" w:rsidP="001F2635">
            <w:pPr>
              <w:pStyle w:val="TableText0"/>
              <w:keepNext w:val="0"/>
              <w:keepLines w:val="0"/>
              <w:widowControl w:val="0"/>
            </w:pPr>
            <w:r>
              <w:t xml:space="preserve">(includes corrections to discount rate, </w:t>
            </w:r>
            <w:r w:rsidR="000E6422">
              <w:t xml:space="preserve">application of RDI and extrapolation of </w:t>
            </w:r>
            <w:proofErr w:type="spellStart"/>
            <w:r w:rsidR="000E6422">
              <w:t>ToT</w:t>
            </w:r>
            <w:proofErr w:type="spellEnd"/>
            <w:r w:rsidR="000E6422">
              <w:t xml:space="preserve"> as per </w:t>
            </w:r>
            <w:r w:rsidR="006365A4">
              <w:t>commentary revised base case</w:t>
            </w:r>
            <w:r w:rsidR="000E6422">
              <w:t>)</w:t>
            </w:r>
          </w:p>
        </w:tc>
        <w:tc>
          <w:tcPr>
            <w:tcW w:w="1096" w:type="dxa"/>
            <w:tcBorders>
              <w:top w:val="single" w:sz="4" w:space="0" w:color="auto"/>
              <w:bottom w:val="single" w:sz="4" w:space="0" w:color="auto"/>
            </w:tcBorders>
            <w:vAlign w:val="center"/>
          </w:tcPr>
          <w:p w14:paraId="27E287C1" w14:textId="0A998A83" w:rsidR="00483E2B" w:rsidRPr="007D3D63" w:rsidRDefault="00483E2B" w:rsidP="001F2635">
            <w:pPr>
              <w:pStyle w:val="TableText0"/>
              <w:keepNext w:val="0"/>
              <w:keepLines w:val="0"/>
              <w:widowControl w:val="0"/>
              <w:jc w:val="right"/>
            </w:pPr>
            <w:r w:rsidRPr="007D3D63">
              <w:t>$</w:t>
            </w:r>
            <w:r w:rsidR="002D5F61" w:rsidRPr="002D5F61">
              <w:rPr>
                <w:color w:val="000000"/>
                <w:shd w:val="solid" w:color="000000" w:fill="000000"/>
                <w14:textFill>
                  <w14:solidFill>
                    <w14:srgbClr w14:val="000000">
                      <w14:alpha w14:val="100000"/>
                    </w14:srgbClr>
                  </w14:solidFill>
                </w14:textFill>
              </w:rPr>
              <w:t>|</w:t>
            </w:r>
          </w:p>
        </w:tc>
        <w:tc>
          <w:tcPr>
            <w:tcW w:w="1035" w:type="dxa"/>
            <w:tcBorders>
              <w:top w:val="single" w:sz="4" w:space="0" w:color="auto"/>
              <w:bottom w:val="single" w:sz="4" w:space="0" w:color="auto"/>
            </w:tcBorders>
            <w:vAlign w:val="center"/>
          </w:tcPr>
          <w:p w14:paraId="387EACD6" w14:textId="262A7158" w:rsidR="00483E2B" w:rsidRPr="007D3D63" w:rsidRDefault="00483E2B" w:rsidP="001F2635">
            <w:pPr>
              <w:pStyle w:val="TableText0"/>
              <w:keepNext w:val="0"/>
              <w:keepLines w:val="0"/>
              <w:widowControl w:val="0"/>
              <w:jc w:val="right"/>
            </w:pPr>
            <w:r w:rsidRPr="007D3D63">
              <w:t>0.260</w:t>
            </w:r>
          </w:p>
        </w:tc>
        <w:tc>
          <w:tcPr>
            <w:tcW w:w="1131" w:type="dxa"/>
            <w:tcBorders>
              <w:top w:val="single" w:sz="4" w:space="0" w:color="auto"/>
              <w:bottom w:val="single" w:sz="4" w:space="0" w:color="auto"/>
            </w:tcBorders>
            <w:vAlign w:val="center"/>
          </w:tcPr>
          <w:p w14:paraId="6EB970A5" w14:textId="4316C24C" w:rsidR="00483E2B" w:rsidRPr="007D3D63" w:rsidRDefault="00483E2B" w:rsidP="001F2635">
            <w:pPr>
              <w:pStyle w:val="TableText0"/>
              <w:keepNext w:val="0"/>
              <w:keepLines w:val="0"/>
              <w:widowControl w:val="0"/>
              <w:jc w:val="right"/>
            </w:pPr>
            <w:r w:rsidRPr="007D3D63">
              <w:t>$</w:t>
            </w:r>
            <w:r w:rsidR="002D5F61" w:rsidRPr="002D5F61">
              <w:rPr>
                <w:color w:val="000000"/>
                <w:shd w:val="solid" w:color="000000" w:fill="000000"/>
                <w14:textFill>
                  <w14:solidFill>
                    <w14:srgbClr w14:val="000000">
                      <w14:alpha w14:val="100000"/>
                    </w14:srgbClr>
                  </w14:solidFill>
                </w14:textFill>
              </w:rPr>
              <w:t>|</w:t>
            </w:r>
            <w:r w:rsidR="00AC0EA5">
              <w:rPr>
                <w:b/>
                <w:bCs w:val="0"/>
                <w:color w:val="000000"/>
                <w:szCs w:val="20"/>
              </w:rPr>
              <w:t xml:space="preserve"> </w:t>
            </w:r>
            <w:r w:rsidR="00AC0EA5">
              <w:rPr>
                <w:b/>
                <w:bCs w:val="0"/>
                <w:color w:val="000000"/>
                <w:szCs w:val="20"/>
                <w:vertAlign w:val="superscript"/>
              </w:rPr>
              <w:t>2</w:t>
            </w:r>
          </w:p>
        </w:tc>
        <w:tc>
          <w:tcPr>
            <w:tcW w:w="940" w:type="dxa"/>
            <w:tcBorders>
              <w:top w:val="single" w:sz="4" w:space="0" w:color="auto"/>
              <w:bottom w:val="single" w:sz="4" w:space="0" w:color="auto"/>
            </w:tcBorders>
            <w:vAlign w:val="center"/>
          </w:tcPr>
          <w:p w14:paraId="5B236127" w14:textId="48BBFBC1" w:rsidR="00483E2B" w:rsidRPr="007D3D63" w:rsidRDefault="002D5F61" w:rsidP="001F2635">
            <w:pPr>
              <w:pStyle w:val="TableText0"/>
              <w:keepNext w:val="0"/>
              <w:keepLines w:val="0"/>
              <w:widowControl w:val="0"/>
              <w:jc w:val="right"/>
            </w:pPr>
            <w:r w:rsidRPr="002D5F61">
              <w:rPr>
                <w:rFonts w:hint="eastAsia"/>
                <w:color w:val="000000"/>
                <w:w w:val="19"/>
                <w:shd w:val="solid" w:color="000000" w:fill="000000"/>
                <w:fitText w:val="88" w:id="-663001600"/>
                <w14:textFill>
                  <w14:solidFill>
                    <w14:srgbClr w14:val="000000">
                      <w14:alpha w14:val="100000"/>
                    </w14:srgbClr>
                  </w14:solidFill>
                </w14:textFill>
              </w:rPr>
              <w:t xml:space="preserve">　</w:t>
            </w:r>
            <w:r w:rsidRPr="002D5F61">
              <w:rPr>
                <w:color w:val="000000"/>
                <w:w w:val="19"/>
                <w:shd w:val="solid" w:color="000000" w:fill="000000"/>
                <w:fitText w:val="88" w:id="-663001600"/>
                <w14:textFill>
                  <w14:solidFill>
                    <w14:srgbClr w14:val="000000">
                      <w14:alpha w14:val="100000"/>
                    </w14:srgbClr>
                  </w14:solidFill>
                </w14:textFill>
              </w:rPr>
              <w:t>|</w:t>
            </w:r>
            <w:r w:rsidRPr="002D5F61">
              <w:rPr>
                <w:rFonts w:hint="eastAsia"/>
                <w:color w:val="000000"/>
                <w:spacing w:val="4"/>
                <w:w w:val="19"/>
                <w:shd w:val="solid" w:color="000000" w:fill="000000"/>
                <w:fitText w:val="88" w:id="-663001600"/>
                <w14:textFill>
                  <w14:solidFill>
                    <w14:srgbClr w14:val="000000">
                      <w14:alpha w14:val="100000"/>
                    </w14:srgbClr>
                  </w14:solidFill>
                </w14:textFill>
              </w:rPr>
              <w:t xml:space="preserve">　</w:t>
            </w:r>
            <w:r w:rsidR="00483E2B" w:rsidRPr="007D3D63">
              <w:t>%</w:t>
            </w:r>
          </w:p>
        </w:tc>
      </w:tr>
      <w:tr w:rsidR="004C5CA4" w:rsidRPr="007D3D63" w14:paraId="700074EA" w14:textId="77777777" w:rsidTr="008C2019">
        <w:tc>
          <w:tcPr>
            <w:tcW w:w="4815" w:type="dxa"/>
            <w:tcBorders>
              <w:top w:val="single" w:sz="4" w:space="0" w:color="auto"/>
              <w:bottom w:val="single" w:sz="4" w:space="0" w:color="auto"/>
            </w:tcBorders>
            <w:shd w:val="clear" w:color="auto" w:fill="D9D9D9" w:themeFill="background1" w:themeFillShade="D9"/>
          </w:tcPr>
          <w:p w14:paraId="60586F55" w14:textId="4D590FFA" w:rsidR="004C5CA4" w:rsidRPr="007D3D63" w:rsidRDefault="004C5CA4" w:rsidP="001F2635">
            <w:pPr>
              <w:widowControl w:val="0"/>
              <w:jc w:val="left"/>
              <w:rPr>
                <w:rFonts w:ascii="Arial Narrow" w:eastAsiaTheme="majorEastAsia" w:hAnsi="Arial Narrow" w:cstheme="majorBidi"/>
                <w:b/>
                <w:sz w:val="20"/>
                <w:szCs w:val="20"/>
              </w:rPr>
            </w:pPr>
            <w:r w:rsidRPr="007D3D63">
              <w:rPr>
                <w:rFonts w:ascii="Arial Narrow" w:eastAsiaTheme="majorEastAsia" w:hAnsi="Arial Narrow" w:cstheme="majorBidi"/>
                <w:b/>
                <w:sz w:val="20"/>
                <w:szCs w:val="20"/>
              </w:rPr>
              <w:t>Pre-PBAC response respecified</w:t>
            </w:r>
          </w:p>
        </w:tc>
        <w:tc>
          <w:tcPr>
            <w:tcW w:w="1096" w:type="dxa"/>
            <w:tcBorders>
              <w:top w:val="single" w:sz="4" w:space="0" w:color="auto"/>
              <w:bottom w:val="single" w:sz="4" w:space="0" w:color="auto"/>
            </w:tcBorders>
            <w:shd w:val="clear" w:color="auto" w:fill="D9D9D9" w:themeFill="background1" w:themeFillShade="D9"/>
            <w:vAlign w:val="center"/>
          </w:tcPr>
          <w:p w14:paraId="3BB40C09" w14:textId="77777777" w:rsidR="004C5CA4" w:rsidRPr="007D3D63" w:rsidRDefault="004C5CA4" w:rsidP="001F2635">
            <w:pPr>
              <w:widowControl w:val="0"/>
              <w:jc w:val="left"/>
              <w:rPr>
                <w:rFonts w:ascii="Arial Narrow" w:eastAsiaTheme="majorEastAsia" w:hAnsi="Arial Narrow" w:cstheme="majorBidi"/>
                <w:b/>
                <w:sz w:val="20"/>
                <w:szCs w:val="20"/>
              </w:rPr>
            </w:pPr>
          </w:p>
        </w:tc>
        <w:tc>
          <w:tcPr>
            <w:tcW w:w="1035" w:type="dxa"/>
            <w:tcBorders>
              <w:top w:val="single" w:sz="4" w:space="0" w:color="auto"/>
              <w:bottom w:val="single" w:sz="4" w:space="0" w:color="auto"/>
            </w:tcBorders>
            <w:shd w:val="clear" w:color="auto" w:fill="D9D9D9" w:themeFill="background1" w:themeFillShade="D9"/>
            <w:vAlign w:val="center"/>
          </w:tcPr>
          <w:p w14:paraId="053E8E4A" w14:textId="77777777" w:rsidR="004C5CA4" w:rsidRPr="007D3D63" w:rsidRDefault="004C5CA4" w:rsidP="001F2635">
            <w:pPr>
              <w:widowControl w:val="0"/>
              <w:jc w:val="left"/>
              <w:rPr>
                <w:rFonts w:ascii="Arial Narrow" w:eastAsiaTheme="majorEastAsia" w:hAnsi="Arial Narrow" w:cstheme="majorBidi"/>
                <w:b/>
                <w:sz w:val="20"/>
                <w:szCs w:val="20"/>
              </w:rPr>
            </w:pPr>
          </w:p>
        </w:tc>
        <w:tc>
          <w:tcPr>
            <w:tcW w:w="1131" w:type="dxa"/>
            <w:tcBorders>
              <w:top w:val="single" w:sz="4" w:space="0" w:color="auto"/>
              <w:bottom w:val="single" w:sz="4" w:space="0" w:color="auto"/>
            </w:tcBorders>
            <w:shd w:val="clear" w:color="auto" w:fill="D9D9D9" w:themeFill="background1" w:themeFillShade="D9"/>
            <w:vAlign w:val="center"/>
          </w:tcPr>
          <w:p w14:paraId="4BE55844" w14:textId="77777777" w:rsidR="004C5CA4" w:rsidRPr="007D3D63" w:rsidRDefault="004C5CA4" w:rsidP="001F2635">
            <w:pPr>
              <w:widowControl w:val="0"/>
              <w:jc w:val="left"/>
              <w:rPr>
                <w:rFonts w:ascii="Arial Narrow" w:eastAsiaTheme="majorEastAsia" w:hAnsi="Arial Narrow" w:cstheme="majorBidi"/>
                <w:b/>
                <w:sz w:val="20"/>
                <w:szCs w:val="20"/>
              </w:rPr>
            </w:pPr>
          </w:p>
        </w:tc>
        <w:tc>
          <w:tcPr>
            <w:tcW w:w="940" w:type="dxa"/>
            <w:tcBorders>
              <w:top w:val="single" w:sz="4" w:space="0" w:color="auto"/>
              <w:bottom w:val="single" w:sz="4" w:space="0" w:color="auto"/>
            </w:tcBorders>
            <w:shd w:val="clear" w:color="auto" w:fill="D9D9D9" w:themeFill="background1" w:themeFillShade="D9"/>
            <w:vAlign w:val="center"/>
          </w:tcPr>
          <w:p w14:paraId="38780910" w14:textId="77777777" w:rsidR="004C5CA4" w:rsidRPr="007D3D63" w:rsidRDefault="004C5CA4" w:rsidP="001F2635">
            <w:pPr>
              <w:widowControl w:val="0"/>
              <w:jc w:val="left"/>
              <w:rPr>
                <w:rFonts w:ascii="Arial Narrow" w:eastAsiaTheme="majorEastAsia" w:hAnsi="Arial Narrow" w:cstheme="majorBidi"/>
                <w:b/>
                <w:sz w:val="20"/>
                <w:szCs w:val="20"/>
              </w:rPr>
            </w:pPr>
          </w:p>
        </w:tc>
      </w:tr>
      <w:tr w:rsidR="004C5CA4" w:rsidRPr="007D3D63" w14:paraId="4046F82B" w14:textId="77777777" w:rsidTr="008C2019">
        <w:tc>
          <w:tcPr>
            <w:tcW w:w="4815" w:type="dxa"/>
            <w:tcBorders>
              <w:top w:val="single" w:sz="4" w:space="0" w:color="auto"/>
              <w:bottom w:val="single" w:sz="4" w:space="0" w:color="auto"/>
            </w:tcBorders>
          </w:tcPr>
          <w:p w14:paraId="5C67366F" w14:textId="77777777" w:rsidR="004C5CA4" w:rsidRDefault="00C007BC" w:rsidP="001F2635">
            <w:pPr>
              <w:pStyle w:val="TableText0"/>
              <w:keepNext w:val="0"/>
              <w:keepLines w:val="0"/>
              <w:widowControl w:val="0"/>
              <w:rPr>
                <w:iCs/>
              </w:rPr>
            </w:pPr>
            <w:r>
              <w:rPr>
                <w:iCs/>
              </w:rPr>
              <w:t xml:space="preserve">Time horizon of 5 years; </w:t>
            </w:r>
            <w:proofErr w:type="spellStart"/>
            <w:r w:rsidRPr="00E55A74">
              <w:rPr>
                <w:iCs/>
              </w:rPr>
              <w:t>Gebski</w:t>
            </w:r>
            <w:proofErr w:type="spellEnd"/>
            <w:r w:rsidRPr="00E55A74">
              <w:rPr>
                <w:iCs/>
              </w:rPr>
              <w:t xml:space="preserve"> criterion to inform truncation points</w:t>
            </w:r>
            <w:r>
              <w:rPr>
                <w:iCs/>
              </w:rPr>
              <w:t>; mean patient weight 64.8 kg; maintaining OS extrapolations as per base case</w:t>
            </w:r>
            <w:r w:rsidR="009D7152">
              <w:rPr>
                <w:iCs/>
              </w:rPr>
              <w:t xml:space="preserve"> and no extrapolation of </w:t>
            </w:r>
            <w:proofErr w:type="spellStart"/>
            <w:r w:rsidR="009D7152">
              <w:rPr>
                <w:iCs/>
              </w:rPr>
              <w:t>ToT</w:t>
            </w:r>
            <w:proofErr w:type="spellEnd"/>
            <w:r>
              <w:rPr>
                <w:iCs/>
              </w:rPr>
              <w:t>.</w:t>
            </w:r>
          </w:p>
          <w:p w14:paraId="74BABD23" w14:textId="08FC8A9D" w:rsidR="001F2635" w:rsidRPr="007D3D63" w:rsidRDefault="001F2635" w:rsidP="001F2635">
            <w:pPr>
              <w:pStyle w:val="TableText0"/>
              <w:keepNext w:val="0"/>
              <w:keepLines w:val="0"/>
              <w:widowControl w:val="0"/>
            </w:pPr>
            <w:r>
              <w:t xml:space="preserve">(includes corrections to discount rate, application of RDI, but not extrapolation of </w:t>
            </w:r>
            <w:proofErr w:type="spellStart"/>
            <w:r>
              <w:t>ToT</w:t>
            </w:r>
            <w:proofErr w:type="spellEnd"/>
            <w:r>
              <w:t xml:space="preserve"> as per commentary revised base case)</w:t>
            </w:r>
          </w:p>
        </w:tc>
        <w:tc>
          <w:tcPr>
            <w:tcW w:w="1096" w:type="dxa"/>
            <w:tcBorders>
              <w:top w:val="single" w:sz="4" w:space="0" w:color="auto"/>
              <w:bottom w:val="single" w:sz="4" w:space="0" w:color="auto"/>
            </w:tcBorders>
            <w:vAlign w:val="center"/>
          </w:tcPr>
          <w:p w14:paraId="3AF6DFAD" w14:textId="7DA3A215" w:rsidR="004C5CA4" w:rsidRPr="007D3D63" w:rsidRDefault="00922737" w:rsidP="001F2635">
            <w:pPr>
              <w:pStyle w:val="TableText0"/>
              <w:keepNext w:val="0"/>
              <w:keepLines w:val="0"/>
              <w:widowControl w:val="0"/>
              <w:jc w:val="right"/>
            </w:pPr>
            <w:r>
              <w:t>$</w:t>
            </w:r>
            <w:r w:rsidR="002D5F61" w:rsidRPr="002D5F61">
              <w:rPr>
                <w:color w:val="000000"/>
                <w:shd w:val="solid" w:color="000000" w:fill="000000"/>
                <w14:textFill>
                  <w14:solidFill>
                    <w14:srgbClr w14:val="000000">
                      <w14:alpha w14:val="100000"/>
                    </w14:srgbClr>
                  </w14:solidFill>
                </w14:textFill>
              </w:rPr>
              <w:t>|</w:t>
            </w:r>
            <w:r w:rsidR="008A14C1" w:rsidRPr="006B6260">
              <w:rPr>
                <w:vertAlign w:val="superscript"/>
              </w:rPr>
              <w:t>a</w:t>
            </w:r>
          </w:p>
        </w:tc>
        <w:tc>
          <w:tcPr>
            <w:tcW w:w="1035" w:type="dxa"/>
            <w:tcBorders>
              <w:top w:val="single" w:sz="4" w:space="0" w:color="auto"/>
              <w:bottom w:val="single" w:sz="4" w:space="0" w:color="auto"/>
            </w:tcBorders>
            <w:vAlign w:val="center"/>
          </w:tcPr>
          <w:p w14:paraId="2BEFC258" w14:textId="00941A84" w:rsidR="004C5CA4" w:rsidRPr="007D3D63" w:rsidRDefault="003D1337" w:rsidP="001F2635">
            <w:pPr>
              <w:pStyle w:val="TableText0"/>
              <w:keepNext w:val="0"/>
              <w:keepLines w:val="0"/>
              <w:widowControl w:val="0"/>
              <w:jc w:val="right"/>
            </w:pPr>
            <w:r>
              <w:t>0.305</w:t>
            </w:r>
          </w:p>
        </w:tc>
        <w:tc>
          <w:tcPr>
            <w:tcW w:w="1131" w:type="dxa"/>
            <w:tcBorders>
              <w:top w:val="single" w:sz="4" w:space="0" w:color="auto"/>
              <w:bottom w:val="single" w:sz="4" w:space="0" w:color="auto"/>
            </w:tcBorders>
            <w:vAlign w:val="center"/>
          </w:tcPr>
          <w:p w14:paraId="27FF8349" w14:textId="38E6F950" w:rsidR="004C5CA4" w:rsidRPr="007D3D63" w:rsidRDefault="003D1337" w:rsidP="001F2635">
            <w:pPr>
              <w:pStyle w:val="TableText0"/>
              <w:keepNext w:val="0"/>
              <w:keepLines w:val="0"/>
              <w:widowControl w:val="0"/>
              <w:jc w:val="right"/>
            </w:pPr>
            <w:r>
              <w:t>$</w:t>
            </w:r>
            <w:r w:rsidR="002D5F61" w:rsidRPr="002D5F61">
              <w:rPr>
                <w:color w:val="000000"/>
                <w:shd w:val="solid" w:color="000000" w:fill="000000"/>
                <w14:textFill>
                  <w14:solidFill>
                    <w14:srgbClr w14:val="000000">
                      <w14:alpha w14:val="100000"/>
                    </w14:srgbClr>
                  </w14:solidFill>
                </w14:textFill>
              </w:rPr>
              <w:t>|</w:t>
            </w:r>
            <w:r w:rsidR="00AC0EA5">
              <w:t xml:space="preserve"> </w:t>
            </w:r>
            <w:r w:rsidR="008A14C1" w:rsidRPr="008A14C1">
              <w:rPr>
                <w:vertAlign w:val="superscript"/>
              </w:rPr>
              <w:t>b</w:t>
            </w:r>
            <w:r w:rsidR="00AC0EA5">
              <w:rPr>
                <w:b/>
                <w:bCs w:val="0"/>
                <w:color w:val="000000"/>
                <w:szCs w:val="20"/>
                <w:vertAlign w:val="superscript"/>
              </w:rPr>
              <w:t>4</w:t>
            </w:r>
          </w:p>
        </w:tc>
        <w:tc>
          <w:tcPr>
            <w:tcW w:w="940" w:type="dxa"/>
            <w:tcBorders>
              <w:top w:val="single" w:sz="4" w:space="0" w:color="auto"/>
              <w:bottom w:val="single" w:sz="4" w:space="0" w:color="auto"/>
            </w:tcBorders>
            <w:vAlign w:val="center"/>
          </w:tcPr>
          <w:p w14:paraId="105C4EC8" w14:textId="31B80110" w:rsidR="004C5CA4" w:rsidRPr="007D3D63" w:rsidRDefault="005112C2" w:rsidP="001F2635">
            <w:pPr>
              <w:pStyle w:val="TableText0"/>
              <w:keepNext w:val="0"/>
              <w:keepLines w:val="0"/>
              <w:widowControl w:val="0"/>
              <w:jc w:val="right"/>
            </w:pPr>
            <w:r>
              <w:t>-</w:t>
            </w:r>
            <w:r w:rsidR="002D5F61" w:rsidRPr="002D5F61">
              <w:rPr>
                <w:rFonts w:hint="eastAsia"/>
                <w:color w:val="000000"/>
                <w:w w:val="32"/>
                <w:shd w:val="solid" w:color="000000" w:fill="000000"/>
                <w:fitText w:val="142" w:id="-663001599"/>
                <w14:textFill>
                  <w14:solidFill>
                    <w14:srgbClr w14:val="000000">
                      <w14:alpha w14:val="100000"/>
                    </w14:srgbClr>
                  </w14:solidFill>
                </w14:textFill>
              </w:rPr>
              <w:t xml:space="preserve">　</w:t>
            </w:r>
            <w:r w:rsidR="002D5F61" w:rsidRPr="002D5F61">
              <w:rPr>
                <w:color w:val="000000"/>
                <w:w w:val="32"/>
                <w:shd w:val="solid" w:color="000000" w:fill="000000"/>
                <w:fitText w:val="142" w:id="-663001599"/>
                <w14:textFill>
                  <w14:solidFill>
                    <w14:srgbClr w14:val="000000">
                      <w14:alpha w14:val="100000"/>
                    </w14:srgbClr>
                  </w14:solidFill>
                </w14:textFill>
              </w:rPr>
              <w:t>|</w:t>
            </w:r>
            <w:r w:rsidR="002D5F61" w:rsidRPr="002D5F61">
              <w:rPr>
                <w:rFonts w:hint="eastAsia"/>
                <w:color w:val="000000"/>
                <w:w w:val="32"/>
                <w:shd w:val="solid" w:color="000000" w:fill="000000"/>
                <w:fitText w:val="142" w:id="-663001599"/>
                <w14:textFill>
                  <w14:solidFill>
                    <w14:srgbClr w14:val="000000">
                      <w14:alpha w14:val="100000"/>
                    </w14:srgbClr>
                  </w14:solidFill>
                </w14:textFill>
              </w:rPr>
              <w:t xml:space="preserve">　</w:t>
            </w:r>
            <w:r>
              <w:t>%</w:t>
            </w:r>
          </w:p>
        </w:tc>
      </w:tr>
    </w:tbl>
    <w:p w14:paraId="1FB34D27" w14:textId="414C5AEA" w:rsidR="00050F18" w:rsidRDefault="00050F18" w:rsidP="008220FC">
      <w:pPr>
        <w:pStyle w:val="TableFigureFooter"/>
      </w:pPr>
      <w:r w:rsidRPr="00A5291E">
        <w:t xml:space="preserve">Source: Table constructed during the evaluation using data from the Attachment 14 – </w:t>
      </w:r>
      <w:r>
        <w:t>T-</w:t>
      </w:r>
      <w:proofErr w:type="spellStart"/>
      <w:r>
        <w:t>DXd</w:t>
      </w:r>
      <w:proofErr w:type="spellEnd"/>
      <w:r w:rsidRPr="00A5291E">
        <w:t xml:space="preserve"> cost-effectiveness model workbook included with the submission</w:t>
      </w:r>
      <w:r w:rsidR="00483E2B">
        <w:t xml:space="preserve">; </w:t>
      </w:r>
      <w:r w:rsidR="00483E2B" w:rsidRPr="00483E2B">
        <w:rPr>
          <w:i/>
          <w:iCs/>
        </w:rPr>
        <w:t>PSCR Table 3.</w:t>
      </w:r>
    </w:p>
    <w:p w14:paraId="5A1DFB35" w14:textId="7A3F18BD" w:rsidR="005F782D" w:rsidRDefault="00C02DCB" w:rsidP="008220FC">
      <w:pPr>
        <w:pStyle w:val="TableFigureFooter"/>
      </w:pPr>
      <w:r w:rsidRPr="00455F25">
        <w:t xml:space="preserve">ICER = incremental cost-effectiveness ratio; </w:t>
      </w:r>
      <w:r w:rsidR="00DA6B12">
        <w:t xml:space="preserve">MVSA = multivariate sensitivity analysis; </w:t>
      </w:r>
      <w:r w:rsidRPr="00455F25">
        <w:t xml:space="preserve">OS = Overall survival; PD = Progressed disease; PF = Progression-free; PFS = Progression-Free Survival; QALY = Quality-adjusted life-years; SoC = Standard of care;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r w:rsidRPr="00455F25">
        <w:t xml:space="preserve">; </w:t>
      </w:r>
      <w:proofErr w:type="spellStart"/>
      <w:r w:rsidRPr="00455F25">
        <w:t>ToT</w:t>
      </w:r>
      <w:proofErr w:type="spellEnd"/>
      <w:r w:rsidRPr="00455F25">
        <w:t xml:space="preserve"> = Time on treatment</w:t>
      </w:r>
      <w:r w:rsidR="00DA6B12">
        <w:t>.</w:t>
      </w:r>
    </w:p>
    <w:p w14:paraId="247FE105" w14:textId="29008999" w:rsidR="00293756" w:rsidRDefault="00293756" w:rsidP="001F2635">
      <w:pPr>
        <w:pStyle w:val="TableFooter"/>
        <w:widowControl w:val="0"/>
        <w:rPr>
          <w:rFonts w:eastAsiaTheme="majorEastAsia"/>
          <w:snapToGrid w:val="0"/>
        </w:rPr>
      </w:pPr>
      <w:r>
        <w:rPr>
          <w:rFonts w:eastAsiaTheme="majorEastAsia"/>
          <w:snapToGrid w:val="0"/>
        </w:rPr>
        <w:t>a</w:t>
      </w:r>
      <w:r w:rsidRPr="00293756">
        <w:rPr>
          <w:rFonts w:eastAsiaTheme="majorEastAsia"/>
          <w:snapToGrid w:val="0"/>
        </w:rPr>
        <w:t xml:space="preserve"> </w:t>
      </w:r>
      <w:r>
        <w:rPr>
          <w:rFonts w:eastAsiaTheme="majorEastAsia"/>
          <w:snapToGrid w:val="0"/>
        </w:rPr>
        <w:t>Reported as $</w:t>
      </w:r>
      <w:proofErr w:type="gramStart"/>
      <w:r w:rsidR="002D5F61" w:rsidRPr="002D5F61">
        <w:rPr>
          <w:rFonts w:eastAsiaTheme="majorEastAsia"/>
          <w:snapToGrid w:val="0"/>
          <w:color w:val="000000"/>
          <w:spacing w:val="38"/>
          <w:shd w:val="solid" w:color="000000" w:fill="000000"/>
          <w:fitText w:val="275" w:id="-663001598"/>
          <w14:textFill>
            <w14:solidFill>
              <w14:srgbClr w14:val="000000">
                <w14:alpha w14:val="100000"/>
              </w14:srgbClr>
            </w14:solidFill>
          </w14:textFill>
        </w:rPr>
        <w:t xml:space="preserve">|  </w:t>
      </w:r>
      <w:r w:rsidR="002D5F61" w:rsidRPr="002D5F61">
        <w:rPr>
          <w:rFonts w:eastAsiaTheme="majorEastAsia"/>
          <w:snapToGrid w:val="0"/>
          <w:color w:val="000000"/>
          <w:spacing w:val="3"/>
          <w:shd w:val="solid" w:color="000000" w:fill="000000"/>
          <w:fitText w:val="275" w:id="-663001598"/>
          <w14:textFill>
            <w14:solidFill>
              <w14:srgbClr w14:val="000000">
                <w14:alpha w14:val="100000"/>
              </w14:srgbClr>
            </w14:solidFill>
          </w14:textFill>
        </w:rPr>
        <w:t>|</w:t>
      </w:r>
      <w:proofErr w:type="gramEnd"/>
      <w:r w:rsidR="008A14C1">
        <w:rPr>
          <w:rFonts w:eastAsiaTheme="majorEastAsia"/>
          <w:snapToGrid w:val="0"/>
        </w:rPr>
        <w:t xml:space="preserve"> in the pre-PBAC response</w:t>
      </w:r>
    </w:p>
    <w:p w14:paraId="6BB341E5" w14:textId="670788DC" w:rsidR="008A14C1" w:rsidRDefault="008A14C1" w:rsidP="001F2635">
      <w:pPr>
        <w:pStyle w:val="TableFooter"/>
        <w:widowControl w:val="0"/>
        <w:rPr>
          <w:rFonts w:eastAsiaTheme="majorEastAsia"/>
          <w:snapToGrid w:val="0"/>
        </w:rPr>
      </w:pPr>
      <w:r>
        <w:rPr>
          <w:rFonts w:eastAsiaTheme="majorEastAsia"/>
          <w:snapToGrid w:val="0"/>
        </w:rPr>
        <w:t xml:space="preserve">b Reported as </w:t>
      </w:r>
      <w:r w:rsidR="00C9621F" w:rsidRPr="006B6260">
        <w:rPr>
          <w:iCs/>
          <w:szCs w:val="18"/>
        </w:rPr>
        <w:t>$95,000 to &lt; $115,000</w:t>
      </w:r>
      <w:r w:rsidR="00C9621F">
        <w:rPr>
          <w:i/>
          <w:szCs w:val="18"/>
        </w:rPr>
        <w:t xml:space="preserve"> </w:t>
      </w:r>
      <w:r w:rsidR="00B82DD7">
        <w:rPr>
          <w:rFonts w:eastAsiaTheme="majorEastAsia"/>
          <w:snapToGrid w:val="0"/>
        </w:rPr>
        <w:t>in the pre-PBAC response</w:t>
      </w:r>
    </w:p>
    <w:p w14:paraId="4F329F6C" w14:textId="77777777" w:rsidR="00F40038" w:rsidRPr="009A6D58" w:rsidRDefault="00F40038" w:rsidP="00F4003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41ADBA8" w14:textId="6AA1AB55" w:rsidR="00F40038" w:rsidRPr="009A6D58" w:rsidRDefault="00F40038" w:rsidP="00F4003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86A30" w:rsidRPr="00E86A30">
        <w:rPr>
          <w:rFonts w:ascii="Arial Narrow" w:hAnsi="Arial Narrow"/>
          <w:i/>
          <w:sz w:val="18"/>
          <w:szCs w:val="18"/>
        </w:rPr>
        <w:t>$115,000 to &lt; $135,000</w:t>
      </w:r>
    </w:p>
    <w:p w14:paraId="7569ABAC" w14:textId="4C8C9CF6" w:rsidR="00F40038" w:rsidRPr="009A6D58" w:rsidRDefault="00F40038" w:rsidP="00F4003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9621F" w:rsidRPr="00C9621F">
        <w:rPr>
          <w:rFonts w:ascii="Arial Narrow" w:hAnsi="Arial Narrow"/>
          <w:i/>
          <w:sz w:val="18"/>
          <w:szCs w:val="18"/>
        </w:rPr>
        <w:t>$155,000 to &lt; $255,000</w:t>
      </w:r>
    </w:p>
    <w:p w14:paraId="71EBD80C" w14:textId="45D8EC38" w:rsidR="00F40038" w:rsidRDefault="00F40038" w:rsidP="00F4003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A972A9" w:rsidRPr="00A972A9">
        <w:rPr>
          <w:rFonts w:ascii="Arial Narrow" w:hAnsi="Arial Narrow"/>
          <w:i/>
          <w:sz w:val="18"/>
          <w:szCs w:val="18"/>
        </w:rPr>
        <w:t>$135,000 to &lt; $155,000</w:t>
      </w:r>
    </w:p>
    <w:p w14:paraId="4957E79F" w14:textId="48A0DD3D" w:rsidR="00F40038" w:rsidRPr="00F40038" w:rsidRDefault="00F40038" w:rsidP="00F40038">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141648" w:rsidRPr="00141648">
        <w:rPr>
          <w:rFonts w:ascii="Arial Narrow" w:hAnsi="Arial Narrow"/>
          <w:i/>
          <w:sz w:val="18"/>
          <w:szCs w:val="18"/>
        </w:rPr>
        <w:t>$95,000 to &lt; $115,000</w:t>
      </w:r>
    </w:p>
    <w:p w14:paraId="77A4BC45" w14:textId="77777777" w:rsidR="00DF344A" w:rsidRPr="00455F25" w:rsidRDefault="00DF344A" w:rsidP="00DF344A">
      <w:pPr>
        <w:pStyle w:val="4-SubsectionHeading"/>
        <w:rPr>
          <w:i w:val="0"/>
        </w:rPr>
      </w:pPr>
      <w:bookmarkStart w:id="63" w:name="_Toc193454322"/>
      <w:r w:rsidRPr="00455F25">
        <w:rPr>
          <w:i w:val="0"/>
        </w:rPr>
        <w:t>Drug cost/patient/course</w:t>
      </w:r>
      <w:bookmarkEnd w:id="63"/>
    </w:p>
    <w:p w14:paraId="040FD8F9" w14:textId="7C643F47" w:rsidR="00741161" w:rsidRPr="00455F25" w:rsidRDefault="00741161" w:rsidP="00741161">
      <w:pPr>
        <w:pStyle w:val="3-BodyText"/>
        <w:rPr>
          <w:lang w:eastAsia="en-US"/>
        </w:rPr>
      </w:pPr>
      <w:r w:rsidRPr="00455F25">
        <w:rPr>
          <w:lang w:eastAsia="en-US"/>
        </w:rPr>
        <w:fldChar w:fldCharType="begin"/>
      </w:r>
      <w:r w:rsidRPr="00455F25">
        <w:rPr>
          <w:lang w:eastAsia="en-US"/>
        </w:rPr>
        <w:instrText xml:space="preserve"> REF _Ref192166936 \h </w:instrText>
      </w:r>
      <w:r w:rsidR="00455F25" w:rsidRPr="00455F25">
        <w:rPr>
          <w:lang w:eastAsia="en-US"/>
        </w:rPr>
        <w:instrText xml:space="preserve"> \* MERGEFORMAT </w:instrText>
      </w:r>
      <w:r w:rsidRPr="00455F25">
        <w:rPr>
          <w:lang w:eastAsia="en-US"/>
        </w:rPr>
      </w:r>
      <w:r w:rsidRPr="00455F25">
        <w:rPr>
          <w:lang w:eastAsia="en-US"/>
        </w:rPr>
        <w:fldChar w:fldCharType="separate"/>
      </w:r>
      <w:r w:rsidR="00593619" w:rsidRPr="00455F25">
        <w:t xml:space="preserve">Table </w:t>
      </w:r>
      <w:r w:rsidR="00593619">
        <w:rPr>
          <w:noProof/>
        </w:rPr>
        <w:t>13</w:t>
      </w:r>
      <w:r w:rsidRPr="00455F25">
        <w:rPr>
          <w:lang w:eastAsia="en-US"/>
        </w:rPr>
        <w:fldChar w:fldCharType="end"/>
      </w:r>
      <w:r w:rsidRPr="00455F25">
        <w:rPr>
          <w:lang w:eastAsia="en-US"/>
        </w:rPr>
        <w:t xml:space="preserve"> presents the cost per patient per course for the T-</w:t>
      </w:r>
      <w:proofErr w:type="spellStart"/>
      <w:r w:rsidRPr="00455F25">
        <w:rPr>
          <w:lang w:eastAsia="en-US"/>
        </w:rPr>
        <w:t>DXd</w:t>
      </w:r>
      <w:proofErr w:type="spellEnd"/>
      <w:r w:rsidRPr="00455F25">
        <w:rPr>
          <w:lang w:eastAsia="en-US"/>
        </w:rPr>
        <w:t xml:space="preserve"> and </w:t>
      </w:r>
      <w:proofErr w:type="spellStart"/>
      <w:r w:rsidRPr="00455F25">
        <w:rPr>
          <w:lang w:eastAsia="en-US"/>
        </w:rPr>
        <w:t>SoC.</w:t>
      </w:r>
      <w:proofErr w:type="spellEnd"/>
      <w:r w:rsidR="00093526">
        <w:rPr>
          <w:lang w:eastAsia="en-US"/>
        </w:rPr>
        <w:t xml:space="preserve"> Note, </w:t>
      </w:r>
      <w:r w:rsidR="00093526">
        <w:t>a</w:t>
      </w:r>
      <w:r w:rsidR="00093526" w:rsidRPr="00455F25">
        <w:t xml:space="preserve">s 8% of patients remained on treatment at the latest data cut (Table 7.2, DCO2 CSR), treatment duration based on </w:t>
      </w:r>
      <w:proofErr w:type="spellStart"/>
      <w:r w:rsidR="00093526" w:rsidRPr="00455F25">
        <w:t>ToT</w:t>
      </w:r>
      <w:proofErr w:type="spellEnd"/>
      <w:r w:rsidR="00093526" w:rsidRPr="00455F25">
        <w:t xml:space="preserve"> extrapolation </w:t>
      </w:r>
      <w:r w:rsidR="00B00B8E">
        <w:t>would have been</w:t>
      </w:r>
      <w:r w:rsidR="00093526" w:rsidRPr="00455F25">
        <w:t xml:space="preserve"> more appropriate</w:t>
      </w:r>
      <w:r w:rsidR="00B00B8E">
        <w:t xml:space="preserve"> for the financial estimates.</w:t>
      </w:r>
    </w:p>
    <w:p w14:paraId="6F03842C" w14:textId="5CB7ABD8" w:rsidR="00741161" w:rsidRPr="00455F25" w:rsidRDefault="00741161" w:rsidP="005629A7">
      <w:pPr>
        <w:pStyle w:val="Caption"/>
      </w:pPr>
      <w:bookmarkStart w:id="64" w:name="_Ref192166936"/>
      <w:r w:rsidRPr="00455F25">
        <w:lastRenderedPageBreak/>
        <w:t xml:space="preserve">Table </w:t>
      </w:r>
      <w:r w:rsidR="008B461E">
        <w:fldChar w:fldCharType="begin"/>
      </w:r>
      <w:r w:rsidR="008B461E">
        <w:instrText xml:space="preserve"> SEQ Table \* ARABIC </w:instrText>
      </w:r>
      <w:r w:rsidR="008B461E">
        <w:fldChar w:fldCharType="separate"/>
      </w:r>
      <w:r w:rsidR="00593619">
        <w:rPr>
          <w:noProof/>
        </w:rPr>
        <w:t>13</w:t>
      </w:r>
      <w:r w:rsidR="008B461E">
        <w:rPr>
          <w:noProof/>
        </w:rPr>
        <w:fldChar w:fldCharType="end"/>
      </w:r>
      <w:bookmarkEnd w:id="64"/>
      <w:r w:rsidRPr="00455F25">
        <w:t xml:space="preserve">: </w:t>
      </w:r>
      <w:r w:rsidRPr="00455F25">
        <w:rPr>
          <w:rStyle w:val="CommentReference"/>
          <w:b/>
          <w:szCs w:val="24"/>
        </w:rPr>
        <w:t>Drug cost per patient for T-</w:t>
      </w:r>
      <w:proofErr w:type="spellStart"/>
      <w:r w:rsidRPr="00455F25">
        <w:rPr>
          <w:rStyle w:val="CommentReference"/>
          <w:b/>
          <w:szCs w:val="24"/>
        </w:rPr>
        <w:t>DXd</w:t>
      </w:r>
      <w:proofErr w:type="spellEnd"/>
      <w:r w:rsidRPr="00455F25">
        <w:rPr>
          <w:rStyle w:val="CommentReference"/>
          <w:b/>
          <w:szCs w:val="24"/>
        </w:rPr>
        <w:t xml:space="preserve"> and SoC (assuming no vial sharing)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170"/>
        <w:gridCol w:w="1255"/>
        <w:gridCol w:w="1259"/>
        <w:gridCol w:w="1255"/>
        <w:gridCol w:w="1261"/>
        <w:gridCol w:w="1261"/>
      </w:tblGrid>
      <w:tr w:rsidR="00741161" w:rsidRPr="00455F25" w14:paraId="5F891047" w14:textId="77777777">
        <w:trPr>
          <w:cantSplit/>
          <w:tblHeader/>
          <w:jc w:val="center"/>
        </w:trPr>
        <w:tc>
          <w:tcPr>
            <w:tcW w:w="863" w:type="pct"/>
            <w:vAlign w:val="center"/>
          </w:tcPr>
          <w:p w14:paraId="74F28344" w14:textId="77777777" w:rsidR="00741161" w:rsidRPr="00455F25" w:rsidRDefault="00741161" w:rsidP="005629A7">
            <w:pPr>
              <w:pStyle w:val="In-tableHeading"/>
              <w:jc w:val="center"/>
            </w:pPr>
          </w:p>
        </w:tc>
        <w:tc>
          <w:tcPr>
            <w:tcW w:w="2043" w:type="pct"/>
            <w:gridSpan w:val="3"/>
            <w:vAlign w:val="center"/>
          </w:tcPr>
          <w:p w14:paraId="16A2CE81" w14:textId="77777777" w:rsidR="00741161" w:rsidRPr="00455F25" w:rsidRDefault="00741161" w:rsidP="005629A7">
            <w:pPr>
              <w:pStyle w:val="In-tableHeading"/>
              <w:jc w:val="center"/>
            </w:pPr>
            <w:r w:rsidRPr="00455F25">
              <w:t>T-</w:t>
            </w:r>
            <w:proofErr w:type="spellStart"/>
            <w:r w:rsidRPr="00455F25">
              <w:t>DXd</w:t>
            </w:r>
            <w:proofErr w:type="spellEnd"/>
          </w:p>
        </w:tc>
        <w:tc>
          <w:tcPr>
            <w:tcW w:w="2094" w:type="pct"/>
            <w:gridSpan w:val="3"/>
            <w:vAlign w:val="center"/>
          </w:tcPr>
          <w:p w14:paraId="7ED8D5A5" w14:textId="77777777" w:rsidR="00741161" w:rsidRPr="00455F25" w:rsidRDefault="00741161" w:rsidP="005629A7">
            <w:pPr>
              <w:pStyle w:val="In-tableHeading"/>
              <w:jc w:val="center"/>
            </w:pPr>
            <w:r w:rsidRPr="00455F25">
              <w:t>SoC</w:t>
            </w:r>
          </w:p>
        </w:tc>
      </w:tr>
      <w:tr w:rsidR="00741161" w:rsidRPr="00455F25" w14:paraId="54D0A9BF" w14:textId="77777777">
        <w:trPr>
          <w:cantSplit/>
          <w:tblHeader/>
          <w:jc w:val="center"/>
        </w:trPr>
        <w:tc>
          <w:tcPr>
            <w:tcW w:w="863" w:type="pct"/>
            <w:vAlign w:val="center"/>
          </w:tcPr>
          <w:p w14:paraId="28425F04" w14:textId="77777777" w:rsidR="00741161" w:rsidRPr="00455F25" w:rsidRDefault="00741161" w:rsidP="005629A7">
            <w:pPr>
              <w:pStyle w:val="In-tableHeading"/>
              <w:jc w:val="center"/>
            </w:pPr>
          </w:p>
        </w:tc>
        <w:tc>
          <w:tcPr>
            <w:tcW w:w="649" w:type="pct"/>
            <w:vAlign w:val="center"/>
          </w:tcPr>
          <w:p w14:paraId="1543F386" w14:textId="77777777" w:rsidR="00741161" w:rsidRPr="00455F25" w:rsidRDefault="00741161" w:rsidP="005629A7">
            <w:pPr>
              <w:pStyle w:val="In-tableHeading"/>
              <w:jc w:val="center"/>
            </w:pPr>
            <w:r w:rsidRPr="00455F25">
              <w:t>DG-01</w:t>
            </w:r>
          </w:p>
        </w:tc>
        <w:tc>
          <w:tcPr>
            <w:tcW w:w="696" w:type="pct"/>
            <w:vAlign w:val="center"/>
          </w:tcPr>
          <w:p w14:paraId="6AE211B3" w14:textId="77777777" w:rsidR="00741161" w:rsidRPr="00455F25" w:rsidRDefault="00741161" w:rsidP="005629A7">
            <w:pPr>
              <w:pStyle w:val="In-tableHeading"/>
              <w:jc w:val="center"/>
            </w:pPr>
            <w:r w:rsidRPr="00455F25">
              <w:t>Economic Model</w:t>
            </w:r>
          </w:p>
        </w:tc>
        <w:tc>
          <w:tcPr>
            <w:tcW w:w="698" w:type="pct"/>
            <w:vAlign w:val="center"/>
          </w:tcPr>
          <w:p w14:paraId="7DCDFECD" w14:textId="77777777" w:rsidR="00741161" w:rsidRPr="00455F25" w:rsidRDefault="00741161" w:rsidP="005629A7">
            <w:pPr>
              <w:pStyle w:val="In-tableHeading"/>
              <w:jc w:val="center"/>
            </w:pPr>
            <w:r w:rsidRPr="00455F25">
              <w:t>Financial Estimates</w:t>
            </w:r>
          </w:p>
        </w:tc>
        <w:tc>
          <w:tcPr>
            <w:tcW w:w="696" w:type="pct"/>
            <w:vAlign w:val="center"/>
          </w:tcPr>
          <w:p w14:paraId="62B50B90" w14:textId="77777777" w:rsidR="00741161" w:rsidRPr="00455F25" w:rsidRDefault="00741161" w:rsidP="005629A7">
            <w:pPr>
              <w:pStyle w:val="In-tableHeading"/>
              <w:jc w:val="center"/>
            </w:pPr>
            <w:r w:rsidRPr="00455F25">
              <w:t>DG-01</w:t>
            </w:r>
          </w:p>
        </w:tc>
        <w:tc>
          <w:tcPr>
            <w:tcW w:w="699" w:type="pct"/>
            <w:vAlign w:val="center"/>
          </w:tcPr>
          <w:p w14:paraId="56896E59" w14:textId="77777777" w:rsidR="00741161" w:rsidRPr="00455F25" w:rsidRDefault="00741161" w:rsidP="005629A7">
            <w:pPr>
              <w:pStyle w:val="In-tableHeading"/>
              <w:jc w:val="center"/>
              <w:rPr>
                <w:vertAlign w:val="superscript"/>
              </w:rPr>
            </w:pPr>
            <w:r w:rsidRPr="00455F25">
              <w:t>Economic Model</w:t>
            </w:r>
          </w:p>
        </w:tc>
        <w:tc>
          <w:tcPr>
            <w:tcW w:w="699" w:type="pct"/>
          </w:tcPr>
          <w:p w14:paraId="715B40C5" w14:textId="77777777" w:rsidR="00741161" w:rsidRPr="00455F25" w:rsidRDefault="00741161" w:rsidP="005629A7">
            <w:pPr>
              <w:pStyle w:val="In-tableHeading"/>
              <w:jc w:val="center"/>
            </w:pPr>
            <w:r w:rsidRPr="00455F25">
              <w:t>Financial Estimates</w:t>
            </w:r>
          </w:p>
        </w:tc>
      </w:tr>
      <w:tr w:rsidR="00BB6D54" w:rsidRPr="00455F25" w14:paraId="54F9D9CB" w14:textId="77777777">
        <w:trPr>
          <w:cantSplit/>
          <w:trHeight w:val="1037"/>
          <w:jc w:val="center"/>
        </w:trPr>
        <w:tc>
          <w:tcPr>
            <w:tcW w:w="863" w:type="pct"/>
            <w:vAlign w:val="center"/>
          </w:tcPr>
          <w:p w14:paraId="640CD8AE" w14:textId="77777777" w:rsidR="00BB6D54" w:rsidRPr="00455F25" w:rsidRDefault="00BB6D54" w:rsidP="005629A7">
            <w:pPr>
              <w:pStyle w:val="TableText0"/>
              <w:rPr>
                <w:lang w:val="en-US"/>
              </w:rPr>
            </w:pPr>
            <w:r w:rsidRPr="00455F25">
              <w:rPr>
                <w:lang w:val="en-US"/>
              </w:rPr>
              <w:t>Mean dose per administration (mg)</w:t>
            </w:r>
          </w:p>
        </w:tc>
        <w:tc>
          <w:tcPr>
            <w:tcW w:w="649" w:type="pct"/>
            <w:vAlign w:val="center"/>
          </w:tcPr>
          <w:p w14:paraId="5BE17250" w14:textId="77777777" w:rsidR="00BB6D54" w:rsidRPr="00455F25" w:rsidRDefault="00BB6D54" w:rsidP="005629A7">
            <w:pPr>
              <w:pStyle w:val="TableText0"/>
              <w:jc w:val="center"/>
              <w:rPr>
                <w:bCs w:val="0"/>
                <w:vertAlign w:val="superscript"/>
                <w:lang w:val="en-US"/>
              </w:rPr>
            </w:pPr>
            <w:r w:rsidRPr="00455F25">
              <w:rPr>
                <w:bCs w:val="0"/>
                <w:lang w:val="en-US"/>
              </w:rPr>
              <w:t>428.61</w:t>
            </w:r>
            <w:r w:rsidRPr="00455F25">
              <w:rPr>
                <w:bCs w:val="0"/>
                <w:vertAlign w:val="superscript"/>
                <w:lang w:val="en-US"/>
              </w:rPr>
              <w:t>a</w:t>
            </w:r>
          </w:p>
          <w:p w14:paraId="72EB3E80" w14:textId="77777777" w:rsidR="00BB6D54" w:rsidRPr="00455F25" w:rsidRDefault="00BB6D54" w:rsidP="005629A7">
            <w:pPr>
              <w:pStyle w:val="TableText0"/>
              <w:jc w:val="center"/>
              <w:rPr>
                <w:bCs w:val="0"/>
                <w:lang w:val="en-US"/>
              </w:rPr>
            </w:pPr>
            <w:r w:rsidRPr="00455F25">
              <w:rPr>
                <w:bCs w:val="0"/>
                <w:lang w:val="en-US"/>
              </w:rPr>
              <w:t xml:space="preserve">(5 vials) </w:t>
            </w:r>
          </w:p>
        </w:tc>
        <w:tc>
          <w:tcPr>
            <w:tcW w:w="696" w:type="pct"/>
            <w:vAlign w:val="center"/>
          </w:tcPr>
          <w:p w14:paraId="45C9B3BA" w14:textId="77777777" w:rsidR="00BB6D54" w:rsidRPr="00455F25" w:rsidRDefault="00BB6D54" w:rsidP="005629A7">
            <w:pPr>
              <w:pStyle w:val="TableText0"/>
              <w:jc w:val="center"/>
              <w:rPr>
                <w:bCs w:val="0"/>
                <w:lang w:val="en-US"/>
              </w:rPr>
            </w:pPr>
            <w:r w:rsidRPr="00455F25">
              <w:rPr>
                <w:bCs w:val="0"/>
                <w:lang w:val="en-US"/>
              </w:rPr>
              <w:t>428.61</w:t>
            </w:r>
            <w:r w:rsidRPr="00455F25">
              <w:rPr>
                <w:bCs w:val="0"/>
                <w:vertAlign w:val="superscript"/>
                <w:lang w:val="en-US"/>
              </w:rPr>
              <w:t>a</w:t>
            </w:r>
          </w:p>
          <w:p w14:paraId="6600D0E4" w14:textId="77777777" w:rsidR="00BB6D54" w:rsidRPr="00455F25" w:rsidRDefault="00BB6D54" w:rsidP="005629A7">
            <w:pPr>
              <w:pStyle w:val="TableText0"/>
              <w:jc w:val="center"/>
              <w:rPr>
                <w:bCs w:val="0"/>
                <w:lang w:val="en-US"/>
              </w:rPr>
            </w:pPr>
            <w:r w:rsidRPr="00455F25">
              <w:rPr>
                <w:bCs w:val="0"/>
                <w:lang w:val="en-US"/>
              </w:rPr>
              <w:t xml:space="preserve">(5 vials) </w:t>
            </w:r>
          </w:p>
        </w:tc>
        <w:tc>
          <w:tcPr>
            <w:tcW w:w="698" w:type="pct"/>
            <w:vAlign w:val="center"/>
          </w:tcPr>
          <w:p w14:paraId="3AC0AFE0" w14:textId="77777777" w:rsidR="00BB6D54" w:rsidRPr="00455F25" w:rsidRDefault="00BB6D54" w:rsidP="005629A7">
            <w:pPr>
              <w:pStyle w:val="TableText0"/>
              <w:jc w:val="center"/>
              <w:rPr>
                <w:bCs w:val="0"/>
              </w:rPr>
            </w:pPr>
            <w:r w:rsidRPr="00455F25">
              <w:rPr>
                <w:bCs w:val="0"/>
              </w:rPr>
              <w:t>428.61</w:t>
            </w:r>
          </w:p>
          <w:p w14:paraId="485AB15D" w14:textId="0D27F54D" w:rsidR="00BB6D54" w:rsidRPr="00455F25" w:rsidRDefault="00BB6D54" w:rsidP="005629A7">
            <w:pPr>
              <w:pStyle w:val="TableText0"/>
              <w:jc w:val="center"/>
              <w:rPr>
                <w:bCs w:val="0"/>
                <w:highlight w:val="yellow"/>
                <w:lang w:val="en-US"/>
              </w:rPr>
            </w:pPr>
            <w:r w:rsidRPr="00455F25">
              <w:rPr>
                <w:bCs w:val="0"/>
              </w:rPr>
              <w:t>(5 vials)</w:t>
            </w:r>
          </w:p>
        </w:tc>
        <w:tc>
          <w:tcPr>
            <w:tcW w:w="696" w:type="pct"/>
            <w:vAlign w:val="center"/>
          </w:tcPr>
          <w:p w14:paraId="5A532443" w14:textId="77777777" w:rsidR="00BB6D54" w:rsidRPr="00455F25" w:rsidRDefault="00BB6D54" w:rsidP="005629A7">
            <w:pPr>
              <w:pStyle w:val="TableText0"/>
              <w:jc w:val="center"/>
              <w:rPr>
                <w:bCs w:val="0"/>
                <w:vertAlign w:val="superscript"/>
                <w:lang w:val="en-US"/>
              </w:rPr>
            </w:pPr>
            <w:r w:rsidRPr="00455F25">
              <w:rPr>
                <w:bCs w:val="0"/>
                <w:lang w:val="en-US"/>
              </w:rPr>
              <w:t xml:space="preserve">I: </w:t>
            </w:r>
            <w:r w:rsidRPr="00455F25">
              <w:t>232.96</w:t>
            </w:r>
            <w:r w:rsidRPr="00455F25">
              <w:rPr>
                <w:vertAlign w:val="superscript"/>
              </w:rPr>
              <w:t>b</w:t>
            </w:r>
          </w:p>
          <w:p w14:paraId="42A2F242" w14:textId="77777777" w:rsidR="00BB6D54" w:rsidRPr="00455F25" w:rsidRDefault="00BB6D54" w:rsidP="005629A7">
            <w:pPr>
              <w:pStyle w:val="TableText0"/>
              <w:jc w:val="center"/>
              <w:rPr>
                <w:bCs w:val="0"/>
                <w:highlight w:val="yellow"/>
                <w:vertAlign w:val="superscript"/>
                <w:lang w:val="en-US"/>
              </w:rPr>
            </w:pPr>
            <w:r w:rsidRPr="00455F25">
              <w:rPr>
                <w:bCs w:val="0"/>
                <w:lang w:val="en-US"/>
              </w:rPr>
              <w:t>P:</w:t>
            </w:r>
            <w:r w:rsidRPr="00455F25">
              <w:rPr>
                <w:bCs w:val="0"/>
                <w:vertAlign w:val="superscript"/>
                <w:lang w:val="en-US"/>
              </w:rPr>
              <w:t xml:space="preserve"> </w:t>
            </w:r>
            <w:r w:rsidRPr="00455F25">
              <w:t>124.25</w:t>
            </w:r>
            <w:r w:rsidRPr="00455F25">
              <w:rPr>
                <w:vertAlign w:val="superscript"/>
              </w:rPr>
              <w:t>b</w:t>
            </w:r>
          </w:p>
        </w:tc>
        <w:tc>
          <w:tcPr>
            <w:tcW w:w="699" w:type="pct"/>
            <w:vAlign w:val="center"/>
          </w:tcPr>
          <w:p w14:paraId="0034B89B" w14:textId="77777777" w:rsidR="00BB6D54" w:rsidRPr="00455F25" w:rsidRDefault="00BB6D54" w:rsidP="005629A7">
            <w:pPr>
              <w:pStyle w:val="TableText0"/>
              <w:jc w:val="center"/>
            </w:pPr>
            <w:r w:rsidRPr="00455F25">
              <w:rPr>
                <w:bCs w:val="0"/>
                <w:lang w:val="en-US"/>
              </w:rPr>
              <w:t xml:space="preserve">I (MT): </w:t>
            </w:r>
            <w:r w:rsidRPr="00455F25">
              <w:t>232.96</w:t>
            </w:r>
          </w:p>
          <w:p w14:paraId="019AB1A2" w14:textId="77777777" w:rsidR="00BB6D54" w:rsidRPr="00455F25" w:rsidRDefault="00BB6D54" w:rsidP="005629A7">
            <w:pPr>
              <w:pStyle w:val="TableText0"/>
              <w:jc w:val="center"/>
              <w:rPr>
                <w:bCs w:val="0"/>
                <w:lang w:val="en-US"/>
              </w:rPr>
            </w:pPr>
            <w:r w:rsidRPr="00455F25">
              <w:t xml:space="preserve">I (CT): </w:t>
            </w:r>
            <w:r w:rsidRPr="00455F25">
              <w:rPr>
                <w:szCs w:val="20"/>
              </w:rPr>
              <w:t>279.56</w:t>
            </w:r>
          </w:p>
          <w:p w14:paraId="269D447C" w14:textId="77777777" w:rsidR="00BB6D54" w:rsidRPr="00455F25" w:rsidRDefault="00BB6D54" w:rsidP="005629A7">
            <w:pPr>
              <w:pStyle w:val="TableText0"/>
              <w:jc w:val="center"/>
            </w:pPr>
            <w:r w:rsidRPr="00455F25">
              <w:rPr>
                <w:bCs w:val="0"/>
                <w:lang w:val="en-US"/>
              </w:rPr>
              <w:t xml:space="preserve">P: </w:t>
            </w:r>
            <w:r w:rsidRPr="00455F25">
              <w:t>124.25</w:t>
            </w:r>
          </w:p>
          <w:p w14:paraId="7A590679" w14:textId="77777777" w:rsidR="00BB6D54" w:rsidRPr="00455F25" w:rsidRDefault="00BB6D54" w:rsidP="005629A7">
            <w:pPr>
              <w:pStyle w:val="TableText0"/>
              <w:jc w:val="center"/>
              <w:rPr>
                <w:lang w:val="en-US"/>
              </w:rPr>
            </w:pPr>
            <w:r w:rsidRPr="00455F25">
              <w:rPr>
                <w:lang w:val="en-US"/>
              </w:rPr>
              <w:t>D: 116.48</w:t>
            </w:r>
          </w:p>
          <w:p w14:paraId="445A42AC" w14:textId="77777777" w:rsidR="00BB6D54" w:rsidRPr="00455F25" w:rsidRDefault="00BB6D54" w:rsidP="005629A7">
            <w:pPr>
              <w:pStyle w:val="TableText0"/>
              <w:jc w:val="center"/>
              <w:rPr>
                <w:lang w:val="en-US"/>
              </w:rPr>
            </w:pPr>
            <w:r w:rsidRPr="00455F25">
              <w:rPr>
                <w:lang w:val="en-US"/>
              </w:rPr>
              <w:t>FA: 50</w:t>
            </w:r>
          </w:p>
          <w:p w14:paraId="55BC9DEB" w14:textId="77777777" w:rsidR="00BB6D54" w:rsidRPr="00455F25" w:rsidRDefault="00BB6D54" w:rsidP="005629A7">
            <w:pPr>
              <w:pStyle w:val="TableText0"/>
              <w:jc w:val="center"/>
              <w:rPr>
                <w:bCs w:val="0"/>
                <w:vertAlign w:val="superscript"/>
                <w:lang w:val="en-US"/>
              </w:rPr>
            </w:pPr>
            <w:r w:rsidRPr="00455F25">
              <w:rPr>
                <w:lang w:val="en-US"/>
              </w:rPr>
              <w:t xml:space="preserve">FU: </w:t>
            </w:r>
            <w:r w:rsidRPr="00455F25">
              <w:t>4,348.64</w:t>
            </w:r>
          </w:p>
        </w:tc>
        <w:tc>
          <w:tcPr>
            <w:tcW w:w="699" w:type="pct"/>
            <w:vAlign w:val="center"/>
          </w:tcPr>
          <w:p w14:paraId="7FA77C25" w14:textId="77777777" w:rsidR="00BB6D54" w:rsidRPr="00455F25" w:rsidRDefault="00BB6D54" w:rsidP="005629A7">
            <w:pPr>
              <w:pStyle w:val="TableText0"/>
              <w:jc w:val="center"/>
            </w:pPr>
            <w:r w:rsidRPr="00455F25">
              <w:rPr>
                <w:bCs w:val="0"/>
              </w:rPr>
              <w:t>I (MT): 279</w:t>
            </w:r>
          </w:p>
          <w:p w14:paraId="575284D6" w14:textId="77777777" w:rsidR="00BB6D54" w:rsidRPr="00455F25" w:rsidRDefault="00BB6D54" w:rsidP="005629A7">
            <w:pPr>
              <w:pStyle w:val="TableText0"/>
              <w:jc w:val="center"/>
              <w:rPr>
                <w:bCs w:val="0"/>
              </w:rPr>
            </w:pPr>
            <w:r w:rsidRPr="00455F25">
              <w:t>I (CT): 335</w:t>
            </w:r>
          </w:p>
          <w:p w14:paraId="13BEE714" w14:textId="77777777" w:rsidR="00BB6D54" w:rsidRPr="00455F25" w:rsidRDefault="00BB6D54" w:rsidP="005629A7">
            <w:pPr>
              <w:pStyle w:val="TableText0"/>
              <w:jc w:val="center"/>
            </w:pPr>
            <w:r w:rsidRPr="00455F25">
              <w:rPr>
                <w:bCs w:val="0"/>
              </w:rPr>
              <w:t xml:space="preserve">P: </w:t>
            </w:r>
            <w:r w:rsidRPr="00455F25">
              <w:t>148.8</w:t>
            </w:r>
          </w:p>
          <w:p w14:paraId="1DB39BDF" w14:textId="77777777" w:rsidR="00BB6D54" w:rsidRPr="00455F25" w:rsidRDefault="00BB6D54" w:rsidP="005629A7">
            <w:pPr>
              <w:pStyle w:val="TableText0"/>
              <w:jc w:val="center"/>
            </w:pPr>
            <w:r w:rsidRPr="00455F25">
              <w:t>D: 139.5</w:t>
            </w:r>
          </w:p>
          <w:p w14:paraId="0E6F76EF" w14:textId="77777777" w:rsidR="00BB6D54" w:rsidRPr="00455F25" w:rsidRDefault="00BB6D54" w:rsidP="005629A7">
            <w:pPr>
              <w:pStyle w:val="TableText0"/>
              <w:jc w:val="center"/>
            </w:pPr>
            <w:r w:rsidRPr="00455F25">
              <w:t>FA: 50</w:t>
            </w:r>
          </w:p>
          <w:p w14:paraId="40032D9E" w14:textId="653255C9" w:rsidR="00BB6D54" w:rsidRPr="00455F25" w:rsidRDefault="00BB6D54" w:rsidP="005629A7">
            <w:pPr>
              <w:pStyle w:val="TableText0"/>
              <w:jc w:val="center"/>
              <w:rPr>
                <w:bCs w:val="0"/>
                <w:highlight w:val="yellow"/>
                <w:lang w:val="en-US"/>
              </w:rPr>
            </w:pPr>
            <w:r w:rsidRPr="00455F25">
              <w:t>FU: 5,208</w:t>
            </w:r>
          </w:p>
        </w:tc>
      </w:tr>
      <w:tr w:rsidR="00BB6D54" w:rsidRPr="00455F25" w14:paraId="6AA5BEE9" w14:textId="77777777" w:rsidTr="00913067">
        <w:trPr>
          <w:cantSplit/>
          <w:trHeight w:val="567"/>
          <w:jc w:val="center"/>
        </w:trPr>
        <w:tc>
          <w:tcPr>
            <w:tcW w:w="863" w:type="pct"/>
            <w:vAlign w:val="center"/>
          </w:tcPr>
          <w:p w14:paraId="102520F5" w14:textId="77777777" w:rsidR="00BB6D54" w:rsidRPr="00455F25" w:rsidRDefault="00BB6D54" w:rsidP="005629A7">
            <w:pPr>
              <w:pStyle w:val="TableText0"/>
              <w:rPr>
                <w:lang w:val="en-US"/>
              </w:rPr>
            </w:pPr>
            <w:r w:rsidRPr="00455F25">
              <w:rPr>
                <w:lang w:val="en-US"/>
              </w:rPr>
              <w:t>Mean duration (months)</w:t>
            </w:r>
          </w:p>
        </w:tc>
        <w:tc>
          <w:tcPr>
            <w:tcW w:w="649" w:type="pct"/>
            <w:vAlign w:val="center"/>
          </w:tcPr>
          <w:p w14:paraId="7B6E132B" w14:textId="77777777" w:rsidR="00BB6D54" w:rsidRPr="00455F25" w:rsidRDefault="00BB6D54" w:rsidP="005629A7">
            <w:pPr>
              <w:pStyle w:val="TableText0"/>
              <w:jc w:val="center"/>
              <w:rPr>
                <w:bCs w:val="0"/>
                <w:vertAlign w:val="superscript"/>
                <w:lang w:val="en-US"/>
              </w:rPr>
            </w:pPr>
            <w:r w:rsidRPr="00455F25">
              <w:rPr>
                <w:bCs w:val="0"/>
                <w:lang w:val="en-US"/>
              </w:rPr>
              <w:t>6.71</w:t>
            </w:r>
          </w:p>
        </w:tc>
        <w:tc>
          <w:tcPr>
            <w:tcW w:w="696" w:type="pct"/>
            <w:vAlign w:val="center"/>
          </w:tcPr>
          <w:p w14:paraId="48E2535A" w14:textId="77777777" w:rsidR="00BB6D54" w:rsidRPr="00455F25" w:rsidRDefault="00BB6D54" w:rsidP="005629A7">
            <w:pPr>
              <w:pStyle w:val="TableText0"/>
              <w:jc w:val="center"/>
              <w:rPr>
                <w:bCs w:val="0"/>
                <w:lang w:val="en-US"/>
              </w:rPr>
            </w:pPr>
            <w:r w:rsidRPr="00455F25">
              <w:rPr>
                <w:bCs w:val="0"/>
                <w:lang w:val="en-US"/>
              </w:rPr>
              <w:t>7.35</w:t>
            </w:r>
          </w:p>
        </w:tc>
        <w:tc>
          <w:tcPr>
            <w:tcW w:w="698" w:type="pct"/>
            <w:vAlign w:val="center"/>
          </w:tcPr>
          <w:p w14:paraId="2DA491EB" w14:textId="3D1BC4B2" w:rsidR="00BB6D54" w:rsidRPr="00455F25" w:rsidRDefault="00BB6D54" w:rsidP="005629A7">
            <w:pPr>
              <w:pStyle w:val="TableText0"/>
              <w:jc w:val="center"/>
              <w:rPr>
                <w:bCs w:val="0"/>
                <w:lang w:val="en-US"/>
              </w:rPr>
            </w:pPr>
            <w:r w:rsidRPr="00455F25">
              <w:rPr>
                <w:bCs w:val="0"/>
              </w:rPr>
              <w:t>29.10 w</w:t>
            </w:r>
            <w:r w:rsidR="00AD30D6" w:rsidRPr="00455F25">
              <w:rPr>
                <w:bCs w:val="0"/>
              </w:rPr>
              <w:t>ee</w:t>
            </w:r>
            <w:r w:rsidRPr="00455F25">
              <w:rPr>
                <w:bCs w:val="0"/>
              </w:rPr>
              <w:t>ks</w:t>
            </w:r>
            <w:r w:rsidR="00515681">
              <w:rPr>
                <w:bCs w:val="0"/>
              </w:rPr>
              <w:t xml:space="preserve"> (6.70 months)</w:t>
            </w:r>
          </w:p>
        </w:tc>
        <w:tc>
          <w:tcPr>
            <w:tcW w:w="696" w:type="pct"/>
            <w:vAlign w:val="center"/>
          </w:tcPr>
          <w:p w14:paraId="1D7E9F44" w14:textId="77777777" w:rsidR="00BB6D54" w:rsidRPr="00455F25" w:rsidRDefault="00BB6D54" w:rsidP="005629A7">
            <w:pPr>
              <w:pStyle w:val="TableText0"/>
              <w:jc w:val="center"/>
              <w:rPr>
                <w:bCs w:val="0"/>
                <w:vertAlign w:val="superscript"/>
                <w:lang w:val="en-US"/>
              </w:rPr>
            </w:pPr>
            <w:r w:rsidRPr="00455F25">
              <w:rPr>
                <w:bCs w:val="0"/>
                <w:lang w:val="en-US"/>
              </w:rPr>
              <w:t>3.18</w:t>
            </w:r>
            <w:r w:rsidRPr="00455F25">
              <w:rPr>
                <w:bCs w:val="0"/>
                <w:vertAlign w:val="superscript"/>
                <w:lang w:val="en-US"/>
              </w:rPr>
              <w:t>c</w:t>
            </w:r>
          </w:p>
        </w:tc>
        <w:tc>
          <w:tcPr>
            <w:tcW w:w="699" w:type="pct"/>
            <w:vAlign w:val="center"/>
          </w:tcPr>
          <w:p w14:paraId="1DB0C4B4" w14:textId="77777777" w:rsidR="00BB6D54" w:rsidRPr="00455F25" w:rsidRDefault="00BB6D54" w:rsidP="005629A7">
            <w:pPr>
              <w:pStyle w:val="TableText0"/>
              <w:jc w:val="center"/>
              <w:rPr>
                <w:bCs w:val="0"/>
                <w:lang w:val="en-US"/>
              </w:rPr>
            </w:pPr>
            <w:r w:rsidRPr="00455F25">
              <w:rPr>
                <w:bCs w:val="0"/>
                <w:lang w:val="en-US"/>
              </w:rPr>
              <w:t>3.23</w:t>
            </w:r>
          </w:p>
        </w:tc>
        <w:tc>
          <w:tcPr>
            <w:tcW w:w="699" w:type="pct"/>
            <w:vAlign w:val="center"/>
          </w:tcPr>
          <w:p w14:paraId="3A4AED1B" w14:textId="77777777" w:rsidR="00BB6D54" w:rsidRPr="008B2955" w:rsidRDefault="00BB6D54" w:rsidP="00913067">
            <w:pPr>
              <w:pStyle w:val="TableText0"/>
              <w:jc w:val="center"/>
              <w:rPr>
                <w:lang w:val="en-US"/>
              </w:rPr>
            </w:pPr>
            <w:r w:rsidRPr="008B2955">
              <w:rPr>
                <w:lang w:val="en-US"/>
              </w:rPr>
              <w:t>14.48 w</w:t>
            </w:r>
            <w:r w:rsidR="00AD30D6" w:rsidRPr="008B2955">
              <w:rPr>
                <w:lang w:val="en-US"/>
              </w:rPr>
              <w:t>eeks</w:t>
            </w:r>
          </w:p>
          <w:p w14:paraId="2176EE6E" w14:textId="19DF6E11" w:rsidR="00600D94" w:rsidRPr="00455F25" w:rsidRDefault="002832DF" w:rsidP="00913067">
            <w:pPr>
              <w:pStyle w:val="TableText0"/>
              <w:jc w:val="center"/>
              <w:rPr>
                <w:bCs w:val="0"/>
                <w:lang w:val="en-US"/>
              </w:rPr>
            </w:pPr>
            <w:r w:rsidRPr="008B2955">
              <w:rPr>
                <w:lang w:val="en-US"/>
              </w:rPr>
              <w:t>(3.3 months)</w:t>
            </w:r>
          </w:p>
        </w:tc>
      </w:tr>
      <w:tr w:rsidR="00BB6D54" w:rsidRPr="00455F25" w14:paraId="02269D67" w14:textId="77777777" w:rsidTr="008B2955">
        <w:trPr>
          <w:cantSplit/>
          <w:jc w:val="center"/>
        </w:trPr>
        <w:tc>
          <w:tcPr>
            <w:tcW w:w="863" w:type="pct"/>
            <w:vAlign w:val="center"/>
          </w:tcPr>
          <w:p w14:paraId="7399DF63" w14:textId="77777777" w:rsidR="00BB6D54" w:rsidRPr="00455F25" w:rsidRDefault="00BB6D54" w:rsidP="005629A7">
            <w:pPr>
              <w:pStyle w:val="TableText0"/>
              <w:rPr>
                <w:lang w:val="en-US"/>
              </w:rPr>
            </w:pPr>
            <w:r w:rsidRPr="00455F25">
              <w:rPr>
                <w:lang w:val="en-US"/>
              </w:rPr>
              <w:t>Cost/patient/month</w:t>
            </w:r>
          </w:p>
        </w:tc>
        <w:tc>
          <w:tcPr>
            <w:tcW w:w="649" w:type="pct"/>
          </w:tcPr>
          <w:p w14:paraId="711BC4A2" w14:textId="76C51ADD" w:rsidR="00BB6D54" w:rsidRPr="00455F25" w:rsidRDefault="00BB6D54" w:rsidP="005629A7">
            <w:pPr>
              <w:pStyle w:val="TableText0"/>
              <w:jc w:val="center"/>
              <w:rPr>
                <w:bCs w:val="0"/>
                <w:lang w:val="en-US"/>
              </w:rPr>
            </w:pPr>
            <w:r w:rsidRPr="00455F25">
              <w:t>$</w:t>
            </w:r>
            <w:r w:rsidR="002D5F61" w:rsidRPr="002D5F61">
              <w:rPr>
                <w:rFonts w:hint="eastAsia"/>
                <w:color w:val="000000"/>
                <w:w w:val="15"/>
                <w:shd w:val="solid" w:color="000000" w:fill="000000"/>
                <w:fitText w:val="32" w:id="-663001597"/>
                <w14:textFill>
                  <w14:solidFill>
                    <w14:srgbClr w14:val="000000">
                      <w14:alpha w14:val="100000"/>
                    </w14:srgbClr>
                  </w14:solidFill>
                </w14:textFill>
              </w:rPr>
              <w:t xml:space="preserve">　</w:t>
            </w:r>
            <w:r w:rsidR="002D5F61" w:rsidRPr="002D5F61">
              <w:rPr>
                <w:color w:val="000000"/>
                <w:w w:val="15"/>
                <w:shd w:val="solid" w:color="000000" w:fill="000000"/>
                <w:fitText w:val="32" w:id="-663001597"/>
                <w14:textFill>
                  <w14:solidFill>
                    <w14:srgbClr w14:val="000000">
                      <w14:alpha w14:val="100000"/>
                    </w14:srgbClr>
                  </w14:solidFill>
                </w14:textFill>
              </w:rPr>
              <w:t>|</w:t>
            </w:r>
            <w:r w:rsidR="002D5F61" w:rsidRPr="002D5F61">
              <w:rPr>
                <w:rFonts w:hint="eastAsia"/>
                <w:color w:val="000000"/>
                <w:spacing w:val="-33"/>
                <w:w w:val="15"/>
                <w:shd w:val="solid" w:color="000000" w:fill="000000"/>
                <w:fitText w:val="32" w:id="-663001597"/>
                <w14:textFill>
                  <w14:solidFill>
                    <w14:srgbClr w14:val="000000">
                      <w14:alpha w14:val="100000"/>
                    </w14:srgbClr>
                  </w14:solidFill>
                </w14:textFill>
              </w:rPr>
              <w:t xml:space="preserve">　</w:t>
            </w:r>
          </w:p>
        </w:tc>
        <w:tc>
          <w:tcPr>
            <w:tcW w:w="696" w:type="pct"/>
          </w:tcPr>
          <w:p w14:paraId="51537BCD" w14:textId="2A75E7F9" w:rsidR="00BB6D54" w:rsidRPr="00455F25" w:rsidRDefault="00BB6D54" w:rsidP="005629A7">
            <w:pPr>
              <w:pStyle w:val="TableText0"/>
              <w:jc w:val="center"/>
              <w:rPr>
                <w:bCs w:val="0"/>
                <w:lang w:val="en-US"/>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698" w:type="pct"/>
            <w:vAlign w:val="center"/>
          </w:tcPr>
          <w:p w14:paraId="0AC1588B" w14:textId="77E58BC5" w:rsidR="00BB6D54" w:rsidRPr="00455F25" w:rsidRDefault="00BB6D54" w:rsidP="005629A7">
            <w:pPr>
              <w:pStyle w:val="TableText0"/>
              <w:jc w:val="center"/>
              <w:rPr>
                <w:bCs w:val="0"/>
                <w:lang w:val="en-US"/>
              </w:rPr>
            </w:pPr>
            <w:r w:rsidRPr="00455F25">
              <w:rPr>
                <w:bCs w:val="0"/>
              </w:rPr>
              <w:t>$</w:t>
            </w:r>
            <w:r w:rsidR="002D5F61" w:rsidRPr="002D5F61">
              <w:rPr>
                <w:bCs w:val="0"/>
                <w:color w:val="000000"/>
                <w:shd w:val="solid" w:color="000000" w:fill="000000"/>
                <w14:textFill>
                  <w14:solidFill>
                    <w14:srgbClr w14:val="000000">
                      <w14:alpha w14:val="100000"/>
                    </w14:srgbClr>
                  </w14:solidFill>
                </w14:textFill>
              </w:rPr>
              <w:t>|</w:t>
            </w:r>
          </w:p>
        </w:tc>
        <w:tc>
          <w:tcPr>
            <w:tcW w:w="696" w:type="pct"/>
            <w:vAlign w:val="center"/>
          </w:tcPr>
          <w:p w14:paraId="366E83A5" w14:textId="77777777" w:rsidR="00BB6D54" w:rsidRPr="00455F25" w:rsidRDefault="00BB6D54" w:rsidP="005629A7">
            <w:pPr>
              <w:pStyle w:val="TableText0"/>
              <w:jc w:val="center"/>
              <w:rPr>
                <w:bCs w:val="0"/>
                <w:lang w:val="en-US"/>
              </w:rPr>
            </w:pPr>
            <w:r w:rsidRPr="00455F25">
              <w:rPr>
                <w:color w:val="000000"/>
                <w:szCs w:val="20"/>
              </w:rPr>
              <w:t>$348</w:t>
            </w:r>
          </w:p>
        </w:tc>
        <w:tc>
          <w:tcPr>
            <w:tcW w:w="699" w:type="pct"/>
            <w:vAlign w:val="center"/>
          </w:tcPr>
          <w:p w14:paraId="48BD1ECB" w14:textId="77777777" w:rsidR="00BB6D54" w:rsidRPr="00455F25" w:rsidRDefault="00BB6D54" w:rsidP="005629A7">
            <w:pPr>
              <w:pStyle w:val="TableText0"/>
              <w:jc w:val="center"/>
              <w:rPr>
                <w:bCs w:val="0"/>
                <w:lang w:val="en-US"/>
              </w:rPr>
            </w:pPr>
            <w:r w:rsidRPr="00455F25">
              <w:rPr>
                <w:color w:val="000000"/>
                <w:szCs w:val="20"/>
              </w:rPr>
              <w:t>$495</w:t>
            </w:r>
          </w:p>
        </w:tc>
        <w:tc>
          <w:tcPr>
            <w:tcW w:w="699" w:type="pct"/>
            <w:vAlign w:val="bottom"/>
          </w:tcPr>
          <w:p w14:paraId="1A532106" w14:textId="657A8097" w:rsidR="00BB6D54" w:rsidRPr="00455F25" w:rsidRDefault="00BB6D54" w:rsidP="005629A7">
            <w:pPr>
              <w:pStyle w:val="TableText0"/>
              <w:jc w:val="center"/>
              <w:rPr>
                <w:bCs w:val="0"/>
                <w:lang w:val="en-US"/>
              </w:rPr>
            </w:pPr>
            <w:r w:rsidRPr="00455F25">
              <w:rPr>
                <w:bCs w:val="0"/>
              </w:rPr>
              <w:t>$969</w:t>
            </w:r>
          </w:p>
        </w:tc>
      </w:tr>
      <w:tr w:rsidR="00BB6D54" w:rsidRPr="00455F25" w14:paraId="79C40166" w14:textId="77777777">
        <w:trPr>
          <w:cantSplit/>
          <w:jc w:val="center"/>
        </w:trPr>
        <w:tc>
          <w:tcPr>
            <w:tcW w:w="863" w:type="pct"/>
            <w:vAlign w:val="center"/>
          </w:tcPr>
          <w:p w14:paraId="1E713111" w14:textId="77777777" w:rsidR="00BB6D54" w:rsidRPr="00455F25" w:rsidRDefault="00BB6D54" w:rsidP="005629A7">
            <w:pPr>
              <w:pStyle w:val="TableText0"/>
              <w:rPr>
                <w:lang w:val="en-US"/>
              </w:rPr>
            </w:pPr>
            <w:r w:rsidRPr="00455F25">
              <w:rPr>
                <w:lang w:val="en-US"/>
              </w:rPr>
              <w:t>Cost/patient/course</w:t>
            </w:r>
          </w:p>
        </w:tc>
        <w:tc>
          <w:tcPr>
            <w:tcW w:w="649" w:type="pct"/>
          </w:tcPr>
          <w:p w14:paraId="777418F0" w14:textId="205E246E" w:rsidR="00BB6D54" w:rsidRPr="00455F25" w:rsidRDefault="00BB6D54" w:rsidP="005629A7">
            <w:pPr>
              <w:pStyle w:val="TableText0"/>
              <w:jc w:val="center"/>
              <w:rPr>
                <w:bCs w:val="0"/>
                <w:lang w:val="en-US"/>
              </w:rPr>
            </w:pPr>
            <w:r w:rsidRPr="00455F25">
              <w:t>$</w:t>
            </w:r>
            <w:r w:rsidR="002D5F61" w:rsidRPr="002D5F61">
              <w:rPr>
                <w:rFonts w:hint="eastAsia"/>
                <w:color w:val="000000"/>
                <w:w w:val="15"/>
                <w:shd w:val="solid" w:color="000000" w:fill="000000"/>
                <w:fitText w:val="32" w:id="-663001596"/>
                <w14:textFill>
                  <w14:solidFill>
                    <w14:srgbClr w14:val="000000">
                      <w14:alpha w14:val="100000"/>
                    </w14:srgbClr>
                  </w14:solidFill>
                </w14:textFill>
              </w:rPr>
              <w:t xml:space="preserve">　</w:t>
            </w:r>
            <w:r w:rsidR="002D5F61" w:rsidRPr="002D5F61">
              <w:rPr>
                <w:color w:val="000000"/>
                <w:w w:val="15"/>
                <w:shd w:val="solid" w:color="000000" w:fill="000000"/>
                <w:fitText w:val="32" w:id="-663001596"/>
                <w14:textFill>
                  <w14:solidFill>
                    <w14:srgbClr w14:val="000000">
                      <w14:alpha w14:val="100000"/>
                    </w14:srgbClr>
                  </w14:solidFill>
                </w14:textFill>
              </w:rPr>
              <w:t>|</w:t>
            </w:r>
            <w:r w:rsidR="002D5F61" w:rsidRPr="002D5F61">
              <w:rPr>
                <w:rFonts w:hint="eastAsia"/>
                <w:color w:val="000000"/>
                <w:spacing w:val="-33"/>
                <w:w w:val="15"/>
                <w:shd w:val="solid" w:color="000000" w:fill="000000"/>
                <w:fitText w:val="32" w:id="-663001596"/>
                <w14:textFill>
                  <w14:solidFill>
                    <w14:srgbClr w14:val="000000">
                      <w14:alpha w14:val="100000"/>
                    </w14:srgbClr>
                  </w14:solidFill>
                </w14:textFill>
              </w:rPr>
              <w:t xml:space="preserve">　</w:t>
            </w:r>
          </w:p>
        </w:tc>
        <w:tc>
          <w:tcPr>
            <w:tcW w:w="696" w:type="pct"/>
          </w:tcPr>
          <w:p w14:paraId="3BEDB622" w14:textId="52AB860B" w:rsidR="00BB6D54" w:rsidRPr="00455F25" w:rsidRDefault="00BB6D54" w:rsidP="005629A7">
            <w:pPr>
              <w:pStyle w:val="TableText0"/>
              <w:jc w:val="center"/>
              <w:rPr>
                <w:bCs w:val="0"/>
                <w:lang w:val="en-US"/>
              </w:rPr>
            </w:pPr>
            <w:r w:rsidRPr="00455F25">
              <w:t>$</w:t>
            </w:r>
            <w:r w:rsidR="002D5F61" w:rsidRPr="002D5F61">
              <w:rPr>
                <w:color w:val="000000"/>
                <w:shd w:val="solid" w:color="000000" w:fill="000000"/>
                <w14:textFill>
                  <w14:solidFill>
                    <w14:srgbClr w14:val="000000">
                      <w14:alpha w14:val="100000"/>
                    </w14:srgbClr>
                  </w14:solidFill>
                </w14:textFill>
              </w:rPr>
              <w:t>|</w:t>
            </w:r>
          </w:p>
        </w:tc>
        <w:tc>
          <w:tcPr>
            <w:tcW w:w="698" w:type="pct"/>
            <w:vAlign w:val="center"/>
          </w:tcPr>
          <w:p w14:paraId="29711570" w14:textId="3038172A" w:rsidR="00BB6D54" w:rsidRPr="00455F25" w:rsidRDefault="00BB6D54" w:rsidP="005629A7">
            <w:pPr>
              <w:pStyle w:val="TableText0"/>
              <w:jc w:val="center"/>
              <w:rPr>
                <w:bCs w:val="0"/>
                <w:lang w:val="en-US"/>
              </w:rPr>
            </w:pPr>
            <w:r w:rsidRPr="00455F25">
              <w:rPr>
                <w:bCs w:val="0"/>
              </w:rPr>
              <w:t>$</w:t>
            </w:r>
            <w:r w:rsidR="002D5F61" w:rsidRPr="002D5F61">
              <w:rPr>
                <w:bCs w:val="0"/>
                <w:color w:val="000000"/>
                <w:shd w:val="solid" w:color="000000" w:fill="000000"/>
                <w14:textFill>
                  <w14:solidFill>
                    <w14:srgbClr w14:val="000000">
                      <w14:alpha w14:val="100000"/>
                    </w14:srgbClr>
                  </w14:solidFill>
                </w14:textFill>
              </w:rPr>
              <w:t>|</w:t>
            </w:r>
          </w:p>
        </w:tc>
        <w:tc>
          <w:tcPr>
            <w:tcW w:w="696" w:type="pct"/>
            <w:vAlign w:val="center"/>
          </w:tcPr>
          <w:p w14:paraId="7250306B" w14:textId="77777777" w:rsidR="00BB6D54" w:rsidRPr="00455F25" w:rsidRDefault="00BB6D54" w:rsidP="005629A7">
            <w:pPr>
              <w:pStyle w:val="TableText0"/>
              <w:jc w:val="center"/>
              <w:rPr>
                <w:bCs w:val="0"/>
                <w:lang w:val="en-US"/>
              </w:rPr>
            </w:pPr>
            <w:r w:rsidRPr="00455F25">
              <w:rPr>
                <w:color w:val="000000"/>
                <w:szCs w:val="20"/>
              </w:rPr>
              <w:t>$1,106</w:t>
            </w:r>
          </w:p>
        </w:tc>
        <w:tc>
          <w:tcPr>
            <w:tcW w:w="699" w:type="pct"/>
            <w:vAlign w:val="center"/>
          </w:tcPr>
          <w:p w14:paraId="095E64B2" w14:textId="77777777" w:rsidR="00BB6D54" w:rsidRPr="00455F25" w:rsidRDefault="00BB6D54" w:rsidP="005629A7">
            <w:pPr>
              <w:pStyle w:val="TableText0"/>
              <w:jc w:val="center"/>
              <w:rPr>
                <w:bCs w:val="0"/>
                <w:lang w:val="en-US"/>
              </w:rPr>
            </w:pPr>
            <w:r w:rsidRPr="00455F25">
              <w:rPr>
                <w:color w:val="000000"/>
                <w:szCs w:val="20"/>
              </w:rPr>
              <w:t>$1,599</w:t>
            </w:r>
          </w:p>
        </w:tc>
        <w:tc>
          <w:tcPr>
            <w:tcW w:w="699" w:type="pct"/>
            <w:vAlign w:val="center"/>
          </w:tcPr>
          <w:p w14:paraId="0549C2D4" w14:textId="27A3FD3E" w:rsidR="00BB6D54" w:rsidRPr="00455F25" w:rsidRDefault="00BB6D54" w:rsidP="005629A7">
            <w:pPr>
              <w:pStyle w:val="TableText0"/>
              <w:jc w:val="center"/>
              <w:rPr>
                <w:bCs w:val="0"/>
                <w:lang w:val="en-US"/>
              </w:rPr>
            </w:pPr>
            <w:r w:rsidRPr="00455F25">
              <w:rPr>
                <w:bCs w:val="0"/>
              </w:rPr>
              <w:t>$3,877</w:t>
            </w:r>
          </w:p>
        </w:tc>
      </w:tr>
    </w:tbl>
    <w:p w14:paraId="6F76A3B5" w14:textId="77777777" w:rsidR="00741161" w:rsidRPr="00455F25" w:rsidRDefault="00741161" w:rsidP="00913067">
      <w:pPr>
        <w:pStyle w:val="TableFooter"/>
        <w:keepNext/>
      </w:pPr>
      <w:r w:rsidRPr="00455F25">
        <w:t>Source: Constructed during the evaluation, based on the “Attachment 14 – T-</w:t>
      </w:r>
      <w:proofErr w:type="spellStart"/>
      <w:r w:rsidRPr="00455F25">
        <w:t>DXd</w:t>
      </w:r>
      <w:proofErr w:type="spellEnd"/>
      <w:r w:rsidRPr="00455F25">
        <w:t xml:space="preserve"> cost-effectiveness model” Excel workbook included with the submission.</w:t>
      </w:r>
    </w:p>
    <w:p w14:paraId="3573481F" w14:textId="33977A7B" w:rsidR="00741161" w:rsidRPr="00455F25" w:rsidRDefault="00741161" w:rsidP="00913067">
      <w:pPr>
        <w:pStyle w:val="TableFooter"/>
      </w:pPr>
      <w:r w:rsidRPr="00455F25">
        <w:t xml:space="preserve">CT = combination therapy; D = docetaxel; I = irinotecan; FA = folinic acid; FU = Fluorouracil; </w:t>
      </w:r>
      <w:r w:rsidR="00E6576C" w:rsidRPr="00455F25">
        <w:t xml:space="preserve">mg = milligram; </w:t>
      </w:r>
      <w:r w:rsidRPr="00455F25">
        <w:t>MT = monotherapy; P = Paclitaxel</w:t>
      </w:r>
      <w:r w:rsidR="00E6576C" w:rsidRPr="00455F25">
        <w:t>; SoC = Standard of care; T-</w:t>
      </w:r>
      <w:proofErr w:type="spellStart"/>
      <w:r w:rsidR="00E6576C" w:rsidRPr="00455F25">
        <w:t>DXd</w:t>
      </w:r>
      <w:proofErr w:type="spellEnd"/>
      <w:r w:rsidR="00E6576C" w:rsidRPr="00455F25">
        <w:t xml:space="preserve"> = trastuzumab </w:t>
      </w:r>
      <w:proofErr w:type="spellStart"/>
      <w:r w:rsidR="00E6576C" w:rsidRPr="00455F25">
        <w:t>deruxtecan</w:t>
      </w:r>
      <w:proofErr w:type="spellEnd"/>
      <w:r w:rsidRPr="00455F25">
        <w:t xml:space="preserve"> </w:t>
      </w:r>
    </w:p>
    <w:p w14:paraId="22A2A05C" w14:textId="77777777" w:rsidR="00741161" w:rsidRPr="00455F25" w:rsidRDefault="00741161" w:rsidP="00913067">
      <w:pPr>
        <w:pStyle w:val="TableFooter"/>
      </w:pPr>
      <w:r w:rsidRPr="00455F25">
        <w:rPr>
          <w:vertAlign w:val="superscript"/>
        </w:rPr>
        <w:t>a</w:t>
      </w:r>
      <w:r w:rsidRPr="00455F25">
        <w:t xml:space="preserve"> 6.4 mg/kg × 72.5 kg (median weight of European patients in DG-02) × 92.5% RDI reported in CSR, assuming no vial sharing. </w:t>
      </w:r>
    </w:p>
    <w:p w14:paraId="53EEADC1" w14:textId="356DD2AD" w:rsidR="00741161" w:rsidRPr="00455F25" w:rsidRDefault="00741161" w:rsidP="00913067">
      <w:pPr>
        <w:pStyle w:val="TableFooter"/>
      </w:pPr>
      <w:r w:rsidRPr="00455F25">
        <w:rPr>
          <w:vertAlign w:val="superscript"/>
        </w:rPr>
        <w:t>b</w:t>
      </w:r>
      <w:r w:rsidRPr="00455F25">
        <w:t xml:space="preserve"> RDI for irinotecan and paclitaxel weighted by use in DG-01 (83.7%)</w:t>
      </w:r>
      <w:r w:rsidR="00AB268D" w:rsidRPr="00455F25">
        <w:t xml:space="preserve"> </w:t>
      </w:r>
      <w:r w:rsidRPr="00455F25">
        <w:t>× Recommended dose × 1.86 m</w:t>
      </w:r>
      <w:r w:rsidRPr="00455F25">
        <w:rPr>
          <w:vertAlign w:val="superscript"/>
        </w:rPr>
        <w:t xml:space="preserve">2 </w:t>
      </w:r>
      <w:r w:rsidRPr="00455F25">
        <w:t>(median BSA of European patients in DG-02) for SoC drugs, assuming no vial sharing</w:t>
      </w:r>
    </w:p>
    <w:p w14:paraId="16AF4630" w14:textId="6AF31C8F" w:rsidR="00E45010" w:rsidRPr="00E45010" w:rsidRDefault="00741161" w:rsidP="00913067">
      <w:pPr>
        <w:pStyle w:val="TableFigureFooter"/>
        <w:jc w:val="both"/>
      </w:pPr>
      <w:r w:rsidRPr="00455F25">
        <w:rPr>
          <w:vertAlign w:val="superscript"/>
        </w:rPr>
        <w:t xml:space="preserve">c </w:t>
      </w:r>
      <w:r w:rsidRPr="00455F25">
        <w:t>Mean duration estimated by weighting the mean duration of treatment observed for irinotecan and paclitaxel (2.97 months and 4.83 months respectively) by their use in DG-01 study.</w:t>
      </w:r>
    </w:p>
    <w:p w14:paraId="50D6AD77" w14:textId="77777777" w:rsidR="00B227DF" w:rsidRPr="00A5291E" w:rsidRDefault="00B227DF" w:rsidP="00B227DF">
      <w:pPr>
        <w:pStyle w:val="4-SubsectionHeading"/>
      </w:pPr>
      <w:bookmarkStart w:id="65" w:name="_Toc22897647"/>
      <w:bookmarkStart w:id="66" w:name="_Toc187227430"/>
      <w:bookmarkStart w:id="67" w:name="_Toc193454323"/>
      <w:bookmarkStart w:id="68" w:name="_Toc22897650"/>
      <w:r w:rsidRPr="005B4EB5">
        <w:t>Estimated PBS usage &amp; financial implications</w:t>
      </w:r>
      <w:bookmarkEnd w:id="65"/>
      <w:bookmarkEnd w:id="66"/>
      <w:bookmarkEnd w:id="67"/>
    </w:p>
    <w:p w14:paraId="56C98944" w14:textId="3DEF9FC9" w:rsidR="00B227DF" w:rsidRPr="00455F25" w:rsidRDefault="00B227DF">
      <w:pPr>
        <w:pStyle w:val="3-BodyText"/>
      </w:pPr>
      <w:bookmarkStart w:id="69" w:name="_Ref193228425"/>
      <w:r w:rsidRPr="00455F25">
        <w:t xml:space="preserve">This submission </w:t>
      </w:r>
      <w:r w:rsidR="00044452" w:rsidRPr="00455F25">
        <w:t>was not</w:t>
      </w:r>
      <w:r w:rsidRPr="00455F25">
        <w:t xml:space="preserve"> considered by DUSC. The submission used an “epidemiological” approach to determine the patients eligible for treatment with </w:t>
      </w:r>
      <w:r w:rsidR="00A5291E" w:rsidRPr="00455F25">
        <w:t>T</w:t>
      </w:r>
      <w:r w:rsidR="00D10B08" w:rsidRPr="00455F25">
        <w:noBreakHyphen/>
      </w:r>
      <w:proofErr w:type="spellStart"/>
      <w:r w:rsidR="00A5291E" w:rsidRPr="00455F25">
        <w:t>DXd</w:t>
      </w:r>
      <w:proofErr w:type="spellEnd"/>
      <w:r w:rsidR="00F35A95">
        <w:t xml:space="preserve">, starting with the number of patients </w:t>
      </w:r>
      <w:r w:rsidR="003E46D7">
        <w:t xml:space="preserve">receiving initiating scripts for </w:t>
      </w:r>
      <w:r w:rsidR="003D6BD0">
        <w:t>1</w:t>
      </w:r>
      <w:r w:rsidR="003E46D7">
        <w:t>L trastuzumab</w:t>
      </w:r>
      <w:r w:rsidRPr="00455F25">
        <w:t xml:space="preserve">. This approach relied on the assumption that the current script volume has a </w:t>
      </w:r>
      <w:r w:rsidR="00F965E4">
        <w:t>direct</w:t>
      </w:r>
      <w:r w:rsidRPr="00455F25">
        <w:t xml:space="preserve"> relationship to treated patients</w:t>
      </w:r>
      <w:r w:rsidR="009C6F69" w:rsidRPr="00455F25">
        <w:t>, where the number of 1L trastuzumab patients per year is identifiable from the initial trastuzumab (loading dose) PBS codes</w:t>
      </w:r>
      <w:r w:rsidRPr="00455F25">
        <w:t xml:space="preserve">. The logic of this approach is sound, however an analysis of script data held by the Department indicates that some patients are receiving more than a single </w:t>
      </w:r>
      <w:r w:rsidR="003E5B2C">
        <w:t xml:space="preserve">initial </w:t>
      </w:r>
      <w:r w:rsidRPr="00455F25">
        <w:t>script. This increases the size of the patient population from which the incident and prevalent patient</w:t>
      </w:r>
      <w:r w:rsidR="000C7B8E">
        <w:t>s</w:t>
      </w:r>
      <w:r w:rsidRPr="00455F25">
        <w:t xml:space="preserve"> are </w:t>
      </w:r>
      <w:r w:rsidR="000C7B8E">
        <w:t>estimated</w:t>
      </w:r>
      <w:r w:rsidRPr="00455F25">
        <w:t>.</w:t>
      </w:r>
      <w:bookmarkEnd w:id="69"/>
    </w:p>
    <w:p w14:paraId="492F8158" w14:textId="0F593756" w:rsidR="007B717A" w:rsidRPr="00455F25" w:rsidRDefault="007B717A" w:rsidP="0099193B">
      <w:pPr>
        <w:pStyle w:val="Caption"/>
        <w:spacing w:before="120"/>
      </w:pPr>
      <w:r w:rsidRPr="00455F25">
        <w:t xml:space="preserve">Table </w:t>
      </w:r>
      <w:r w:rsidR="008B461E">
        <w:fldChar w:fldCharType="begin"/>
      </w:r>
      <w:r w:rsidR="008B461E">
        <w:instrText xml:space="preserve"> SEQ Table \* ARABIC </w:instrText>
      </w:r>
      <w:r w:rsidR="008B461E">
        <w:fldChar w:fldCharType="separate"/>
      </w:r>
      <w:r w:rsidR="00593619">
        <w:rPr>
          <w:noProof/>
        </w:rPr>
        <w:t>14</w:t>
      </w:r>
      <w:r w:rsidR="008B461E">
        <w:rPr>
          <w:noProof/>
        </w:rPr>
        <w:fldChar w:fldCharType="end"/>
      </w:r>
      <w:r w:rsidR="00807D53" w:rsidRPr="00455F25">
        <w:t xml:space="preserve">: </w:t>
      </w:r>
      <w:r w:rsidRPr="00455F25">
        <w:t xml:space="preserve">Key inputs for financial </w:t>
      </w:r>
      <w:r w:rsidRPr="00455F25">
        <w:rPr>
          <w:rStyle w:val="CommentReference"/>
          <w:b/>
          <w:szCs w:val="24"/>
        </w:rPr>
        <w:t>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3260"/>
        <w:gridCol w:w="2806"/>
      </w:tblGrid>
      <w:tr w:rsidR="00B227DF" w:rsidRPr="00455F25" w14:paraId="4570B3A7" w14:textId="77777777">
        <w:trPr>
          <w:cantSplit/>
          <w:tblHeader/>
        </w:trPr>
        <w:tc>
          <w:tcPr>
            <w:tcW w:w="1413" w:type="dxa"/>
            <w:vAlign w:val="center"/>
          </w:tcPr>
          <w:p w14:paraId="2E05F733" w14:textId="77777777" w:rsidR="00B227DF" w:rsidRPr="00455F25" w:rsidRDefault="00B227DF">
            <w:pPr>
              <w:pStyle w:val="In-tableHeading"/>
              <w:keepNext w:val="0"/>
              <w:keepLines w:val="0"/>
              <w:rPr>
                <w:lang w:val="en-AU"/>
              </w:rPr>
            </w:pPr>
            <w:r w:rsidRPr="00455F25">
              <w:rPr>
                <w:lang w:val="en-AU"/>
              </w:rPr>
              <w:t>Data</w:t>
            </w:r>
          </w:p>
        </w:tc>
        <w:tc>
          <w:tcPr>
            <w:tcW w:w="1701" w:type="dxa"/>
            <w:vAlign w:val="center"/>
          </w:tcPr>
          <w:p w14:paraId="35E9194C" w14:textId="77777777" w:rsidR="00B227DF" w:rsidRPr="00455F25" w:rsidRDefault="00B227DF">
            <w:pPr>
              <w:pStyle w:val="In-tableHeading"/>
              <w:keepNext w:val="0"/>
              <w:keepLines w:val="0"/>
              <w:rPr>
                <w:lang w:val="en-AU"/>
              </w:rPr>
            </w:pPr>
            <w:r w:rsidRPr="00455F25">
              <w:rPr>
                <w:lang w:val="en-AU"/>
              </w:rPr>
              <w:t>Value</w:t>
            </w:r>
          </w:p>
        </w:tc>
        <w:tc>
          <w:tcPr>
            <w:tcW w:w="3260" w:type="dxa"/>
            <w:vAlign w:val="center"/>
          </w:tcPr>
          <w:p w14:paraId="4A7C542C" w14:textId="77777777" w:rsidR="00B227DF" w:rsidRPr="00455F25" w:rsidRDefault="00B227DF">
            <w:pPr>
              <w:pStyle w:val="In-tableHeading"/>
              <w:keepNext w:val="0"/>
              <w:keepLines w:val="0"/>
              <w:rPr>
                <w:lang w:val="en-AU"/>
              </w:rPr>
            </w:pPr>
            <w:r w:rsidRPr="00455F25">
              <w:rPr>
                <w:lang w:val="en-AU"/>
              </w:rPr>
              <w:t>Source</w:t>
            </w:r>
          </w:p>
        </w:tc>
        <w:tc>
          <w:tcPr>
            <w:tcW w:w="2806" w:type="dxa"/>
            <w:vAlign w:val="center"/>
          </w:tcPr>
          <w:p w14:paraId="1EB5F47A" w14:textId="77777777" w:rsidR="00B227DF" w:rsidRPr="00455F25" w:rsidRDefault="00B227DF">
            <w:pPr>
              <w:pStyle w:val="In-tableHeading"/>
              <w:keepNext w:val="0"/>
              <w:keepLines w:val="0"/>
              <w:rPr>
                <w:lang w:val="en-AU"/>
              </w:rPr>
            </w:pPr>
            <w:r w:rsidRPr="00455F25">
              <w:rPr>
                <w:lang w:val="en-AU"/>
              </w:rPr>
              <w:t>Comment</w:t>
            </w:r>
          </w:p>
        </w:tc>
      </w:tr>
      <w:tr w:rsidR="00B227DF" w:rsidRPr="00455F25" w14:paraId="5D533D12" w14:textId="77777777">
        <w:trPr>
          <w:cantSplit/>
        </w:trPr>
        <w:tc>
          <w:tcPr>
            <w:tcW w:w="9180" w:type="dxa"/>
            <w:gridSpan w:val="4"/>
            <w:vAlign w:val="center"/>
          </w:tcPr>
          <w:p w14:paraId="0FA8E483" w14:textId="77777777" w:rsidR="00B227DF" w:rsidRPr="00455F25" w:rsidRDefault="00B227DF">
            <w:pPr>
              <w:pStyle w:val="In-tableHeading"/>
              <w:keepNext w:val="0"/>
              <w:keepLines w:val="0"/>
              <w:rPr>
                <w:lang w:val="en-AU"/>
              </w:rPr>
            </w:pPr>
            <w:r w:rsidRPr="00455F25">
              <w:rPr>
                <w:lang w:val="en-AU"/>
              </w:rPr>
              <w:t>Eligible population</w:t>
            </w:r>
          </w:p>
        </w:tc>
      </w:tr>
      <w:tr w:rsidR="00B227DF" w:rsidRPr="00455F25" w14:paraId="12BA1DA3" w14:textId="77777777">
        <w:trPr>
          <w:cantSplit/>
        </w:trPr>
        <w:tc>
          <w:tcPr>
            <w:tcW w:w="1413" w:type="dxa"/>
            <w:vAlign w:val="center"/>
          </w:tcPr>
          <w:p w14:paraId="5D5AC051" w14:textId="579CCD3F" w:rsidR="00B227DF" w:rsidRPr="00455F25" w:rsidRDefault="00B227DF">
            <w:pPr>
              <w:pStyle w:val="TableText0"/>
              <w:keepNext w:val="0"/>
              <w:keepLines w:val="0"/>
            </w:pPr>
            <w:r w:rsidRPr="00455F25">
              <w:t xml:space="preserve">No. Stage IV </w:t>
            </w:r>
            <w:r w:rsidR="00AE54DF" w:rsidRPr="00455F25">
              <w:t>G/GOJ</w:t>
            </w:r>
            <w:r w:rsidRPr="00455F25">
              <w:t xml:space="preserve"> patients treated with 1L trastuzumab</w:t>
            </w:r>
          </w:p>
        </w:tc>
        <w:tc>
          <w:tcPr>
            <w:tcW w:w="1701" w:type="dxa"/>
            <w:vAlign w:val="center"/>
          </w:tcPr>
          <w:p w14:paraId="7D90C906" w14:textId="77777777" w:rsidR="00B227DF" w:rsidRPr="00455F25" w:rsidRDefault="00B227DF">
            <w:pPr>
              <w:pStyle w:val="TableText0"/>
              <w:keepNext w:val="0"/>
              <w:keepLines w:val="0"/>
            </w:pPr>
            <w:r w:rsidRPr="00455F25">
              <w:t>Increasing from 285 in Yr 1, to 384 in Yr 6</w:t>
            </w:r>
          </w:p>
        </w:tc>
        <w:tc>
          <w:tcPr>
            <w:tcW w:w="3260" w:type="dxa"/>
            <w:vAlign w:val="center"/>
          </w:tcPr>
          <w:p w14:paraId="367CF712" w14:textId="77777777" w:rsidR="00B227DF" w:rsidRPr="00455F25" w:rsidRDefault="00B227DF">
            <w:pPr>
              <w:pStyle w:val="TableText0"/>
              <w:keepNext w:val="0"/>
              <w:keepLines w:val="0"/>
            </w:pPr>
            <w:r w:rsidRPr="00455F25">
              <w:t>Linear projection of the number of initiating scripts for 1L trastuzumab (PBS items 10581X and 10589H) in 2019–August 2024, to 2030</w:t>
            </w:r>
          </w:p>
        </w:tc>
        <w:tc>
          <w:tcPr>
            <w:tcW w:w="2806" w:type="dxa"/>
            <w:vAlign w:val="center"/>
          </w:tcPr>
          <w:p w14:paraId="731F4C2C" w14:textId="77777777" w:rsidR="00B227DF" w:rsidRPr="00455F25" w:rsidRDefault="00B227DF">
            <w:pPr>
              <w:pStyle w:val="TableText0"/>
              <w:keepNext w:val="0"/>
              <w:keepLines w:val="0"/>
            </w:pPr>
            <w:r w:rsidRPr="00455F25">
              <w:t>The assumption that one script equals one patient is reasonable, however an analysis of PBS data suggested that some patients received more than one script</w:t>
            </w:r>
          </w:p>
        </w:tc>
      </w:tr>
      <w:tr w:rsidR="00B227DF" w:rsidRPr="00455F25" w14:paraId="07B68958" w14:textId="77777777">
        <w:trPr>
          <w:cantSplit/>
        </w:trPr>
        <w:tc>
          <w:tcPr>
            <w:tcW w:w="1413" w:type="dxa"/>
            <w:vAlign w:val="center"/>
          </w:tcPr>
          <w:p w14:paraId="090FAE31" w14:textId="77777777" w:rsidR="00B227DF" w:rsidRPr="00455F25" w:rsidDel="00972B3B" w:rsidRDefault="00B227DF">
            <w:pPr>
              <w:pStyle w:val="TableText0"/>
              <w:keepNext w:val="0"/>
              <w:keepLines w:val="0"/>
            </w:pPr>
            <w:r w:rsidRPr="00455F25">
              <w:t xml:space="preserve">No. patients eligible for 2L treatment </w:t>
            </w:r>
          </w:p>
        </w:tc>
        <w:tc>
          <w:tcPr>
            <w:tcW w:w="1701" w:type="dxa"/>
            <w:vAlign w:val="center"/>
          </w:tcPr>
          <w:p w14:paraId="399A3537" w14:textId="77777777" w:rsidR="00B227DF" w:rsidRPr="00455F25" w:rsidRDefault="00B227DF">
            <w:pPr>
              <w:pStyle w:val="TableText0"/>
              <w:keepNext w:val="0"/>
              <w:keepLines w:val="0"/>
            </w:pPr>
            <w:r w:rsidRPr="00455F25">
              <w:t>76%</w:t>
            </w:r>
          </w:p>
        </w:tc>
        <w:tc>
          <w:tcPr>
            <w:tcW w:w="3260" w:type="dxa"/>
            <w:vAlign w:val="center"/>
          </w:tcPr>
          <w:p w14:paraId="6BF84749" w14:textId="77777777" w:rsidR="00B227DF" w:rsidRPr="00455F25" w:rsidRDefault="00B227DF">
            <w:pPr>
              <w:pStyle w:val="TableText0"/>
              <w:keepNext w:val="0"/>
              <w:keepLines w:val="0"/>
            </w:pPr>
            <w:r w:rsidRPr="00455F25">
              <w:t>Advice from the Clinical Advisory Board, assuming 95% progress following 1L treatment, and 80% able to receive 2L</w:t>
            </w:r>
          </w:p>
        </w:tc>
        <w:tc>
          <w:tcPr>
            <w:tcW w:w="2806" w:type="dxa"/>
            <w:vAlign w:val="center"/>
          </w:tcPr>
          <w:p w14:paraId="2ED3A039" w14:textId="77777777" w:rsidR="00B227DF" w:rsidRPr="00455F25" w:rsidRDefault="00B227DF">
            <w:pPr>
              <w:pStyle w:val="TableText0"/>
              <w:keepNext w:val="0"/>
              <w:keepLines w:val="0"/>
            </w:pPr>
            <w:r w:rsidRPr="00455F25">
              <w:t>This may be an overestimate as the 80% of patients with an appropriate ECOG status as at the upper end of the five reported studies.</w:t>
            </w:r>
          </w:p>
        </w:tc>
      </w:tr>
      <w:tr w:rsidR="00B227DF" w:rsidRPr="00455F25" w14:paraId="491C00D7" w14:textId="77777777">
        <w:trPr>
          <w:cantSplit/>
        </w:trPr>
        <w:tc>
          <w:tcPr>
            <w:tcW w:w="1413" w:type="dxa"/>
            <w:vAlign w:val="center"/>
          </w:tcPr>
          <w:p w14:paraId="00BFB842" w14:textId="77777777" w:rsidR="00B227DF" w:rsidRPr="00455F25" w:rsidRDefault="00B227DF">
            <w:pPr>
              <w:pStyle w:val="TableText0"/>
              <w:keepNext w:val="0"/>
              <w:keepLines w:val="0"/>
            </w:pPr>
            <w:r w:rsidRPr="00455F25">
              <w:lastRenderedPageBreak/>
              <w:t>No. prevalent patients (assumed in Year 1 only)</w:t>
            </w:r>
          </w:p>
        </w:tc>
        <w:tc>
          <w:tcPr>
            <w:tcW w:w="1701" w:type="dxa"/>
            <w:vAlign w:val="center"/>
          </w:tcPr>
          <w:p w14:paraId="560C73CC" w14:textId="77777777" w:rsidR="00B227DF" w:rsidRPr="00455F25" w:rsidRDefault="00B227DF">
            <w:pPr>
              <w:pStyle w:val="TableText0"/>
              <w:keepNext w:val="0"/>
              <w:keepLines w:val="0"/>
            </w:pPr>
            <w:r w:rsidRPr="00455F25">
              <w:t>183</w:t>
            </w:r>
          </w:p>
        </w:tc>
        <w:tc>
          <w:tcPr>
            <w:tcW w:w="3260" w:type="dxa"/>
            <w:vAlign w:val="center"/>
          </w:tcPr>
          <w:p w14:paraId="36C33F50" w14:textId="77777777" w:rsidR="00B227DF" w:rsidRPr="00455F25" w:rsidRDefault="00B227DF">
            <w:pPr>
              <w:pStyle w:val="TableText0"/>
              <w:keepNext w:val="0"/>
              <w:keepLines w:val="0"/>
            </w:pPr>
            <w:r w:rsidRPr="00455F25">
              <w:t>Projection of the number of initiating scripts for 1L trastuzumab (PBS items 10581X and 10589H) in 2019–August 2024, to 2024 (273), assuming 76% receive 2L treatment, assuming a life expectancy of 0.88 years.</w:t>
            </w:r>
          </w:p>
        </w:tc>
        <w:tc>
          <w:tcPr>
            <w:tcW w:w="2806" w:type="dxa"/>
            <w:vAlign w:val="center"/>
          </w:tcPr>
          <w:p w14:paraId="7B60BC12" w14:textId="77777777" w:rsidR="00B227DF" w:rsidRPr="00455F25" w:rsidRDefault="00B227DF">
            <w:pPr>
              <w:pStyle w:val="TableText0"/>
              <w:keepNext w:val="0"/>
              <w:keepLines w:val="0"/>
            </w:pPr>
            <w:r w:rsidRPr="00455F25">
              <w:t>The submission has underestimated the size of this population through the application of life expectancy and an uptake rate that effectively apply the same reduction twice.</w:t>
            </w:r>
          </w:p>
        </w:tc>
      </w:tr>
      <w:tr w:rsidR="00B227DF" w:rsidRPr="00455F25" w14:paraId="704E7BA6" w14:textId="77777777">
        <w:trPr>
          <w:cantSplit/>
        </w:trPr>
        <w:tc>
          <w:tcPr>
            <w:tcW w:w="1413" w:type="dxa"/>
            <w:vAlign w:val="center"/>
          </w:tcPr>
          <w:p w14:paraId="52590D26" w14:textId="77777777" w:rsidR="00B227DF" w:rsidRPr="00455F25" w:rsidRDefault="00B227DF">
            <w:pPr>
              <w:pStyle w:val="TableText0"/>
              <w:keepNext w:val="0"/>
              <w:keepLines w:val="0"/>
            </w:pPr>
            <w:r w:rsidRPr="00455F25">
              <w:t>No. prevalent patients eligible for 3L treatment</w:t>
            </w:r>
          </w:p>
        </w:tc>
        <w:tc>
          <w:tcPr>
            <w:tcW w:w="1701" w:type="dxa"/>
            <w:vAlign w:val="center"/>
          </w:tcPr>
          <w:p w14:paraId="3D5A4ADD" w14:textId="77777777" w:rsidR="00B227DF" w:rsidRPr="00455F25" w:rsidDel="0038420E" w:rsidRDefault="00B227DF">
            <w:pPr>
              <w:pStyle w:val="TableText0"/>
              <w:keepNext w:val="0"/>
              <w:keepLines w:val="0"/>
            </w:pPr>
            <w:r w:rsidRPr="00455F25">
              <w:t>26.5%</w:t>
            </w:r>
          </w:p>
        </w:tc>
        <w:tc>
          <w:tcPr>
            <w:tcW w:w="3260" w:type="dxa"/>
            <w:vAlign w:val="center"/>
          </w:tcPr>
          <w:p w14:paraId="4BF6D4E1" w14:textId="77777777" w:rsidR="00B227DF" w:rsidRPr="00455F25" w:rsidRDefault="00B227DF">
            <w:pPr>
              <w:pStyle w:val="TableText0"/>
              <w:keepNext w:val="0"/>
              <w:keepLines w:val="0"/>
            </w:pPr>
            <w:r w:rsidRPr="00455F25">
              <w:t>Gomez-Ulloa et al., 2020 and Clinical Advisory Board</w:t>
            </w:r>
          </w:p>
        </w:tc>
        <w:tc>
          <w:tcPr>
            <w:tcW w:w="2806" w:type="dxa"/>
            <w:vAlign w:val="center"/>
          </w:tcPr>
          <w:p w14:paraId="57519859" w14:textId="5B313705" w:rsidR="00B227DF" w:rsidRPr="00455F25" w:rsidDel="00CA19EA" w:rsidRDefault="00B227DF">
            <w:pPr>
              <w:pStyle w:val="TableText0"/>
              <w:keepNext w:val="0"/>
              <w:keepLines w:val="0"/>
            </w:pPr>
            <w:r w:rsidRPr="00455F25">
              <w:t>The study was based on data from 2013-2015 with Australian patients making up 12.2% of the population. The small proportion may obscure difference</w:t>
            </w:r>
            <w:r w:rsidR="008B010A" w:rsidRPr="00455F25">
              <w:t>s</w:t>
            </w:r>
            <w:r w:rsidRPr="00455F25">
              <w:t xml:space="preserve"> between Australian patients and patients from the remaining countries.</w:t>
            </w:r>
          </w:p>
        </w:tc>
      </w:tr>
      <w:tr w:rsidR="00B227DF" w:rsidRPr="00455F25" w14:paraId="7AA45F24" w14:textId="77777777">
        <w:trPr>
          <w:cantSplit/>
        </w:trPr>
        <w:tc>
          <w:tcPr>
            <w:tcW w:w="9180" w:type="dxa"/>
            <w:gridSpan w:val="4"/>
            <w:vAlign w:val="center"/>
          </w:tcPr>
          <w:p w14:paraId="0DEA9009" w14:textId="77777777" w:rsidR="00B227DF" w:rsidRPr="00455F25" w:rsidRDefault="00B227DF">
            <w:pPr>
              <w:pStyle w:val="In-tableHeading"/>
              <w:rPr>
                <w:lang w:val="en-AU"/>
              </w:rPr>
            </w:pPr>
            <w:r w:rsidRPr="00455F25">
              <w:rPr>
                <w:lang w:val="en-AU"/>
              </w:rPr>
              <w:t>Treatment utilisation</w:t>
            </w:r>
          </w:p>
        </w:tc>
      </w:tr>
      <w:tr w:rsidR="00B227DF" w:rsidRPr="00455F25" w14:paraId="37D51351" w14:textId="77777777">
        <w:trPr>
          <w:cantSplit/>
        </w:trPr>
        <w:tc>
          <w:tcPr>
            <w:tcW w:w="1413" w:type="dxa"/>
            <w:vAlign w:val="center"/>
          </w:tcPr>
          <w:p w14:paraId="0EE2D8EC" w14:textId="77777777" w:rsidR="00B227DF" w:rsidRPr="00455F25" w:rsidRDefault="00B227DF">
            <w:pPr>
              <w:pStyle w:val="TableText0"/>
              <w:keepNext w:val="0"/>
              <w:keepLines w:val="0"/>
            </w:pPr>
            <w:r w:rsidRPr="00455F25">
              <w:t>Uptake rate</w:t>
            </w:r>
          </w:p>
        </w:tc>
        <w:tc>
          <w:tcPr>
            <w:tcW w:w="1701" w:type="dxa"/>
            <w:vAlign w:val="center"/>
          </w:tcPr>
          <w:p w14:paraId="2FA89E7E" w14:textId="51401C59" w:rsidR="00B227DF" w:rsidRPr="00455F25" w:rsidRDefault="002D5F61">
            <w:pPr>
              <w:pStyle w:val="TableText0"/>
              <w:keepNext w:val="0"/>
              <w:keepLines w:val="0"/>
            </w:pPr>
            <w:r w:rsidRPr="002D5F61">
              <w:rPr>
                <w:color w:val="000000"/>
                <w:spacing w:val="52"/>
                <w:shd w:val="solid" w:color="000000" w:fill="000000"/>
                <w:fitText w:val="328" w:id="-663001595"/>
                <w14:textFill>
                  <w14:solidFill>
                    <w14:srgbClr w14:val="000000">
                      <w14:alpha w14:val="100000"/>
                    </w14:srgbClr>
                  </w14:solidFill>
                </w14:textFill>
              </w:rPr>
              <w:t>|||</w:t>
            </w:r>
            <w:r w:rsidRPr="002D5F61">
              <w:rPr>
                <w:color w:val="000000"/>
                <w:spacing w:val="2"/>
                <w:shd w:val="solid" w:color="000000" w:fill="000000"/>
                <w:fitText w:val="328" w:id="-663001595"/>
                <w14:textFill>
                  <w14:solidFill>
                    <w14:srgbClr w14:val="000000">
                      <w14:alpha w14:val="100000"/>
                    </w14:srgbClr>
                  </w14:solidFill>
                </w14:textFill>
              </w:rPr>
              <w:t>|</w:t>
            </w:r>
            <w:r w:rsidR="00B227DF" w:rsidRPr="00455F25">
              <w:t>%</w:t>
            </w:r>
          </w:p>
        </w:tc>
        <w:tc>
          <w:tcPr>
            <w:tcW w:w="3260" w:type="dxa"/>
            <w:vAlign w:val="center"/>
          </w:tcPr>
          <w:p w14:paraId="72D5098F" w14:textId="13E9F7FA" w:rsidR="00B227DF" w:rsidRPr="00455F25" w:rsidRDefault="00B227DF">
            <w:pPr>
              <w:pStyle w:val="TableText0"/>
              <w:keepNext w:val="0"/>
              <w:keepLines w:val="0"/>
            </w:pPr>
            <w:r w:rsidRPr="00455F25">
              <w:t xml:space="preserve">Advice from the Clinical Advisory Board, based on uptake of </w:t>
            </w:r>
            <w:r w:rsidR="002D5F61" w:rsidRPr="002D5F61">
              <w:rPr>
                <w:color w:val="000000"/>
                <w:spacing w:val="52"/>
                <w:shd w:val="solid" w:color="000000" w:fill="000000"/>
                <w:fitText w:val="327" w:id="-663001594"/>
                <w14:textFill>
                  <w14:solidFill>
                    <w14:srgbClr w14:val="000000">
                      <w14:alpha w14:val="100000"/>
                    </w14:srgbClr>
                  </w14:solidFill>
                </w14:textFill>
              </w:rPr>
              <w:t>|||</w:t>
            </w:r>
            <w:r w:rsidR="002D5F61" w:rsidRPr="002D5F61">
              <w:rPr>
                <w:color w:val="000000"/>
                <w:spacing w:val="1"/>
                <w:shd w:val="solid" w:color="000000" w:fill="000000"/>
                <w:fitText w:val="327" w:id="-663001594"/>
                <w14:textFill>
                  <w14:solidFill>
                    <w14:srgbClr w14:val="000000">
                      <w14:alpha w14:val="100000"/>
                    </w14:srgbClr>
                  </w14:solidFill>
                </w14:textFill>
              </w:rPr>
              <w:t>|</w:t>
            </w:r>
            <w:r w:rsidRPr="00455F25">
              <w:t xml:space="preserve">% in patients who undergo HER2 retesting and </w:t>
            </w:r>
            <w:r w:rsidR="002D5F61" w:rsidRPr="002D5F61">
              <w:rPr>
                <w:color w:val="000000"/>
                <w:spacing w:val="52"/>
                <w:shd w:val="solid" w:color="000000" w:fill="000000"/>
                <w:fitText w:val="327" w:id="-663001593"/>
                <w14:textFill>
                  <w14:solidFill>
                    <w14:srgbClr w14:val="000000">
                      <w14:alpha w14:val="100000"/>
                    </w14:srgbClr>
                  </w14:solidFill>
                </w14:textFill>
              </w:rPr>
              <w:t>|||</w:t>
            </w:r>
            <w:r w:rsidR="002D5F61" w:rsidRPr="002D5F61">
              <w:rPr>
                <w:color w:val="000000"/>
                <w:spacing w:val="1"/>
                <w:shd w:val="solid" w:color="000000" w:fill="000000"/>
                <w:fitText w:val="327" w:id="-663001593"/>
                <w14:textFill>
                  <w14:solidFill>
                    <w14:srgbClr w14:val="000000">
                      <w14:alpha w14:val="100000"/>
                    </w14:srgbClr>
                  </w14:solidFill>
                </w14:textFill>
              </w:rPr>
              <w:t>|</w:t>
            </w:r>
            <w:r w:rsidRPr="00455F25">
              <w:t>% uptake in the remaining patients who do not undergo HER2 retesting</w:t>
            </w:r>
          </w:p>
        </w:tc>
        <w:tc>
          <w:tcPr>
            <w:tcW w:w="2806" w:type="dxa"/>
            <w:vAlign w:val="center"/>
          </w:tcPr>
          <w:p w14:paraId="71DC9F38" w14:textId="77777777" w:rsidR="00B227DF" w:rsidRPr="00455F25" w:rsidRDefault="00B227DF">
            <w:pPr>
              <w:pStyle w:val="TableText0"/>
              <w:keepNext w:val="0"/>
              <w:keepLines w:val="0"/>
              <w:rPr>
                <w:bCs w:val="0"/>
              </w:rPr>
            </w:pPr>
            <w:r w:rsidRPr="00455F25">
              <w:t xml:space="preserve">The application of different uptake rates for tested and untested patients is </w:t>
            </w:r>
            <w:proofErr w:type="spellStart"/>
            <w:r w:rsidRPr="00455F25">
              <w:t>appropriate</w:t>
            </w:r>
            <w:r w:rsidRPr="00455F25">
              <w:rPr>
                <w:bCs w:val="0"/>
                <w:vertAlign w:val="superscript"/>
              </w:rPr>
              <w:t>a</w:t>
            </w:r>
            <w:proofErr w:type="spellEnd"/>
            <w:r w:rsidRPr="00455F25">
              <w:rPr>
                <w:bCs w:val="0"/>
              </w:rPr>
              <w:t>.</w:t>
            </w:r>
          </w:p>
        </w:tc>
      </w:tr>
      <w:tr w:rsidR="00B227DF" w:rsidRPr="00455F25" w14:paraId="3B794F03" w14:textId="77777777">
        <w:trPr>
          <w:cantSplit/>
        </w:trPr>
        <w:tc>
          <w:tcPr>
            <w:tcW w:w="1413" w:type="dxa"/>
            <w:vAlign w:val="center"/>
          </w:tcPr>
          <w:p w14:paraId="0452DA87" w14:textId="77777777" w:rsidR="00B227DF" w:rsidRPr="00455F25" w:rsidRDefault="00B227DF">
            <w:pPr>
              <w:pStyle w:val="TableText0"/>
              <w:keepNext w:val="0"/>
              <w:keepLines w:val="0"/>
            </w:pPr>
            <w:r w:rsidRPr="00455F25">
              <w:t>No. grandfathered patients</w:t>
            </w:r>
          </w:p>
        </w:tc>
        <w:tc>
          <w:tcPr>
            <w:tcW w:w="1701" w:type="dxa"/>
            <w:vAlign w:val="center"/>
          </w:tcPr>
          <w:p w14:paraId="7996272F" w14:textId="07AF972D" w:rsidR="00B227DF" w:rsidRPr="00157F2E" w:rsidDel="00CA19EA" w:rsidRDefault="002D5F61">
            <w:pPr>
              <w:pStyle w:val="TableText0"/>
              <w:keepNext w:val="0"/>
              <w:keepLines w:val="0"/>
              <w:rPr>
                <w:vertAlign w:val="superscript"/>
              </w:rPr>
            </w:pPr>
            <w:r w:rsidRPr="002D5F61">
              <w:rPr>
                <w:color w:val="000000"/>
                <w:spacing w:val="52"/>
                <w:shd w:val="solid" w:color="000000" w:fill="000000"/>
                <w:fitText w:val="328" w:id="-663001592"/>
                <w14:textFill>
                  <w14:solidFill>
                    <w14:srgbClr w14:val="000000">
                      <w14:alpha w14:val="100000"/>
                    </w14:srgbClr>
                  </w14:solidFill>
                </w14:textFill>
              </w:rPr>
              <w:t>|||</w:t>
            </w:r>
            <w:r w:rsidRPr="002D5F61">
              <w:rPr>
                <w:color w:val="000000"/>
                <w:spacing w:val="2"/>
                <w:shd w:val="solid" w:color="000000" w:fill="000000"/>
                <w:fitText w:val="328" w:id="-663001592"/>
                <w14:textFill>
                  <w14:solidFill>
                    <w14:srgbClr w14:val="000000">
                      <w14:alpha w14:val="100000"/>
                    </w14:srgbClr>
                  </w14:solidFill>
                </w14:textFill>
              </w:rPr>
              <w:t>|</w:t>
            </w:r>
            <w:r w:rsidR="00157F2E">
              <w:t xml:space="preserve"> </w:t>
            </w:r>
            <w:r w:rsidR="00157F2E">
              <w:rPr>
                <w:vertAlign w:val="superscript"/>
              </w:rPr>
              <w:t>1</w:t>
            </w:r>
          </w:p>
        </w:tc>
        <w:tc>
          <w:tcPr>
            <w:tcW w:w="3260" w:type="dxa"/>
            <w:vAlign w:val="center"/>
          </w:tcPr>
          <w:p w14:paraId="106A347B" w14:textId="77777777" w:rsidR="00B227DF" w:rsidRPr="00455F25" w:rsidRDefault="00B227DF">
            <w:pPr>
              <w:pStyle w:val="TableText0"/>
              <w:keepNext w:val="0"/>
              <w:keepLines w:val="0"/>
            </w:pPr>
            <w:r w:rsidRPr="00455F25">
              <w:t>Sponsor assumption</w:t>
            </w:r>
          </w:p>
        </w:tc>
        <w:tc>
          <w:tcPr>
            <w:tcW w:w="2806" w:type="dxa"/>
            <w:vAlign w:val="center"/>
          </w:tcPr>
          <w:p w14:paraId="556C16A4" w14:textId="77777777" w:rsidR="00B227DF" w:rsidRPr="00455F25" w:rsidRDefault="00B227DF">
            <w:pPr>
              <w:pStyle w:val="TableText0"/>
              <w:keepNext w:val="0"/>
              <w:keepLines w:val="0"/>
            </w:pPr>
            <w:r w:rsidRPr="00455F25">
              <w:t>The Patient Access program will not commence until Q1 2025.</w:t>
            </w:r>
          </w:p>
          <w:p w14:paraId="2EAD881E" w14:textId="77777777" w:rsidR="00B227DF" w:rsidRPr="00455F25" w:rsidRDefault="00B227DF">
            <w:pPr>
              <w:pStyle w:val="TableText0"/>
              <w:keepNext w:val="0"/>
              <w:keepLines w:val="0"/>
            </w:pPr>
          </w:p>
          <w:p w14:paraId="524BA803" w14:textId="77777777" w:rsidR="00B227DF" w:rsidRPr="00455F25" w:rsidDel="00642F3E" w:rsidRDefault="00B227DF">
            <w:pPr>
              <w:pStyle w:val="TableText0"/>
              <w:keepNext w:val="0"/>
              <w:keepLines w:val="0"/>
            </w:pPr>
            <w:r w:rsidRPr="00455F25">
              <w:t>Grandfathered patients were subtracted from the prevalent patients to ensure no double counting.</w:t>
            </w:r>
          </w:p>
        </w:tc>
      </w:tr>
      <w:tr w:rsidR="00B227DF" w:rsidRPr="00455F25" w14:paraId="5BEC6749" w14:textId="77777777">
        <w:trPr>
          <w:cantSplit/>
        </w:trPr>
        <w:tc>
          <w:tcPr>
            <w:tcW w:w="1413" w:type="dxa"/>
            <w:vAlign w:val="center"/>
          </w:tcPr>
          <w:p w14:paraId="37D8EA5A" w14:textId="07D5BF51" w:rsidR="00B227DF" w:rsidRPr="00455F25" w:rsidRDefault="00A5291E">
            <w:pPr>
              <w:pStyle w:val="TableText0"/>
              <w:keepNext w:val="0"/>
              <w:keepLines w:val="0"/>
            </w:pPr>
            <w:r w:rsidRPr="00455F25">
              <w:t>T-</w:t>
            </w:r>
            <w:proofErr w:type="spellStart"/>
            <w:r w:rsidRPr="00455F25">
              <w:t>DXd</w:t>
            </w:r>
            <w:proofErr w:type="spellEnd"/>
            <w:r w:rsidR="00B227DF" w:rsidRPr="00455F25">
              <w:t xml:space="preserve"> duration of</w:t>
            </w:r>
            <w:r w:rsidR="00B227DF" w:rsidRPr="00455F25" w:rsidDel="00074BC1">
              <w:t xml:space="preserve"> </w:t>
            </w:r>
            <w:r w:rsidR="00B227DF" w:rsidRPr="00455F25">
              <w:t>treatment</w:t>
            </w:r>
          </w:p>
        </w:tc>
        <w:tc>
          <w:tcPr>
            <w:tcW w:w="1701" w:type="dxa"/>
            <w:vAlign w:val="center"/>
          </w:tcPr>
          <w:p w14:paraId="17A34462" w14:textId="0B9B8972" w:rsidR="00B227DF" w:rsidRPr="00455F25" w:rsidRDefault="00B227DF">
            <w:pPr>
              <w:pStyle w:val="TableText0"/>
              <w:keepNext w:val="0"/>
              <w:keepLines w:val="0"/>
            </w:pPr>
            <w:r w:rsidRPr="00455F25">
              <w:t>Initiating patients: 29.1 weeks (9.</w:t>
            </w:r>
            <w:r w:rsidR="00157F2E" w:rsidRPr="00455F25">
              <w:t>7</w:t>
            </w:r>
            <w:r w:rsidR="00157F2E">
              <w:t> </w:t>
            </w:r>
            <w:r w:rsidRPr="00455F25">
              <w:t>scripts)</w:t>
            </w:r>
          </w:p>
          <w:p w14:paraId="6D83143A" w14:textId="77777777" w:rsidR="00B227DF" w:rsidRPr="00455F25" w:rsidRDefault="00B227DF">
            <w:pPr>
              <w:pStyle w:val="TableText0"/>
              <w:keepNext w:val="0"/>
              <w:keepLines w:val="0"/>
            </w:pPr>
            <w:r w:rsidRPr="00455F25">
              <w:t>Grandfathered: 14.6 weeks (4.9 scripts)</w:t>
            </w:r>
          </w:p>
        </w:tc>
        <w:tc>
          <w:tcPr>
            <w:tcW w:w="3260" w:type="dxa"/>
            <w:vAlign w:val="center"/>
          </w:tcPr>
          <w:p w14:paraId="58ABF0DA" w14:textId="77777777" w:rsidR="00B227DF" w:rsidRPr="00455F25" w:rsidRDefault="00B227DF">
            <w:pPr>
              <w:pStyle w:val="TableText0"/>
              <w:keepNext w:val="0"/>
              <w:keepLines w:val="0"/>
            </w:pPr>
            <w:r w:rsidRPr="00455F25">
              <w:t xml:space="preserve">Section 3, DG-01 </w:t>
            </w:r>
            <w:proofErr w:type="spellStart"/>
            <w:r w:rsidRPr="00455F25">
              <w:t>ToT</w:t>
            </w:r>
            <w:proofErr w:type="spellEnd"/>
            <w:r w:rsidRPr="00455F25">
              <w:t xml:space="preserve"> curve (without extrapolation)</w:t>
            </w:r>
          </w:p>
        </w:tc>
        <w:tc>
          <w:tcPr>
            <w:tcW w:w="2806" w:type="dxa"/>
            <w:vAlign w:val="center"/>
          </w:tcPr>
          <w:p w14:paraId="5743B7BB" w14:textId="68F498AD" w:rsidR="00B227DF" w:rsidRPr="00455F25" w:rsidRDefault="00B227DF">
            <w:pPr>
              <w:pStyle w:val="TableText0"/>
              <w:keepNext w:val="0"/>
              <w:keepLines w:val="0"/>
            </w:pPr>
            <w:r w:rsidRPr="00455F25">
              <w:t xml:space="preserve">As 8% of patients remained on treatment at the latest data cut (Table 7.2, DCO2 CSR), treatment duration based on </w:t>
            </w:r>
            <w:proofErr w:type="spellStart"/>
            <w:r w:rsidRPr="00455F25">
              <w:t>ToT</w:t>
            </w:r>
            <w:proofErr w:type="spellEnd"/>
            <w:r w:rsidRPr="00455F25">
              <w:t xml:space="preserve"> extrapolation is more appropriate.</w:t>
            </w:r>
          </w:p>
        </w:tc>
      </w:tr>
      <w:tr w:rsidR="00B227DF" w:rsidRPr="00455F25" w14:paraId="3D1F0BAF" w14:textId="77777777">
        <w:trPr>
          <w:cantSplit/>
        </w:trPr>
        <w:tc>
          <w:tcPr>
            <w:tcW w:w="1413" w:type="dxa"/>
            <w:vAlign w:val="center"/>
          </w:tcPr>
          <w:p w14:paraId="17433A02" w14:textId="19E8D7EB" w:rsidR="00B227DF" w:rsidRPr="00455F25" w:rsidRDefault="00A5291E">
            <w:pPr>
              <w:pStyle w:val="TableText0"/>
              <w:keepNext w:val="0"/>
              <w:keepLines w:val="0"/>
            </w:pPr>
            <w:r w:rsidRPr="00455F25">
              <w:t>T-</w:t>
            </w:r>
            <w:proofErr w:type="spellStart"/>
            <w:r w:rsidRPr="00455F25">
              <w:t>DXd</w:t>
            </w:r>
            <w:proofErr w:type="spellEnd"/>
            <w:r w:rsidR="00B227DF" w:rsidRPr="00455F25">
              <w:t xml:space="preserve"> RDI</w:t>
            </w:r>
          </w:p>
        </w:tc>
        <w:tc>
          <w:tcPr>
            <w:tcW w:w="1701" w:type="dxa"/>
            <w:vAlign w:val="center"/>
          </w:tcPr>
          <w:p w14:paraId="09151414" w14:textId="77777777" w:rsidR="00B227DF" w:rsidRPr="00455F25" w:rsidRDefault="00B227DF">
            <w:pPr>
              <w:pStyle w:val="TableText0"/>
              <w:keepNext w:val="0"/>
              <w:keepLines w:val="0"/>
            </w:pPr>
            <w:r w:rsidRPr="00455F25">
              <w:t>92.5%</w:t>
            </w:r>
          </w:p>
        </w:tc>
        <w:tc>
          <w:tcPr>
            <w:tcW w:w="3260" w:type="dxa"/>
            <w:vAlign w:val="center"/>
          </w:tcPr>
          <w:p w14:paraId="08B00355" w14:textId="77777777" w:rsidR="00B227DF" w:rsidRPr="00455F25" w:rsidRDefault="00B227DF">
            <w:pPr>
              <w:pStyle w:val="TableText0"/>
              <w:keepNext w:val="0"/>
              <w:keepLines w:val="0"/>
            </w:pPr>
            <w:r w:rsidRPr="00455F25">
              <w:t>DG-01</w:t>
            </w:r>
          </w:p>
        </w:tc>
        <w:tc>
          <w:tcPr>
            <w:tcW w:w="2806" w:type="dxa"/>
            <w:vAlign w:val="center"/>
          </w:tcPr>
          <w:p w14:paraId="637C92F7" w14:textId="77777777" w:rsidR="00B227DF" w:rsidRPr="00455F25" w:rsidRDefault="00B227DF">
            <w:pPr>
              <w:pStyle w:val="TableText0"/>
              <w:keepNext w:val="0"/>
              <w:keepLines w:val="0"/>
            </w:pPr>
            <w:r w:rsidRPr="00455F25">
              <w:t>This rate has been applied as a compliance rate which is incorrect and reduces the costs of the proposed medicine.</w:t>
            </w:r>
          </w:p>
        </w:tc>
      </w:tr>
      <w:tr w:rsidR="00B227DF" w:rsidRPr="00455F25" w14:paraId="649087CE" w14:textId="77777777">
        <w:trPr>
          <w:cantSplit/>
        </w:trPr>
        <w:tc>
          <w:tcPr>
            <w:tcW w:w="9180" w:type="dxa"/>
            <w:gridSpan w:val="4"/>
            <w:vAlign w:val="center"/>
          </w:tcPr>
          <w:p w14:paraId="6B101F60" w14:textId="77777777" w:rsidR="00B227DF" w:rsidRPr="00455F25" w:rsidRDefault="00B227DF">
            <w:pPr>
              <w:pStyle w:val="In-tableHeading"/>
              <w:rPr>
                <w:lang w:val="en-AU"/>
              </w:rPr>
            </w:pPr>
            <w:r w:rsidRPr="00455F25">
              <w:rPr>
                <w:lang w:val="en-AU"/>
              </w:rPr>
              <w:t>Costs</w:t>
            </w:r>
          </w:p>
        </w:tc>
      </w:tr>
      <w:tr w:rsidR="00B227DF" w:rsidRPr="00455F25" w14:paraId="2F4255F5" w14:textId="77777777">
        <w:trPr>
          <w:cantSplit/>
        </w:trPr>
        <w:tc>
          <w:tcPr>
            <w:tcW w:w="1413" w:type="dxa"/>
            <w:vAlign w:val="center"/>
          </w:tcPr>
          <w:p w14:paraId="17B6D343" w14:textId="77777777" w:rsidR="00B227DF" w:rsidRPr="00455F25" w:rsidRDefault="00B227DF">
            <w:pPr>
              <w:pStyle w:val="TableText0"/>
              <w:keepNext w:val="0"/>
              <w:keepLines w:val="0"/>
            </w:pPr>
            <w:r w:rsidRPr="00455F25">
              <w:t>Proposed medicine</w:t>
            </w:r>
          </w:p>
        </w:tc>
        <w:tc>
          <w:tcPr>
            <w:tcW w:w="1701" w:type="dxa"/>
            <w:vAlign w:val="center"/>
          </w:tcPr>
          <w:p w14:paraId="5BD37A9E" w14:textId="09B4B611" w:rsidR="00B227DF" w:rsidRPr="00455F25" w:rsidRDefault="00B227DF">
            <w:pPr>
              <w:pStyle w:val="TableText0"/>
              <w:keepNext w:val="0"/>
              <w:keepLines w:val="0"/>
            </w:pPr>
            <w:r w:rsidRPr="00455F25">
              <w:t>$</w:t>
            </w:r>
            <w:r w:rsidR="002D5F61" w:rsidRPr="002D5F61">
              <w:rPr>
                <w:color w:val="000000"/>
                <w:spacing w:val="52"/>
                <w:shd w:val="solid" w:color="000000" w:fill="000000"/>
                <w:fitText w:val="327" w:id="-663001591"/>
                <w14:textFill>
                  <w14:solidFill>
                    <w14:srgbClr w14:val="000000">
                      <w14:alpha w14:val="100000"/>
                    </w14:srgbClr>
                  </w14:solidFill>
                </w14:textFill>
              </w:rPr>
              <w:t>|||</w:t>
            </w:r>
            <w:r w:rsidR="002D5F61" w:rsidRPr="002D5F61">
              <w:rPr>
                <w:color w:val="000000"/>
                <w:spacing w:val="1"/>
                <w:shd w:val="solid" w:color="000000" w:fill="000000"/>
                <w:fitText w:val="327" w:id="-663001591"/>
                <w14:textFill>
                  <w14:solidFill>
                    <w14:srgbClr w14:val="000000">
                      <w14:alpha w14:val="100000"/>
                    </w14:srgbClr>
                  </w14:solidFill>
                </w14:textFill>
              </w:rPr>
              <w:t>|</w:t>
            </w:r>
          </w:p>
          <w:p w14:paraId="5B13F1F6" w14:textId="77777777" w:rsidR="00B227DF" w:rsidRPr="00455F25" w:rsidRDefault="00B227DF">
            <w:pPr>
              <w:pStyle w:val="TableText0"/>
              <w:keepNext w:val="0"/>
              <w:keepLines w:val="0"/>
            </w:pPr>
            <w:r w:rsidRPr="00455F25">
              <w:t>public</w:t>
            </w:r>
          </w:p>
          <w:p w14:paraId="6C13A6AF" w14:textId="21BC3A97" w:rsidR="00B227DF" w:rsidRPr="00455F25" w:rsidRDefault="00B227DF">
            <w:pPr>
              <w:pStyle w:val="TableText0"/>
              <w:keepNext w:val="0"/>
              <w:keepLines w:val="0"/>
            </w:pPr>
            <w:r w:rsidRPr="00455F25">
              <w:t>$</w:t>
            </w:r>
            <w:r w:rsidR="002D5F61" w:rsidRPr="002D5F61">
              <w:rPr>
                <w:color w:val="000000"/>
                <w:spacing w:val="52"/>
                <w:shd w:val="solid" w:color="000000" w:fill="000000"/>
                <w:fitText w:val="327" w:id="-663001590"/>
                <w14:textFill>
                  <w14:solidFill>
                    <w14:srgbClr w14:val="000000">
                      <w14:alpha w14:val="100000"/>
                    </w14:srgbClr>
                  </w14:solidFill>
                </w14:textFill>
              </w:rPr>
              <w:t>|||</w:t>
            </w:r>
            <w:r w:rsidR="002D5F61" w:rsidRPr="002D5F61">
              <w:rPr>
                <w:color w:val="000000"/>
                <w:spacing w:val="1"/>
                <w:shd w:val="solid" w:color="000000" w:fill="000000"/>
                <w:fitText w:val="327" w:id="-663001590"/>
                <w14:textFill>
                  <w14:solidFill>
                    <w14:srgbClr w14:val="000000">
                      <w14:alpha w14:val="100000"/>
                    </w14:srgbClr>
                  </w14:solidFill>
                </w14:textFill>
              </w:rPr>
              <w:t>|</w:t>
            </w:r>
          </w:p>
          <w:p w14:paraId="48EE84B4" w14:textId="77777777" w:rsidR="00B227DF" w:rsidRPr="00455F25" w:rsidRDefault="00B227DF">
            <w:pPr>
              <w:pStyle w:val="TableText0"/>
              <w:keepNext w:val="0"/>
              <w:keepLines w:val="0"/>
            </w:pPr>
            <w:r w:rsidRPr="00455F25">
              <w:t>private</w:t>
            </w:r>
          </w:p>
        </w:tc>
        <w:tc>
          <w:tcPr>
            <w:tcW w:w="3260" w:type="dxa"/>
            <w:vAlign w:val="center"/>
          </w:tcPr>
          <w:p w14:paraId="0165D46C" w14:textId="77777777" w:rsidR="00B227DF" w:rsidRPr="00455F25" w:rsidRDefault="00B227DF">
            <w:pPr>
              <w:pStyle w:val="TableText0"/>
              <w:keepNext w:val="0"/>
              <w:keepLines w:val="0"/>
            </w:pPr>
            <w:r w:rsidRPr="00455F25">
              <w:t>Requested price - published</w:t>
            </w:r>
          </w:p>
        </w:tc>
        <w:tc>
          <w:tcPr>
            <w:tcW w:w="2806" w:type="dxa"/>
            <w:vAlign w:val="center"/>
          </w:tcPr>
          <w:p w14:paraId="3A92DD58" w14:textId="77777777" w:rsidR="00B227DF" w:rsidRPr="00455F25" w:rsidRDefault="00B227DF">
            <w:pPr>
              <w:pStyle w:val="TableText0"/>
              <w:keepNext w:val="0"/>
              <w:keepLines w:val="0"/>
            </w:pPr>
            <w:r w:rsidRPr="00455F25">
              <w:t>The DPMA values have been correctly calculated from the AEMP values.</w:t>
            </w:r>
          </w:p>
        </w:tc>
      </w:tr>
      <w:tr w:rsidR="00B227DF" w:rsidRPr="00455F25" w14:paraId="646079B5" w14:textId="77777777">
        <w:trPr>
          <w:cantSplit/>
        </w:trPr>
        <w:tc>
          <w:tcPr>
            <w:tcW w:w="1413" w:type="dxa"/>
            <w:vAlign w:val="center"/>
          </w:tcPr>
          <w:p w14:paraId="1EE866E8" w14:textId="77777777" w:rsidR="00B227DF" w:rsidRPr="00455F25" w:rsidRDefault="00B227DF">
            <w:pPr>
              <w:pStyle w:val="TableText0"/>
              <w:keepNext w:val="0"/>
              <w:keepLines w:val="0"/>
            </w:pPr>
            <w:r w:rsidRPr="00455F25">
              <w:t>Proposed medicine</w:t>
            </w:r>
          </w:p>
        </w:tc>
        <w:tc>
          <w:tcPr>
            <w:tcW w:w="1701" w:type="dxa"/>
            <w:vAlign w:val="center"/>
          </w:tcPr>
          <w:p w14:paraId="54C09005" w14:textId="41FA3546" w:rsidR="00B227DF" w:rsidRPr="00455F25" w:rsidRDefault="00B227DF">
            <w:pPr>
              <w:pStyle w:val="TableText0"/>
              <w:keepNext w:val="0"/>
              <w:keepLines w:val="0"/>
            </w:pPr>
            <w:r w:rsidRPr="00455F25">
              <w:t>$</w:t>
            </w:r>
            <w:r w:rsidR="002D5F61" w:rsidRPr="002D5F61">
              <w:rPr>
                <w:color w:val="000000"/>
                <w:spacing w:val="52"/>
                <w:shd w:val="solid" w:color="000000" w:fill="000000"/>
                <w:fitText w:val="327" w:id="-663001589"/>
                <w14:textFill>
                  <w14:solidFill>
                    <w14:srgbClr w14:val="000000">
                      <w14:alpha w14:val="100000"/>
                    </w14:srgbClr>
                  </w14:solidFill>
                </w14:textFill>
              </w:rPr>
              <w:t>|||</w:t>
            </w:r>
            <w:r w:rsidR="002D5F61" w:rsidRPr="002D5F61">
              <w:rPr>
                <w:color w:val="000000"/>
                <w:spacing w:val="1"/>
                <w:shd w:val="solid" w:color="000000" w:fill="000000"/>
                <w:fitText w:val="327" w:id="-663001589"/>
                <w14:textFill>
                  <w14:solidFill>
                    <w14:srgbClr w14:val="000000">
                      <w14:alpha w14:val="100000"/>
                    </w14:srgbClr>
                  </w14:solidFill>
                </w14:textFill>
              </w:rPr>
              <w:t>|</w:t>
            </w:r>
          </w:p>
          <w:p w14:paraId="7A62036D" w14:textId="77777777" w:rsidR="00B227DF" w:rsidRPr="00455F25" w:rsidRDefault="00B227DF">
            <w:pPr>
              <w:pStyle w:val="TableText0"/>
              <w:keepNext w:val="0"/>
              <w:keepLines w:val="0"/>
            </w:pPr>
            <w:r w:rsidRPr="00455F25">
              <w:t>public</w:t>
            </w:r>
          </w:p>
          <w:p w14:paraId="012C5452" w14:textId="62EC1A06" w:rsidR="00B227DF" w:rsidRPr="00455F25" w:rsidRDefault="00B227DF">
            <w:pPr>
              <w:pStyle w:val="TableText0"/>
              <w:keepNext w:val="0"/>
              <w:keepLines w:val="0"/>
            </w:pPr>
            <w:r w:rsidRPr="00455F25">
              <w:t>$</w:t>
            </w:r>
            <w:r w:rsidR="002D5F61" w:rsidRPr="002D5F61">
              <w:rPr>
                <w:color w:val="000000"/>
                <w:spacing w:val="52"/>
                <w:shd w:val="solid" w:color="000000" w:fill="000000"/>
                <w:fitText w:val="327" w:id="-663001588"/>
                <w14:textFill>
                  <w14:solidFill>
                    <w14:srgbClr w14:val="000000">
                      <w14:alpha w14:val="100000"/>
                    </w14:srgbClr>
                  </w14:solidFill>
                </w14:textFill>
              </w:rPr>
              <w:t>|||</w:t>
            </w:r>
            <w:r w:rsidR="002D5F61" w:rsidRPr="002D5F61">
              <w:rPr>
                <w:color w:val="000000"/>
                <w:spacing w:val="1"/>
                <w:shd w:val="solid" w:color="000000" w:fill="000000"/>
                <w:fitText w:val="327" w:id="-663001588"/>
                <w14:textFill>
                  <w14:solidFill>
                    <w14:srgbClr w14:val="000000">
                      <w14:alpha w14:val="100000"/>
                    </w14:srgbClr>
                  </w14:solidFill>
                </w14:textFill>
              </w:rPr>
              <w:t>|</w:t>
            </w:r>
          </w:p>
          <w:p w14:paraId="1CAB9160" w14:textId="77777777" w:rsidR="00B227DF" w:rsidRPr="00455F25" w:rsidRDefault="00B227DF">
            <w:pPr>
              <w:pStyle w:val="TableText0"/>
              <w:keepNext w:val="0"/>
              <w:keepLines w:val="0"/>
            </w:pPr>
            <w:r w:rsidRPr="00455F25">
              <w:t>private</w:t>
            </w:r>
          </w:p>
        </w:tc>
        <w:tc>
          <w:tcPr>
            <w:tcW w:w="3260" w:type="dxa"/>
            <w:vAlign w:val="center"/>
          </w:tcPr>
          <w:p w14:paraId="7CF4E391" w14:textId="77777777" w:rsidR="00B227DF" w:rsidRPr="00455F25" w:rsidRDefault="00B227DF">
            <w:pPr>
              <w:pStyle w:val="TableText0"/>
              <w:keepNext w:val="0"/>
              <w:keepLines w:val="0"/>
            </w:pPr>
            <w:r w:rsidRPr="00455F25">
              <w:t>Requested price - effective</w:t>
            </w:r>
          </w:p>
        </w:tc>
        <w:tc>
          <w:tcPr>
            <w:tcW w:w="2806" w:type="dxa"/>
            <w:vAlign w:val="center"/>
          </w:tcPr>
          <w:p w14:paraId="59CB3942" w14:textId="77777777" w:rsidR="00B227DF" w:rsidRPr="00455F25" w:rsidRDefault="00B227DF">
            <w:pPr>
              <w:pStyle w:val="TableText0"/>
              <w:keepNext w:val="0"/>
              <w:keepLines w:val="0"/>
            </w:pPr>
            <w:r w:rsidRPr="00455F25">
              <w:t>The DPMA values have been correctly calculated from the AEMP values.</w:t>
            </w:r>
          </w:p>
        </w:tc>
      </w:tr>
      <w:tr w:rsidR="00B227DF" w:rsidRPr="00455F25" w14:paraId="7463804A" w14:textId="77777777">
        <w:trPr>
          <w:cantSplit/>
        </w:trPr>
        <w:tc>
          <w:tcPr>
            <w:tcW w:w="1413" w:type="dxa"/>
            <w:vAlign w:val="center"/>
          </w:tcPr>
          <w:p w14:paraId="642A01B3" w14:textId="77777777" w:rsidR="00B227DF" w:rsidRPr="00455F25" w:rsidRDefault="00B227DF">
            <w:pPr>
              <w:pStyle w:val="TableText0"/>
              <w:keepNext w:val="0"/>
              <w:keepLines w:val="0"/>
            </w:pPr>
            <w:r w:rsidRPr="00455F25">
              <w:lastRenderedPageBreak/>
              <w:t>Comparator</w:t>
            </w:r>
          </w:p>
        </w:tc>
        <w:tc>
          <w:tcPr>
            <w:tcW w:w="1701" w:type="dxa"/>
            <w:vAlign w:val="center"/>
          </w:tcPr>
          <w:p w14:paraId="3A900DEA" w14:textId="77777777" w:rsidR="00B227DF" w:rsidRPr="00455F25" w:rsidRDefault="00B227DF">
            <w:pPr>
              <w:pStyle w:val="TableText0"/>
              <w:keepNext w:val="0"/>
              <w:keepLines w:val="0"/>
            </w:pPr>
            <w:r w:rsidRPr="00455F25">
              <w:t>$160.13</w:t>
            </w:r>
          </w:p>
          <w:p w14:paraId="43729456" w14:textId="77777777" w:rsidR="00B227DF" w:rsidRPr="00455F25" w:rsidRDefault="00B227DF">
            <w:pPr>
              <w:pStyle w:val="TableText0"/>
              <w:keepNext w:val="0"/>
              <w:keepLines w:val="0"/>
            </w:pPr>
            <w:r w:rsidRPr="00455F25">
              <w:t>$205.80</w:t>
            </w:r>
          </w:p>
          <w:p w14:paraId="1DB18847" w14:textId="77777777" w:rsidR="00B227DF" w:rsidRPr="00455F25" w:rsidRDefault="00B227DF">
            <w:pPr>
              <w:pStyle w:val="TableText0"/>
              <w:keepNext w:val="0"/>
              <w:keepLines w:val="0"/>
            </w:pPr>
            <w:r w:rsidRPr="00455F25">
              <w:t>$163.69</w:t>
            </w:r>
          </w:p>
          <w:p w14:paraId="3EC5C7E3" w14:textId="77777777" w:rsidR="00B227DF" w:rsidRPr="00455F25" w:rsidRDefault="00B227DF">
            <w:pPr>
              <w:pStyle w:val="TableText0"/>
              <w:keepNext w:val="0"/>
              <w:keepLines w:val="0"/>
            </w:pPr>
            <w:r w:rsidRPr="00455F25">
              <w:t>$209.38</w:t>
            </w:r>
          </w:p>
          <w:p w14:paraId="44921CDE" w14:textId="77777777" w:rsidR="00B227DF" w:rsidRPr="00455F25" w:rsidRDefault="00B227DF">
            <w:pPr>
              <w:pStyle w:val="TableText0"/>
              <w:keepNext w:val="0"/>
              <w:keepLines w:val="0"/>
            </w:pPr>
            <w:r w:rsidRPr="00455F25">
              <w:t>$156.83</w:t>
            </w:r>
          </w:p>
          <w:p w14:paraId="346A3C7A" w14:textId="77777777" w:rsidR="00B227DF" w:rsidRPr="00455F25" w:rsidRDefault="00B227DF">
            <w:pPr>
              <w:pStyle w:val="TableText0"/>
              <w:keepNext w:val="0"/>
              <w:keepLines w:val="0"/>
            </w:pPr>
            <w:r w:rsidRPr="00455F25">
              <w:t>$202.44</w:t>
            </w:r>
          </w:p>
          <w:p w14:paraId="6A9EE743" w14:textId="77777777" w:rsidR="00B227DF" w:rsidRPr="00455F25" w:rsidRDefault="00B227DF">
            <w:pPr>
              <w:pStyle w:val="TableText0"/>
              <w:keepNext w:val="0"/>
              <w:keepLines w:val="0"/>
            </w:pPr>
            <w:r w:rsidRPr="00455F25">
              <w:t>$160.13</w:t>
            </w:r>
          </w:p>
          <w:p w14:paraId="6D1AF876" w14:textId="77777777" w:rsidR="00B227DF" w:rsidRPr="00455F25" w:rsidRDefault="00B227DF">
            <w:pPr>
              <w:pStyle w:val="TableText0"/>
              <w:keepNext w:val="0"/>
              <w:keepLines w:val="0"/>
            </w:pPr>
            <w:r w:rsidRPr="00455F25">
              <w:t>$205.80</w:t>
            </w:r>
          </w:p>
          <w:p w14:paraId="3EBAC220" w14:textId="77777777" w:rsidR="00B227DF" w:rsidRPr="00455F25" w:rsidRDefault="00B227DF">
            <w:pPr>
              <w:pStyle w:val="TableText0"/>
              <w:keepNext w:val="0"/>
              <w:keepLines w:val="0"/>
            </w:pPr>
            <w:r w:rsidRPr="00455F25">
              <w:t>$112.97</w:t>
            </w:r>
          </w:p>
          <w:p w14:paraId="1DB617D3" w14:textId="77777777" w:rsidR="00B227DF" w:rsidRPr="00455F25" w:rsidRDefault="00B227DF">
            <w:pPr>
              <w:pStyle w:val="TableText0"/>
              <w:keepNext w:val="0"/>
              <w:keepLines w:val="0"/>
            </w:pPr>
            <w:r w:rsidRPr="00455F25">
              <w:t>$157.96</w:t>
            </w:r>
          </w:p>
          <w:p w14:paraId="6DBCB717" w14:textId="77777777" w:rsidR="00B227DF" w:rsidRPr="00455F25" w:rsidRDefault="00B227DF">
            <w:pPr>
              <w:pStyle w:val="TableText0"/>
              <w:keepNext w:val="0"/>
              <w:keepLines w:val="0"/>
            </w:pPr>
            <w:r w:rsidRPr="00455F25">
              <w:t>$38.90</w:t>
            </w:r>
          </w:p>
        </w:tc>
        <w:tc>
          <w:tcPr>
            <w:tcW w:w="3260" w:type="dxa"/>
            <w:vAlign w:val="center"/>
          </w:tcPr>
          <w:p w14:paraId="7BC8EB75" w14:textId="77777777" w:rsidR="00B227DF" w:rsidRPr="00455F25" w:rsidRDefault="00B227DF">
            <w:pPr>
              <w:pStyle w:val="TableText0"/>
              <w:keepNext w:val="0"/>
              <w:keepLines w:val="0"/>
            </w:pPr>
            <w:r w:rsidRPr="00455F25">
              <w:t>4451G - irinotecan</w:t>
            </w:r>
          </w:p>
          <w:p w14:paraId="65FDDC51" w14:textId="77777777" w:rsidR="00B227DF" w:rsidRPr="00455F25" w:rsidRDefault="00B227DF">
            <w:pPr>
              <w:pStyle w:val="TableText0"/>
              <w:keepNext w:val="0"/>
              <w:keepLines w:val="0"/>
            </w:pPr>
            <w:r w:rsidRPr="00455F25">
              <w:t>7249M - irinotecan</w:t>
            </w:r>
          </w:p>
          <w:p w14:paraId="56F9F028" w14:textId="77777777" w:rsidR="00B227DF" w:rsidRPr="00455F25" w:rsidRDefault="00B227DF">
            <w:pPr>
              <w:pStyle w:val="TableText0"/>
              <w:keepNext w:val="0"/>
              <w:keepLines w:val="0"/>
            </w:pPr>
            <w:r w:rsidRPr="00455F25">
              <w:t>7254T - paclitaxel</w:t>
            </w:r>
          </w:p>
          <w:p w14:paraId="4D7F1B7A" w14:textId="77777777" w:rsidR="00B227DF" w:rsidRPr="00455F25" w:rsidRDefault="00B227DF">
            <w:pPr>
              <w:pStyle w:val="TableText0"/>
              <w:keepNext w:val="0"/>
              <w:keepLines w:val="0"/>
            </w:pPr>
            <w:r w:rsidRPr="00455F25">
              <w:t>4567J - paclitaxel</w:t>
            </w:r>
          </w:p>
          <w:p w14:paraId="204DF535" w14:textId="77777777" w:rsidR="00B227DF" w:rsidRPr="00455F25" w:rsidRDefault="00B227DF">
            <w:pPr>
              <w:pStyle w:val="TableText0"/>
              <w:keepNext w:val="0"/>
              <w:keepLines w:val="0"/>
            </w:pPr>
            <w:r w:rsidRPr="00455F25">
              <w:t>10148D - docetaxel</w:t>
            </w:r>
          </w:p>
          <w:p w14:paraId="69C4BC95" w14:textId="77777777" w:rsidR="00B227DF" w:rsidRPr="00455F25" w:rsidRDefault="00B227DF">
            <w:pPr>
              <w:pStyle w:val="TableText0"/>
              <w:keepNext w:val="0"/>
              <w:keepLines w:val="0"/>
            </w:pPr>
            <w:r w:rsidRPr="00455F25">
              <w:t>10158P - docetaxel</w:t>
            </w:r>
          </w:p>
          <w:p w14:paraId="3B838129" w14:textId="77777777" w:rsidR="00B227DF" w:rsidRPr="00455F25" w:rsidRDefault="00B227DF">
            <w:pPr>
              <w:pStyle w:val="TableText0"/>
              <w:keepNext w:val="0"/>
              <w:keepLines w:val="0"/>
            </w:pPr>
            <w:r w:rsidRPr="00455F25">
              <w:t>4451G - irinotecan (FOLFIRI)</w:t>
            </w:r>
          </w:p>
          <w:p w14:paraId="3EFEE45A" w14:textId="77777777" w:rsidR="00B227DF" w:rsidRPr="00455F25" w:rsidRDefault="00B227DF">
            <w:pPr>
              <w:pStyle w:val="TableText0"/>
              <w:keepNext w:val="0"/>
              <w:keepLines w:val="0"/>
            </w:pPr>
            <w:r w:rsidRPr="00455F25">
              <w:t>7249M - irinotecan (FOLFIRI)</w:t>
            </w:r>
          </w:p>
          <w:p w14:paraId="538B1E18" w14:textId="77777777" w:rsidR="00B227DF" w:rsidRPr="00455F25" w:rsidRDefault="00B227DF">
            <w:pPr>
              <w:pStyle w:val="TableText0"/>
              <w:keepNext w:val="0"/>
              <w:keepLines w:val="0"/>
            </w:pPr>
            <w:r w:rsidRPr="00455F25">
              <w:t>4394G - fluorouracil (FOLFIRI)</w:t>
            </w:r>
          </w:p>
          <w:p w14:paraId="1B0E70E9" w14:textId="77777777" w:rsidR="00B227DF" w:rsidRPr="00455F25" w:rsidRDefault="00B227DF">
            <w:pPr>
              <w:pStyle w:val="TableText0"/>
              <w:keepNext w:val="0"/>
              <w:keepLines w:val="0"/>
            </w:pPr>
            <w:r w:rsidRPr="00455F25">
              <w:t>7234R - fluorouracil (FOLFIRI)</w:t>
            </w:r>
          </w:p>
          <w:p w14:paraId="140E6D98" w14:textId="77777777" w:rsidR="00B227DF" w:rsidRPr="00455F25" w:rsidRDefault="00B227DF">
            <w:pPr>
              <w:pStyle w:val="TableText0"/>
              <w:keepNext w:val="0"/>
              <w:keepLines w:val="0"/>
            </w:pPr>
            <w:r w:rsidRPr="00455F25">
              <w:t>1899Y - folinic acid (FOLFIRI)</w:t>
            </w:r>
          </w:p>
        </w:tc>
        <w:tc>
          <w:tcPr>
            <w:tcW w:w="2806" w:type="dxa"/>
            <w:vAlign w:val="center"/>
          </w:tcPr>
          <w:p w14:paraId="088F169F" w14:textId="77777777" w:rsidR="00B227DF" w:rsidRPr="00455F25" w:rsidRDefault="00B227DF">
            <w:pPr>
              <w:pStyle w:val="TableText0"/>
              <w:keepNext w:val="0"/>
              <w:keepLines w:val="0"/>
            </w:pPr>
            <w:r w:rsidRPr="00455F25">
              <w:t>Treatment comparators based on advice from the Clinical Advisory Board. The comparator costs are at the maximum amount without adjusting for the actual dose provided. This overstates the cost of the comparators.</w:t>
            </w:r>
          </w:p>
        </w:tc>
      </w:tr>
      <w:tr w:rsidR="00B227DF" w:rsidRPr="00455F25" w14:paraId="7F241101" w14:textId="77777777">
        <w:trPr>
          <w:cantSplit/>
        </w:trPr>
        <w:tc>
          <w:tcPr>
            <w:tcW w:w="1413" w:type="dxa"/>
            <w:vAlign w:val="center"/>
          </w:tcPr>
          <w:p w14:paraId="283D8F5F" w14:textId="77777777" w:rsidR="00B227DF" w:rsidRPr="00455F25" w:rsidRDefault="00B227DF">
            <w:pPr>
              <w:pStyle w:val="TableText0"/>
              <w:keepNext w:val="0"/>
              <w:keepLines w:val="0"/>
            </w:pPr>
            <w:r w:rsidRPr="00455F25">
              <w:t>Patient copayment</w:t>
            </w:r>
          </w:p>
        </w:tc>
        <w:tc>
          <w:tcPr>
            <w:tcW w:w="1701" w:type="dxa"/>
            <w:vAlign w:val="center"/>
          </w:tcPr>
          <w:p w14:paraId="5CB1E5FC" w14:textId="77777777" w:rsidR="00B227DF" w:rsidRPr="00455F25" w:rsidRDefault="00B227DF">
            <w:pPr>
              <w:pStyle w:val="TableText0"/>
              <w:keepNext w:val="0"/>
              <w:keepLines w:val="0"/>
            </w:pPr>
            <w:r w:rsidRPr="00455F25">
              <w:t>$19.26 PBS</w:t>
            </w:r>
          </w:p>
          <w:p w14:paraId="2FD0D069" w14:textId="77777777" w:rsidR="00B227DF" w:rsidRPr="00455F25" w:rsidRDefault="00B227DF">
            <w:pPr>
              <w:pStyle w:val="TableText0"/>
              <w:keepNext w:val="0"/>
              <w:keepLines w:val="0"/>
            </w:pPr>
            <w:r w:rsidRPr="00455F25">
              <w:t>$7.54 RPBS</w:t>
            </w:r>
          </w:p>
        </w:tc>
        <w:tc>
          <w:tcPr>
            <w:tcW w:w="3260" w:type="dxa"/>
            <w:vAlign w:val="center"/>
          </w:tcPr>
          <w:p w14:paraId="78D81A24" w14:textId="77777777" w:rsidR="00B227DF" w:rsidRPr="00455F25" w:rsidRDefault="00B227DF">
            <w:pPr>
              <w:pStyle w:val="TableText0"/>
              <w:keepNext w:val="0"/>
              <w:keepLines w:val="0"/>
            </w:pPr>
            <w:r w:rsidRPr="00455F25">
              <w:t>Weighted copayment for trastuzumab 1L (PBS items: 10581X, 10588G, 10589H, 10597R) in 2023.</w:t>
            </w:r>
          </w:p>
        </w:tc>
        <w:tc>
          <w:tcPr>
            <w:tcW w:w="2806" w:type="dxa"/>
            <w:vAlign w:val="center"/>
          </w:tcPr>
          <w:p w14:paraId="156FDAA8" w14:textId="77777777" w:rsidR="00B227DF" w:rsidRPr="00455F25" w:rsidRDefault="00B227DF">
            <w:pPr>
              <w:pStyle w:val="TableText0"/>
              <w:keepNext w:val="0"/>
              <w:keepLines w:val="0"/>
            </w:pPr>
            <w:r w:rsidRPr="00455F25">
              <w:t>The two copayment groups have been correctly calculated based on the current market.</w:t>
            </w:r>
          </w:p>
        </w:tc>
      </w:tr>
      <w:tr w:rsidR="00B227DF" w:rsidRPr="00455F25" w14:paraId="2CFDB444" w14:textId="77777777">
        <w:trPr>
          <w:cantSplit/>
        </w:trPr>
        <w:tc>
          <w:tcPr>
            <w:tcW w:w="1413" w:type="dxa"/>
            <w:vAlign w:val="center"/>
          </w:tcPr>
          <w:p w14:paraId="25AD597D" w14:textId="77777777" w:rsidR="00B227DF" w:rsidRPr="00455F25" w:rsidRDefault="00B227DF">
            <w:pPr>
              <w:pStyle w:val="TableText0"/>
              <w:keepNext w:val="0"/>
              <w:keepLines w:val="0"/>
            </w:pPr>
            <w:r w:rsidRPr="00455F25">
              <w:t>MBS costs</w:t>
            </w:r>
          </w:p>
        </w:tc>
        <w:tc>
          <w:tcPr>
            <w:tcW w:w="1701" w:type="dxa"/>
            <w:vAlign w:val="center"/>
          </w:tcPr>
          <w:p w14:paraId="064EC949" w14:textId="77777777" w:rsidR="00B227DF" w:rsidRPr="00455F25" w:rsidRDefault="00B227DF">
            <w:pPr>
              <w:pStyle w:val="TableText0"/>
              <w:keepNext w:val="0"/>
              <w:keepLines w:val="0"/>
            </w:pPr>
            <w:r w:rsidRPr="00455F25">
              <w:t>$123.05</w:t>
            </w:r>
          </w:p>
          <w:p w14:paraId="178CA3D4" w14:textId="77777777" w:rsidR="00B227DF" w:rsidRPr="00455F25" w:rsidRDefault="00B227DF">
            <w:pPr>
              <w:pStyle w:val="TableText0"/>
              <w:keepNext w:val="0"/>
              <w:keepLines w:val="0"/>
            </w:pPr>
            <w:r w:rsidRPr="00455F25">
              <w:t>$74.50</w:t>
            </w:r>
          </w:p>
          <w:p w14:paraId="0975B93C" w14:textId="77777777" w:rsidR="00B227DF" w:rsidRPr="00455F25" w:rsidRDefault="00B227DF">
            <w:pPr>
              <w:pStyle w:val="TableText0"/>
              <w:keepNext w:val="0"/>
              <w:keepLines w:val="0"/>
            </w:pPr>
            <w:r w:rsidRPr="00455F25">
              <w:t>$315.40</w:t>
            </w:r>
          </w:p>
          <w:p w14:paraId="044FF5A3" w14:textId="77777777" w:rsidR="00B227DF" w:rsidRPr="00455F25" w:rsidRDefault="00B227DF">
            <w:pPr>
              <w:pStyle w:val="TableText0"/>
              <w:keepNext w:val="0"/>
              <w:keepLines w:val="0"/>
            </w:pPr>
            <w:r w:rsidRPr="00455F25">
              <w:t>$415.75</w:t>
            </w:r>
          </w:p>
          <w:p w14:paraId="0A8F2298" w14:textId="77777777" w:rsidR="00B227DF" w:rsidRPr="00455F25" w:rsidRDefault="00B227DF">
            <w:pPr>
              <w:pStyle w:val="TableText0"/>
              <w:keepNext w:val="0"/>
              <w:keepLines w:val="0"/>
            </w:pPr>
            <w:r w:rsidRPr="00455F25">
              <w:t>$17.70</w:t>
            </w:r>
          </w:p>
          <w:p w14:paraId="302ED36C" w14:textId="77777777" w:rsidR="00B227DF" w:rsidRPr="00455F25" w:rsidRDefault="00B227DF">
            <w:pPr>
              <w:pStyle w:val="TableText0"/>
              <w:keepNext w:val="0"/>
              <w:keepLines w:val="0"/>
            </w:pPr>
            <w:r w:rsidRPr="00455F25">
              <w:t>$16.95</w:t>
            </w:r>
          </w:p>
          <w:p w14:paraId="0F71A48A" w14:textId="77777777" w:rsidR="00B227DF" w:rsidRPr="00455F25" w:rsidRDefault="00B227DF">
            <w:pPr>
              <w:pStyle w:val="TableText0"/>
              <w:keepNext w:val="0"/>
              <w:keepLines w:val="0"/>
            </w:pPr>
            <w:r w:rsidRPr="00455F25">
              <w:t>$615.40</w:t>
            </w:r>
          </w:p>
          <w:p w14:paraId="15C1EE7E" w14:textId="77777777" w:rsidR="00B227DF" w:rsidRPr="00455F25" w:rsidRDefault="00B227DF">
            <w:pPr>
              <w:pStyle w:val="TableText0"/>
              <w:keepNext w:val="0"/>
              <w:keepLines w:val="0"/>
            </w:pPr>
            <w:r w:rsidRPr="00455F25">
              <w:t>$87.30</w:t>
            </w:r>
          </w:p>
        </w:tc>
        <w:tc>
          <w:tcPr>
            <w:tcW w:w="3260" w:type="dxa"/>
            <w:vAlign w:val="center"/>
          </w:tcPr>
          <w:p w14:paraId="4BE71FA1" w14:textId="77777777" w:rsidR="00B227DF" w:rsidRPr="00455F25" w:rsidRDefault="00B227DF">
            <w:pPr>
              <w:pStyle w:val="TableText0"/>
              <w:keepNext w:val="0"/>
              <w:keepLines w:val="0"/>
            </w:pPr>
            <w:r w:rsidRPr="00455F25">
              <w:t>13950 - IV chemotherapy administration</w:t>
            </w:r>
          </w:p>
          <w:p w14:paraId="7CB544BE" w14:textId="77777777" w:rsidR="00B227DF" w:rsidRPr="00455F25" w:rsidRDefault="00B227DF">
            <w:pPr>
              <w:pStyle w:val="TableText0"/>
              <w:keepNext w:val="0"/>
              <w:keepLines w:val="0"/>
            </w:pPr>
            <w:r w:rsidRPr="00455F25">
              <w:t>72848 - Immunohistochemistry (IHC)</w:t>
            </w:r>
          </w:p>
          <w:p w14:paraId="511B2462" w14:textId="77777777" w:rsidR="00B227DF" w:rsidRPr="00455F25" w:rsidRDefault="00B227DF">
            <w:pPr>
              <w:pStyle w:val="TableText0"/>
              <w:keepNext w:val="0"/>
              <w:keepLines w:val="0"/>
            </w:pPr>
            <w:r w:rsidRPr="00455F25">
              <w:t>73342 - In situ hybridisation (ISH)</w:t>
            </w:r>
          </w:p>
          <w:p w14:paraId="194FAB15" w14:textId="77777777" w:rsidR="00B227DF" w:rsidRPr="00455F25" w:rsidRDefault="00B227DF">
            <w:pPr>
              <w:pStyle w:val="TableText0"/>
              <w:keepNext w:val="0"/>
              <w:keepLines w:val="0"/>
            </w:pPr>
            <w:r w:rsidRPr="00455F25">
              <w:t>30688 - Biopsy</w:t>
            </w:r>
          </w:p>
          <w:p w14:paraId="2062F230" w14:textId="77777777" w:rsidR="00B227DF" w:rsidRPr="00455F25" w:rsidRDefault="00B227DF">
            <w:pPr>
              <w:pStyle w:val="TableText0"/>
              <w:keepNext w:val="0"/>
              <w:keepLines w:val="0"/>
            </w:pPr>
            <w:r w:rsidRPr="00455F25">
              <w:t>66512 - Hepatic and renal function test</w:t>
            </w:r>
          </w:p>
          <w:p w14:paraId="0EF1DFB3" w14:textId="77777777" w:rsidR="00B227DF" w:rsidRPr="00455F25" w:rsidRDefault="00B227DF">
            <w:pPr>
              <w:pStyle w:val="TableText0"/>
              <w:keepNext w:val="0"/>
              <w:keepLines w:val="0"/>
            </w:pPr>
            <w:r w:rsidRPr="00455F25">
              <w:t>65070 - Full blood count</w:t>
            </w:r>
          </w:p>
          <w:p w14:paraId="701F9BB5" w14:textId="77777777" w:rsidR="00B227DF" w:rsidRPr="00455F25" w:rsidRDefault="00B227DF">
            <w:pPr>
              <w:pStyle w:val="TableText0"/>
              <w:keepNext w:val="0"/>
              <w:keepLines w:val="0"/>
            </w:pPr>
            <w:r w:rsidRPr="00455F25">
              <w:t>56807 - CT scan</w:t>
            </w:r>
          </w:p>
          <w:p w14:paraId="07A56C1D" w14:textId="77777777" w:rsidR="00B227DF" w:rsidRPr="00455F25" w:rsidRDefault="00B227DF">
            <w:pPr>
              <w:pStyle w:val="TableText0"/>
              <w:keepNext w:val="0"/>
              <w:keepLines w:val="0"/>
            </w:pPr>
            <w:r w:rsidRPr="00455F25">
              <w:t>116 - Consultation visit</w:t>
            </w:r>
          </w:p>
        </w:tc>
        <w:tc>
          <w:tcPr>
            <w:tcW w:w="2806" w:type="dxa"/>
            <w:vAlign w:val="center"/>
          </w:tcPr>
          <w:p w14:paraId="703143AA" w14:textId="1DFC1071" w:rsidR="00B227DF" w:rsidRPr="00455F25" w:rsidRDefault="00B227DF">
            <w:pPr>
              <w:pStyle w:val="TableText0"/>
              <w:keepNext w:val="0"/>
              <w:keepLines w:val="0"/>
            </w:pPr>
            <w:r w:rsidRPr="00455F25">
              <w:t xml:space="preserve">Most of the MBS items associated with the affected medicines had the incorrect service costs applied. This has been corrected in </w:t>
            </w:r>
            <w:r w:rsidR="00341861" w:rsidRPr="00455F25">
              <w:fldChar w:fldCharType="begin"/>
            </w:r>
            <w:r w:rsidR="00341861" w:rsidRPr="00455F25">
              <w:instrText xml:space="preserve"> REF _Ref193228315 \h </w:instrText>
            </w:r>
            <w:r w:rsidR="00455F25" w:rsidRPr="00455F25">
              <w:instrText xml:space="preserve"> \* MERGEFORMAT </w:instrText>
            </w:r>
            <w:r w:rsidR="00341861" w:rsidRPr="00455F25">
              <w:fldChar w:fldCharType="separate"/>
            </w:r>
            <w:r w:rsidR="00593619" w:rsidRPr="00455F25">
              <w:t xml:space="preserve">Table </w:t>
            </w:r>
            <w:r w:rsidR="00593619">
              <w:rPr>
                <w:noProof/>
              </w:rPr>
              <w:t>15</w:t>
            </w:r>
            <w:r w:rsidR="00341861" w:rsidRPr="00455F25">
              <w:fldChar w:fldCharType="end"/>
            </w:r>
            <w:r w:rsidR="00341861" w:rsidRPr="00455F25">
              <w:t xml:space="preserve"> </w:t>
            </w:r>
            <w:r w:rsidRPr="00455F25">
              <w:t>below. These corrections more than double the expected MBS impact.</w:t>
            </w:r>
          </w:p>
        </w:tc>
      </w:tr>
    </w:tbl>
    <w:p w14:paraId="4A9AFB53" w14:textId="77777777" w:rsidR="005F782D" w:rsidRPr="00455F25" w:rsidRDefault="00C02DCB" w:rsidP="00C218D0">
      <w:pPr>
        <w:pStyle w:val="TableFigureFooter"/>
        <w:jc w:val="both"/>
      </w:pPr>
      <w:r w:rsidRPr="00455F25">
        <w:t>Source: Financial estimates model of the submission.</w:t>
      </w:r>
    </w:p>
    <w:p w14:paraId="1BF95093" w14:textId="10B50010" w:rsidR="00B227DF" w:rsidRDefault="00B227DF" w:rsidP="00C218D0">
      <w:pPr>
        <w:pStyle w:val="TableFigureFooter"/>
        <w:jc w:val="both"/>
      </w:pPr>
      <w:r w:rsidRPr="00455F25">
        <w:t xml:space="preserve">AEMP = Approved Ex-manufacturer Price; CSR = Clinical study report; DPMA = Dispensed Price for Maximum Amount; ECOG = Eastern cooperative oncology group; FOLFIRI = folinic acid, fluorouracil, and irinotecan combination regimen; GOJ = Gastro-oesophageal junction; HER2 = human epidermal growth factor receptor 2; IHC = immunohistochemical; ISH = In situ hybridisation; MBS = Medicare Benefits Schedule; PBS = Pharmaceutical Benefits Scheme; RPBS = Repatriation Pharmaceutical Benefits Scheme;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r w:rsidRPr="00455F25">
        <w:t xml:space="preserve">; </w:t>
      </w:r>
      <w:proofErr w:type="spellStart"/>
      <w:r w:rsidRPr="00455F25">
        <w:t>ToT</w:t>
      </w:r>
      <w:proofErr w:type="spellEnd"/>
      <w:r w:rsidRPr="00455F25">
        <w:t xml:space="preserve"> = Time on treatment</w:t>
      </w:r>
      <w:r w:rsidR="00091930" w:rsidRPr="00455F25">
        <w:t>; Yr = year</w:t>
      </w:r>
    </w:p>
    <w:p w14:paraId="64CDE053" w14:textId="77777777" w:rsidR="008B038F" w:rsidRPr="009A6D58" w:rsidRDefault="008B038F" w:rsidP="008B038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C7CB1A1" w14:textId="005F4BA4" w:rsidR="00C218D0" w:rsidRPr="008B038F" w:rsidRDefault="008B038F" w:rsidP="008B038F">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09A443DC" w14:textId="2BAE56E3" w:rsidR="00807D53" w:rsidRPr="00455F25" w:rsidRDefault="00807D53" w:rsidP="0099193B">
      <w:pPr>
        <w:pStyle w:val="Caption"/>
        <w:spacing w:before="120"/>
      </w:pPr>
      <w:bookmarkStart w:id="70" w:name="_Ref193228315"/>
      <w:r w:rsidRPr="00455F25">
        <w:lastRenderedPageBreak/>
        <w:t xml:space="preserve">Table </w:t>
      </w:r>
      <w:r w:rsidR="008B461E">
        <w:fldChar w:fldCharType="begin"/>
      </w:r>
      <w:r w:rsidR="008B461E">
        <w:instrText xml:space="preserve"> SEQ Table \* ARABIC </w:instrText>
      </w:r>
      <w:r w:rsidR="008B461E">
        <w:fldChar w:fldCharType="separate"/>
      </w:r>
      <w:r w:rsidR="00593619">
        <w:rPr>
          <w:noProof/>
        </w:rPr>
        <w:t>15</w:t>
      </w:r>
      <w:r w:rsidR="008B461E">
        <w:rPr>
          <w:noProof/>
        </w:rPr>
        <w:fldChar w:fldCharType="end"/>
      </w:r>
      <w:bookmarkEnd w:id="70"/>
      <w:r w:rsidRPr="00455F25">
        <w:t xml:space="preserve">: </w:t>
      </w:r>
      <w:r w:rsidRPr="00455F25">
        <w:rPr>
          <w:rStyle w:val="CommentReference"/>
          <w:b/>
          <w:szCs w:val="24"/>
        </w:rPr>
        <w:t>Estimated use and financial implications</w:t>
      </w:r>
      <w:r w:rsidR="00CE1380" w:rsidRPr="00455F25">
        <w:rPr>
          <w:rStyle w:val="CommentReference"/>
          <w:b/>
          <w:szCs w:val="24"/>
        </w:rPr>
        <w:t xml:space="preserve"> (using proposed effective price of </w:t>
      </w:r>
      <w:r w:rsidR="00CE1380" w:rsidRPr="00455F25">
        <w:t>T-</w:t>
      </w:r>
      <w:proofErr w:type="spellStart"/>
      <w:r w:rsidR="00CE1380" w:rsidRPr="00455F25">
        <w:t>DXd</w:t>
      </w:r>
      <w:proofErr w:type="spellEnd"/>
      <w:r w:rsidR="00CE1380" w:rsidRPr="00455F2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B227DF" w:rsidRPr="00455F25" w14:paraId="04555863" w14:textId="77777777">
        <w:trPr>
          <w:tblHeader/>
        </w:trPr>
        <w:tc>
          <w:tcPr>
            <w:tcW w:w="1334" w:type="pct"/>
            <w:vAlign w:val="center"/>
          </w:tcPr>
          <w:p w14:paraId="55F882BF" w14:textId="77777777" w:rsidR="00B227DF" w:rsidRPr="00455F25" w:rsidRDefault="00B227DF">
            <w:pPr>
              <w:pStyle w:val="In-tableHeading"/>
              <w:rPr>
                <w:lang w:val="en-AU"/>
              </w:rPr>
            </w:pPr>
          </w:p>
        </w:tc>
        <w:tc>
          <w:tcPr>
            <w:tcW w:w="611" w:type="pct"/>
            <w:vAlign w:val="center"/>
          </w:tcPr>
          <w:p w14:paraId="39BCAB36" w14:textId="77777777" w:rsidR="00B227DF" w:rsidRPr="00455F25" w:rsidRDefault="00B227DF">
            <w:pPr>
              <w:pStyle w:val="In-tableHeading"/>
              <w:rPr>
                <w:lang w:val="en-AU"/>
              </w:rPr>
            </w:pPr>
            <w:r w:rsidRPr="00455F25">
              <w:rPr>
                <w:lang w:val="en-AU"/>
              </w:rPr>
              <w:t>Year 1</w:t>
            </w:r>
          </w:p>
        </w:tc>
        <w:tc>
          <w:tcPr>
            <w:tcW w:w="611" w:type="pct"/>
            <w:vAlign w:val="center"/>
          </w:tcPr>
          <w:p w14:paraId="1600F795" w14:textId="77777777" w:rsidR="00B227DF" w:rsidRPr="00455F25" w:rsidRDefault="00B227DF">
            <w:pPr>
              <w:pStyle w:val="In-tableHeading"/>
              <w:rPr>
                <w:lang w:val="en-AU"/>
              </w:rPr>
            </w:pPr>
            <w:r w:rsidRPr="00455F25">
              <w:rPr>
                <w:lang w:val="en-AU"/>
              </w:rPr>
              <w:t>Year 2</w:t>
            </w:r>
          </w:p>
        </w:tc>
        <w:tc>
          <w:tcPr>
            <w:tcW w:w="611" w:type="pct"/>
            <w:vAlign w:val="center"/>
          </w:tcPr>
          <w:p w14:paraId="3E26D51D" w14:textId="77777777" w:rsidR="00B227DF" w:rsidRPr="00455F25" w:rsidRDefault="00B227DF">
            <w:pPr>
              <w:pStyle w:val="In-tableHeading"/>
              <w:rPr>
                <w:lang w:val="en-AU"/>
              </w:rPr>
            </w:pPr>
            <w:r w:rsidRPr="00455F25">
              <w:rPr>
                <w:lang w:val="en-AU"/>
              </w:rPr>
              <w:t>Year 3</w:t>
            </w:r>
          </w:p>
        </w:tc>
        <w:tc>
          <w:tcPr>
            <w:tcW w:w="611" w:type="pct"/>
            <w:vAlign w:val="center"/>
          </w:tcPr>
          <w:p w14:paraId="72CA8609" w14:textId="77777777" w:rsidR="00B227DF" w:rsidRPr="00455F25" w:rsidRDefault="00B227DF">
            <w:pPr>
              <w:pStyle w:val="In-tableHeading"/>
              <w:rPr>
                <w:lang w:val="en-AU"/>
              </w:rPr>
            </w:pPr>
            <w:r w:rsidRPr="00455F25">
              <w:rPr>
                <w:lang w:val="en-AU"/>
              </w:rPr>
              <w:t>Year 4</w:t>
            </w:r>
          </w:p>
        </w:tc>
        <w:tc>
          <w:tcPr>
            <w:tcW w:w="611" w:type="pct"/>
            <w:vAlign w:val="center"/>
          </w:tcPr>
          <w:p w14:paraId="5E84F291" w14:textId="77777777" w:rsidR="00B227DF" w:rsidRPr="00455F25" w:rsidRDefault="00B227DF">
            <w:pPr>
              <w:pStyle w:val="In-tableHeading"/>
              <w:rPr>
                <w:lang w:val="en-AU"/>
              </w:rPr>
            </w:pPr>
            <w:r w:rsidRPr="00455F25">
              <w:rPr>
                <w:lang w:val="en-AU"/>
              </w:rPr>
              <w:t>Year 5</w:t>
            </w:r>
          </w:p>
        </w:tc>
        <w:tc>
          <w:tcPr>
            <w:tcW w:w="611" w:type="pct"/>
          </w:tcPr>
          <w:p w14:paraId="2D5A82B6" w14:textId="77777777" w:rsidR="00B227DF" w:rsidRPr="00455F25" w:rsidRDefault="00B227DF">
            <w:pPr>
              <w:pStyle w:val="In-tableHeading"/>
              <w:rPr>
                <w:lang w:val="en-AU"/>
              </w:rPr>
            </w:pPr>
            <w:r w:rsidRPr="00455F25">
              <w:rPr>
                <w:lang w:val="en-AU"/>
              </w:rPr>
              <w:t>Year 6</w:t>
            </w:r>
          </w:p>
        </w:tc>
      </w:tr>
      <w:tr w:rsidR="00B227DF" w:rsidRPr="00455F25" w14:paraId="1B465F89" w14:textId="77777777">
        <w:tc>
          <w:tcPr>
            <w:tcW w:w="5000" w:type="pct"/>
            <w:gridSpan w:val="7"/>
            <w:vAlign w:val="center"/>
          </w:tcPr>
          <w:p w14:paraId="592C8064" w14:textId="77777777" w:rsidR="00B227DF" w:rsidRPr="00455F25" w:rsidRDefault="00B227DF">
            <w:pPr>
              <w:pStyle w:val="In-tableHeading"/>
              <w:rPr>
                <w:lang w:val="en-AU"/>
              </w:rPr>
            </w:pPr>
            <w:r w:rsidRPr="00455F25">
              <w:rPr>
                <w:lang w:val="en-AU"/>
              </w:rPr>
              <w:t>Estimated extent of use</w:t>
            </w:r>
          </w:p>
        </w:tc>
      </w:tr>
      <w:tr w:rsidR="00B227DF" w:rsidRPr="00455F25" w14:paraId="14B55829" w14:textId="77777777">
        <w:tc>
          <w:tcPr>
            <w:tcW w:w="1334" w:type="pct"/>
            <w:vAlign w:val="center"/>
          </w:tcPr>
          <w:p w14:paraId="75CBD120" w14:textId="77777777" w:rsidR="00B227DF" w:rsidRPr="00455F25" w:rsidRDefault="00B227DF">
            <w:pPr>
              <w:pStyle w:val="TableText0"/>
              <w:rPr>
                <w:rFonts w:ascii="Times" w:hAnsi="Times"/>
              </w:rPr>
            </w:pPr>
            <w:r w:rsidRPr="00455F25">
              <w:t>Number of patients treated</w:t>
            </w:r>
          </w:p>
        </w:tc>
        <w:tc>
          <w:tcPr>
            <w:tcW w:w="611" w:type="pct"/>
          </w:tcPr>
          <w:p w14:paraId="2722A7F8" w14:textId="1E1A9E9C" w:rsidR="00B227DF" w:rsidRPr="00A43982" w:rsidRDefault="002D5F61">
            <w:pPr>
              <w:pStyle w:val="TableText0"/>
              <w:jc w:val="center"/>
              <w:rPr>
                <w:vertAlign w:val="superscript"/>
              </w:rPr>
            </w:pPr>
            <w:r w:rsidRPr="002D5F61">
              <w:rPr>
                <w:rFonts w:hint="eastAsia"/>
                <w:color w:val="000000"/>
                <w:w w:val="17"/>
                <w:shd w:val="solid" w:color="000000" w:fill="000000"/>
                <w:fitText w:val="76" w:id="-663001587"/>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87"/>
                <w14:textFill>
                  <w14:solidFill>
                    <w14:srgbClr w14:val="000000">
                      <w14:alpha w14:val="100000"/>
                    </w14:srgbClr>
                  </w14:solidFill>
                </w14:textFill>
              </w:rPr>
              <w:t>|</w:t>
            </w:r>
            <w:r w:rsidRPr="002D5F61">
              <w:rPr>
                <w:rFonts w:hint="eastAsia"/>
                <w:color w:val="000000"/>
                <w:spacing w:val="3"/>
                <w:w w:val="17"/>
                <w:shd w:val="solid" w:color="000000" w:fill="000000"/>
                <w:fitText w:val="76" w:id="-663001587"/>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7792ABEF" w14:textId="3FB6CC82" w:rsidR="00B227DF" w:rsidRPr="00455F25" w:rsidRDefault="002D5F61">
            <w:pPr>
              <w:pStyle w:val="TableText0"/>
              <w:jc w:val="center"/>
            </w:pPr>
            <w:r w:rsidRPr="002D5F61">
              <w:rPr>
                <w:rFonts w:hint="eastAsia"/>
                <w:color w:val="000000"/>
                <w:w w:val="17"/>
                <w:shd w:val="solid" w:color="000000" w:fill="000000"/>
                <w:fitText w:val="77" w:id="-663001586"/>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86"/>
                <w14:textFill>
                  <w14:solidFill>
                    <w14:srgbClr w14:val="000000">
                      <w14:alpha w14:val="100000"/>
                    </w14:srgbClr>
                  </w14:solidFill>
                </w14:textFill>
              </w:rPr>
              <w:t>|</w:t>
            </w:r>
            <w:r w:rsidRPr="002D5F61">
              <w:rPr>
                <w:rFonts w:hint="eastAsia"/>
                <w:color w:val="000000"/>
                <w:spacing w:val="4"/>
                <w:w w:val="17"/>
                <w:shd w:val="solid" w:color="000000" w:fill="000000"/>
                <w:fitText w:val="77" w:id="-663001586"/>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50DADDAB" w14:textId="5327E70C" w:rsidR="00B227DF" w:rsidRPr="00455F25" w:rsidRDefault="002D5F61">
            <w:pPr>
              <w:pStyle w:val="TableText0"/>
              <w:jc w:val="center"/>
            </w:pPr>
            <w:r w:rsidRPr="002D5F61">
              <w:rPr>
                <w:rFonts w:hint="eastAsia"/>
                <w:color w:val="000000"/>
                <w:w w:val="17"/>
                <w:shd w:val="solid" w:color="000000" w:fill="000000"/>
                <w:fitText w:val="77" w:id="-663001585"/>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85"/>
                <w14:textFill>
                  <w14:solidFill>
                    <w14:srgbClr w14:val="000000">
                      <w14:alpha w14:val="100000"/>
                    </w14:srgbClr>
                  </w14:solidFill>
                </w14:textFill>
              </w:rPr>
              <w:t>|</w:t>
            </w:r>
            <w:r w:rsidRPr="002D5F61">
              <w:rPr>
                <w:rFonts w:hint="eastAsia"/>
                <w:color w:val="000000"/>
                <w:spacing w:val="4"/>
                <w:w w:val="17"/>
                <w:shd w:val="solid" w:color="000000" w:fill="000000"/>
                <w:fitText w:val="77" w:id="-663001585"/>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7776CE0C" w14:textId="31AF525D" w:rsidR="00B227DF" w:rsidRPr="00455F25" w:rsidRDefault="002D5F61">
            <w:pPr>
              <w:pStyle w:val="TableText0"/>
              <w:jc w:val="center"/>
            </w:pPr>
            <w:r w:rsidRPr="002D5F61">
              <w:rPr>
                <w:rFonts w:hint="eastAsia"/>
                <w:color w:val="000000"/>
                <w:w w:val="17"/>
                <w:shd w:val="solid" w:color="000000" w:fill="000000"/>
                <w:fitText w:val="76" w:id="-663001584"/>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84"/>
                <w14:textFill>
                  <w14:solidFill>
                    <w14:srgbClr w14:val="000000">
                      <w14:alpha w14:val="100000"/>
                    </w14:srgbClr>
                  </w14:solidFill>
                </w14:textFill>
              </w:rPr>
              <w:t>|</w:t>
            </w:r>
            <w:r w:rsidRPr="002D5F61">
              <w:rPr>
                <w:rFonts w:hint="eastAsia"/>
                <w:color w:val="000000"/>
                <w:spacing w:val="3"/>
                <w:w w:val="17"/>
                <w:shd w:val="solid" w:color="000000" w:fill="000000"/>
                <w:fitText w:val="76" w:id="-663001584"/>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23CB95E7" w14:textId="4049EE21" w:rsidR="00B227DF" w:rsidRPr="00455F25" w:rsidRDefault="002D5F61">
            <w:pPr>
              <w:pStyle w:val="TableText0"/>
              <w:jc w:val="center"/>
            </w:pPr>
            <w:r w:rsidRPr="002D5F61">
              <w:rPr>
                <w:rFonts w:hint="eastAsia"/>
                <w:color w:val="000000"/>
                <w:w w:val="17"/>
                <w:shd w:val="solid" w:color="000000" w:fill="000000"/>
                <w:fitText w:val="76" w:id="-663001600"/>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600"/>
                <w14:textFill>
                  <w14:solidFill>
                    <w14:srgbClr w14:val="000000">
                      <w14:alpha w14:val="100000"/>
                    </w14:srgbClr>
                  </w14:solidFill>
                </w14:textFill>
              </w:rPr>
              <w:t>|</w:t>
            </w:r>
            <w:r w:rsidRPr="002D5F61">
              <w:rPr>
                <w:rFonts w:hint="eastAsia"/>
                <w:color w:val="000000"/>
                <w:spacing w:val="3"/>
                <w:w w:val="17"/>
                <w:shd w:val="solid" w:color="000000" w:fill="000000"/>
                <w:fitText w:val="76" w:id="-663001600"/>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544275FD" w14:textId="3F041474" w:rsidR="00B227DF" w:rsidRPr="00455F25" w:rsidRDefault="002D5F61">
            <w:pPr>
              <w:pStyle w:val="TableText0"/>
              <w:jc w:val="center"/>
            </w:pPr>
            <w:r w:rsidRPr="002D5F61">
              <w:rPr>
                <w:rFonts w:hint="eastAsia"/>
                <w:color w:val="000000"/>
                <w:w w:val="17"/>
                <w:shd w:val="solid" w:color="000000" w:fill="000000"/>
                <w:fitText w:val="76" w:id="-663001599"/>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9"/>
                <w14:textFill>
                  <w14:solidFill>
                    <w14:srgbClr w14:val="000000">
                      <w14:alpha w14:val="100000"/>
                    </w14:srgbClr>
                  </w14:solidFill>
                </w14:textFill>
              </w:rPr>
              <w:t>|</w:t>
            </w:r>
            <w:r w:rsidRPr="002D5F61">
              <w:rPr>
                <w:rFonts w:hint="eastAsia"/>
                <w:color w:val="000000"/>
                <w:spacing w:val="3"/>
                <w:w w:val="17"/>
                <w:shd w:val="solid" w:color="000000" w:fill="000000"/>
                <w:fitText w:val="76" w:id="-663001599"/>
                <w14:textFill>
                  <w14:solidFill>
                    <w14:srgbClr w14:val="000000">
                      <w14:alpha w14:val="100000"/>
                    </w14:srgbClr>
                  </w14:solidFill>
                </w14:textFill>
              </w:rPr>
              <w:t xml:space="preserve">　</w:t>
            </w:r>
            <w:r w:rsidR="00A43982">
              <w:t xml:space="preserve"> </w:t>
            </w:r>
            <w:r w:rsidR="00A43982">
              <w:rPr>
                <w:vertAlign w:val="superscript"/>
              </w:rPr>
              <w:t>1</w:t>
            </w:r>
            <w:proofErr w:type="gramEnd"/>
          </w:p>
        </w:tc>
      </w:tr>
      <w:tr w:rsidR="00B227DF" w:rsidRPr="00455F25" w14:paraId="32C97ED0" w14:textId="77777777">
        <w:tc>
          <w:tcPr>
            <w:tcW w:w="1334" w:type="pct"/>
            <w:vAlign w:val="center"/>
          </w:tcPr>
          <w:p w14:paraId="0C03C9EE" w14:textId="77777777" w:rsidR="00B227DF" w:rsidRPr="00455F25" w:rsidRDefault="00B227DF">
            <w:pPr>
              <w:pStyle w:val="TableText0"/>
            </w:pPr>
            <w:r w:rsidRPr="00455F25">
              <w:t>Revised patients treated</w:t>
            </w:r>
          </w:p>
        </w:tc>
        <w:tc>
          <w:tcPr>
            <w:tcW w:w="611" w:type="pct"/>
          </w:tcPr>
          <w:p w14:paraId="0866694F" w14:textId="7D779F92" w:rsidR="00B227DF" w:rsidRPr="00455F25" w:rsidRDefault="002D5F61">
            <w:pPr>
              <w:pStyle w:val="TableText0"/>
              <w:jc w:val="center"/>
            </w:pPr>
            <w:r w:rsidRPr="002D5F61">
              <w:rPr>
                <w:rFonts w:hint="eastAsia"/>
                <w:color w:val="000000"/>
                <w:w w:val="17"/>
                <w:shd w:val="solid" w:color="000000" w:fill="000000"/>
                <w:fitText w:val="76" w:id="-663001598"/>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8"/>
                <w14:textFill>
                  <w14:solidFill>
                    <w14:srgbClr w14:val="000000">
                      <w14:alpha w14:val="100000"/>
                    </w14:srgbClr>
                  </w14:solidFill>
                </w14:textFill>
              </w:rPr>
              <w:t>|</w:t>
            </w:r>
            <w:r w:rsidRPr="002D5F61">
              <w:rPr>
                <w:rFonts w:hint="eastAsia"/>
                <w:color w:val="000000"/>
                <w:spacing w:val="3"/>
                <w:w w:val="17"/>
                <w:shd w:val="solid" w:color="000000" w:fill="000000"/>
                <w:fitText w:val="76" w:id="-663001598"/>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5BE2B7DE" w14:textId="464BAC01" w:rsidR="00B227DF" w:rsidRPr="00455F25" w:rsidRDefault="002D5F61">
            <w:pPr>
              <w:pStyle w:val="TableText0"/>
              <w:jc w:val="center"/>
            </w:pPr>
            <w:r w:rsidRPr="002D5F61">
              <w:rPr>
                <w:rFonts w:hint="eastAsia"/>
                <w:color w:val="000000"/>
                <w:w w:val="17"/>
                <w:shd w:val="solid" w:color="000000" w:fill="000000"/>
                <w:fitText w:val="77" w:id="-663001597"/>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97"/>
                <w14:textFill>
                  <w14:solidFill>
                    <w14:srgbClr w14:val="000000">
                      <w14:alpha w14:val="100000"/>
                    </w14:srgbClr>
                  </w14:solidFill>
                </w14:textFill>
              </w:rPr>
              <w:t>|</w:t>
            </w:r>
            <w:r w:rsidRPr="002D5F61">
              <w:rPr>
                <w:rFonts w:hint="eastAsia"/>
                <w:color w:val="000000"/>
                <w:spacing w:val="4"/>
                <w:w w:val="17"/>
                <w:shd w:val="solid" w:color="000000" w:fill="000000"/>
                <w:fitText w:val="77" w:id="-663001597"/>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23B49405" w14:textId="44658FD5" w:rsidR="00B227DF" w:rsidRPr="00455F25" w:rsidRDefault="002D5F61">
            <w:pPr>
              <w:pStyle w:val="TableText0"/>
              <w:jc w:val="center"/>
            </w:pPr>
            <w:r w:rsidRPr="002D5F61">
              <w:rPr>
                <w:rFonts w:hint="eastAsia"/>
                <w:color w:val="000000"/>
                <w:w w:val="17"/>
                <w:shd w:val="solid" w:color="000000" w:fill="000000"/>
                <w:fitText w:val="77" w:id="-663001596"/>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96"/>
                <w14:textFill>
                  <w14:solidFill>
                    <w14:srgbClr w14:val="000000">
                      <w14:alpha w14:val="100000"/>
                    </w14:srgbClr>
                  </w14:solidFill>
                </w14:textFill>
              </w:rPr>
              <w:t>|</w:t>
            </w:r>
            <w:r w:rsidRPr="002D5F61">
              <w:rPr>
                <w:rFonts w:hint="eastAsia"/>
                <w:color w:val="000000"/>
                <w:spacing w:val="4"/>
                <w:w w:val="17"/>
                <w:shd w:val="solid" w:color="000000" w:fill="000000"/>
                <w:fitText w:val="77" w:id="-663001596"/>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619F4B85" w14:textId="13379472" w:rsidR="00B227DF" w:rsidRPr="00455F25" w:rsidRDefault="002D5F61">
            <w:pPr>
              <w:pStyle w:val="TableText0"/>
              <w:jc w:val="center"/>
            </w:pPr>
            <w:r w:rsidRPr="002D5F61">
              <w:rPr>
                <w:rFonts w:hint="eastAsia"/>
                <w:color w:val="000000"/>
                <w:w w:val="17"/>
                <w:shd w:val="solid" w:color="000000" w:fill="000000"/>
                <w:fitText w:val="76" w:id="-663001595"/>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5"/>
                <w14:textFill>
                  <w14:solidFill>
                    <w14:srgbClr w14:val="000000">
                      <w14:alpha w14:val="100000"/>
                    </w14:srgbClr>
                  </w14:solidFill>
                </w14:textFill>
              </w:rPr>
              <w:t>|</w:t>
            </w:r>
            <w:r w:rsidRPr="002D5F61">
              <w:rPr>
                <w:rFonts w:hint="eastAsia"/>
                <w:color w:val="000000"/>
                <w:spacing w:val="3"/>
                <w:w w:val="17"/>
                <w:shd w:val="solid" w:color="000000" w:fill="000000"/>
                <w:fitText w:val="76" w:id="-663001595"/>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37212700" w14:textId="06C3F0F5" w:rsidR="00B227DF" w:rsidRPr="00455F25" w:rsidRDefault="002D5F61">
            <w:pPr>
              <w:pStyle w:val="TableText0"/>
              <w:jc w:val="center"/>
            </w:pPr>
            <w:r w:rsidRPr="002D5F61">
              <w:rPr>
                <w:rFonts w:hint="eastAsia"/>
                <w:color w:val="000000"/>
                <w:w w:val="17"/>
                <w:shd w:val="solid" w:color="000000" w:fill="000000"/>
                <w:fitText w:val="76" w:id="-663001594"/>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4"/>
                <w14:textFill>
                  <w14:solidFill>
                    <w14:srgbClr w14:val="000000">
                      <w14:alpha w14:val="100000"/>
                    </w14:srgbClr>
                  </w14:solidFill>
                </w14:textFill>
              </w:rPr>
              <w:t>|</w:t>
            </w:r>
            <w:r w:rsidRPr="002D5F61">
              <w:rPr>
                <w:rFonts w:hint="eastAsia"/>
                <w:color w:val="000000"/>
                <w:spacing w:val="3"/>
                <w:w w:val="17"/>
                <w:shd w:val="solid" w:color="000000" w:fill="000000"/>
                <w:fitText w:val="76" w:id="-663001594"/>
                <w14:textFill>
                  <w14:solidFill>
                    <w14:srgbClr w14:val="000000">
                      <w14:alpha w14:val="100000"/>
                    </w14:srgbClr>
                  </w14:solidFill>
                </w14:textFill>
              </w:rPr>
              <w:t xml:space="preserve">　</w:t>
            </w:r>
            <w:r w:rsidR="00A43982">
              <w:t xml:space="preserve"> </w:t>
            </w:r>
            <w:r w:rsidR="00A43982">
              <w:rPr>
                <w:vertAlign w:val="superscript"/>
              </w:rPr>
              <w:t>1</w:t>
            </w:r>
            <w:proofErr w:type="gramEnd"/>
          </w:p>
        </w:tc>
        <w:tc>
          <w:tcPr>
            <w:tcW w:w="611" w:type="pct"/>
          </w:tcPr>
          <w:p w14:paraId="0DE2043E" w14:textId="044D6A58" w:rsidR="00B227DF" w:rsidRPr="00455F25" w:rsidRDefault="002D5F61">
            <w:pPr>
              <w:pStyle w:val="TableText0"/>
              <w:jc w:val="center"/>
            </w:pPr>
            <w:r w:rsidRPr="002D5F61">
              <w:rPr>
                <w:rFonts w:hint="eastAsia"/>
                <w:color w:val="000000"/>
                <w:w w:val="17"/>
                <w:shd w:val="solid" w:color="000000" w:fill="000000"/>
                <w:fitText w:val="76" w:id="-663001593"/>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3"/>
                <w14:textFill>
                  <w14:solidFill>
                    <w14:srgbClr w14:val="000000">
                      <w14:alpha w14:val="100000"/>
                    </w14:srgbClr>
                  </w14:solidFill>
                </w14:textFill>
              </w:rPr>
              <w:t>|</w:t>
            </w:r>
            <w:r w:rsidRPr="002D5F61">
              <w:rPr>
                <w:rFonts w:hint="eastAsia"/>
                <w:color w:val="000000"/>
                <w:spacing w:val="3"/>
                <w:w w:val="17"/>
                <w:shd w:val="solid" w:color="000000" w:fill="000000"/>
                <w:fitText w:val="76" w:id="-663001593"/>
                <w14:textFill>
                  <w14:solidFill>
                    <w14:srgbClr w14:val="000000">
                      <w14:alpha w14:val="100000"/>
                    </w14:srgbClr>
                  </w14:solidFill>
                </w14:textFill>
              </w:rPr>
              <w:t xml:space="preserve">　</w:t>
            </w:r>
            <w:r w:rsidR="00A43982">
              <w:t xml:space="preserve"> </w:t>
            </w:r>
            <w:r w:rsidR="00A43982">
              <w:rPr>
                <w:vertAlign w:val="superscript"/>
              </w:rPr>
              <w:t>1</w:t>
            </w:r>
            <w:proofErr w:type="gramEnd"/>
          </w:p>
        </w:tc>
      </w:tr>
      <w:tr w:rsidR="00B227DF" w:rsidRPr="00455F25" w14:paraId="3EF8F5DA" w14:textId="77777777">
        <w:tc>
          <w:tcPr>
            <w:tcW w:w="1334" w:type="pct"/>
            <w:vAlign w:val="center"/>
          </w:tcPr>
          <w:p w14:paraId="7712C58E" w14:textId="77777777" w:rsidR="00B227DF" w:rsidRPr="00455F25" w:rsidRDefault="00B227DF">
            <w:pPr>
              <w:pStyle w:val="TableText0"/>
              <w:rPr>
                <w:rFonts w:ascii="Times" w:hAnsi="Times"/>
              </w:rPr>
            </w:pPr>
            <w:r w:rsidRPr="00455F25">
              <w:t xml:space="preserve">Number of scripts dispensed </w:t>
            </w:r>
            <w:r w:rsidRPr="00455F25">
              <w:rPr>
                <w:vertAlign w:val="superscript"/>
              </w:rPr>
              <w:t>a</w:t>
            </w:r>
          </w:p>
        </w:tc>
        <w:tc>
          <w:tcPr>
            <w:tcW w:w="611" w:type="pct"/>
          </w:tcPr>
          <w:p w14:paraId="2631CA2E" w14:textId="0719BE94" w:rsidR="00B227DF" w:rsidRPr="00455F25" w:rsidRDefault="002D5F61">
            <w:pPr>
              <w:pStyle w:val="TableText0"/>
              <w:jc w:val="center"/>
            </w:pPr>
            <w:r w:rsidRPr="002D5F61">
              <w:rPr>
                <w:rFonts w:hint="eastAsia"/>
                <w:color w:val="000000"/>
                <w:w w:val="17"/>
                <w:shd w:val="solid" w:color="000000" w:fill="000000"/>
                <w:fitText w:val="76" w:id="-663001592"/>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2"/>
                <w14:textFill>
                  <w14:solidFill>
                    <w14:srgbClr w14:val="000000">
                      <w14:alpha w14:val="100000"/>
                    </w14:srgbClr>
                  </w14:solidFill>
                </w14:textFill>
              </w:rPr>
              <w:t>|</w:t>
            </w:r>
            <w:r w:rsidRPr="002D5F61">
              <w:rPr>
                <w:rFonts w:hint="eastAsia"/>
                <w:color w:val="000000"/>
                <w:spacing w:val="3"/>
                <w:w w:val="17"/>
                <w:shd w:val="solid" w:color="000000" w:fill="000000"/>
                <w:fitText w:val="76" w:id="-663001592"/>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5F260846" w14:textId="15D2932B" w:rsidR="00B227DF" w:rsidRPr="00455F25" w:rsidRDefault="002D5F61">
            <w:pPr>
              <w:pStyle w:val="TableText0"/>
              <w:jc w:val="center"/>
            </w:pPr>
            <w:r w:rsidRPr="002D5F61">
              <w:rPr>
                <w:rFonts w:hint="eastAsia"/>
                <w:color w:val="000000"/>
                <w:w w:val="17"/>
                <w:shd w:val="solid" w:color="000000" w:fill="000000"/>
                <w:fitText w:val="77" w:id="-663001591"/>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91"/>
                <w14:textFill>
                  <w14:solidFill>
                    <w14:srgbClr w14:val="000000">
                      <w14:alpha w14:val="100000"/>
                    </w14:srgbClr>
                  </w14:solidFill>
                </w14:textFill>
              </w:rPr>
              <w:t>|</w:t>
            </w:r>
            <w:r w:rsidRPr="002D5F61">
              <w:rPr>
                <w:rFonts w:hint="eastAsia"/>
                <w:color w:val="000000"/>
                <w:spacing w:val="4"/>
                <w:w w:val="17"/>
                <w:shd w:val="solid" w:color="000000" w:fill="000000"/>
                <w:fitText w:val="77" w:id="-663001591"/>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51183CCC" w14:textId="3B5ECC4F" w:rsidR="00B227DF" w:rsidRPr="00455F25" w:rsidRDefault="002D5F61">
            <w:pPr>
              <w:pStyle w:val="TableText0"/>
              <w:jc w:val="center"/>
            </w:pPr>
            <w:r w:rsidRPr="002D5F61">
              <w:rPr>
                <w:rFonts w:hint="eastAsia"/>
                <w:color w:val="000000"/>
                <w:w w:val="17"/>
                <w:shd w:val="solid" w:color="000000" w:fill="000000"/>
                <w:fitText w:val="77" w:id="-663001590"/>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90"/>
                <w14:textFill>
                  <w14:solidFill>
                    <w14:srgbClr w14:val="000000">
                      <w14:alpha w14:val="100000"/>
                    </w14:srgbClr>
                  </w14:solidFill>
                </w14:textFill>
              </w:rPr>
              <w:t>|</w:t>
            </w:r>
            <w:r w:rsidRPr="002D5F61">
              <w:rPr>
                <w:rFonts w:hint="eastAsia"/>
                <w:color w:val="000000"/>
                <w:spacing w:val="4"/>
                <w:w w:val="17"/>
                <w:shd w:val="solid" w:color="000000" w:fill="000000"/>
                <w:fitText w:val="77" w:id="-663001590"/>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29E13002" w14:textId="53707E87" w:rsidR="00B227DF" w:rsidRPr="00455F25" w:rsidRDefault="002D5F61">
            <w:pPr>
              <w:pStyle w:val="TableText0"/>
              <w:jc w:val="center"/>
            </w:pPr>
            <w:r w:rsidRPr="002D5F61">
              <w:rPr>
                <w:rFonts w:hint="eastAsia"/>
                <w:color w:val="000000"/>
                <w:w w:val="17"/>
                <w:shd w:val="solid" w:color="000000" w:fill="000000"/>
                <w:fitText w:val="76" w:id="-663001589"/>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89"/>
                <w14:textFill>
                  <w14:solidFill>
                    <w14:srgbClr w14:val="000000">
                      <w14:alpha w14:val="100000"/>
                    </w14:srgbClr>
                  </w14:solidFill>
                </w14:textFill>
              </w:rPr>
              <w:t>|</w:t>
            </w:r>
            <w:r w:rsidRPr="002D5F61">
              <w:rPr>
                <w:rFonts w:hint="eastAsia"/>
                <w:color w:val="000000"/>
                <w:spacing w:val="3"/>
                <w:w w:val="17"/>
                <w:shd w:val="solid" w:color="000000" w:fill="000000"/>
                <w:fitText w:val="76" w:id="-663001589"/>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3EFB84A8" w14:textId="362033D6" w:rsidR="00B227DF" w:rsidRPr="00455F25" w:rsidRDefault="002D5F61">
            <w:pPr>
              <w:pStyle w:val="TableText0"/>
              <w:jc w:val="center"/>
            </w:pPr>
            <w:r w:rsidRPr="002D5F61">
              <w:rPr>
                <w:rFonts w:hint="eastAsia"/>
                <w:color w:val="000000"/>
                <w:w w:val="17"/>
                <w:shd w:val="solid" w:color="000000" w:fill="000000"/>
                <w:fitText w:val="76" w:id="-663001588"/>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88"/>
                <w14:textFill>
                  <w14:solidFill>
                    <w14:srgbClr w14:val="000000">
                      <w14:alpha w14:val="100000"/>
                    </w14:srgbClr>
                  </w14:solidFill>
                </w14:textFill>
              </w:rPr>
              <w:t>|</w:t>
            </w:r>
            <w:r w:rsidRPr="002D5F61">
              <w:rPr>
                <w:rFonts w:hint="eastAsia"/>
                <w:color w:val="000000"/>
                <w:spacing w:val="3"/>
                <w:w w:val="17"/>
                <w:shd w:val="solid" w:color="000000" w:fill="000000"/>
                <w:fitText w:val="76" w:id="-663001588"/>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521D0941" w14:textId="38F730F0" w:rsidR="00B227DF" w:rsidRPr="00455F25" w:rsidRDefault="002D5F61">
            <w:pPr>
              <w:pStyle w:val="TableText0"/>
              <w:jc w:val="center"/>
            </w:pPr>
            <w:r w:rsidRPr="002D5F61">
              <w:rPr>
                <w:rFonts w:hint="eastAsia"/>
                <w:color w:val="000000"/>
                <w:w w:val="17"/>
                <w:shd w:val="solid" w:color="000000" w:fill="000000"/>
                <w:fitText w:val="76" w:id="-663001587"/>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87"/>
                <w14:textFill>
                  <w14:solidFill>
                    <w14:srgbClr w14:val="000000">
                      <w14:alpha w14:val="100000"/>
                    </w14:srgbClr>
                  </w14:solidFill>
                </w14:textFill>
              </w:rPr>
              <w:t>|</w:t>
            </w:r>
            <w:r w:rsidRPr="002D5F61">
              <w:rPr>
                <w:rFonts w:hint="eastAsia"/>
                <w:color w:val="000000"/>
                <w:spacing w:val="3"/>
                <w:w w:val="17"/>
                <w:shd w:val="solid" w:color="000000" w:fill="000000"/>
                <w:fitText w:val="76" w:id="-663001587"/>
                <w14:textFill>
                  <w14:solidFill>
                    <w14:srgbClr w14:val="000000">
                      <w14:alpha w14:val="100000"/>
                    </w14:srgbClr>
                  </w14:solidFill>
                </w14:textFill>
              </w:rPr>
              <w:t xml:space="preserve">　</w:t>
            </w:r>
            <w:r w:rsidR="00A43982">
              <w:t xml:space="preserve"> </w:t>
            </w:r>
            <w:r w:rsidR="00A43982">
              <w:rPr>
                <w:vertAlign w:val="superscript"/>
              </w:rPr>
              <w:t>2</w:t>
            </w:r>
            <w:proofErr w:type="gramEnd"/>
          </w:p>
        </w:tc>
      </w:tr>
      <w:tr w:rsidR="00B227DF" w:rsidRPr="00455F25" w14:paraId="7C803752" w14:textId="77777777">
        <w:tc>
          <w:tcPr>
            <w:tcW w:w="1334" w:type="pct"/>
            <w:vAlign w:val="center"/>
          </w:tcPr>
          <w:p w14:paraId="6FFC93F8" w14:textId="77777777" w:rsidR="00B227DF" w:rsidRPr="00455F25" w:rsidRDefault="00B227DF">
            <w:pPr>
              <w:pStyle w:val="TableText0"/>
            </w:pPr>
            <w:r w:rsidRPr="00455F25">
              <w:t>Revised scripts dispensed</w:t>
            </w:r>
          </w:p>
        </w:tc>
        <w:tc>
          <w:tcPr>
            <w:tcW w:w="611" w:type="pct"/>
          </w:tcPr>
          <w:p w14:paraId="47C580E3" w14:textId="5365EA69" w:rsidR="00B227DF" w:rsidRPr="00455F25" w:rsidRDefault="002D5F61">
            <w:pPr>
              <w:pStyle w:val="TableText0"/>
              <w:jc w:val="center"/>
            </w:pPr>
            <w:r w:rsidRPr="002D5F61">
              <w:rPr>
                <w:rFonts w:hint="eastAsia"/>
                <w:color w:val="000000"/>
                <w:w w:val="17"/>
                <w:shd w:val="solid" w:color="000000" w:fill="000000"/>
                <w:fitText w:val="76" w:id="-663001586"/>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86"/>
                <w14:textFill>
                  <w14:solidFill>
                    <w14:srgbClr w14:val="000000">
                      <w14:alpha w14:val="100000"/>
                    </w14:srgbClr>
                  </w14:solidFill>
                </w14:textFill>
              </w:rPr>
              <w:t>|</w:t>
            </w:r>
            <w:r w:rsidRPr="002D5F61">
              <w:rPr>
                <w:rFonts w:hint="eastAsia"/>
                <w:color w:val="000000"/>
                <w:spacing w:val="3"/>
                <w:w w:val="17"/>
                <w:shd w:val="solid" w:color="000000" w:fill="000000"/>
                <w:fitText w:val="76" w:id="-663001586"/>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7EEE5E9A" w14:textId="1F328D06" w:rsidR="00B227DF" w:rsidRPr="00455F25" w:rsidRDefault="002D5F61">
            <w:pPr>
              <w:pStyle w:val="TableText0"/>
              <w:jc w:val="center"/>
            </w:pPr>
            <w:r w:rsidRPr="002D5F61">
              <w:rPr>
                <w:rFonts w:hint="eastAsia"/>
                <w:color w:val="000000"/>
                <w:w w:val="17"/>
                <w:shd w:val="solid" w:color="000000" w:fill="000000"/>
                <w:fitText w:val="77" w:id="-663001585"/>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85"/>
                <w14:textFill>
                  <w14:solidFill>
                    <w14:srgbClr w14:val="000000">
                      <w14:alpha w14:val="100000"/>
                    </w14:srgbClr>
                  </w14:solidFill>
                </w14:textFill>
              </w:rPr>
              <w:t>|</w:t>
            </w:r>
            <w:r w:rsidRPr="002D5F61">
              <w:rPr>
                <w:rFonts w:hint="eastAsia"/>
                <w:color w:val="000000"/>
                <w:spacing w:val="4"/>
                <w:w w:val="17"/>
                <w:shd w:val="solid" w:color="000000" w:fill="000000"/>
                <w:fitText w:val="77" w:id="-663001585"/>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19B0277E" w14:textId="685ABCE0" w:rsidR="00B227DF" w:rsidRPr="00455F25" w:rsidRDefault="002D5F61">
            <w:pPr>
              <w:pStyle w:val="TableText0"/>
              <w:jc w:val="center"/>
            </w:pPr>
            <w:r w:rsidRPr="002D5F61">
              <w:rPr>
                <w:rFonts w:hint="eastAsia"/>
                <w:color w:val="000000"/>
                <w:w w:val="17"/>
                <w:shd w:val="solid" w:color="000000" w:fill="000000"/>
                <w:fitText w:val="77" w:id="-663001584"/>
                <w14:textFill>
                  <w14:solidFill>
                    <w14:srgbClr w14:val="000000">
                      <w14:alpha w14:val="100000"/>
                    </w14:srgbClr>
                  </w14:solidFill>
                </w14:textFill>
              </w:rPr>
              <w:t xml:space="preserve">　</w:t>
            </w:r>
            <w:proofErr w:type="gramStart"/>
            <w:r w:rsidRPr="002D5F61">
              <w:rPr>
                <w:color w:val="000000"/>
                <w:w w:val="17"/>
                <w:shd w:val="solid" w:color="000000" w:fill="000000"/>
                <w:fitText w:val="77" w:id="-663001584"/>
                <w14:textFill>
                  <w14:solidFill>
                    <w14:srgbClr w14:val="000000">
                      <w14:alpha w14:val="100000"/>
                    </w14:srgbClr>
                  </w14:solidFill>
                </w14:textFill>
              </w:rPr>
              <w:t>|</w:t>
            </w:r>
            <w:r w:rsidRPr="002D5F61">
              <w:rPr>
                <w:rFonts w:hint="eastAsia"/>
                <w:color w:val="000000"/>
                <w:spacing w:val="4"/>
                <w:w w:val="17"/>
                <w:shd w:val="solid" w:color="000000" w:fill="000000"/>
                <w:fitText w:val="77" w:id="-663001584"/>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15E7D5D5" w14:textId="1ED31BE1" w:rsidR="00B227DF" w:rsidRPr="00455F25" w:rsidRDefault="002D5F61">
            <w:pPr>
              <w:pStyle w:val="TableText0"/>
              <w:jc w:val="center"/>
            </w:pPr>
            <w:r w:rsidRPr="002D5F61">
              <w:rPr>
                <w:rFonts w:hint="eastAsia"/>
                <w:color w:val="000000"/>
                <w:w w:val="17"/>
                <w:shd w:val="solid" w:color="000000" w:fill="000000"/>
                <w:fitText w:val="76" w:id="-663001600"/>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600"/>
                <w14:textFill>
                  <w14:solidFill>
                    <w14:srgbClr w14:val="000000">
                      <w14:alpha w14:val="100000"/>
                    </w14:srgbClr>
                  </w14:solidFill>
                </w14:textFill>
              </w:rPr>
              <w:t>|</w:t>
            </w:r>
            <w:r w:rsidRPr="002D5F61">
              <w:rPr>
                <w:rFonts w:hint="eastAsia"/>
                <w:color w:val="000000"/>
                <w:spacing w:val="3"/>
                <w:w w:val="17"/>
                <w:shd w:val="solid" w:color="000000" w:fill="000000"/>
                <w:fitText w:val="76" w:id="-663001600"/>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7A0303AC" w14:textId="224EC09D" w:rsidR="00B227DF" w:rsidRPr="00455F25" w:rsidRDefault="002D5F61">
            <w:pPr>
              <w:pStyle w:val="TableText0"/>
              <w:jc w:val="center"/>
            </w:pPr>
            <w:r w:rsidRPr="002D5F61">
              <w:rPr>
                <w:rFonts w:hint="eastAsia"/>
                <w:color w:val="000000"/>
                <w:w w:val="17"/>
                <w:shd w:val="solid" w:color="000000" w:fill="000000"/>
                <w:fitText w:val="76" w:id="-663001599"/>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9"/>
                <w14:textFill>
                  <w14:solidFill>
                    <w14:srgbClr w14:val="000000">
                      <w14:alpha w14:val="100000"/>
                    </w14:srgbClr>
                  </w14:solidFill>
                </w14:textFill>
              </w:rPr>
              <w:t>|</w:t>
            </w:r>
            <w:r w:rsidRPr="002D5F61">
              <w:rPr>
                <w:rFonts w:hint="eastAsia"/>
                <w:color w:val="000000"/>
                <w:spacing w:val="3"/>
                <w:w w:val="17"/>
                <w:shd w:val="solid" w:color="000000" w:fill="000000"/>
                <w:fitText w:val="76" w:id="-663001599"/>
                <w14:textFill>
                  <w14:solidFill>
                    <w14:srgbClr w14:val="000000">
                      <w14:alpha w14:val="100000"/>
                    </w14:srgbClr>
                  </w14:solidFill>
                </w14:textFill>
              </w:rPr>
              <w:t xml:space="preserve">　</w:t>
            </w:r>
            <w:r w:rsidR="00A43982">
              <w:t xml:space="preserve"> </w:t>
            </w:r>
            <w:r w:rsidR="00A43982">
              <w:rPr>
                <w:vertAlign w:val="superscript"/>
              </w:rPr>
              <w:t>2</w:t>
            </w:r>
            <w:proofErr w:type="gramEnd"/>
          </w:p>
        </w:tc>
        <w:tc>
          <w:tcPr>
            <w:tcW w:w="611" w:type="pct"/>
          </w:tcPr>
          <w:p w14:paraId="60B0DFA2" w14:textId="53B0D335" w:rsidR="00B227DF" w:rsidRPr="00455F25" w:rsidRDefault="002D5F61">
            <w:pPr>
              <w:pStyle w:val="TableText0"/>
              <w:jc w:val="center"/>
            </w:pPr>
            <w:r w:rsidRPr="002D5F61">
              <w:rPr>
                <w:rFonts w:hint="eastAsia"/>
                <w:color w:val="000000"/>
                <w:w w:val="17"/>
                <w:shd w:val="solid" w:color="000000" w:fill="000000"/>
                <w:fitText w:val="76" w:id="-663001598"/>
                <w14:textFill>
                  <w14:solidFill>
                    <w14:srgbClr w14:val="000000">
                      <w14:alpha w14:val="100000"/>
                    </w14:srgbClr>
                  </w14:solidFill>
                </w14:textFill>
              </w:rPr>
              <w:t xml:space="preserve">　</w:t>
            </w:r>
            <w:proofErr w:type="gramStart"/>
            <w:r w:rsidRPr="002D5F61">
              <w:rPr>
                <w:color w:val="000000"/>
                <w:w w:val="17"/>
                <w:shd w:val="solid" w:color="000000" w:fill="000000"/>
                <w:fitText w:val="76" w:id="-663001598"/>
                <w14:textFill>
                  <w14:solidFill>
                    <w14:srgbClr w14:val="000000">
                      <w14:alpha w14:val="100000"/>
                    </w14:srgbClr>
                  </w14:solidFill>
                </w14:textFill>
              </w:rPr>
              <w:t>|</w:t>
            </w:r>
            <w:r w:rsidRPr="002D5F61">
              <w:rPr>
                <w:rFonts w:hint="eastAsia"/>
                <w:color w:val="000000"/>
                <w:spacing w:val="3"/>
                <w:w w:val="17"/>
                <w:shd w:val="solid" w:color="000000" w:fill="000000"/>
                <w:fitText w:val="76" w:id="-663001598"/>
                <w14:textFill>
                  <w14:solidFill>
                    <w14:srgbClr w14:val="000000">
                      <w14:alpha w14:val="100000"/>
                    </w14:srgbClr>
                  </w14:solidFill>
                </w14:textFill>
              </w:rPr>
              <w:t xml:space="preserve">　</w:t>
            </w:r>
            <w:r w:rsidR="00A43982">
              <w:t xml:space="preserve"> </w:t>
            </w:r>
            <w:r w:rsidR="00A43982">
              <w:rPr>
                <w:vertAlign w:val="superscript"/>
              </w:rPr>
              <w:t>2</w:t>
            </w:r>
            <w:proofErr w:type="gramEnd"/>
          </w:p>
        </w:tc>
      </w:tr>
      <w:tr w:rsidR="00B227DF" w:rsidRPr="00455F25" w14:paraId="22E99F34" w14:textId="77777777">
        <w:tc>
          <w:tcPr>
            <w:tcW w:w="5000" w:type="pct"/>
            <w:gridSpan w:val="7"/>
            <w:vAlign w:val="center"/>
          </w:tcPr>
          <w:p w14:paraId="5DD72D16" w14:textId="4A63D0B1" w:rsidR="00B227DF" w:rsidRPr="00455F25" w:rsidRDefault="00B227DF">
            <w:pPr>
              <w:pStyle w:val="In-tableHeading"/>
              <w:rPr>
                <w:lang w:val="en-AU"/>
              </w:rPr>
            </w:pPr>
            <w:r w:rsidRPr="00455F25">
              <w:rPr>
                <w:lang w:val="en-AU"/>
              </w:rPr>
              <w:t xml:space="preserve">Estimated financial implications of </w:t>
            </w:r>
            <w:r w:rsidR="00A5291E" w:rsidRPr="00455F25">
              <w:rPr>
                <w:lang w:val="en-AU"/>
              </w:rPr>
              <w:t>T-</w:t>
            </w:r>
            <w:proofErr w:type="spellStart"/>
            <w:r w:rsidR="00A5291E" w:rsidRPr="00455F25">
              <w:rPr>
                <w:lang w:val="en-AU"/>
              </w:rPr>
              <w:t>DXd</w:t>
            </w:r>
            <w:proofErr w:type="spellEnd"/>
          </w:p>
        </w:tc>
      </w:tr>
      <w:tr w:rsidR="00B227DF" w:rsidRPr="00455F25" w14:paraId="056B5C40" w14:textId="77777777">
        <w:tc>
          <w:tcPr>
            <w:tcW w:w="1334" w:type="pct"/>
            <w:vAlign w:val="center"/>
          </w:tcPr>
          <w:p w14:paraId="778D4B2E" w14:textId="77777777" w:rsidR="00B227DF" w:rsidRPr="00455F25" w:rsidRDefault="00B227DF">
            <w:pPr>
              <w:pStyle w:val="TableText0"/>
            </w:pPr>
            <w:r w:rsidRPr="00455F25">
              <w:t>PBS/RPBS impact less copayments</w:t>
            </w:r>
          </w:p>
        </w:tc>
        <w:tc>
          <w:tcPr>
            <w:tcW w:w="611" w:type="pct"/>
          </w:tcPr>
          <w:p w14:paraId="028A13E2" w14:textId="7410BC73"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7"/>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7"/>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0629756F" w14:textId="48A8BC9D"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6"/>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6"/>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7F8ADCDE" w14:textId="23E318CC"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5"/>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0D4834AB" w14:textId="3B8BC06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4"/>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26192A69" w14:textId="1F559E1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3"/>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3"/>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3"/>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2E7CD104" w14:textId="5BA585D6"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2"/>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2"/>
                <w14:textFill>
                  <w14:solidFill>
                    <w14:srgbClr w14:val="000000">
                      <w14:alpha w14:val="100000"/>
                    </w14:srgbClr>
                  </w14:solidFill>
                </w14:textFill>
              </w:rPr>
              <w:t>|</w:t>
            </w:r>
            <w:r w:rsidR="002D5F61" w:rsidRPr="002D5F61">
              <w:rPr>
                <w:rFonts w:hint="eastAsia"/>
                <w:color w:val="000000"/>
                <w:w w:val="27"/>
                <w:shd w:val="solid" w:color="000000" w:fill="000000"/>
                <w:fitText w:val="120" w:id="-663001592"/>
                <w14:textFill>
                  <w14:solidFill>
                    <w14:srgbClr w14:val="000000">
                      <w14:alpha w14:val="100000"/>
                    </w14:srgbClr>
                  </w14:solidFill>
                </w14:textFill>
              </w:rPr>
              <w:t xml:space="preserve">　</w:t>
            </w:r>
            <w:r w:rsidR="00A43982">
              <w:t xml:space="preserve"> </w:t>
            </w:r>
            <w:r w:rsidR="00A43982">
              <w:rPr>
                <w:vertAlign w:val="superscript"/>
              </w:rPr>
              <w:t>4</w:t>
            </w:r>
            <w:proofErr w:type="gramEnd"/>
          </w:p>
        </w:tc>
      </w:tr>
      <w:tr w:rsidR="00B227DF" w:rsidRPr="00455F25" w14:paraId="4E342888" w14:textId="77777777">
        <w:tc>
          <w:tcPr>
            <w:tcW w:w="1334" w:type="pct"/>
            <w:vAlign w:val="center"/>
          </w:tcPr>
          <w:p w14:paraId="02BEB5E8" w14:textId="77777777" w:rsidR="00B227DF" w:rsidRPr="00455F25" w:rsidRDefault="00B227DF">
            <w:pPr>
              <w:pStyle w:val="TableText0"/>
            </w:pPr>
            <w:r w:rsidRPr="00455F25">
              <w:t>Revised PBS/RPBS impact less copayments</w:t>
            </w:r>
          </w:p>
        </w:tc>
        <w:tc>
          <w:tcPr>
            <w:tcW w:w="611" w:type="pct"/>
          </w:tcPr>
          <w:p w14:paraId="695530AA" w14:textId="6604D04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1"/>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1"/>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1"/>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0438CA1F" w14:textId="75C4660C"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0"/>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0"/>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0"/>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11AEC202" w14:textId="6D7AC2B3"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9"/>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9"/>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9"/>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785589C9" w14:textId="16E62F02"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8"/>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8"/>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8"/>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0493D3AB" w14:textId="4EA66FBF"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7"/>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7"/>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362BED1C" w14:textId="179BB73E"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6"/>
                <w14:textFill>
                  <w14:solidFill>
                    <w14:srgbClr w14:val="000000">
                      <w14:alpha w14:val="100000"/>
                    </w14:srgbClr>
                  </w14:solidFill>
                </w14:textFill>
              </w:rPr>
              <w:t>|</w:t>
            </w:r>
            <w:r w:rsidR="002D5F61" w:rsidRPr="002D5F61">
              <w:rPr>
                <w:rFonts w:hint="eastAsia"/>
                <w:color w:val="000000"/>
                <w:w w:val="27"/>
                <w:shd w:val="solid" w:color="000000" w:fill="000000"/>
                <w:fitText w:val="120" w:id="-663001586"/>
                <w14:textFill>
                  <w14:solidFill>
                    <w14:srgbClr w14:val="000000">
                      <w14:alpha w14:val="100000"/>
                    </w14:srgbClr>
                  </w14:solidFill>
                </w14:textFill>
              </w:rPr>
              <w:t xml:space="preserve">　</w:t>
            </w:r>
            <w:r w:rsidR="00A43982">
              <w:t xml:space="preserve"> </w:t>
            </w:r>
            <w:r w:rsidR="00A43982">
              <w:rPr>
                <w:vertAlign w:val="superscript"/>
              </w:rPr>
              <w:t>4</w:t>
            </w:r>
            <w:proofErr w:type="gramEnd"/>
          </w:p>
        </w:tc>
      </w:tr>
      <w:tr w:rsidR="00B227DF" w:rsidRPr="00455F25" w14:paraId="27434418" w14:textId="77777777">
        <w:tc>
          <w:tcPr>
            <w:tcW w:w="5000" w:type="pct"/>
            <w:gridSpan w:val="7"/>
            <w:vAlign w:val="center"/>
          </w:tcPr>
          <w:p w14:paraId="4203CFAF" w14:textId="77777777" w:rsidR="00B227DF" w:rsidRPr="00455F25" w:rsidRDefault="00B227DF" w:rsidP="00AD5DC8">
            <w:pPr>
              <w:pStyle w:val="TableText0"/>
              <w:rPr>
                <w:b/>
                <w:bCs w:val="0"/>
              </w:rPr>
            </w:pPr>
            <w:r w:rsidRPr="00455F25">
              <w:rPr>
                <w:b/>
                <w:bCs w:val="0"/>
              </w:rPr>
              <w:t>Estimated financial implications for affected medicines</w:t>
            </w:r>
          </w:p>
        </w:tc>
      </w:tr>
      <w:tr w:rsidR="00B227DF" w:rsidRPr="00455F25" w14:paraId="405DA95B" w14:textId="77777777">
        <w:tc>
          <w:tcPr>
            <w:tcW w:w="1334" w:type="pct"/>
            <w:vAlign w:val="center"/>
          </w:tcPr>
          <w:p w14:paraId="5A980630" w14:textId="77777777" w:rsidR="00B227DF" w:rsidRPr="00455F25" w:rsidRDefault="00B227DF">
            <w:pPr>
              <w:pStyle w:val="TableText0"/>
            </w:pPr>
            <w:r w:rsidRPr="00455F25">
              <w:t>PBS/RPBS impact less copayments</w:t>
            </w:r>
          </w:p>
        </w:tc>
        <w:tc>
          <w:tcPr>
            <w:tcW w:w="611" w:type="pct"/>
          </w:tcPr>
          <w:p w14:paraId="1532457E" w14:textId="190929CE"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5"/>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44A0B562" w14:textId="05095481"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4"/>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645B5CCC" w14:textId="38006AD0"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600"/>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600"/>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600"/>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2003E30A" w14:textId="1CB6243D"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9"/>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9"/>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9"/>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5029C3CF" w14:textId="33409F53"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8"/>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8"/>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8"/>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6D49B97C" w14:textId="5CD3CFDE"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7"/>
                <w14:textFill>
                  <w14:solidFill>
                    <w14:srgbClr w14:val="000000">
                      <w14:alpha w14:val="100000"/>
                    </w14:srgbClr>
                  </w14:solidFill>
                </w14:textFill>
              </w:rPr>
              <w:t>|</w:t>
            </w:r>
            <w:r w:rsidR="002D5F61" w:rsidRPr="002D5F61">
              <w:rPr>
                <w:rFonts w:hint="eastAsia"/>
                <w:color w:val="000000"/>
                <w:w w:val="27"/>
                <w:shd w:val="solid" w:color="000000" w:fill="000000"/>
                <w:fitText w:val="120" w:id="-663001597"/>
                <w14:textFill>
                  <w14:solidFill>
                    <w14:srgbClr w14:val="000000">
                      <w14:alpha w14:val="100000"/>
                    </w14:srgbClr>
                  </w14:solidFill>
                </w14:textFill>
              </w:rPr>
              <w:t xml:space="preserve">　</w:t>
            </w:r>
            <w:r w:rsidR="00A43982">
              <w:t xml:space="preserve"> </w:t>
            </w:r>
            <w:r w:rsidR="00A43982">
              <w:rPr>
                <w:vertAlign w:val="superscript"/>
              </w:rPr>
              <w:t>3</w:t>
            </w:r>
            <w:proofErr w:type="gramEnd"/>
          </w:p>
        </w:tc>
      </w:tr>
      <w:tr w:rsidR="00B227DF" w:rsidRPr="00455F25" w14:paraId="42E54F51" w14:textId="77777777">
        <w:tc>
          <w:tcPr>
            <w:tcW w:w="1334" w:type="pct"/>
            <w:vAlign w:val="center"/>
          </w:tcPr>
          <w:p w14:paraId="6436E3B2" w14:textId="77777777" w:rsidR="00B227DF" w:rsidRPr="00455F25" w:rsidRDefault="00B227DF">
            <w:pPr>
              <w:pStyle w:val="TableText0"/>
            </w:pPr>
            <w:r w:rsidRPr="00455F25">
              <w:t>Revised PBS/RPBS impact less copayments</w:t>
            </w:r>
          </w:p>
        </w:tc>
        <w:tc>
          <w:tcPr>
            <w:tcW w:w="611" w:type="pct"/>
          </w:tcPr>
          <w:p w14:paraId="28CA0320" w14:textId="51FDC84F"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6"/>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6"/>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68E6A5D5" w14:textId="392F5EB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5"/>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7374D9F5" w14:textId="4D7C18B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4"/>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64DA7653" w14:textId="358318C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3"/>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3"/>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3"/>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2BFA44C4" w14:textId="706A1612"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2"/>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2"/>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2"/>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3B2CDB49" w14:textId="4EA7617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1"/>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1"/>
                <w14:textFill>
                  <w14:solidFill>
                    <w14:srgbClr w14:val="000000">
                      <w14:alpha w14:val="100000"/>
                    </w14:srgbClr>
                  </w14:solidFill>
                </w14:textFill>
              </w:rPr>
              <w:t>|</w:t>
            </w:r>
            <w:r w:rsidR="002D5F61" w:rsidRPr="002D5F61">
              <w:rPr>
                <w:rFonts w:hint="eastAsia"/>
                <w:color w:val="000000"/>
                <w:w w:val="27"/>
                <w:shd w:val="solid" w:color="000000" w:fill="000000"/>
                <w:fitText w:val="120" w:id="-663001591"/>
                <w14:textFill>
                  <w14:solidFill>
                    <w14:srgbClr w14:val="000000">
                      <w14:alpha w14:val="100000"/>
                    </w14:srgbClr>
                  </w14:solidFill>
                </w14:textFill>
              </w:rPr>
              <w:t xml:space="preserve">　</w:t>
            </w:r>
            <w:r w:rsidR="00A43982">
              <w:t xml:space="preserve"> </w:t>
            </w:r>
            <w:r w:rsidR="00A43982">
              <w:rPr>
                <w:vertAlign w:val="superscript"/>
              </w:rPr>
              <w:t>3</w:t>
            </w:r>
            <w:proofErr w:type="gramEnd"/>
          </w:p>
        </w:tc>
      </w:tr>
      <w:tr w:rsidR="00B227DF" w:rsidRPr="00455F25" w14:paraId="6DA934C2" w14:textId="77777777">
        <w:tc>
          <w:tcPr>
            <w:tcW w:w="5000" w:type="pct"/>
            <w:gridSpan w:val="7"/>
            <w:vAlign w:val="center"/>
          </w:tcPr>
          <w:p w14:paraId="7220C16C" w14:textId="77777777" w:rsidR="00B227DF" w:rsidRPr="00455F25" w:rsidRDefault="00B227DF">
            <w:pPr>
              <w:pStyle w:val="In-tableHeading"/>
              <w:rPr>
                <w:lang w:val="en-AU"/>
              </w:rPr>
            </w:pPr>
            <w:r w:rsidRPr="00455F25">
              <w:rPr>
                <w:lang w:val="en-AU"/>
              </w:rPr>
              <w:t>Net financial implications</w:t>
            </w:r>
          </w:p>
        </w:tc>
      </w:tr>
      <w:tr w:rsidR="00B227DF" w:rsidRPr="00455F25" w14:paraId="146B1BD4" w14:textId="77777777">
        <w:tc>
          <w:tcPr>
            <w:tcW w:w="1334" w:type="pct"/>
            <w:vAlign w:val="center"/>
          </w:tcPr>
          <w:p w14:paraId="0F59DF4E" w14:textId="77777777" w:rsidR="00B227DF" w:rsidRPr="00455F25" w:rsidRDefault="00B227DF">
            <w:pPr>
              <w:pStyle w:val="TableText0"/>
            </w:pPr>
            <w:r w:rsidRPr="00455F25">
              <w:t>Net cost to PBS/RPBS</w:t>
            </w:r>
          </w:p>
        </w:tc>
        <w:tc>
          <w:tcPr>
            <w:tcW w:w="611" w:type="pct"/>
          </w:tcPr>
          <w:p w14:paraId="05D86B50" w14:textId="504598E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0"/>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0"/>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0"/>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5A998379" w14:textId="2C558C8C"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9"/>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9"/>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9"/>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E55A7A0" w14:textId="09D3D4FB"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8"/>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8"/>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8"/>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70C89D4" w14:textId="253A7922"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7"/>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7"/>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71068A6" w14:textId="2F30F465"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6"/>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6"/>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5B8B91F4" w14:textId="45FD0CDE"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5"/>
                <w14:textFill>
                  <w14:solidFill>
                    <w14:srgbClr w14:val="000000">
                      <w14:alpha w14:val="100000"/>
                    </w14:srgbClr>
                  </w14:solidFill>
                </w14:textFill>
              </w:rPr>
              <w:t>|</w:t>
            </w:r>
            <w:r w:rsidR="002D5F61" w:rsidRPr="002D5F61">
              <w:rPr>
                <w:rFonts w:hint="eastAsia"/>
                <w:color w:val="000000"/>
                <w:w w:val="27"/>
                <w:shd w:val="solid" w:color="000000" w:fill="000000"/>
                <w:fitText w:val="120" w:id="-66300158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r>
      <w:tr w:rsidR="00B227DF" w:rsidRPr="00455F25" w14:paraId="7D69A3F5" w14:textId="77777777">
        <w:tc>
          <w:tcPr>
            <w:tcW w:w="1334" w:type="pct"/>
            <w:vAlign w:val="center"/>
          </w:tcPr>
          <w:p w14:paraId="6C1753DA" w14:textId="77777777" w:rsidR="00B227DF" w:rsidRPr="00455F25" w:rsidRDefault="00B227DF">
            <w:pPr>
              <w:pStyle w:val="TableText0"/>
            </w:pPr>
            <w:r w:rsidRPr="00455F25">
              <w:t>Revised PBS/RPBS</w:t>
            </w:r>
          </w:p>
        </w:tc>
        <w:tc>
          <w:tcPr>
            <w:tcW w:w="611" w:type="pct"/>
          </w:tcPr>
          <w:p w14:paraId="55F8C91B" w14:textId="6239DCA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4"/>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447F4D7" w14:textId="614BE83E"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600"/>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600"/>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600"/>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1788A264" w14:textId="7055B4A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9"/>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9"/>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9"/>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6FCA9856" w14:textId="511C24DF"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8"/>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8"/>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8"/>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A431C6B" w14:textId="0FE077A0"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7"/>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7"/>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0BA61468" w14:textId="3ABF9C5B"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6"/>
                <w14:textFill>
                  <w14:solidFill>
                    <w14:srgbClr w14:val="000000">
                      <w14:alpha w14:val="100000"/>
                    </w14:srgbClr>
                  </w14:solidFill>
                </w14:textFill>
              </w:rPr>
              <w:t>|</w:t>
            </w:r>
            <w:r w:rsidR="002D5F61" w:rsidRPr="002D5F61">
              <w:rPr>
                <w:rFonts w:hint="eastAsia"/>
                <w:color w:val="000000"/>
                <w:w w:val="27"/>
                <w:shd w:val="solid" w:color="000000" w:fill="000000"/>
                <w:fitText w:val="120" w:id="-663001596"/>
                <w14:textFill>
                  <w14:solidFill>
                    <w14:srgbClr w14:val="000000">
                      <w14:alpha w14:val="100000"/>
                    </w14:srgbClr>
                  </w14:solidFill>
                </w14:textFill>
              </w:rPr>
              <w:t xml:space="preserve">　</w:t>
            </w:r>
            <w:r w:rsidR="00A43982">
              <w:t xml:space="preserve"> </w:t>
            </w:r>
            <w:r w:rsidR="00A43982">
              <w:rPr>
                <w:vertAlign w:val="superscript"/>
              </w:rPr>
              <w:t>4</w:t>
            </w:r>
            <w:proofErr w:type="gramEnd"/>
          </w:p>
        </w:tc>
      </w:tr>
      <w:tr w:rsidR="00B227DF" w:rsidRPr="00455F25" w14:paraId="4799E7B3" w14:textId="77777777">
        <w:tc>
          <w:tcPr>
            <w:tcW w:w="1334" w:type="pct"/>
            <w:vAlign w:val="center"/>
          </w:tcPr>
          <w:p w14:paraId="58C3E776" w14:textId="77777777" w:rsidR="00B227DF" w:rsidRPr="00455F25" w:rsidRDefault="00B227DF">
            <w:pPr>
              <w:pStyle w:val="TableText0"/>
              <w:rPr>
                <w:rFonts w:ascii="Times" w:hAnsi="Times"/>
              </w:rPr>
            </w:pPr>
            <w:r w:rsidRPr="00455F25">
              <w:t>Net cost to MBS</w:t>
            </w:r>
          </w:p>
        </w:tc>
        <w:tc>
          <w:tcPr>
            <w:tcW w:w="611" w:type="pct"/>
          </w:tcPr>
          <w:p w14:paraId="6E9384A3" w14:textId="2B846AE3"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5"/>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2C545B33" w14:textId="49F62D0B"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4"/>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3B3B8247" w14:textId="69F10F62"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3"/>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3"/>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3"/>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7501B3F5" w14:textId="21D75CC3"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2"/>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2"/>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2"/>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5D61B9DC" w14:textId="06DBF02C"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1"/>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1"/>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1"/>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09241081" w14:textId="1238AD05"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0"/>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0"/>
                <w14:textFill>
                  <w14:solidFill>
                    <w14:srgbClr w14:val="000000">
                      <w14:alpha w14:val="100000"/>
                    </w14:srgbClr>
                  </w14:solidFill>
                </w14:textFill>
              </w:rPr>
              <w:t>|</w:t>
            </w:r>
            <w:r w:rsidR="002D5F61" w:rsidRPr="002D5F61">
              <w:rPr>
                <w:rFonts w:hint="eastAsia"/>
                <w:color w:val="000000"/>
                <w:w w:val="27"/>
                <w:shd w:val="solid" w:color="000000" w:fill="000000"/>
                <w:fitText w:val="120" w:id="-663001590"/>
                <w14:textFill>
                  <w14:solidFill>
                    <w14:srgbClr w14:val="000000">
                      <w14:alpha w14:val="100000"/>
                    </w14:srgbClr>
                  </w14:solidFill>
                </w14:textFill>
              </w:rPr>
              <w:t xml:space="preserve">　</w:t>
            </w:r>
            <w:r w:rsidR="00A43982">
              <w:t xml:space="preserve"> </w:t>
            </w:r>
            <w:r w:rsidR="00A43982">
              <w:rPr>
                <w:vertAlign w:val="superscript"/>
              </w:rPr>
              <w:t>3</w:t>
            </w:r>
            <w:proofErr w:type="gramEnd"/>
          </w:p>
        </w:tc>
      </w:tr>
      <w:tr w:rsidR="00B227DF" w:rsidRPr="00455F25" w14:paraId="1D5D65FD" w14:textId="77777777">
        <w:tc>
          <w:tcPr>
            <w:tcW w:w="1334" w:type="pct"/>
            <w:vAlign w:val="center"/>
          </w:tcPr>
          <w:p w14:paraId="765A98C3" w14:textId="77777777" w:rsidR="00B227DF" w:rsidRPr="00455F25" w:rsidRDefault="00B227DF">
            <w:pPr>
              <w:pStyle w:val="TableText0"/>
            </w:pPr>
            <w:r w:rsidRPr="00455F25">
              <w:t>Revised MBS</w:t>
            </w:r>
          </w:p>
        </w:tc>
        <w:tc>
          <w:tcPr>
            <w:tcW w:w="611" w:type="pct"/>
          </w:tcPr>
          <w:p w14:paraId="0CA36FC6" w14:textId="264D8E67"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9"/>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9"/>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9"/>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7503A703" w14:textId="15507E22"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8"/>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8"/>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8"/>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282B251D" w14:textId="74ED486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7"/>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7"/>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1A3B894D" w14:textId="20A93D5E"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6"/>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6"/>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790F188D" w14:textId="75BDD640"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5"/>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8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532DC14C" w14:textId="1999B99C"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8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84"/>
                <w14:textFill>
                  <w14:solidFill>
                    <w14:srgbClr w14:val="000000">
                      <w14:alpha w14:val="100000"/>
                    </w14:srgbClr>
                  </w14:solidFill>
                </w14:textFill>
              </w:rPr>
              <w:t>|</w:t>
            </w:r>
            <w:r w:rsidR="002D5F61" w:rsidRPr="002D5F61">
              <w:rPr>
                <w:rFonts w:hint="eastAsia"/>
                <w:color w:val="000000"/>
                <w:w w:val="27"/>
                <w:shd w:val="solid" w:color="000000" w:fill="000000"/>
                <w:fitText w:val="120" w:id="-663001584"/>
                <w14:textFill>
                  <w14:solidFill>
                    <w14:srgbClr w14:val="000000">
                      <w14:alpha w14:val="100000"/>
                    </w14:srgbClr>
                  </w14:solidFill>
                </w14:textFill>
              </w:rPr>
              <w:t xml:space="preserve">　</w:t>
            </w:r>
            <w:r w:rsidR="00A43982">
              <w:t xml:space="preserve"> </w:t>
            </w:r>
            <w:r w:rsidR="00A43982">
              <w:rPr>
                <w:vertAlign w:val="superscript"/>
              </w:rPr>
              <w:t>3</w:t>
            </w:r>
            <w:proofErr w:type="gramEnd"/>
          </w:p>
        </w:tc>
      </w:tr>
      <w:tr w:rsidR="00B227DF" w:rsidRPr="00455F25" w14:paraId="30EEEB9E" w14:textId="77777777">
        <w:tc>
          <w:tcPr>
            <w:tcW w:w="1334" w:type="pct"/>
            <w:vAlign w:val="center"/>
          </w:tcPr>
          <w:p w14:paraId="231E6B89" w14:textId="77777777" w:rsidR="00B227DF" w:rsidRPr="00455F25" w:rsidRDefault="00B227DF">
            <w:pPr>
              <w:pStyle w:val="TableText0"/>
            </w:pPr>
            <w:r w:rsidRPr="00455F25">
              <w:t>Net cost to PBS/RPBS/MBS</w:t>
            </w:r>
          </w:p>
        </w:tc>
        <w:tc>
          <w:tcPr>
            <w:tcW w:w="611" w:type="pct"/>
          </w:tcPr>
          <w:p w14:paraId="61102B54" w14:textId="153A3E46"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600"/>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600"/>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600"/>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45B1713" w14:textId="7FB959F6"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9"/>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9"/>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9"/>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7590FA68" w14:textId="03A2C8C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8"/>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8"/>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8"/>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55E3650F" w14:textId="779C7177"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7"/>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7"/>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7"/>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0FA8E544" w14:textId="62C8D359"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6"/>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6"/>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6"/>
                <w14:textFill>
                  <w14:solidFill>
                    <w14:srgbClr w14:val="000000">
                      <w14:alpha w14:val="100000"/>
                    </w14:srgbClr>
                  </w14:solidFill>
                </w14:textFill>
              </w:rPr>
              <w:t xml:space="preserve">　</w:t>
            </w:r>
            <w:r w:rsidR="00A43982">
              <w:t xml:space="preserve"> </w:t>
            </w:r>
            <w:r w:rsidR="00A43982">
              <w:rPr>
                <w:vertAlign w:val="superscript"/>
              </w:rPr>
              <w:t>3</w:t>
            </w:r>
            <w:proofErr w:type="gramEnd"/>
          </w:p>
        </w:tc>
        <w:tc>
          <w:tcPr>
            <w:tcW w:w="611" w:type="pct"/>
          </w:tcPr>
          <w:p w14:paraId="5D701BFF" w14:textId="16101DDA"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5"/>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5"/>
                <w14:textFill>
                  <w14:solidFill>
                    <w14:srgbClr w14:val="000000">
                      <w14:alpha w14:val="100000"/>
                    </w14:srgbClr>
                  </w14:solidFill>
                </w14:textFill>
              </w:rPr>
              <w:t>|</w:t>
            </w:r>
            <w:r w:rsidR="002D5F61" w:rsidRPr="002D5F61">
              <w:rPr>
                <w:rFonts w:hint="eastAsia"/>
                <w:color w:val="000000"/>
                <w:w w:val="27"/>
                <w:shd w:val="solid" w:color="000000" w:fill="000000"/>
                <w:fitText w:val="120" w:id="-663001595"/>
                <w14:textFill>
                  <w14:solidFill>
                    <w14:srgbClr w14:val="000000">
                      <w14:alpha w14:val="100000"/>
                    </w14:srgbClr>
                  </w14:solidFill>
                </w14:textFill>
              </w:rPr>
              <w:t xml:space="preserve">　</w:t>
            </w:r>
            <w:r w:rsidR="00A43982">
              <w:t xml:space="preserve"> </w:t>
            </w:r>
            <w:r w:rsidR="00A43982">
              <w:rPr>
                <w:vertAlign w:val="superscript"/>
              </w:rPr>
              <w:t>3</w:t>
            </w:r>
            <w:proofErr w:type="gramEnd"/>
          </w:p>
        </w:tc>
      </w:tr>
      <w:tr w:rsidR="00B227DF" w:rsidRPr="00455F25" w14:paraId="05D2438B" w14:textId="77777777">
        <w:tc>
          <w:tcPr>
            <w:tcW w:w="1334" w:type="pct"/>
            <w:vAlign w:val="center"/>
          </w:tcPr>
          <w:p w14:paraId="58D1C80A" w14:textId="77777777" w:rsidR="00B227DF" w:rsidRPr="00455F25" w:rsidRDefault="00B227DF">
            <w:pPr>
              <w:pStyle w:val="TableText0"/>
            </w:pPr>
            <w:r w:rsidRPr="00455F25">
              <w:t>Revised PBS/RPBS/MBS</w:t>
            </w:r>
          </w:p>
        </w:tc>
        <w:tc>
          <w:tcPr>
            <w:tcW w:w="611" w:type="pct"/>
          </w:tcPr>
          <w:p w14:paraId="02F417F4" w14:textId="2B0D1F73"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4"/>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6947A9D4" w14:textId="177B5148"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3"/>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3"/>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3"/>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7D4B2113" w14:textId="773097F8"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592"/>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592"/>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592"/>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640DECC" w14:textId="06112406"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344"/>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344"/>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344"/>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41B00C8E" w14:textId="5B8AE7DF" w:rsidR="00B227DF" w:rsidRPr="00455F25" w:rsidRDefault="00B227DF">
            <w:pPr>
              <w:pStyle w:val="TableText0"/>
              <w:jc w:val="center"/>
            </w:pPr>
            <w:r w:rsidRPr="00455F25">
              <w:t>$</w:t>
            </w:r>
            <w:r w:rsidR="002D5F61" w:rsidRPr="002D5F61">
              <w:rPr>
                <w:rFonts w:hint="eastAsia"/>
                <w:color w:val="000000"/>
                <w:w w:val="27"/>
                <w:shd w:val="solid" w:color="000000" w:fill="000000"/>
                <w:fitText w:val="120" w:id="-663001343"/>
                <w14:textFill>
                  <w14:solidFill>
                    <w14:srgbClr w14:val="000000">
                      <w14:alpha w14:val="100000"/>
                    </w14:srgbClr>
                  </w14:solidFill>
                </w14:textFill>
              </w:rPr>
              <w:t xml:space="preserve">　</w:t>
            </w:r>
            <w:proofErr w:type="gramStart"/>
            <w:r w:rsidR="002D5F61" w:rsidRPr="002D5F61">
              <w:rPr>
                <w:color w:val="000000"/>
                <w:w w:val="27"/>
                <w:shd w:val="solid" w:color="000000" w:fill="000000"/>
                <w:fitText w:val="120" w:id="-663001343"/>
                <w14:textFill>
                  <w14:solidFill>
                    <w14:srgbClr w14:val="000000">
                      <w14:alpha w14:val="100000"/>
                    </w14:srgbClr>
                  </w14:solidFill>
                </w14:textFill>
              </w:rPr>
              <w:t>|</w:t>
            </w:r>
            <w:r w:rsidR="002D5F61" w:rsidRPr="002D5F61">
              <w:rPr>
                <w:rFonts w:hint="eastAsia"/>
                <w:color w:val="000000"/>
                <w:spacing w:val="2"/>
                <w:w w:val="27"/>
                <w:shd w:val="solid" w:color="000000" w:fill="000000"/>
                <w:fitText w:val="120" w:id="-663001343"/>
                <w14:textFill>
                  <w14:solidFill>
                    <w14:srgbClr w14:val="000000">
                      <w14:alpha w14:val="100000"/>
                    </w14:srgbClr>
                  </w14:solidFill>
                </w14:textFill>
              </w:rPr>
              <w:t xml:space="preserve">　</w:t>
            </w:r>
            <w:r w:rsidR="00A43982">
              <w:t xml:space="preserve"> </w:t>
            </w:r>
            <w:r w:rsidR="00A43982">
              <w:rPr>
                <w:vertAlign w:val="superscript"/>
              </w:rPr>
              <w:t>4</w:t>
            </w:r>
            <w:proofErr w:type="gramEnd"/>
          </w:p>
        </w:tc>
        <w:tc>
          <w:tcPr>
            <w:tcW w:w="611" w:type="pct"/>
          </w:tcPr>
          <w:p w14:paraId="19DE7243" w14:textId="4F004410" w:rsidR="00B227DF" w:rsidRPr="00455F25" w:rsidRDefault="00B227DF">
            <w:pPr>
              <w:pStyle w:val="TableText0"/>
              <w:jc w:val="center"/>
            </w:pPr>
            <w:r w:rsidRPr="00455F25">
              <w:t>$</w:t>
            </w:r>
            <w:r w:rsidR="002D5F61" w:rsidRPr="008C2019">
              <w:rPr>
                <w:rFonts w:hint="eastAsia"/>
                <w:color w:val="000000"/>
                <w:w w:val="27"/>
                <w:shd w:val="solid" w:color="000000" w:fill="000000"/>
                <w:fitText w:val="120" w:id="-663001342"/>
                <w14:textFill>
                  <w14:solidFill>
                    <w14:srgbClr w14:val="000000">
                      <w14:alpha w14:val="100000"/>
                    </w14:srgbClr>
                  </w14:solidFill>
                </w14:textFill>
              </w:rPr>
              <w:t xml:space="preserve">　</w:t>
            </w:r>
            <w:proofErr w:type="gramStart"/>
            <w:r w:rsidR="002D5F61" w:rsidRPr="008C2019">
              <w:rPr>
                <w:color w:val="000000"/>
                <w:w w:val="27"/>
                <w:shd w:val="solid" w:color="000000" w:fill="000000"/>
                <w:fitText w:val="120" w:id="-663001342"/>
                <w14:textFill>
                  <w14:solidFill>
                    <w14:srgbClr w14:val="000000">
                      <w14:alpha w14:val="100000"/>
                    </w14:srgbClr>
                  </w14:solidFill>
                </w14:textFill>
              </w:rPr>
              <w:t>|</w:t>
            </w:r>
            <w:r w:rsidR="002D5F61" w:rsidRPr="008C2019">
              <w:rPr>
                <w:rFonts w:hint="eastAsia"/>
                <w:color w:val="000000"/>
                <w:spacing w:val="2"/>
                <w:w w:val="27"/>
                <w:shd w:val="solid" w:color="000000" w:fill="000000"/>
                <w:fitText w:val="120" w:id="-663001342"/>
                <w14:textFill>
                  <w14:solidFill>
                    <w14:srgbClr w14:val="000000">
                      <w14:alpha w14:val="100000"/>
                    </w14:srgbClr>
                  </w14:solidFill>
                </w14:textFill>
              </w:rPr>
              <w:t xml:space="preserve">　</w:t>
            </w:r>
            <w:r w:rsidR="00A43982">
              <w:t xml:space="preserve"> </w:t>
            </w:r>
            <w:r w:rsidR="00A43982">
              <w:rPr>
                <w:vertAlign w:val="superscript"/>
              </w:rPr>
              <w:t>4</w:t>
            </w:r>
            <w:proofErr w:type="gramEnd"/>
          </w:p>
        </w:tc>
      </w:tr>
    </w:tbl>
    <w:p w14:paraId="36A88761" w14:textId="6F5003B4" w:rsidR="005F782D" w:rsidRPr="00455F25" w:rsidRDefault="00C02DCB" w:rsidP="00A43982">
      <w:pPr>
        <w:pStyle w:val="TableFigureFooter"/>
        <w:jc w:val="both"/>
      </w:pPr>
      <w:r w:rsidRPr="00455F25">
        <w:t>Source: Submission workbook, worksheet 5</w:t>
      </w:r>
      <w:r w:rsidR="00341861" w:rsidRPr="00455F25">
        <w:t xml:space="preserve">, with revisions prepared during evaluation (see paragraph </w:t>
      </w:r>
      <w:r w:rsidR="00341861" w:rsidRPr="00455F25">
        <w:fldChar w:fldCharType="begin"/>
      </w:r>
      <w:r w:rsidR="00341861" w:rsidRPr="00455F25">
        <w:instrText xml:space="preserve"> REF _Ref193228425 \r \h </w:instrText>
      </w:r>
      <w:r w:rsidR="00455F25" w:rsidRPr="00455F25">
        <w:instrText xml:space="preserve"> \* MERGEFORMAT </w:instrText>
      </w:r>
      <w:r w:rsidR="00341861" w:rsidRPr="00455F25">
        <w:fldChar w:fldCharType="separate"/>
      </w:r>
      <w:r w:rsidR="00593619">
        <w:t>6.62</w:t>
      </w:r>
      <w:r w:rsidR="00341861" w:rsidRPr="00455F25">
        <w:fldChar w:fldCharType="end"/>
      </w:r>
      <w:r w:rsidR="00341861" w:rsidRPr="00455F25">
        <w:t>)</w:t>
      </w:r>
    </w:p>
    <w:p w14:paraId="6E75DEBF" w14:textId="196068D2" w:rsidR="00B227DF" w:rsidRPr="00455F25" w:rsidRDefault="00B227DF" w:rsidP="00A43982">
      <w:pPr>
        <w:pStyle w:val="TableFigureFooter"/>
        <w:jc w:val="both"/>
      </w:pPr>
      <w:r w:rsidRPr="00455F25">
        <w:t xml:space="preserve">MBS = Medicare Benefits Schedule; PBS = Pharmaceutical Benefits Scheme; RPBS = Repatriation Pharmaceutical Benefits Scheme; </w:t>
      </w:r>
      <w:r w:rsidR="00A5291E" w:rsidRPr="00455F25">
        <w:t>T-</w:t>
      </w:r>
      <w:proofErr w:type="spellStart"/>
      <w:r w:rsidR="00A5291E" w:rsidRPr="00455F25">
        <w:t>DXd</w:t>
      </w:r>
      <w:proofErr w:type="spellEnd"/>
      <w:r w:rsidRPr="00455F25">
        <w:t xml:space="preserve"> = trastuzumab </w:t>
      </w:r>
      <w:proofErr w:type="spellStart"/>
      <w:r w:rsidRPr="00455F25">
        <w:t>deruxtecan</w:t>
      </w:r>
      <w:proofErr w:type="spellEnd"/>
    </w:p>
    <w:p w14:paraId="3AEF2884" w14:textId="77777777" w:rsidR="00B227DF" w:rsidRDefault="00B227DF" w:rsidP="00A43982">
      <w:pPr>
        <w:pStyle w:val="TableFigureFooter"/>
        <w:jc w:val="both"/>
      </w:pPr>
      <w:proofErr w:type="gramStart"/>
      <w:r w:rsidRPr="00455F25">
        <w:rPr>
          <w:vertAlign w:val="superscript"/>
        </w:rPr>
        <w:t>a</w:t>
      </w:r>
      <w:proofErr w:type="gramEnd"/>
      <w:r w:rsidRPr="00455F25">
        <w:t xml:space="preserve"> Assuming 9.7 per year for initiating patients and 4.9 per year for grandfathered patients and 92.5% compliance as estimated by the submission.</w:t>
      </w:r>
    </w:p>
    <w:p w14:paraId="6CF6D269" w14:textId="77777777" w:rsidR="002B0E6F" w:rsidRPr="009A6D58" w:rsidRDefault="002B0E6F" w:rsidP="002B0E6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3F2EEF8" w14:textId="377ED641" w:rsidR="002B0E6F" w:rsidRPr="009A6D58" w:rsidRDefault="002B0E6F" w:rsidP="002B0E6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29C67E6E" w14:textId="242C3A5F" w:rsidR="002B0E6F" w:rsidRPr="009A6D58" w:rsidRDefault="002B0E6F" w:rsidP="002B0E6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3EED0FBD" w14:textId="3FB4EFA3" w:rsidR="002B0E6F" w:rsidRDefault="002B0E6F" w:rsidP="002B0E6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40484" w:rsidRPr="00240484">
        <w:rPr>
          <w:rFonts w:ascii="Arial Narrow" w:hAnsi="Arial Narrow"/>
          <w:i/>
          <w:sz w:val="18"/>
          <w:szCs w:val="18"/>
        </w:rPr>
        <w:t>$0 to &lt; $10 million</w:t>
      </w:r>
    </w:p>
    <w:p w14:paraId="4A74A00A" w14:textId="63C3DB6F" w:rsidR="002B0E6F" w:rsidRPr="002B0E6F" w:rsidRDefault="002B0E6F" w:rsidP="002B0E6F">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AF5C86" w:rsidRPr="00AF5C86">
        <w:rPr>
          <w:rFonts w:ascii="Arial Narrow" w:hAnsi="Arial Narrow"/>
          <w:i/>
          <w:sz w:val="18"/>
          <w:szCs w:val="18"/>
        </w:rPr>
        <w:t>$10 million to &lt; $20 million</w:t>
      </w:r>
    </w:p>
    <w:p w14:paraId="03F235C9" w14:textId="469A2453" w:rsidR="00B227DF" w:rsidRPr="00455F25" w:rsidRDefault="00B227DF" w:rsidP="00B227DF">
      <w:pPr>
        <w:pStyle w:val="3-BodyText"/>
      </w:pPr>
      <w:r w:rsidRPr="00455F25">
        <w:t xml:space="preserve">The total cost to the PBS/RPBS of listing </w:t>
      </w:r>
      <w:r w:rsidR="00A5291E" w:rsidRPr="00455F25">
        <w:t>T-</w:t>
      </w:r>
      <w:proofErr w:type="spellStart"/>
      <w:r w:rsidR="00A5291E" w:rsidRPr="00455F25">
        <w:t>DXd</w:t>
      </w:r>
      <w:proofErr w:type="spellEnd"/>
      <w:r w:rsidRPr="00455F25">
        <w:t xml:space="preserve"> was estimated to be </w:t>
      </w:r>
      <w:r w:rsidR="00AF5C86" w:rsidRPr="00AF5C86">
        <w:t>$10 million to &lt; $20 million</w:t>
      </w:r>
      <w:r w:rsidR="00AF5C86" w:rsidRPr="00AF5C86" w:rsidDel="00AF5C86">
        <w:t xml:space="preserve"> </w:t>
      </w:r>
      <w:r w:rsidRPr="00455F25">
        <w:t xml:space="preserve">in Year 6, and a total of </w:t>
      </w:r>
      <w:r w:rsidR="00921F10" w:rsidRPr="00921F10">
        <w:t>$60 million to &lt; $70 million</w:t>
      </w:r>
      <w:r w:rsidRPr="00455F25">
        <w:t xml:space="preserve"> in the first 6 years of listing</w:t>
      </w:r>
      <w:r w:rsidR="00341861" w:rsidRPr="00455F25">
        <w:t xml:space="preserve"> (after correction by evaluators).</w:t>
      </w:r>
    </w:p>
    <w:p w14:paraId="7E060DB9" w14:textId="1BBB43FC" w:rsidR="00B227DF" w:rsidRPr="00455F25" w:rsidRDefault="00B227DF" w:rsidP="00B227DF">
      <w:pPr>
        <w:pStyle w:val="3-BodyText"/>
      </w:pPr>
      <w:r w:rsidRPr="00455F25">
        <w:t>The estimates are impacted by a range of issues</w:t>
      </w:r>
      <w:r w:rsidR="0042137B">
        <w:t>, some of which</w:t>
      </w:r>
      <w:r w:rsidR="001826E3">
        <w:t xml:space="preserve"> </w:t>
      </w:r>
      <w:r w:rsidRPr="00455F25">
        <w:t xml:space="preserve">increase </w:t>
      </w:r>
      <w:r w:rsidR="0042137B">
        <w:t>the overall cost and some of which</w:t>
      </w:r>
      <w:r w:rsidRPr="00455F25">
        <w:t xml:space="preserve"> decrease the overall cost of listing </w:t>
      </w:r>
      <w:r w:rsidR="00A5291E" w:rsidRPr="00455F25">
        <w:t>T-</w:t>
      </w:r>
      <w:proofErr w:type="spellStart"/>
      <w:r w:rsidR="00A5291E" w:rsidRPr="00455F25">
        <w:t>DXd</w:t>
      </w:r>
      <w:proofErr w:type="spellEnd"/>
      <w:r w:rsidRPr="00455F25">
        <w:t xml:space="preserve">. When taken in aggregate, the </w:t>
      </w:r>
      <w:r w:rsidR="00341861" w:rsidRPr="00455F25">
        <w:t xml:space="preserve">evaluation considered the likely </w:t>
      </w:r>
      <w:r w:rsidRPr="00455F25">
        <w:t>impact is to increase the cost of listing for the PBS/RPBS and MBS.</w:t>
      </w:r>
    </w:p>
    <w:p w14:paraId="2091C516" w14:textId="515E971F" w:rsidR="00B227DF" w:rsidRPr="00455F25" w:rsidRDefault="00FA24BC">
      <w:pPr>
        <w:pStyle w:val="3-BodyText"/>
      </w:pPr>
      <w:r>
        <w:t>Regarding the number of initiating scrips for 1L trastuzumab, u</w:t>
      </w:r>
      <w:r w:rsidR="00B227DF" w:rsidRPr="00455F25">
        <w:t xml:space="preserve">sing the full year of data </w:t>
      </w:r>
      <w:r w:rsidR="003E63EB">
        <w:t xml:space="preserve">for 2024 </w:t>
      </w:r>
      <w:r w:rsidR="00B227DF" w:rsidRPr="00455F25">
        <w:t>rather than extrapolating from the first eight months increases the number of incident patients</w:t>
      </w:r>
      <w:r w:rsidR="005A444F">
        <w:t xml:space="preserve"> (as shown in </w:t>
      </w:r>
      <w:r w:rsidR="005A444F">
        <w:fldChar w:fldCharType="begin"/>
      </w:r>
      <w:r w:rsidR="005A444F">
        <w:instrText xml:space="preserve"> REF _Ref193228315 \h </w:instrText>
      </w:r>
      <w:r w:rsidR="005A444F">
        <w:fldChar w:fldCharType="separate"/>
      </w:r>
      <w:r w:rsidR="00593619" w:rsidRPr="00455F25">
        <w:t xml:space="preserve">Table </w:t>
      </w:r>
      <w:r w:rsidR="00593619">
        <w:rPr>
          <w:noProof/>
        </w:rPr>
        <w:t>15</w:t>
      </w:r>
      <w:r w:rsidR="005A444F">
        <w:fldChar w:fldCharType="end"/>
      </w:r>
      <w:r w:rsidR="005A444F">
        <w:t>)</w:t>
      </w:r>
      <w:r w:rsidR="00B227DF" w:rsidRPr="00455F25">
        <w:t>. The submission also assume</w:t>
      </w:r>
      <w:r w:rsidR="003E63EB">
        <w:t>d</w:t>
      </w:r>
      <w:r w:rsidR="00B227DF" w:rsidRPr="00455F25">
        <w:t xml:space="preserve"> that there is a one-to-one relationship between trastuzumab scripts and patients</w:t>
      </w:r>
      <w:r w:rsidR="005A444F">
        <w:t>, however</w:t>
      </w:r>
      <w:r w:rsidR="00B227DF" w:rsidRPr="00455F25">
        <w:t xml:space="preserve"> review of the script level data indicated that this is not a valid assumption and adjusting for this will decrease the patient population.</w:t>
      </w:r>
      <w:r w:rsidR="00471EE9">
        <w:t xml:space="preserve"> </w:t>
      </w:r>
      <w:bookmarkStart w:id="71" w:name="_Ref199415715"/>
      <w:r w:rsidR="00B227DF" w:rsidRPr="00455F25">
        <w:t xml:space="preserve">The derivation of the prevalent patients </w:t>
      </w:r>
      <w:r w:rsidR="00D8551A">
        <w:t>wa</w:t>
      </w:r>
      <w:r w:rsidR="00B227DF" w:rsidRPr="00455F25">
        <w:t xml:space="preserve">s </w:t>
      </w:r>
      <w:r w:rsidR="00DE39E6">
        <w:t>calculated based on</w:t>
      </w:r>
      <w:r w:rsidR="00DE39E6" w:rsidRPr="00455F25">
        <w:t xml:space="preserve"> </w:t>
      </w:r>
      <w:r w:rsidR="00B227DF" w:rsidRPr="00455F25">
        <w:t>from the 2024 incident patient population</w:t>
      </w:r>
      <w:r w:rsidR="005520AE">
        <w:t xml:space="preserve"> and is therefore</w:t>
      </w:r>
      <w:r w:rsidR="00B227DF" w:rsidRPr="00455F25">
        <w:t xml:space="preserve"> affected by the increase in incident patients. The </w:t>
      </w:r>
      <w:r w:rsidR="00314AF8">
        <w:t xml:space="preserve">approach to calculation of the </w:t>
      </w:r>
      <w:r w:rsidR="00314AF8">
        <w:lastRenderedPageBreak/>
        <w:t>number of</w:t>
      </w:r>
      <w:r w:rsidR="00B227DF" w:rsidRPr="00455F25">
        <w:t xml:space="preserve"> prevalent patients </w:t>
      </w:r>
      <w:r w:rsidR="00314AF8">
        <w:t xml:space="preserve">was also uncertain and </w:t>
      </w:r>
      <w:r w:rsidR="00FB4383">
        <w:t xml:space="preserve">is </w:t>
      </w:r>
      <w:r w:rsidR="00FB0943">
        <w:t xml:space="preserve">likely to be underestimated due to the application of </w:t>
      </w:r>
      <w:r w:rsidR="00FB4383">
        <w:t>both uptake and life expectancy</w:t>
      </w:r>
      <w:r w:rsidR="00BE3D91">
        <w:t>.</w:t>
      </w:r>
      <w:bookmarkEnd w:id="71"/>
    </w:p>
    <w:p w14:paraId="13429557" w14:textId="4A379D70" w:rsidR="00B227DF" w:rsidRPr="00455F25" w:rsidRDefault="00B227DF" w:rsidP="00B227DF">
      <w:pPr>
        <w:pStyle w:val="3-BodyText"/>
      </w:pPr>
      <w:bookmarkStart w:id="72" w:name="_Ref199415755"/>
      <w:r w:rsidRPr="00455F25">
        <w:t xml:space="preserve">The submission presented the duration of therapy for </w:t>
      </w:r>
      <w:r w:rsidR="00A5291E" w:rsidRPr="00455F25">
        <w:t>T-</w:t>
      </w:r>
      <w:proofErr w:type="spellStart"/>
      <w:r w:rsidR="00A5291E" w:rsidRPr="00455F25">
        <w:t>DXd</w:t>
      </w:r>
      <w:proofErr w:type="spellEnd"/>
      <w:r w:rsidRPr="00455F25">
        <w:t xml:space="preserve"> as 29.1 weeks</w:t>
      </w:r>
      <w:r w:rsidR="00336E4D">
        <w:t xml:space="preserve"> (6.69</w:t>
      </w:r>
      <w:r w:rsidR="00510731">
        <w:t> </w:t>
      </w:r>
      <w:r w:rsidR="00336E4D">
        <w:t>months)</w:t>
      </w:r>
      <w:r w:rsidRPr="00455F25">
        <w:t xml:space="preserve">. The evaluation of the economic model identified that the duration of treatment for patients receiving </w:t>
      </w:r>
      <w:r w:rsidR="00A5291E" w:rsidRPr="00455F25">
        <w:t>T-</w:t>
      </w:r>
      <w:proofErr w:type="spellStart"/>
      <w:r w:rsidR="00A5291E" w:rsidRPr="00455F25">
        <w:t>DXd</w:t>
      </w:r>
      <w:proofErr w:type="spellEnd"/>
      <w:r w:rsidRPr="00455F25">
        <w:t xml:space="preserve"> should have been 32.45 weeks</w:t>
      </w:r>
      <w:r w:rsidR="0052381F">
        <w:t xml:space="preserve"> (7.</w:t>
      </w:r>
      <w:r w:rsidR="00510731">
        <w:t>5 </w:t>
      </w:r>
      <w:r w:rsidR="0052381F">
        <w:t xml:space="preserve">months) with extrapolation of </w:t>
      </w:r>
      <w:proofErr w:type="spellStart"/>
      <w:r w:rsidR="0052381F">
        <w:t>ToT</w:t>
      </w:r>
      <w:proofErr w:type="spellEnd"/>
      <w:r w:rsidR="0052381F">
        <w:t xml:space="preserve"> applied</w:t>
      </w:r>
      <w:r w:rsidRPr="00455F25">
        <w:t>. This under</w:t>
      </w:r>
      <w:r w:rsidR="006E0D6E" w:rsidRPr="00455F25">
        <w:t>e</w:t>
      </w:r>
      <w:r w:rsidRPr="00455F25">
        <w:t>st</w:t>
      </w:r>
      <w:r w:rsidR="006E0D6E" w:rsidRPr="00455F25">
        <w:t>im</w:t>
      </w:r>
      <w:r w:rsidRPr="00455F25">
        <w:t xml:space="preserve">ates the impact of listing </w:t>
      </w:r>
      <w:r w:rsidR="00A5291E" w:rsidRPr="00455F25">
        <w:t>T-</w:t>
      </w:r>
      <w:proofErr w:type="spellStart"/>
      <w:r w:rsidR="00A5291E" w:rsidRPr="00455F25">
        <w:t>DXd</w:t>
      </w:r>
      <w:proofErr w:type="spellEnd"/>
      <w:r w:rsidRPr="00455F25">
        <w:t>.</w:t>
      </w:r>
      <w:bookmarkEnd w:id="72"/>
    </w:p>
    <w:p w14:paraId="7C67F4DB" w14:textId="1145BF57" w:rsidR="00B227DF" w:rsidRPr="00455F25" w:rsidRDefault="00B227DF" w:rsidP="00B227DF">
      <w:pPr>
        <w:pStyle w:val="3-BodyText"/>
      </w:pPr>
      <w:bookmarkStart w:id="73" w:name="_Ref199415786"/>
      <w:r w:rsidRPr="00455F25">
        <w:t>The submission has applied the</w:t>
      </w:r>
      <w:r w:rsidR="00C63DFB">
        <w:t xml:space="preserve"> median</w:t>
      </w:r>
      <w:r w:rsidRPr="00455F25">
        <w:t xml:space="preserve"> relative dose intensity (RDI) from the clinical trial as a compliance rate to both the proposed and affected medicines. This is inappropriate as the RDI changes neither the duration of therapy nor the number of scripts dispensed. This under</w:t>
      </w:r>
      <w:r w:rsidR="00542561" w:rsidRPr="00455F25">
        <w:t>e</w:t>
      </w:r>
      <w:r w:rsidRPr="00455F25">
        <w:t>st</w:t>
      </w:r>
      <w:r w:rsidR="00542561" w:rsidRPr="00455F25">
        <w:t>im</w:t>
      </w:r>
      <w:r w:rsidRPr="00455F25">
        <w:t xml:space="preserve">ates the number of scripts required for both </w:t>
      </w:r>
      <w:r w:rsidR="00A5291E" w:rsidRPr="00455F25">
        <w:t>T-</w:t>
      </w:r>
      <w:proofErr w:type="spellStart"/>
      <w:r w:rsidR="00A5291E" w:rsidRPr="00455F25">
        <w:t>DXd</w:t>
      </w:r>
      <w:proofErr w:type="spellEnd"/>
      <w:r w:rsidRPr="00455F25">
        <w:t xml:space="preserve"> and the affected medicines.</w:t>
      </w:r>
      <w:bookmarkEnd w:id="73"/>
    </w:p>
    <w:p w14:paraId="3B2975FC" w14:textId="188E3D55" w:rsidR="00B227DF" w:rsidRPr="00455F25" w:rsidRDefault="00B227DF" w:rsidP="00B227DF">
      <w:pPr>
        <w:pStyle w:val="3-BodyText"/>
      </w:pPr>
      <w:bookmarkStart w:id="74" w:name="_Ref199415835"/>
      <w:r w:rsidRPr="00455F25">
        <w:t>The submission presented irinotecan, paclitaxel, docetaxel and FOLFIRI as the affected medicines. An arithmetic</w:t>
      </w:r>
      <w:r w:rsidR="008A16C7">
        <w:t>al</w:t>
      </w:r>
      <w:r w:rsidRPr="00455F25">
        <w:t xml:space="preserve"> error was introduced into the derivation of the scripts required for the FOLFIRI component that resulted in a significant underestimate of the number of scripts. This under</w:t>
      </w:r>
      <w:r w:rsidR="00542561" w:rsidRPr="00455F25">
        <w:t>e</w:t>
      </w:r>
      <w:r w:rsidRPr="00455F25">
        <w:t>st</w:t>
      </w:r>
      <w:r w:rsidR="00542561" w:rsidRPr="00455F25">
        <w:t>im</w:t>
      </w:r>
      <w:r w:rsidRPr="00455F25">
        <w:t>ates the impact of the offset medicines.</w:t>
      </w:r>
      <w:bookmarkEnd w:id="74"/>
    </w:p>
    <w:p w14:paraId="40A02B46" w14:textId="5988C99C" w:rsidR="00B227DF" w:rsidRDefault="00B227DF" w:rsidP="00B227DF">
      <w:pPr>
        <w:pStyle w:val="3-BodyText"/>
      </w:pPr>
      <w:bookmarkStart w:id="75" w:name="_Ref199415838"/>
      <w:r w:rsidRPr="00455F25">
        <w:t>The submission considered the affected medicines were dispensed at the maximum amount, rather than applying the adjusted doses that were seen in the clinical trial. This over</w:t>
      </w:r>
      <w:r w:rsidR="00542561" w:rsidRPr="00455F25">
        <w:t>e</w:t>
      </w:r>
      <w:r w:rsidRPr="00455F25">
        <w:t>st</w:t>
      </w:r>
      <w:r w:rsidR="00542561" w:rsidRPr="00455F25">
        <w:t>im</w:t>
      </w:r>
      <w:r w:rsidRPr="00455F25">
        <w:t>ates the impact of the offset medicines.</w:t>
      </w:r>
      <w:bookmarkEnd w:id="75"/>
    </w:p>
    <w:p w14:paraId="449E2E44" w14:textId="5FD9A2B8" w:rsidR="000E2320" w:rsidRPr="00E55A74" w:rsidRDefault="00D55562">
      <w:pPr>
        <w:pStyle w:val="3-BodyText"/>
        <w:rPr>
          <w:iCs/>
        </w:rPr>
      </w:pPr>
      <w:r w:rsidRPr="00E55A74">
        <w:rPr>
          <w:iCs/>
        </w:rPr>
        <w:t>The PSCR noted the commentary correctly identified some errors in costs relating to treatment cost of</w:t>
      </w:r>
      <w:r w:rsidR="0046389B" w:rsidRPr="00E55A74">
        <w:rPr>
          <w:iCs/>
        </w:rPr>
        <w:t>f</w:t>
      </w:r>
      <w:r w:rsidRPr="00E55A74">
        <w:rPr>
          <w:iCs/>
        </w:rPr>
        <w:t>sets and MBS items</w:t>
      </w:r>
      <w:r w:rsidR="00E96342" w:rsidRPr="00E55A74">
        <w:rPr>
          <w:iCs/>
        </w:rPr>
        <w:t xml:space="preserve"> but did not provide a corrected </w:t>
      </w:r>
      <w:r w:rsidR="005721FF" w:rsidRPr="00E55A74">
        <w:rPr>
          <w:iCs/>
        </w:rPr>
        <w:t>financial</w:t>
      </w:r>
      <w:r w:rsidR="00E96342" w:rsidRPr="00E55A74">
        <w:rPr>
          <w:iCs/>
        </w:rPr>
        <w:t xml:space="preserve"> model</w:t>
      </w:r>
      <w:r w:rsidRPr="00E55A74">
        <w:rPr>
          <w:iCs/>
        </w:rPr>
        <w:t xml:space="preserve">. The PSCR argued the impact of these discrepancies is relatively small. </w:t>
      </w:r>
      <w:r w:rsidR="000E2320" w:rsidRPr="00E55A74">
        <w:rPr>
          <w:iCs/>
        </w:rPr>
        <w:t>The PSCR did not address the concerns raised by the evaluation regarding the estimated number of T-</w:t>
      </w:r>
      <w:proofErr w:type="spellStart"/>
      <w:r w:rsidR="000E2320" w:rsidRPr="00E55A74">
        <w:rPr>
          <w:iCs/>
        </w:rPr>
        <w:t>DXd</w:t>
      </w:r>
      <w:proofErr w:type="spellEnd"/>
      <w:r w:rsidR="000E2320" w:rsidRPr="00E55A74">
        <w:rPr>
          <w:iCs/>
        </w:rPr>
        <w:t xml:space="preserve"> scripts.</w:t>
      </w:r>
      <w:r w:rsidR="0030071A">
        <w:rPr>
          <w:iCs/>
        </w:rPr>
        <w:t xml:space="preserve"> The pre-PBAC response proposed </w:t>
      </w:r>
      <w:r w:rsidR="00AB658A">
        <w:rPr>
          <w:iCs/>
        </w:rPr>
        <w:t>reducing</w:t>
      </w:r>
      <w:r w:rsidR="0044227C">
        <w:rPr>
          <w:iCs/>
        </w:rPr>
        <w:t xml:space="preserve"> the number of vials to 4 and </w:t>
      </w:r>
      <w:r w:rsidR="00AB658A">
        <w:rPr>
          <w:iCs/>
        </w:rPr>
        <w:t xml:space="preserve">revising </w:t>
      </w:r>
      <w:r w:rsidR="0044227C">
        <w:rPr>
          <w:iCs/>
        </w:rPr>
        <w:t xml:space="preserve">the treatment duration to reflect the trial duration (without extrapolation), consistent with the </w:t>
      </w:r>
      <w:r w:rsidR="005D1D97">
        <w:rPr>
          <w:iCs/>
        </w:rPr>
        <w:t>pre-PBSC proposed economic model.</w:t>
      </w:r>
    </w:p>
    <w:p w14:paraId="43078C50" w14:textId="529FB8F0" w:rsidR="00C2072E" w:rsidRPr="00C2072E" w:rsidRDefault="00B227DF" w:rsidP="002B518A">
      <w:pPr>
        <w:pStyle w:val="3-BodyText"/>
      </w:pPr>
      <w:r w:rsidRPr="00455F25">
        <w:t xml:space="preserve">The submission includes a provision for </w:t>
      </w:r>
      <w:r w:rsidR="006E6388">
        <w:t>&lt; 500</w:t>
      </w:r>
      <w:r w:rsidR="006E6388" w:rsidRPr="00455F25">
        <w:t xml:space="preserve"> </w:t>
      </w:r>
      <w:r w:rsidRPr="00455F25">
        <w:t xml:space="preserve">grandfathered patients. These patients are assumed to participate in the sponsor’s Co-pay Access Program that will commence in Q1 of 2025. This number </w:t>
      </w:r>
      <w:r w:rsidR="00D02280">
        <w:t>wa</w:t>
      </w:r>
      <w:r w:rsidRPr="00455F25">
        <w:t>s an assumption and based on a program that ha</w:t>
      </w:r>
      <w:r w:rsidR="0015721A">
        <w:t>d</w:t>
      </w:r>
      <w:r w:rsidRPr="00455F25">
        <w:t xml:space="preserve"> not commenced (at the time of submission).</w:t>
      </w:r>
    </w:p>
    <w:p w14:paraId="6B8508BF" w14:textId="77777777" w:rsidR="000448DF" w:rsidRPr="002B518A" w:rsidRDefault="000448DF" w:rsidP="000448DF">
      <w:pPr>
        <w:pStyle w:val="3-BodyText"/>
      </w:pPr>
      <w:r w:rsidRPr="002B518A">
        <w:t>Consistent with the proposed respecified base case for the CUA in this pre-PBAC response, two further changes have been made to the evaluator’s financial estimates:</w:t>
      </w:r>
    </w:p>
    <w:p w14:paraId="69AD71DC" w14:textId="77777777" w:rsidR="000448DF" w:rsidRPr="002B518A" w:rsidRDefault="000448DF" w:rsidP="000448DF">
      <w:pPr>
        <w:pStyle w:val="3-BodyText"/>
        <w:numPr>
          <w:ilvl w:val="0"/>
          <w:numId w:val="16"/>
        </w:numPr>
      </w:pPr>
      <w:r w:rsidRPr="002B518A">
        <w:t>Average of 4 vials per infusion (instead of 5 vials)</w:t>
      </w:r>
    </w:p>
    <w:p w14:paraId="3DF5E31B" w14:textId="77777777" w:rsidR="000448DF" w:rsidRPr="00455F25" w:rsidRDefault="000448DF" w:rsidP="000448DF">
      <w:pPr>
        <w:pStyle w:val="3-BodyText"/>
        <w:numPr>
          <w:ilvl w:val="0"/>
          <w:numId w:val="16"/>
        </w:numPr>
      </w:pPr>
      <w:proofErr w:type="spellStart"/>
      <w:r w:rsidRPr="002B518A">
        <w:t>ToT</w:t>
      </w:r>
      <w:proofErr w:type="spellEnd"/>
      <w:r w:rsidRPr="002B518A">
        <w:t xml:space="preserve"> </w:t>
      </w:r>
      <w:proofErr w:type="gramStart"/>
      <w:r w:rsidRPr="002B518A">
        <w:t>reverted back</w:t>
      </w:r>
      <w:proofErr w:type="gramEnd"/>
      <w:r w:rsidRPr="002B518A">
        <w:t xml:space="preserve"> to reflect the trial period only (not extrapolated).</w:t>
      </w:r>
    </w:p>
    <w:p w14:paraId="65933197" w14:textId="022C9B4C" w:rsidR="007B0DE2" w:rsidRPr="001114EE" w:rsidRDefault="00E4372C" w:rsidP="00E4372C">
      <w:pPr>
        <w:pStyle w:val="4-SubsectionHeading"/>
      </w:pPr>
      <w:bookmarkStart w:id="76" w:name="_Toc22897649"/>
      <w:bookmarkStart w:id="77" w:name="_Toc193112866"/>
      <w:r w:rsidRPr="001114EE">
        <w:t>Financial Management – Risk Sharing Arrangements</w:t>
      </w:r>
      <w:bookmarkEnd w:id="76"/>
      <w:bookmarkEnd w:id="77"/>
    </w:p>
    <w:p w14:paraId="0438BC8B" w14:textId="08D13CC9" w:rsidR="00281139" w:rsidRDefault="00281139" w:rsidP="00B227DF">
      <w:pPr>
        <w:pStyle w:val="3-BodyText"/>
      </w:pPr>
      <w:r>
        <w:t xml:space="preserve">The </w:t>
      </w:r>
      <w:proofErr w:type="gramStart"/>
      <w:r>
        <w:t>Pre-PBAC</w:t>
      </w:r>
      <w:proofErr w:type="gramEnd"/>
      <w:r>
        <w:t xml:space="preserve"> response </w:t>
      </w:r>
      <w:r w:rsidR="00B9473A">
        <w:t xml:space="preserve">indicated that the sponsor </w:t>
      </w:r>
      <w:r w:rsidR="00C772CD">
        <w:t>was open to consider a</w:t>
      </w:r>
      <w:r w:rsidR="00F73047">
        <w:t xml:space="preserve"> Risk-Sharing Arrangement</w:t>
      </w:r>
      <w:r w:rsidR="00C772CD">
        <w:t xml:space="preserve"> </w:t>
      </w:r>
      <w:r w:rsidR="00F73047">
        <w:t>(</w:t>
      </w:r>
      <w:r w:rsidR="00C772CD">
        <w:t>RSA</w:t>
      </w:r>
      <w:r w:rsidR="00F73047">
        <w:t>)</w:t>
      </w:r>
      <w:r w:rsidR="00C772CD">
        <w:t xml:space="preserve"> to mitigate any remaining uncertainties in the </w:t>
      </w:r>
      <w:r w:rsidR="00D74D62">
        <w:t xml:space="preserve">estimate </w:t>
      </w:r>
      <w:r w:rsidR="00FF03E9">
        <w:t>o</w:t>
      </w:r>
      <w:r w:rsidR="0015721A">
        <w:t>f</w:t>
      </w:r>
      <w:r w:rsidR="00FF03E9">
        <w:t xml:space="preserve"> the average number of vials per patient.</w:t>
      </w:r>
    </w:p>
    <w:p w14:paraId="7C27A4CC" w14:textId="77777777" w:rsidR="00B227DF" w:rsidRPr="00A5291E" w:rsidRDefault="00B227DF" w:rsidP="00B227DF">
      <w:pPr>
        <w:pStyle w:val="4-SubsectionHeading"/>
      </w:pPr>
      <w:bookmarkStart w:id="78" w:name="_Toc22897648"/>
      <w:bookmarkStart w:id="79" w:name="_Toc187227431"/>
      <w:bookmarkStart w:id="80" w:name="_Toc193454324"/>
      <w:r w:rsidRPr="00A5291E">
        <w:lastRenderedPageBreak/>
        <w:t>Quality Use of Medicines</w:t>
      </w:r>
      <w:bookmarkEnd w:id="78"/>
      <w:bookmarkEnd w:id="79"/>
      <w:bookmarkEnd w:id="80"/>
    </w:p>
    <w:p w14:paraId="17EA0E6A" w14:textId="33A2E4EB" w:rsidR="00B227DF" w:rsidRPr="00A5291E" w:rsidRDefault="00B227DF" w:rsidP="00B227DF">
      <w:pPr>
        <w:pStyle w:val="3-BodyText"/>
      </w:pPr>
      <w:r w:rsidRPr="00A5291E">
        <w:t xml:space="preserve">The submission proposed clinician education/training meeting in the use of </w:t>
      </w:r>
      <w:r w:rsidR="00A5291E">
        <w:t>T-</w:t>
      </w:r>
      <w:proofErr w:type="spellStart"/>
      <w:r w:rsidR="00A5291E">
        <w:t>DXd</w:t>
      </w:r>
      <w:proofErr w:type="spellEnd"/>
      <w:r w:rsidRPr="00A5291E">
        <w:t xml:space="preserve"> in the gastric setting. Monitoring will also ensure that adverse event information will be shared with the sponsor’s pharmacovigilance team.</w:t>
      </w:r>
    </w:p>
    <w:bookmarkEnd w:id="68"/>
    <w:p w14:paraId="1D82E8A3" w14:textId="5A28033F" w:rsidR="00D67502" w:rsidRPr="00D67502" w:rsidRDefault="0003327F" w:rsidP="00D67502">
      <w:pPr>
        <w:ind w:firstLine="709"/>
        <w:rPr>
          <w:rFonts w:asciiTheme="minorHAnsi" w:hAnsiTheme="minorHAnsi"/>
          <w:i/>
        </w:rPr>
      </w:pPr>
      <w:r w:rsidRPr="00C33D30">
        <w:rPr>
          <w:rFonts w:asciiTheme="minorHAnsi" w:hAnsiTheme="minorHAnsi"/>
          <w:i/>
        </w:rPr>
        <w:t>For more detail on PBAC’s view, see section 7 PBAC outcome.</w:t>
      </w:r>
    </w:p>
    <w:p w14:paraId="42237774" w14:textId="77777777" w:rsidR="00D67502" w:rsidRPr="0090150D" w:rsidRDefault="00D67502" w:rsidP="00D67502">
      <w:pPr>
        <w:pStyle w:val="2-SectionHeading"/>
      </w:pPr>
      <w:bookmarkStart w:id="81" w:name="_Hlk76381249"/>
      <w:r w:rsidRPr="0090150D">
        <w:t>PBAC Outcome</w:t>
      </w:r>
    </w:p>
    <w:p w14:paraId="23CF5CCB" w14:textId="1F653455" w:rsidR="00734272" w:rsidRDefault="000633E7" w:rsidP="00EE27EC">
      <w:pPr>
        <w:widowControl w:val="0"/>
        <w:numPr>
          <w:ilvl w:val="1"/>
          <w:numId w:val="5"/>
        </w:numPr>
        <w:spacing w:after="120"/>
      </w:pPr>
      <w:r>
        <w:rPr>
          <w:rFonts w:asciiTheme="minorHAnsi" w:hAnsiTheme="minorHAnsi"/>
          <w:snapToGrid w:val="0"/>
          <w:lang w:val="en-GB"/>
        </w:rPr>
        <w:t xml:space="preserve">The PBAC deferred making a recommendation for trastuzumab </w:t>
      </w:r>
      <w:proofErr w:type="spellStart"/>
      <w:r>
        <w:rPr>
          <w:rFonts w:asciiTheme="minorHAnsi" w:hAnsiTheme="minorHAnsi"/>
          <w:snapToGrid w:val="0"/>
          <w:lang w:val="en-GB"/>
        </w:rPr>
        <w:t>deruxtecan</w:t>
      </w:r>
      <w:proofErr w:type="spellEnd"/>
      <w:r w:rsidR="00421528">
        <w:rPr>
          <w:rFonts w:asciiTheme="minorHAnsi" w:hAnsiTheme="minorHAnsi"/>
          <w:snapToGrid w:val="0"/>
          <w:lang w:val="en-GB"/>
        </w:rPr>
        <w:t xml:space="preserve"> (T-</w:t>
      </w:r>
      <w:proofErr w:type="spellStart"/>
      <w:r w:rsidR="00421528">
        <w:rPr>
          <w:rFonts w:asciiTheme="minorHAnsi" w:hAnsiTheme="minorHAnsi"/>
          <w:snapToGrid w:val="0"/>
          <w:lang w:val="en-GB"/>
        </w:rPr>
        <w:t>DXd</w:t>
      </w:r>
      <w:proofErr w:type="spellEnd"/>
      <w:r>
        <w:rPr>
          <w:rFonts w:asciiTheme="minorHAnsi" w:hAnsiTheme="minorHAnsi"/>
          <w:snapToGrid w:val="0"/>
          <w:lang w:val="en-GB"/>
        </w:rPr>
        <w:t xml:space="preserve"> for </w:t>
      </w:r>
      <w:r w:rsidRPr="0021594E">
        <w:t xml:space="preserve">treatment of metastatic human epidermal growth factor receptor 2-positive (HER2+) </w:t>
      </w:r>
      <w:r>
        <w:t>g</w:t>
      </w:r>
      <w:r w:rsidRPr="0021594E">
        <w:t>astric or gastroesophageal junction (G/GOJ) cancer following trastuzumab therapy</w:t>
      </w:r>
      <w:r>
        <w:t xml:space="preserve"> to allow for further </w:t>
      </w:r>
      <w:r w:rsidR="00421528">
        <w:t xml:space="preserve">consultation with the sponsor regarding </w:t>
      </w:r>
      <w:r w:rsidR="00AC3F1B">
        <w:t>a pathway forward</w:t>
      </w:r>
      <w:r w:rsidR="001B0C38">
        <w:t xml:space="preserve">. </w:t>
      </w:r>
      <w:r w:rsidR="00870DED" w:rsidRPr="00870DED">
        <w:t xml:space="preserve">The PBAC accepted </w:t>
      </w:r>
      <w:r w:rsidR="00873C52">
        <w:t>standard of care (</w:t>
      </w:r>
      <w:r w:rsidR="00870DED" w:rsidRPr="00870DED">
        <w:t>SoC</w:t>
      </w:r>
      <w:r w:rsidR="00873C52">
        <w:t>)</w:t>
      </w:r>
      <w:r w:rsidR="00870DED" w:rsidRPr="00870DED">
        <w:t xml:space="preserve"> chemotherapy, consisting of paclitaxel, irinotecan, docetaxel or FOLFIRI, as the main comparator as proposed by the submission. The PBAC also accepted the submission’s clinical claim, that T-</w:t>
      </w:r>
      <w:proofErr w:type="spellStart"/>
      <w:r w:rsidR="00870DED" w:rsidRPr="00870DED">
        <w:t>DXd</w:t>
      </w:r>
      <w:proofErr w:type="spellEnd"/>
      <w:r w:rsidR="00870DED" w:rsidRPr="00870DED">
        <w:t xml:space="preserve"> has superior efficacy and an inferior safety profile compared to SoC in patients with metastatic HER2-positive G/GOJ adenocarcinoma who have received a prior trastuzumab-based regimen. While the PBAC considered the superior efficacy claim was supported by evidence included in the submission, it considered the magnitude of the improvements in PFS and OS in the proposed Australian population to be uncertain, which had implications for the extent of benefit assumed in the economic model. </w:t>
      </w:r>
      <w:r w:rsidR="0019234A" w:rsidRPr="0019234A">
        <w:t xml:space="preserve">The PBAC agreed with amendments to the economic model as advised by the </w:t>
      </w:r>
      <w:proofErr w:type="gramStart"/>
      <w:r w:rsidR="0019234A" w:rsidRPr="0019234A">
        <w:t>ESC, and</w:t>
      </w:r>
      <w:proofErr w:type="gramEnd"/>
      <w:r w:rsidR="0019234A" w:rsidRPr="0019234A">
        <w:t xml:space="preserve"> considered that the ICE</w:t>
      </w:r>
      <w:r w:rsidR="0019234A">
        <w:t>R</w:t>
      </w:r>
      <w:r w:rsidR="0019234A" w:rsidRPr="0019234A">
        <w:t xml:space="preserve"> associated with th</w:t>
      </w:r>
      <w:r w:rsidR="0019234A">
        <w:t>e revised</w:t>
      </w:r>
      <w:r w:rsidR="0019234A" w:rsidRPr="0019234A">
        <w:t xml:space="preserve"> model was unacceptably high and uncertain at the proposed price. </w:t>
      </w:r>
    </w:p>
    <w:p w14:paraId="10FBD815" w14:textId="0090CB11" w:rsidR="00734272" w:rsidRPr="00734272" w:rsidRDefault="0019234A" w:rsidP="00EE27EC">
      <w:pPr>
        <w:widowControl w:val="0"/>
        <w:numPr>
          <w:ilvl w:val="1"/>
          <w:numId w:val="5"/>
        </w:numPr>
        <w:spacing w:after="120"/>
      </w:pPr>
      <w:r>
        <w:t xml:space="preserve">The PBAC advised that it would be willing to recommend PBS listing of </w:t>
      </w:r>
      <w:r w:rsidR="00126A65">
        <w:t>T-</w:t>
      </w:r>
      <w:proofErr w:type="spellStart"/>
      <w:r w:rsidR="00126A65">
        <w:t>DXd</w:t>
      </w:r>
      <w:proofErr w:type="spellEnd"/>
      <w:r w:rsidR="00126A65">
        <w:t xml:space="preserve"> in this indication with</w:t>
      </w:r>
      <w:r>
        <w:t xml:space="preserve"> a price reduction that would reduce the ICER to an acceptable level.</w:t>
      </w:r>
      <w:r w:rsidR="00870DED">
        <w:t> </w:t>
      </w:r>
      <w:r w:rsidR="0016548D">
        <w:t xml:space="preserve">The PBAC considered that based on the data available in the submission, a significant price reduction would be required to reduce the ICER to an acceptable level. </w:t>
      </w:r>
      <w:r w:rsidR="00734272">
        <w:t xml:space="preserve">Alternatively, if the sponsor is not willing to progress the PBS listing on this basis, </w:t>
      </w:r>
      <w:r w:rsidR="004F2CE4">
        <w:t xml:space="preserve">the PBAC </w:t>
      </w:r>
      <w:r w:rsidR="00420DB1">
        <w:t>was of a mind to not recommend</w:t>
      </w:r>
      <w:r w:rsidR="009A2E41">
        <w:t xml:space="preserve"> T-</w:t>
      </w:r>
      <w:proofErr w:type="spellStart"/>
      <w:r w:rsidR="009A2E41">
        <w:t>DXd</w:t>
      </w:r>
      <w:proofErr w:type="spellEnd"/>
      <w:r w:rsidR="009A2E41">
        <w:t xml:space="preserve"> in this indication</w:t>
      </w:r>
      <w:r w:rsidR="00420DB1">
        <w:t xml:space="preserve"> and</w:t>
      </w:r>
      <w:r w:rsidR="00734272">
        <w:t xml:space="preserve"> the sponsor will need to make a resubmission incorporating updated clinical data </w:t>
      </w:r>
      <w:r w:rsidR="00DE5B7C">
        <w:t xml:space="preserve">from </w:t>
      </w:r>
      <w:r w:rsidR="00136F25">
        <w:t>DG-04</w:t>
      </w:r>
      <w:r w:rsidR="00F34141">
        <w:t xml:space="preserve">, </w:t>
      </w:r>
      <w:r w:rsidR="00734272">
        <w:t>in addition to revised inputs to the economic model and a reduced price.</w:t>
      </w:r>
    </w:p>
    <w:p w14:paraId="06DC2550" w14:textId="19D0778D" w:rsidR="00ED2D8F" w:rsidRDefault="006E102B" w:rsidP="00EE27EC">
      <w:pPr>
        <w:widowControl w:val="0"/>
        <w:numPr>
          <w:ilvl w:val="1"/>
          <w:numId w:val="5"/>
        </w:numPr>
        <w:spacing w:after="120"/>
        <w:rPr>
          <w:rFonts w:asciiTheme="minorHAnsi" w:hAnsiTheme="minorHAnsi"/>
          <w:bCs/>
          <w:snapToGrid w:val="0"/>
        </w:rPr>
      </w:pPr>
      <w:r>
        <w:t xml:space="preserve">The PBAC considered there is a high clinical need for </w:t>
      </w:r>
      <w:r w:rsidR="006D6F96">
        <w:t>more</w:t>
      </w:r>
      <w:r>
        <w:t xml:space="preserve"> effective treatments</w:t>
      </w:r>
      <w:r w:rsidR="003125A8">
        <w:t xml:space="preserve">, given the poor prognosis of HER2+ </w:t>
      </w:r>
      <w:r w:rsidR="003125A8" w:rsidRPr="000B4F3B">
        <w:t>G/GOJ adenocarcinoma</w:t>
      </w:r>
      <w:r w:rsidR="003125A8">
        <w:t xml:space="preserve"> after progression on 1L treatment</w:t>
      </w:r>
      <w:r w:rsidR="00144D63">
        <w:t>.</w:t>
      </w:r>
      <w:r w:rsidR="00950D59">
        <w:t xml:space="preserve"> </w:t>
      </w:r>
      <w:r w:rsidR="00B54839">
        <w:rPr>
          <w:rFonts w:asciiTheme="minorHAnsi" w:hAnsiTheme="minorHAnsi"/>
          <w:snapToGrid w:val="0"/>
          <w:lang w:val="en-GB"/>
        </w:rPr>
        <w:t xml:space="preserve">The PBAC noted the input from </w:t>
      </w:r>
      <w:r w:rsidR="00B54839" w:rsidRPr="00B04D99">
        <w:rPr>
          <w:rFonts w:asciiTheme="minorHAnsi" w:hAnsiTheme="minorHAnsi"/>
          <w:snapToGrid w:val="0"/>
        </w:rPr>
        <w:t>health care professionals and organisations received for this submission</w:t>
      </w:r>
      <w:r w:rsidR="00461262">
        <w:rPr>
          <w:rFonts w:asciiTheme="minorHAnsi" w:hAnsiTheme="minorHAnsi"/>
          <w:snapToGrid w:val="0"/>
        </w:rPr>
        <w:t xml:space="preserve"> was supportive of the submission </w:t>
      </w:r>
      <w:r w:rsidR="00806910">
        <w:rPr>
          <w:rFonts w:asciiTheme="minorHAnsi" w:hAnsiTheme="minorHAnsi"/>
          <w:snapToGrid w:val="0"/>
        </w:rPr>
        <w:t>given the superior efficacy albeit at a risk of significant</w:t>
      </w:r>
      <w:r w:rsidR="00857005">
        <w:rPr>
          <w:rFonts w:asciiTheme="minorHAnsi" w:hAnsiTheme="minorHAnsi"/>
          <w:snapToGrid w:val="0"/>
        </w:rPr>
        <w:t xml:space="preserve"> side </w:t>
      </w:r>
      <w:proofErr w:type="gramStart"/>
      <w:r w:rsidR="00857005">
        <w:rPr>
          <w:rFonts w:asciiTheme="minorHAnsi" w:hAnsiTheme="minorHAnsi"/>
          <w:snapToGrid w:val="0"/>
        </w:rPr>
        <w:t>effects,</w:t>
      </w:r>
      <w:r w:rsidR="00461262">
        <w:rPr>
          <w:rFonts w:asciiTheme="minorHAnsi" w:hAnsiTheme="minorHAnsi"/>
          <w:snapToGrid w:val="0"/>
        </w:rPr>
        <w:t xml:space="preserve"> and</w:t>
      </w:r>
      <w:proofErr w:type="gramEnd"/>
      <w:r w:rsidR="000D18D1">
        <w:rPr>
          <w:rFonts w:asciiTheme="minorHAnsi" w:hAnsiTheme="minorHAnsi"/>
          <w:snapToGrid w:val="0"/>
        </w:rPr>
        <w:t xml:space="preserve"> also</w:t>
      </w:r>
      <w:r w:rsidR="00461262">
        <w:rPr>
          <w:rFonts w:asciiTheme="minorHAnsi" w:hAnsiTheme="minorHAnsi"/>
          <w:snapToGrid w:val="0"/>
        </w:rPr>
        <w:t xml:space="preserve"> </w:t>
      </w:r>
      <w:r w:rsidR="001B47EE">
        <w:rPr>
          <w:rFonts w:asciiTheme="minorHAnsi" w:hAnsiTheme="minorHAnsi"/>
          <w:snapToGrid w:val="0"/>
        </w:rPr>
        <w:t>highlighted</w:t>
      </w:r>
      <w:r w:rsidR="00461262">
        <w:rPr>
          <w:rFonts w:asciiTheme="minorHAnsi" w:hAnsiTheme="minorHAnsi"/>
          <w:snapToGrid w:val="0"/>
        </w:rPr>
        <w:t xml:space="preserve"> the clinical need for effective treatments after progression on 1L trastuzumab</w:t>
      </w:r>
      <w:r w:rsidR="00F42FFB">
        <w:rPr>
          <w:rFonts w:asciiTheme="minorHAnsi" w:hAnsiTheme="minorHAnsi"/>
          <w:snapToGrid w:val="0"/>
        </w:rPr>
        <w:t xml:space="preserve"> and the financial burden of unfunded treatments</w:t>
      </w:r>
      <w:r w:rsidR="00461262">
        <w:rPr>
          <w:rFonts w:asciiTheme="minorHAnsi" w:hAnsiTheme="minorHAnsi"/>
          <w:snapToGrid w:val="0"/>
        </w:rPr>
        <w:t xml:space="preserve">. </w:t>
      </w:r>
    </w:p>
    <w:p w14:paraId="5D965506" w14:textId="54A9D21A" w:rsidR="00C923BA" w:rsidRPr="00D41E03" w:rsidRDefault="00D32748" w:rsidP="00C923BA">
      <w:pPr>
        <w:pStyle w:val="3-BodyText"/>
        <w:rPr>
          <w:color w:val="0066FF"/>
        </w:rPr>
      </w:pPr>
      <w:r>
        <w:t xml:space="preserve">The PBAC considered </w:t>
      </w:r>
      <w:r w:rsidR="001C2235">
        <w:t xml:space="preserve">a </w:t>
      </w:r>
      <w:r w:rsidR="00DE20E8">
        <w:t>streamlined authority level would be appropriate for the listing of T-</w:t>
      </w:r>
      <w:proofErr w:type="spellStart"/>
      <w:r w:rsidR="00DE20E8">
        <w:t>DXd</w:t>
      </w:r>
      <w:proofErr w:type="spellEnd"/>
      <w:r w:rsidR="00DE20E8">
        <w:t xml:space="preserve">, consistent with the 1L trastuzumab listing for HER2+ </w:t>
      </w:r>
      <w:r w:rsidR="00DE20E8" w:rsidRPr="000B4F3B">
        <w:t xml:space="preserve">G/GOJ </w:t>
      </w:r>
      <w:r w:rsidR="00DE20E8" w:rsidRPr="000B4F3B">
        <w:lastRenderedPageBreak/>
        <w:t>adenocarcinoma</w:t>
      </w:r>
      <w:r w:rsidR="00DE20E8">
        <w:t xml:space="preserve">. </w:t>
      </w:r>
      <w:r w:rsidR="00C923BA" w:rsidRPr="000B4F3B">
        <w:t xml:space="preserve">The requested </w:t>
      </w:r>
      <w:r w:rsidR="00C923BA">
        <w:t>indication</w:t>
      </w:r>
      <w:r w:rsidR="00C923BA" w:rsidRPr="000B4F3B">
        <w:t xml:space="preserve"> for T-</w:t>
      </w:r>
      <w:proofErr w:type="spellStart"/>
      <w:r w:rsidR="00C923BA" w:rsidRPr="000B4F3B">
        <w:t>DXd</w:t>
      </w:r>
      <w:proofErr w:type="spellEnd"/>
      <w:r w:rsidR="00C923BA" w:rsidRPr="000B4F3B">
        <w:t xml:space="preserve"> </w:t>
      </w:r>
      <w:r w:rsidR="00C923BA">
        <w:t>(M</w:t>
      </w:r>
      <w:r w:rsidR="00C923BA" w:rsidRPr="008617F8">
        <w:t>etastatic (Stage IV) HER2 positive gastric or gastro-oesophageal junction adenocarcinoma)</w:t>
      </w:r>
      <w:r w:rsidR="00C923BA" w:rsidRPr="000B4F3B">
        <w:t xml:space="preserve"> </w:t>
      </w:r>
      <w:r w:rsidR="004E5F2B">
        <w:t>wa</w:t>
      </w:r>
      <w:r w:rsidR="00C923BA">
        <w:t>s consistent with</w:t>
      </w:r>
      <w:r w:rsidR="00C923BA" w:rsidRPr="000B4F3B">
        <w:t xml:space="preserve"> the current restriction for </w:t>
      </w:r>
      <w:r w:rsidR="00C923BA">
        <w:t xml:space="preserve">1L </w:t>
      </w:r>
      <w:r w:rsidR="00C923BA" w:rsidRPr="000B4F3B">
        <w:t xml:space="preserve">trastuzumab. </w:t>
      </w:r>
      <w:r w:rsidR="00C923BA">
        <w:t xml:space="preserve">However, the proposed indication </w:t>
      </w:r>
      <w:r w:rsidR="00C923BA" w:rsidRPr="000B4F3B">
        <w:t>is narrower than the TGA indication and the populations enrolled in the two supporting studies, Destiny Gastric 1 (DG-01) and Destiny Gastric 2 (DG-02) in that use for locally advanced G/GOJ adenocarcinoma was not requested.</w:t>
      </w:r>
      <w:r w:rsidR="00C923BA">
        <w:t xml:space="preserve"> The PBAC considered the </w:t>
      </w:r>
      <w:r w:rsidR="002E3B20">
        <w:t>PBS listing</w:t>
      </w:r>
      <w:r w:rsidR="00C923BA">
        <w:t xml:space="preserve"> should include patients with locally advanced/unresectable </w:t>
      </w:r>
      <w:r w:rsidR="00C923BA" w:rsidRPr="000B4F3B">
        <w:t>G/GOJ adenocarcinoma</w:t>
      </w:r>
      <w:r w:rsidR="00C923BA">
        <w:t xml:space="preserve"> consistent with the TGA indication and clinical evidence, noting that this would result in a small number of additional patients. </w:t>
      </w:r>
    </w:p>
    <w:p w14:paraId="115F3A93" w14:textId="7A049D06" w:rsidR="00DF0C84" w:rsidRPr="00DF0C84" w:rsidRDefault="00620D9B" w:rsidP="00FC0657">
      <w:pPr>
        <w:pStyle w:val="3-BodyText"/>
        <w:rPr>
          <w:iCs/>
        </w:rPr>
      </w:pPr>
      <w:r>
        <w:t>The PBAC considered the c</w:t>
      </w:r>
      <w:r w:rsidR="00DF0C84">
        <w:t>omparator</w:t>
      </w:r>
      <w:r>
        <w:t xml:space="preserve"> of SoC chemotherapy, consisting of </w:t>
      </w:r>
      <w:r w:rsidRPr="000B4F3B">
        <w:t>paclitaxel, irinotecan, docetaxel or FOLFIRI</w:t>
      </w:r>
      <w:r w:rsidR="007669D1">
        <w:t>, was reasonable</w:t>
      </w:r>
      <w:r>
        <w:t>.</w:t>
      </w:r>
      <w:r w:rsidR="001F0D51">
        <w:t xml:space="preserve"> The PBAC </w:t>
      </w:r>
      <w:r w:rsidR="001F0D51" w:rsidRPr="00455F25">
        <w:t xml:space="preserve">noted that only irinotecan and paclitaxel, were used as comparators in </w:t>
      </w:r>
      <w:r w:rsidR="009647EC">
        <w:t>the pivotal evidence (</w:t>
      </w:r>
      <w:r w:rsidR="001F0D51" w:rsidRPr="00455F25">
        <w:t>DG-01</w:t>
      </w:r>
      <w:r w:rsidR="009647EC">
        <w:t>)</w:t>
      </w:r>
      <w:r w:rsidR="001F0D51" w:rsidRPr="00455F25">
        <w:t xml:space="preserve">, however considered that results from the comparator arm in the trial were </w:t>
      </w:r>
      <w:r w:rsidR="001F0D51">
        <w:t>reasonable</w:t>
      </w:r>
      <w:r w:rsidR="001F0D51" w:rsidRPr="00455F25">
        <w:t xml:space="preserve"> to apply as a proxy for SoC</w:t>
      </w:r>
      <w:r w:rsidR="001F0D51">
        <w:t xml:space="preserve"> in Australian clinical practice (</w:t>
      </w:r>
      <w:r w:rsidR="001F0D51" w:rsidRPr="00455F25">
        <w:rPr>
          <w:rFonts w:eastAsia="Calibri"/>
        </w:rPr>
        <w:t>irinotecan, paclitaxel, FOLFIRI or docetaxel</w:t>
      </w:r>
      <w:r w:rsidR="001F0D51">
        <w:rPr>
          <w:rFonts w:eastAsia="Calibri"/>
        </w:rPr>
        <w:t>)</w:t>
      </w:r>
      <w:r w:rsidR="001F0D51" w:rsidRPr="00455F25">
        <w:t>.</w:t>
      </w:r>
    </w:p>
    <w:p w14:paraId="48F2DF02" w14:textId="6038AF55" w:rsidR="00F2025C" w:rsidRPr="00FC0657" w:rsidRDefault="002002FD" w:rsidP="00FC0657">
      <w:pPr>
        <w:pStyle w:val="3-BodyText"/>
        <w:rPr>
          <w:iCs/>
        </w:rPr>
      </w:pPr>
      <w:r>
        <w:t xml:space="preserve">The PBAC noted that </w:t>
      </w:r>
      <w:r w:rsidR="00A1783F">
        <w:t xml:space="preserve">the pivotal evidence was from </w:t>
      </w:r>
      <w:r w:rsidR="00F2025C" w:rsidRPr="000B4F3B">
        <w:t xml:space="preserve">an open-label RCT </w:t>
      </w:r>
      <w:r w:rsidR="00C654BE" w:rsidRPr="000B4F3B">
        <w:t>(DG-01)</w:t>
      </w:r>
      <w:r w:rsidR="00C654BE">
        <w:t xml:space="preserve"> </w:t>
      </w:r>
      <w:r w:rsidR="006841C5">
        <w:t>comparing</w:t>
      </w:r>
      <w:r w:rsidR="00F2025C" w:rsidRPr="000B4F3B">
        <w:t xml:space="preserve"> the safety and efficacy of T-</w:t>
      </w:r>
      <w:proofErr w:type="spellStart"/>
      <w:r w:rsidR="00F2025C" w:rsidRPr="000B4F3B">
        <w:t>DXd</w:t>
      </w:r>
      <w:proofErr w:type="spellEnd"/>
      <w:r w:rsidR="00F2025C" w:rsidRPr="000B4F3B">
        <w:t xml:space="preserve"> compared to SoC (</w:t>
      </w:r>
      <w:r w:rsidR="009647EC">
        <w:t>physician</w:t>
      </w:r>
      <w:r w:rsidR="00B050F4">
        <w:t>’</w:t>
      </w:r>
      <w:r w:rsidR="009647EC">
        <w:t xml:space="preserve">s choice of </w:t>
      </w:r>
      <w:r w:rsidR="00F2025C" w:rsidRPr="000B4F3B">
        <w:t>either irinotecan or paclitaxel), in HER2-positive patients with advanced G/GOJ adenocarcinoma, who had progressed on at least two prior regimens</w:t>
      </w:r>
      <w:r w:rsidR="00F2025C">
        <w:t>, including one trastuzumab-based regimen</w:t>
      </w:r>
      <w:r w:rsidR="00F2025C" w:rsidRPr="000B4F3B">
        <w:t xml:space="preserve">. </w:t>
      </w:r>
      <w:r w:rsidR="006841C5">
        <w:t>The PBAC noted that th</w:t>
      </w:r>
      <w:r w:rsidR="00D36166">
        <w:t xml:space="preserve">e applicability of this trial to the proposed PBS population was limited </w:t>
      </w:r>
      <w:r w:rsidR="00AB75D7">
        <w:t xml:space="preserve">for several reasons, the most significant </w:t>
      </w:r>
      <w:r w:rsidR="007F1B64">
        <w:t>issues being the line of treatment (</w:t>
      </w:r>
      <w:r w:rsidR="00181649">
        <w:t>DG</w:t>
      </w:r>
      <w:r w:rsidR="00AF6A7E">
        <w:noBreakHyphen/>
      </w:r>
      <w:r w:rsidR="00181649">
        <w:t xml:space="preserve">01 </w:t>
      </w:r>
      <w:r w:rsidR="00D15F36">
        <w:t>was</w:t>
      </w:r>
      <w:r w:rsidR="00181649">
        <w:t xml:space="preserve"> in </w:t>
      </w:r>
      <w:r w:rsidR="007F1B64">
        <w:t xml:space="preserve">3L or later) and </w:t>
      </w:r>
      <w:r w:rsidR="00AC09B2">
        <w:t>the trial setting/ethnicity of patients (</w:t>
      </w:r>
      <w:r w:rsidR="00F95157">
        <w:t xml:space="preserve">DG-01 being conducted in Korea and Japan only). </w:t>
      </w:r>
      <w:r w:rsidR="00F2025C" w:rsidRPr="000B4F3B">
        <w:t>Supporting evidence was provided by a single arm study evaluating the safety and efficacy of T-</w:t>
      </w:r>
      <w:proofErr w:type="spellStart"/>
      <w:r w:rsidR="00F2025C" w:rsidRPr="000B4F3B">
        <w:t>DXd</w:t>
      </w:r>
      <w:proofErr w:type="spellEnd"/>
      <w:r w:rsidR="00F2025C" w:rsidRPr="000B4F3B">
        <w:t xml:space="preserve"> in patients with HER2-positive advanced or metastatic G/GOJ adenocarcinoma who had progressed on a prior trastuzumab-containing regimen</w:t>
      </w:r>
      <w:r w:rsidR="00A24BC4">
        <w:t>,</w:t>
      </w:r>
      <w:r w:rsidR="00F2025C" w:rsidRPr="000B4F3B">
        <w:t xml:space="preserve"> </w:t>
      </w:r>
      <w:r w:rsidR="006D4E89">
        <w:t>in a</w:t>
      </w:r>
      <w:r w:rsidR="00F2025C" w:rsidRPr="000B4F3B">
        <w:t xml:space="preserve"> study population recruited from Europe and North America</w:t>
      </w:r>
      <w:r w:rsidR="006D4E89">
        <w:t xml:space="preserve"> (DG-02)</w:t>
      </w:r>
      <w:r w:rsidR="00F2025C" w:rsidRPr="000B4F3B">
        <w:t>.</w:t>
      </w:r>
      <w:r w:rsidR="006D4E89">
        <w:t xml:space="preserve"> </w:t>
      </w:r>
      <w:r w:rsidR="00475624">
        <w:t xml:space="preserve">The PBAC also noted that </w:t>
      </w:r>
      <w:r w:rsidR="0030725C" w:rsidRPr="00E55A74">
        <w:rPr>
          <w:iCs/>
        </w:rPr>
        <w:t xml:space="preserve">the PSCR </w:t>
      </w:r>
      <w:r w:rsidR="00A24BC4">
        <w:rPr>
          <w:iCs/>
        </w:rPr>
        <w:t xml:space="preserve">also </w:t>
      </w:r>
      <w:r w:rsidR="0030725C" w:rsidRPr="00E55A74">
        <w:rPr>
          <w:iCs/>
        </w:rPr>
        <w:t>provided OS data from DG-04, a Phase 3 study of T-</w:t>
      </w:r>
      <w:proofErr w:type="spellStart"/>
      <w:r w:rsidR="0030725C" w:rsidRPr="00E55A74">
        <w:rPr>
          <w:iCs/>
        </w:rPr>
        <w:t>DXd</w:t>
      </w:r>
      <w:proofErr w:type="spellEnd"/>
      <w:r w:rsidR="0030725C" w:rsidRPr="00E55A74">
        <w:rPr>
          <w:iCs/>
        </w:rPr>
        <w:t xml:space="preserve"> vs ramucirumab + paclitaxe</w:t>
      </w:r>
      <w:r w:rsidR="00BD425D">
        <w:rPr>
          <w:iCs/>
        </w:rPr>
        <w:t>l, which is to be the basis for converting the provisional TGA registration to a full registration</w:t>
      </w:r>
      <w:r w:rsidR="0030725C" w:rsidRPr="00E55A74">
        <w:rPr>
          <w:iCs/>
        </w:rPr>
        <w:t xml:space="preserve">. </w:t>
      </w:r>
    </w:p>
    <w:p w14:paraId="03E6130D" w14:textId="4DCB023F" w:rsidR="0055728C" w:rsidRPr="0055728C" w:rsidRDefault="00BF0D1F">
      <w:pPr>
        <w:pStyle w:val="3-BodyText"/>
        <w:widowControl w:val="0"/>
        <w:rPr>
          <w:snapToGrid w:val="0"/>
          <w:lang w:val="en-GB"/>
        </w:rPr>
      </w:pPr>
      <w:r>
        <w:t xml:space="preserve">The PBAC </w:t>
      </w:r>
      <w:r w:rsidR="00B4298D">
        <w:t xml:space="preserve">noted that </w:t>
      </w:r>
      <w:r w:rsidRPr="00BF0D1F">
        <w:t>DG-01 met its primary endpoint</w:t>
      </w:r>
      <w:r w:rsidR="00065D2C">
        <w:t>,</w:t>
      </w:r>
      <w:r w:rsidRPr="00BF0D1F">
        <w:t xml:space="preserve"> demonstrating a </w:t>
      </w:r>
      <w:r w:rsidR="00FE5BBA">
        <w:t xml:space="preserve">statistically significant </w:t>
      </w:r>
      <w:r w:rsidRPr="00BF0D1F">
        <w:t>superior ORR for T-</w:t>
      </w:r>
      <w:proofErr w:type="spellStart"/>
      <w:r w:rsidRPr="00BF0D1F">
        <w:t>DXd</w:t>
      </w:r>
      <w:proofErr w:type="spellEnd"/>
      <w:r w:rsidRPr="00BF0D1F">
        <w:t xml:space="preserve">. </w:t>
      </w:r>
      <w:r w:rsidR="00774188">
        <w:t xml:space="preserve">There were also </w:t>
      </w:r>
      <w:r w:rsidR="00A90BC0">
        <w:t>statistically significant improvement</w:t>
      </w:r>
      <w:r w:rsidR="00774188">
        <w:t>s</w:t>
      </w:r>
      <w:r w:rsidR="00A90BC0">
        <w:t xml:space="preserve"> in OS </w:t>
      </w:r>
      <w:r w:rsidR="00774188">
        <w:t>and PFS</w:t>
      </w:r>
      <w:r w:rsidR="00065D2C">
        <w:t xml:space="preserve">. </w:t>
      </w:r>
      <w:r w:rsidR="002E184B">
        <w:t>The PBAC considered that DG-02 helped to address the applicability issues for DG-01, as ORR, OS and PFS were similar for patients treated with T-</w:t>
      </w:r>
      <w:proofErr w:type="spellStart"/>
      <w:r w:rsidR="002E184B">
        <w:t>DXd</w:t>
      </w:r>
      <w:proofErr w:type="spellEnd"/>
      <w:r w:rsidR="002E184B">
        <w:t xml:space="preserve"> in each of the trials. </w:t>
      </w:r>
      <w:r w:rsidR="00376454">
        <w:t>The PBAC also considere</w:t>
      </w:r>
      <w:r w:rsidR="00003D30">
        <w:t>d</w:t>
      </w:r>
      <w:r w:rsidR="00376454">
        <w:t xml:space="preserve"> that that early outcomes from </w:t>
      </w:r>
      <w:r w:rsidR="00003D30">
        <w:t>DG-04 were supportive of a treatment effect for T-</w:t>
      </w:r>
      <w:proofErr w:type="spellStart"/>
      <w:r w:rsidR="00003D30">
        <w:t>DXd</w:t>
      </w:r>
      <w:proofErr w:type="spellEnd"/>
      <w:r w:rsidR="00364A1D">
        <w:t xml:space="preserve">, despite </w:t>
      </w:r>
      <w:r w:rsidR="00E0241D">
        <w:t xml:space="preserve">including </w:t>
      </w:r>
      <w:r w:rsidR="00AE0513">
        <w:t xml:space="preserve">a comparator that would be expected to be </w:t>
      </w:r>
      <w:r w:rsidR="00AB5338">
        <w:t xml:space="preserve">somewhat </w:t>
      </w:r>
      <w:r w:rsidR="00AE0513">
        <w:t>more</w:t>
      </w:r>
      <w:r w:rsidR="00E0241D">
        <w:t xml:space="preserve"> effective than SoC</w:t>
      </w:r>
      <w:r w:rsidR="00AB5338">
        <w:t xml:space="preserve"> in Australian clinical practice</w:t>
      </w:r>
      <w:r w:rsidR="00003D30">
        <w:t xml:space="preserve">. </w:t>
      </w:r>
    </w:p>
    <w:p w14:paraId="5E4C28A6" w14:textId="1B5FA772" w:rsidR="000D7381" w:rsidRPr="000D7381" w:rsidRDefault="000D7381" w:rsidP="000D7381">
      <w:pPr>
        <w:pStyle w:val="3-BodyText"/>
        <w:widowControl w:val="0"/>
      </w:pPr>
      <w:r w:rsidRPr="000D7381">
        <w:t xml:space="preserve">The </w:t>
      </w:r>
      <w:r w:rsidR="008C617E">
        <w:t xml:space="preserve">PBAC noted that the </w:t>
      </w:r>
      <w:r w:rsidRPr="000D7381">
        <w:t>most common drug-related treatment-emergent AEs in the T-</w:t>
      </w:r>
      <w:proofErr w:type="spellStart"/>
      <w:r w:rsidRPr="000D7381">
        <w:t>DXd</w:t>
      </w:r>
      <w:proofErr w:type="spellEnd"/>
      <w:r w:rsidRPr="000D7381">
        <w:t xml:space="preserve"> group were gastrointestinal or haematologic AEs</w:t>
      </w:r>
      <w:r w:rsidR="008C617E">
        <w:t>, which</w:t>
      </w:r>
      <w:r w:rsidRPr="000D7381">
        <w:t xml:space="preserve"> are known AEs associated with topoisomerase 1 inhibitors. </w:t>
      </w:r>
      <w:r w:rsidR="00D75910" w:rsidRPr="000D7381">
        <w:t xml:space="preserve">Decrease in LVEF is </w:t>
      </w:r>
      <w:r w:rsidR="00D75910">
        <w:t xml:space="preserve">also </w:t>
      </w:r>
      <w:r w:rsidR="00D75910" w:rsidRPr="000D7381">
        <w:t>an AE of special interest associated with trastuzumab</w:t>
      </w:r>
      <w:r w:rsidR="00D75910">
        <w:t>.</w:t>
      </w:r>
      <w:r w:rsidR="00D75910" w:rsidRPr="000D7381">
        <w:t xml:space="preserve"> </w:t>
      </w:r>
      <w:r w:rsidR="00F3332F">
        <w:t xml:space="preserve">The PBAC </w:t>
      </w:r>
      <w:r w:rsidR="00E60CE9">
        <w:t xml:space="preserve">considered that ILD is a significant </w:t>
      </w:r>
      <w:r w:rsidR="00E60CE9">
        <w:lastRenderedPageBreak/>
        <w:t>safety concern for T-</w:t>
      </w:r>
      <w:proofErr w:type="spellStart"/>
      <w:r w:rsidR="00E60CE9">
        <w:t>DXd</w:t>
      </w:r>
      <w:proofErr w:type="spellEnd"/>
      <w:r w:rsidRPr="000D7381">
        <w:t xml:space="preserve">. </w:t>
      </w:r>
      <w:r w:rsidR="008D4874">
        <w:t>The PBAC noted that safety outcomes from DG</w:t>
      </w:r>
      <w:r w:rsidR="008F0AB7">
        <w:noBreakHyphen/>
      </w:r>
      <w:r w:rsidR="008D4874">
        <w:t>01 were limited by a</w:t>
      </w:r>
      <w:r w:rsidR="002372F7">
        <w:t xml:space="preserve">pplicability issues and considered that DG-04 is likely to provide more informative comparative safety. </w:t>
      </w:r>
    </w:p>
    <w:p w14:paraId="50A01DC9" w14:textId="2A2233F2" w:rsidR="00981DF5" w:rsidRPr="002E184B" w:rsidRDefault="00DF0C84">
      <w:pPr>
        <w:pStyle w:val="3-BodyText"/>
        <w:widowControl w:val="0"/>
        <w:rPr>
          <w:snapToGrid w:val="0"/>
          <w:lang w:val="en-GB"/>
        </w:rPr>
      </w:pPr>
      <w:proofErr w:type="gramStart"/>
      <w:r>
        <w:t>Overall</w:t>
      </w:r>
      <w:proofErr w:type="gramEnd"/>
      <w:r>
        <w:t xml:space="preserve"> the </w:t>
      </w:r>
      <w:r w:rsidR="00981DF5">
        <w:t xml:space="preserve">PBAC </w:t>
      </w:r>
      <w:r>
        <w:t>considered</w:t>
      </w:r>
      <w:r w:rsidR="00981DF5">
        <w:t xml:space="preserve"> that T-</w:t>
      </w:r>
      <w:proofErr w:type="spellStart"/>
      <w:r w:rsidR="00981DF5">
        <w:t>DXd</w:t>
      </w:r>
      <w:proofErr w:type="spellEnd"/>
      <w:r w:rsidR="00981DF5">
        <w:t xml:space="preserve"> has </w:t>
      </w:r>
      <w:r>
        <w:t xml:space="preserve">a </w:t>
      </w:r>
      <w:r w:rsidR="00EA45F1">
        <w:t>modest but clinically relevant</w:t>
      </w:r>
      <w:r w:rsidR="00981DF5">
        <w:t xml:space="preserve"> </w:t>
      </w:r>
      <w:r>
        <w:t xml:space="preserve">survival </w:t>
      </w:r>
      <w:r w:rsidR="00981DF5">
        <w:t>benefit in comparison to SoC</w:t>
      </w:r>
      <w:r w:rsidR="00981DF5" w:rsidRPr="000B4F3B">
        <w:t xml:space="preserve"> chemotherapy</w:t>
      </w:r>
      <w:r w:rsidR="00620D9B">
        <w:t xml:space="preserve"> </w:t>
      </w:r>
      <w:r w:rsidR="00173D8D">
        <w:t xml:space="preserve">but is associated with </w:t>
      </w:r>
      <w:r w:rsidR="0051130A">
        <w:t xml:space="preserve">additional toxicity, particularly significantly increased risk of </w:t>
      </w:r>
      <w:r w:rsidR="00B70823">
        <w:t xml:space="preserve">ILD. </w:t>
      </w:r>
    </w:p>
    <w:p w14:paraId="37B3B46B" w14:textId="44CD90DB" w:rsidR="005D4D0D" w:rsidRDefault="00840A81" w:rsidP="00EE27EC">
      <w:pPr>
        <w:widowControl w:val="0"/>
        <w:numPr>
          <w:ilvl w:val="1"/>
          <w:numId w:val="5"/>
        </w:numPr>
        <w:spacing w:after="120"/>
        <w:rPr>
          <w:rFonts w:asciiTheme="minorHAnsi" w:hAnsiTheme="minorHAnsi"/>
          <w:snapToGrid w:val="0"/>
          <w:lang w:val="en-GB"/>
        </w:rPr>
      </w:pPr>
      <w:r>
        <w:rPr>
          <w:rFonts w:asciiTheme="minorHAnsi" w:hAnsiTheme="minorHAnsi"/>
          <w:snapToGrid w:val="0"/>
          <w:lang w:val="en-GB"/>
        </w:rPr>
        <w:t>The PBAC noted that</w:t>
      </w:r>
      <w:r w:rsidR="00463A88">
        <w:rPr>
          <w:rFonts w:asciiTheme="minorHAnsi" w:hAnsiTheme="minorHAnsi"/>
          <w:snapToGrid w:val="0"/>
          <w:lang w:val="en-GB"/>
        </w:rPr>
        <w:t>,</w:t>
      </w:r>
      <w:r w:rsidR="0000471E">
        <w:rPr>
          <w:rFonts w:asciiTheme="minorHAnsi" w:hAnsiTheme="minorHAnsi"/>
          <w:snapToGrid w:val="0"/>
          <w:lang w:val="en-GB"/>
        </w:rPr>
        <w:t xml:space="preserve"> at its </w:t>
      </w:r>
      <w:r w:rsidR="00463A88">
        <w:rPr>
          <w:rFonts w:asciiTheme="minorHAnsi" w:hAnsiTheme="minorHAnsi"/>
          <w:snapToGrid w:val="0"/>
          <w:lang w:val="en-GB"/>
        </w:rPr>
        <w:t>April meeting,</w:t>
      </w:r>
      <w:r>
        <w:rPr>
          <w:rFonts w:asciiTheme="minorHAnsi" w:hAnsiTheme="minorHAnsi"/>
          <w:snapToGrid w:val="0"/>
          <w:lang w:val="en-GB"/>
        </w:rPr>
        <w:t xml:space="preserve"> </w:t>
      </w:r>
      <w:r w:rsidR="00AA372E">
        <w:rPr>
          <w:rFonts w:asciiTheme="minorHAnsi" w:hAnsiTheme="minorHAnsi"/>
          <w:snapToGrid w:val="0"/>
          <w:lang w:val="en-GB"/>
        </w:rPr>
        <w:t xml:space="preserve">MSAC had </w:t>
      </w:r>
      <w:r w:rsidR="00E86B71" w:rsidRPr="00E86B71">
        <w:rPr>
          <w:rFonts w:asciiTheme="minorHAnsi" w:hAnsiTheme="minorHAnsi"/>
          <w:snapToGrid w:val="0"/>
        </w:rPr>
        <w:t>supported amendment of the existing Medicare Benefits Schedule (MBS) item 73342 for HER2 ISH testing to determine eligibility for access to PBS-subsidised T-</w:t>
      </w:r>
      <w:proofErr w:type="spellStart"/>
      <w:r w:rsidR="00E86B71" w:rsidRPr="00E86B71">
        <w:rPr>
          <w:rFonts w:asciiTheme="minorHAnsi" w:hAnsiTheme="minorHAnsi"/>
          <w:snapToGrid w:val="0"/>
        </w:rPr>
        <w:t>DXd</w:t>
      </w:r>
      <w:proofErr w:type="spellEnd"/>
      <w:r w:rsidR="00E86B71" w:rsidRPr="00E86B71">
        <w:rPr>
          <w:rFonts w:asciiTheme="minorHAnsi" w:hAnsiTheme="minorHAnsi"/>
          <w:snapToGrid w:val="0"/>
        </w:rPr>
        <w:t xml:space="preserve"> in patients with metastatic HER2 positive G/GOJ adenocarcinoma</w:t>
      </w:r>
      <w:r w:rsidR="002A7242">
        <w:rPr>
          <w:rFonts w:asciiTheme="minorHAnsi" w:hAnsiTheme="minorHAnsi"/>
          <w:snapToGrid w:val="0"/>
        </w:rPr>
        <w:t>. This change would</w:t>
      </w:r>
      <w:r w:rsidR="00770D35">
        <w:rPr>
          <w:rFonts w:asciiTheme="minorHAnsi" w:hAnsiTheme="minorHAnsi"/>
          <w:snapToGrid w:val="0"/>
        </w:rPr>
        <w:t xml:space="preserve"> allow re-testing </w:t>
      </w:r>
      <w:r w:rsidR="00FE3EF5">
        <w:rPr>
          <w:rFonts w:asciiTheme="minorHAnsi" w:hAnsiTheme="minorHAnsi"/>
          <w:snapToGrid w:val="0"/>
        </w:rPr>
        <w:t xml:space="preserve">of HER2 status, </w:t>
      </w:r>
      <w:r w:rsidR="00770D35">
        <w:rPr>
          <w:rFonts w:asciiTheme="minorHAnsi" w:hAnsiTheme="minorHAnsi"/>
          <w:snapToGrid w:val="0"/>
        </w:rPr>
        <w:t>for access to T</w:t>
      </w:r>
      <w:r w:rsidR="00BE63FB">
        <w:rPr>
          <w:rFonts w:asciiTheme="minorHAnsi" w:hAnsiTheme="minorHAnsi"/>
          <w:snapToGrid w:val="0"/>
        </w:rPr>
        <w:noBreakHyphen/>
      </w:r>
      <w:proofErr w:type="spellStart"/>
      <w:r w:rsidR="00770D35">
        <w:rPr>
          <w:rFonts w:asciiTheme="minorHAnsi" w:hAnsiTheme="minorHAnsi"/>
          <w:snapToGrid w:val="0"/>
        </w:rPr>
        <w:t>DXd</w:t>
      </w:r>
      <w:proofErr w:type="spellEnd"/>
      <w:r w:rsidR="00770D35">
        <w:rPr>
          <w:rFonts w:asciiTheme="minorHAnsi" w:hAnsiTheme="minorHAnsi"/>
          <w:snapToGrid w:val="0"/>
        </w:rPr>
        <w:t xml:space="preserve"> </w:t>
      </w:r>
      <w:r w:rsidR="00FD3F37">
        <w:rPr>
          <w:rFonts w:asciiTheme="minorHAnsi" w:hAnsiTheme="minorHAnsi"/>
          <w:snapToGrid w:val="0"/>
        </w:rPr>
        <w:t>under the PBS</w:t>
      </w:r>
      <w:r w:rsidR="00E86B71">
        <w:rPr>
          <w:rFonts w:asciiTheme="minorHAnsi" w:hAnsiTheme="minorHAnsi"/>
          <w:snapToGrid w:val="0"/>
        </w:rPr>
        <w:t xml:space="preserve">. </w:t>
      </w:r>
      <w:r w:rsidR="00E4223B">
        <w:rPr>
          <w:rFonts w:asciiTheme="minorHAnsi" w:hAnsiTheme="minorHAnsi"/>
          <w:snapToGrid w:val="0"/>
        </w:rPr>
        <w:t xml:space="preserve">The PBAC considered that </w:t>
      </w:r>
      <w:proofErr w:type="gramStart"/>
      <w:r w:rsidR="00E4223B">
        <w:rPr>
          <w:rFonts w:asciiTheme="minorHAnsi" w:hAnsiTheme="minorHAnsi"/>
          <w:snapToGrid w:val="0"/>
        </w:rPr>
        <w:t>the majority of</w:t>
      </w:r>
      <w:proofErr w:type="gramEnd"/>
      <w:r w:rsidR="00E4223B">
        <w:rPr>
          <w:rFonts w:asciiTheme="minorHAnsi" w:hAnsiTheme="minorHAnsi"/>
          <w:snapToGrid w:val="0"/>
        </w:rPr>
        <w:t xml:space="preserve"> patients would </w:t>
      </w:r>
      <w:r w:rsidR="00FD3F37">
        <w:rPr>
          <w:rFonts w:asciiTheme="minorHAnsi" w:hAnsiTheme="minorHAnsi"/>
          <w:snapToGrid w:val="0"/>
        </w:rPr>
        <w:t xml:space="preserve">not have a re-biopsy </w:t>
      </w:r>
      <w:r w:rsidR="00FE0114">
        <w:rPr>
          <w:rFonts w:asciiTheme="minorHAnsi" w:hAnsiTheme="minorHAnsi"/>
          <w:snapToGrid w:val="0"/>
        </w:rPr>
        <w:t>but</w:t>
      </w:r>
      <w:r w:rsidR="00FD3F37">
        <w:rPr>
          <w:rFonts w:asciiTheme="minorHAnsi" w:hAnsiTheme="minorHAnsi"/>
          <w:snapToGrid w:val="0"/>
        </w:rPr>
        <w:t xml:space="preserve"> would </w:t>
      </w:r>
      <w:r w:rsidR="00E4223B">
        <w:rPr>
          <w:rFonts w:asciiTheme="minorHAnsi" w:hAnsiTheme="minorHAnsi"/>
          <w:snapToGrid w:val="0"/>
        </w:rPr>
        <w:t xml:space="preserve">rely on </w:t>
      </w:r>
      <w:r w:rsidR="007B4CB1">
        <w:rPr>
          <w:rFonts w:asciiTheme="minorHAnsi" w:hAnsiTheme="minorHAnsi"/>
          <w:snapToGrid w:val="0"/>
        </w:rPr>
        <w:t xml:space="preserve">HER2 </w:t>
      </w:r>
      <w:r w:rsidR="008C1AC4">
        <w:rPr>
          <w:rFonts w:asciiTheme="minorHAnsi" w:hAnsiTheme="minorHAnsi"/>
          <w:snapToGrid w:val="0"/>
        </w:rPr>
        <w:t xml:space="preserve">testing conducted prior to treatment with </w:t>
      </w:r>
      <w:r w:rsidR="007B4CB1">
        <w:rPr>
          <w:rFonts w:asciiTheme="minorHAnsi" w:hAnsiTheme="minorHAnsi"/>
          <w:snapToGrid w:val="0"/>
        </w:rPr>
        <w:t xml:space="preserve">1L </w:t>
      </w:r>
      <w:r w:rsidR="008C1AC4">
        <w:rPr>
          <w:rFonts w:asciiTheme="minorHAnsi" w:hAnsiTheme="minorHAnsi"/>
          <w:snapToGrid w:val="0"/>
        </w:rPr>
        <w:t>trastuzumab</w:t>
      </w:r>
      <w:r w:rsidR="007B4CB1">
        <w:rPr>
          <w:rFonts w:asciiTheme="minorHAnsi" w:hAnsiTheme="minorHAnsi"/>
          <w:snapToGrid w:val="0"/>
        </w:rPr>
        <w:t xml:space="preserve"> and therefore the increase in testing costs from re-testing would be minimal. </w:t>
      </w:r>
      <w:r w:rsidR="00526269">
        <w:rPr>
          <w:rFonts w:asciiTheme="minorHAnsi" w:hAnsiTheme="minorHAnsi"/>
          <w:snapToGrid w:val="0"/>
        </w:rPr>
        <w:t xml:space="preserve">The PBAC considered that although there is some risk of </w:t>
      </w:r>
      <w:r w:rsidR="0004618C">
        <w:rPr>
          <w:rFonts w:asciiTheme="minorHAnsi" w:hAnsiTheme="minorHAnsi"/>
          <w:snapToGrid w:val="0"/>
        </w:rPr>
        <w:t>a change in</w:t>
      </w:r>
      <w:r w:rsidR="00E27DE2">
        <w:rPr>
          <w:rFonts w:asciiTheme="minorHAnsi" w:hAnsiTheme="minorHAnsi"/>
          <w:snapToGrid w:val="0"/>
        </w:rPr>
        <w:t xml:space="preserve"> HER2 </w:t>
      </w:r>
      <w:r w:rsidR="0004618C">
        <w:rPr>
          <w:rFonts w:asciiTheme="minorHAnsi" w:hAnsiTheme="minorHAnsi"/>
          <w:snapToGrid w:val="0"/>
        </w:rPr>
        <w:t>status</w:t>
      </w:r>
      <w:r w:rsidR="00E27DE2">
        <w:rPr>
          <w:rFonts w:asciiTheme="minorHAnsi" w:hAnsiTheme="minorHAnsi"/>
          <w:snapToGrid w:val="0"/>
        </w:rPr>
        <w:t xml:space="preserve"> following treatment with trastuzumab</w:t>
      </w:r>
      <w:r w:rsidR="0004618C">
        <w:rPr>
          <w:rFonts w:asciiTheme="minorHAnsi" w:hAnsiTheme="minorHAnsi"/>
          <w:snapToGrid w:val="0"/>
        </w:rPr>
        <w:t xml:space="preserve">, re-biopsy was not practical </w:t>
      </w:r>
      <w:r w:rsidR="00CA5B14">
        <w:rPr>
          <w:rFonts w:asciiTheme="minorHAnsi" w:hAnsiTheme="minorHAnsi"/>
          <w:snapToGrid w:val="0"/>
        </w:rPr>
        <w:t xml:space="preserve">or </w:t>
      </w:r>
      <w:r w:rsidR="0004618C">
        <w:rPr>
          <w:rFonts w:asciiTheme="minorHAnsi" w:hAnsiTheme="minorHAnsi"/>
          <w:snapToGrid w:val="0"/>
        </w:rPr>
        <w:t>justified</w:t>
      </w:r>
      <w:r w:rsidR="00CA5B14">
        <w:rPr>
          <w:rFonts w:asciiTheme="minorHAnsi" w:hAnsiTheme="minorHAnsi"/>
          <w:snapToGrid w:val="0"/>
        </w:rPr>
        <w:t xml:space="preserve">, and the trial outcomes for DG-01 </w:t>
      </w:r>
      <w:r w:rsidR="00766C17">
        <w:rPr>
          <w:rFonts w:asciiTheme="minorHAnsi" w:hAnsiTheme="minorHAnsi"/>
          <w:snapToGrid w:val="0"/>
        </w:rPr>
        <w:t xml:space="preserve">also </w:t>
      </w:r>
      <w:r w:rsidR="00CA5B14">
        <w:rPr>
          <w:rFonts w:asciiTheme="minorHAnsi" w:hAnsiTheme="minorHAnsi"/>
          <w:snapToGrid w:val="0"/>
        </w:rPr>
        <w:t xml:space="preserve">reflected </w:t>
      </w:r>
      <w:r w:rsidR="00766C17" w:rsidRPr="001C6D5B">
        <w:t xml:space="preserve">testing </w:t>
      </w:r>
      <w:r w:rsidR="00766C17">
        <w:t>of</w:t>
      </w:r>
      <w:r w:rsidR="00766C17" w:rsidRPr="001C6D5B">
        <w:t xml:space="preserve"> archiv</w:t>
      </w:r>
      <w:r w:rsidR="00764F37">
        <w:t>ed</w:t>
      </w:r>
      <w:r w:rsidR="00766C17" w:rsidRPr="001C6D5B">
        <w:t xml:space="preserve"> tissue </w:t>
      </w:r>
      <w:r w:rsidR="00764F37">
        <w:t>where</w:t>
      </w:r>
      <w:r w:rsidR="00766C17" w:rsidRPr="001C6D5B">
        <w:t xml:space="preserve"> available.</w:t>
      </w:r>
    </w:p>
    <w:p w14:paraId="656269BD" w14:textId="4635EBA2" w:rsidR="004B13E5" w:rsidRPr="004B13E5" w:rsidRDefault="0012434B" w:rsidP="00EE27EC">
      <w:pPr>
        <w:widowControl w:val="0"/>
        <w:numPr>
          <w:ilvl w:val="1"/>
          <w:numId w:val="5"/>
        </w:numPr>
        <w:spacing w:after="120"/>
        <w:rPr>
          <w:rFonts w:asciiTheme="minorHAnsi" w:hAnsiTheme="minorHAnsi"/>
          <w:snapToGrid w:val="0"/>
          <w:lang w:val="en-GB"/>
        </w:rPr>
      </w:pPr>
      <w:r w:rsidRPr="00455F25">
        <w:t xml:space="preserve">The </w:t>
      </w:r>
      <w:r w:rsidR="004E01CD">
        <w:t xml:space="preserve">PBAC noted the </w:t>
      </w:r>
      <w:r w:rsidRPr="00455F25">
        <w:t xml:space="preserve">submission </w:t>
      </w:r>
      <w:r w:rsidR="004E01CD">
        <w:t xml:space="preserve">presented a cost-utility </w:t>
      </w:r>
      <w:r w:rsidR="00CC3D2A">
        <w:t xml:space="preserve">analysis based on the DG-01 trial. </w:t>
      </w:r>
      <w:r w:rsidR="001D4047">
        <w:t xml:space="preserve">The PBAC considered that the corrections </w:t>
      </w:r>
      <w:r w:rsidR="00F94A76">
        <w:t xml:space="preserve">to </w:t>
      </w:r>
      <w:r w:rsidR="00254141">
        <w:t xml:space="preserve">the </w:t>
      </w:r>
      <w:r w:rsidR="00E21884">
        <w:t>discount rate and application of the RDI a</w:t>
      </w:r>
      <w:r w:rsidR="00254141">
        <w:t xml:space="preserve">pplied in the Commentary </w:t>
      </w:r>
      <w:r w:rsidR="00E21884">
        <w:t xml:space="preserve">were appropriate. The PBAC also considered that it was reasonable to </w:t>
      </w:r>
      <w:r w:rsidR="0061548F">
        <w:t xml:space="preserve">apply extrapolation to the time on treatment, consistent with the extrapolation of other OS and PFS. Although </w:t>
      </w:r>
      <w:proofErr w:type="spellStart"/>
      <w:r w:rsidR="0061548F">
        <w:t>ToT</w:t>
      </w:r>
      <w:proofErr w:type="spellEnd"/>
      <w:r w:rsidR="0061548F">
        <w:t xml:space="preserve"> </w:t>
      </w:r>
      <w:r w:rsidR="00F94A76">
        <w:t xml:space="preserve">data </w:t>
      </w:r>
      <w:r w:rsidR="0061548F">
        <w:t>from the trial w</w:t>
      </w:r>
      <w:r w:rsidR="00F94A76">
        <w:t>ere</w:t>
      </w:r>
      <w:r w:rsidR="0061548F">
        <w:t xml:space="preserve"> relatively mature, 8% of patients remained on treatment </w:t>
      </w:r>
      <w:r w:rsidR="00255344">
        <w:t xml:space="preserve">at </w:t>
      </w:r>
      <w:r w:rsidR="00255344" w:rsidRPr="00455F25">
        <w:t>DC02</w:t>
      </w:r>
      <w:r w:rsidR="00255344">
        <w:t xml:space="preserve"> </w:t>
      </w:r>
      <w:r w:rsidR="0061548F">
        <w:t xml:space="preserve">and it would be expected that some patients remain on treatment </w:t>
      </w:r>
      <w:r w:rsidR="00255344">
        <w:t>for an extended time</w:t>
      </w:r>
      <w:r w:rsidR="00AF2D2E">
        <w:t>, consistent with the extrapolated PFS</w:t>
      </w:r>
      <w:r w:rsidR="00815A3F">
        <w:t xml:space="preserve"> curves.</w:t>
      </w:r>
      <w:r w:rsidR="00254141">
        <w:t xml:space="preserve"> </w:t>
      </w:r>
      <w:r w:rsidR="00F262EC">
        <w:t>The PBAC also agreed with the ESC that a time horizon of 4</w:t>
      </w:r>
      <w:r w:rsidR="009E3447">
        <w:t> </w:t>
      </w:r>
      <w:r w:rsidR="00F262EC">
        <w:t>years w</w:t>
      </w:r>
      <w:r w:rsidR="00694CAE">
        <w:t xml:space="preserve">as reasonable </w:t>
      </w:r>
      <w:r w:rsidR="00F262EC">
        <w:t>and</w:t>
      </w:r>
      <w:r w:rsidR="00694CAE">
        <w:t xml:space="preserve"> clinically plausible and would be expected to adequately capture costs and benefits for patients </w:t>
      </w:r>
      <w:r w:rsidR="00532317">
        <w:t>included in the DG-01 trial.</w:t>
      </w:r>
      <w:r w:rsidR="00F262EC">
        <w:t xml:space="preserve"> </w:t>
      </w:r>
    </w:p>
    <w:p w14:paraId="66C58B85" w14:textId="367F1347" w:rsidR="00D67502" w:rsidRPr="002E3004" w:rsidRDefault="002F653D" w:rsidP="00EE27EC">
      <w:pPr>
        <w:widowControl w:val="0"/>
        <w:numPr>
          <w:ilvl w:val="1"/>
          <w:numId w:val="5"/>
        </w:numPr>
        <w:spacing w:after="120"/>
        <w:rPr>
          <w:rFonts w:asciiTheme="minorHAnsi" w:hAnsiTheme="minorHAnsi"/>
          <w:snapToGrid w:val="0"/>
          <w:lang w:val="en-GB"/>
        </w:rPr>
      </w:pPr>
      <w:r>
        <w:t xml:space="preserve">The PBAC considered that changes to the </w:t>
      </w:r>
      <w:r w:rsidR="00441D9D">
        <w:t xml:space="preserve">truncation point for KM data in the revised analyses presented in the PSCR, ESC advice, and pre-PBAC response were appropriate </w:t>
      </w:r>
      <w:r w:rsidR="00BD4CC0">
        <w:t xml:space="preserve">in applying the </w:t>
      </w:r>
      <w:r w:rsidR="00A45A13">
        <w:t>observed time to event</w:t>
      </w:r>
      <w:r w:rsidR="00BD4CC0">
        <w:t xml:space="preserve"> data up to the point </w:t>
      </w:r>
      <w:r w:rsidR="00A45A13">
        <w:t>at which the observed data become unreliable</w:t>
      </w:r>
      <w:r w:rsidR="00441D9D">
        <w:t xml:space="preserve">. </w:t>
      </w:r>
      <w:r w:rsidR="0006467A" w:rsidRPr="0006467A">
        <w:t xml:space="preserve">The </w:t>
      </w:r>
      <w:r w:rsidR="0006467A">
        <w:t xml:space="preserve">PBAC noted PFS data were relatively mature and therefore the choice of extrapolation had </w:t>
      </w:r>
      <w:r w:rsidR="005E63FC">
        <w:t xml:space="preserve">a small impact on the ICER. However, </w:t>
      </w:r>
      <w:r w:rsidR="0006467A">
        <w:t xml:space="preserve">the </w:t>
      </w:r>
      <w:r w:rsidR="0006467A" w:rsidRPr="0006467A">
        <w:t>submission selected function</w:t>
      </w:r>
      <w:r w:rsidR="005E63FC">
        <w:t>s</w:t>
      </w:r>
      <w:r w:rsidR="0006467A" w:rsidRPr="0006467A">
        <w:t xml:space="preserve"> to extrapolate OS </w:t>
      </w:r>
      <w:r w:rsidR="000D2C7D">
        <w:t xml:space="preserve">(log-logistic for TDX-d and </w:t>
      </w:r>
      <w:r w:rsidR="00445DFD">
        <w:t>lognormal</w:t>
      </w:r>
      <w:r w:rsidR="0042789C">
        <w:t xml:space="preserve"> for SoC) </w:t>
      </w:r>
      <w:r w:rsidR="0006467A" w:rsidRPr="0006467A">
        <w:t xml:space="preserve">which produced OS </w:t>
      </w:r>
      <w:r w:rsidR="0042789C">
        <w:t>benefit</w:t>
      </w:r>
      <w:r w:rsidR="0006467A" w:rsidRPr="0006467A">
        <w:t xml:space="preserve"> that w</w:t>
      </w:r>
      <w:r w:rsidR="0042789C">
        <w:t>as</w:t>
      </w:r>
      <w:r w:rsidR="0006467A" w:rsidRPr="0006467A">
        <w:t xml:space="preserve"> substantially favourable to the T-</w:t>
      </w:r>
      <w:proofErr w:type="spellStart"/>
      <w:r w:rsidR="0006467A" w:rsidRPr="0006467A">
        <w:t>DXd</w:t>
      </w:r>
      <w:proofErr w:type="spellEnd"/>
      <w:r w:rsidR="0006467A" w:rsidRPr="0006467A">
        <w:t xml:space="preserve"> arm and resulted in a very long tail </w:t>
      </w:r>
      <w:r w:rsidR="0042789C">
        <w:t xml:space="preserve">for TDX-d </w:t>
      </w:r>
      <w:r w:rsidR="0006467A" w:rsidRPr="0006467A">
        <w:t xml:space="preserve">during the extrapolated period. </w:t>
      </w:r>
      <w:r w:rsidR="0068489B" w:rsidRPr="002E3004">
        <w:rPr>
          <w:iCs/>
        </w:rPr>
        <w:t>The PBAC considered that the use</w:t>
      </w:r>
      <w:r w:rsidR="00466F26">
        <w:rPr>
          <w:iCs/>
        </w:rPr>
        <w:t xml:space="preserve"> of</w:t>
      </w:r>
      <w:r w:rsidR="0068489B" w:rsidRPr="002E3004">
        <w:rPr>
          <w:iCs/>
        </w:rPr>
        <w:t xml:space="preserve"> Weibull extrapolations, as proposed in the Commentary and ESC advice, for OS produced more clinically plausible outcomes. The pre-PBAC response maintained the parametric functions used to extrapolate OS were appropriate </w:t>
      </w:r>
      <w:r w:rsidR="0068489B" w:rsidRPr="0068489B">
        <w:t xml:space="preserve">as they were the best statistically fitting curves and had good visual fit and clinical plausibility. </w:t>
      </w:r>
      <w:r w:rsidR="0068489B" w:rsidRPr="002E3004">
        <w:rPr>
          <w:iCs/>
        </w:rPr>
        <w:t>The</w:t>
      </w:r>
      <w:r w:rsidR="00AC751A" w:rsidRPr="002E3004">
        <w:rPr>
          <w:iCs/>
        </w:rPr>
        <w:t xml:space="preserve"> PBAC noted that the</w:t>
      </w:r>
      <w:r w:rsidR="0068489B" w:rsidRPr="002E3004">
        <w:rPr>
          <w:iCs/>
        </w:rPr>
        <w:t xml:space="preserve"> pre-PBAC response also argued </w:t>
      </w:r>
      <w:r w:rsidR="0068489B" w:rsidRPr="0068489B">
        <w:t>it is plausible that survival would be higher in practice than observed in the trial</w:t>
      </w:r>
      <w:r w:rsidR="0068489B" w:rsidRPr="002E3004">
        <w:rPr>
          <w:iCs/>
        </w:rPr>
        <w:t xml:space="preserve"> as patients were more heavily pre-treated than expected in Australian clinical practice. </w:t>
      </w:r>
      <w:r w:rsidR="00D77B00">
        <w:rPr>
          <w:iCs/>
        </w:rPr>
        <w:t xml:space="preserve">However, </w:t>
      </w:r>
      <w:r w:rsidR="00D77B00">
        <w:rPr>
          <w:iCs/>
        </w:rPr>
        <w:lastRenderedPageBreak/>
        <w:t>this would also impact on OS in the SoC arm</w:t>
      </w:r>
      <w:r w:rsidR="00FB7B33">
        <w:rPr>
          <w:iCs/>
        </w:rPr>
        <w:t xml:space="preserve">, which may </w:t>
      </w:r>
      <w:r w:rsidR="0028287D">
        <w:rPr>
          <w:iCs/>
        </w:rPr>
        <w:t>also have more favourable OS compared to the SoC arm in DG-01</w:t>
      </w:r>
      <w:r w:rsidR="00D77B00">
        <w:rPr>
          <w:iCs/>
        </w:rPr>
        <w:t xml:space="preserve">. </w:t>
      </w:r>
      <w:r w:rsidR="0028287D">
        <w:rPr>
          <w:iCs/>
        </w:rPr>
        <w:t>T</w:t>
      </w:r>
      <w:r w:rsidR="0068489B" w:rsidRPr="002E3004">
        <w:rPr>
          <w:iCs/>
        </w:rPr>
        <w:t xml:space="preserve">he pre-PBAC response argued that </w:t>
      </w:r>
      <w:r w:rsidR="0068489B" w:rsidRPr="0068489B">
        <w:t>the choice of OS extrapolations was supported by the DG-04 OS data, which shows a greater magnitude of benefit than DG-01 in a larger population that is more applicable to the Australian setting.</w:t>
      </w:r>
      <w:r w:rsidR="0068489B" w:rsidRPr="002E3004">
        <w:rPr>
          <w:iCs/>
        </w:rPr>
        <w:t xml:space="preserve"> </w:t>
      </w:r>
      <w:r w:rsidR="00E744FE" w:rsidRPr="002E3004">
        <w:rPr>
          <w:rFonts w:asciiTheme="minorHAnsi" w:hAnsiTheme="minorHAnsi"/>
          <w:snapToGrid w:val="0"/>
        </w:rPr>
        <w:t xml:space="preserve">The PBAC noted </w:t>
      </w:r>
      <w:r w:rsidR="002E3004">
        <w:rPr>
          <w:rFonts w:asciiTheme="minorHAnsi" w:hAnsiTheme="minorHAnsi"/>
          <w:snapToGrid w:val="0"/>
        </w:rPr>
        <w:t>that</w:t>
      </w:r>
      <w:r w:rsidR="00E744FE" w:rsidRPr="002E3004">
        <w:rPr>
          <w:rFonts w:asciiTheme="minorHAnsi" w:hAnsiTheme="minorHAnsi"/>
          <w:snapToGrid w:val="0"/>
        </w:rPr>
        <w:t xml:space="preserve"> data from DG-04 w</w:t>
      </w:r>
      <w:r w:rsidR="00203879">
        <w:rPr>
          <w:rFonts w:asciiTheme="minorHAnsi" w:hAnsiTheme="minorHAnsi"/>
          <w:snapToGrid w:val="0"/>
        </w:rPr>
        <w:t>ere</w:t>
      </w:r>
      <w:r w:rsidR="00E744FE" w:rsidRPr="002E3004">
        <w:rPr>
          <w:rFonts w:asciiTheme="minorHAnsi" w:hAnsiTheme="minorHAnsi"/>
          <w:snapToGrid w:val="0"/>
        </w:rPr>
        <w:t xml:space="preserve"> not available at the time of PBAC’s </w:t>
      </w:r>
      <w:proofErr w:type="gramStart"/>
      <w:r w:rsidR="00E744FE" w:rsidRPr="002E3004">
        <w:rPr>
          <w:rFonts w:asciiTheme="minorHAnsi" w:hAnsiTheme="minorHAnsi"/>
          <w:snapToGrid w:val="0"/>
        </w:rPr>
        <w:t>consideration</w:t>
      </w:r>
      <w:r w:rsidR="00D77B00">
        <w:rPr>
          <w:rFonts w:asciiTheme="minorHAnsi" w:hAnsiTheme="minorHAnsi"/>
          <w:snapToGrid w:val="0"/>
        </w:rPr>
        <w:t>, but</w:t>
      </w:r>
      <w:proofErr w:type="gramEnd"/>
      <w:r w:rsidR="00D77B00">
        <w:rPr>
          <w:rFonts w:asciiTheme="minorHAnsi" w:hAnsiTheme="minorHAnsi"/>
          <w:snapToGrid w:val="0"/>
        </w:rPr>
        <w:t xml:space="preserve"> considered that</w:t>
      </w:r>
      <w:r w:rsidR="00F131C1">
        <w:rPr>
          <w:rFonts w:asciiTheme="minorHAnsi" w:hAnsiTheme="minorHAnsi"/>
          <w:snapToGrid w:val="0"/>
        </w:rPr>
        <w:t xml:space="preserve"> it</w:t>
      </w:r>
      <w:r w:rsidR="00D77B00">
        <w:rPr>
          <w:rFonts w:asciiTheme="minorHAnsi" w:hAnsiTheme="minorHAnsi"/>
          <w:snapToGrid w:val="0"/>
        </w:rPr>
        <w:t xml:space="preserve"> </w:t>
      </w:r>
      <w:r w:rsidR="00B82883">
        <w:rPr>
          <w:rFonts w:asciiTheme="minorHAnsi" w:hAnsiTheme="minorHAnsi"/>
          <w:snapToGrid w:val="0"/>
        </w:rPr>
        <w:t xml:space="preserve">would </w:t>
      </w:r>
      <w:r w:rsidR="00937AE0">
        <w:rPr>
          <w:rFonts w:asciiTheme="minorHAnsi" w:hAnsiTheme="minorHAnsi"/>
          <w:snapToGrid w:val="0"/>
        </w:rPr>
        <w:t xml:space="preserve">be informative </w:t>
      </w:r>
      <w:r w:rsidR="00F131C1">
        <w:rPr>
          <w:rFonts w:asciiTheme="minorHAnsi" w:hAnsiTheme="minorHAnsi"/>
          <w:snapToGrid w:val="0"/>
        </w:rPr>
        <w:t>in consideration of</w:t>
      </w:r>
      <w:r w:rsidR="00E744FE" w:rsidRPr="002E3004">
        <w:rPr>
          <w:rFonts w:asciiTheme="minorHAnsi" w:hAnsiTheme="minorHAnsi"/>
          <w:snapToGrid w:val="0"/>
        </w:rPr>
        <w:t xml:space="preserve"> extrapolation of OS</w:t>
      </w:r>
      <w:r w:rsidR="009E2829">
        <w:rPr>
          <w:rFonts w:asciiTheme="minorHAnsi" w:hAnsiTheme="minorHAnsi"/>
          <w:snapToGrid w:val="0"/>
        </w:rPr>
        <w:t xml:space="preserve"> for both arms</w:t>
      </w:r>
      <w:r w:rsidR="00E744FE" w:rsidRPr="002E3004">
        <w:rPr>
          <w:rFonts w:asciiTheme="minorHAnsi" w:hAnsiTheme="minorHAnsi"/>
          <w:snapToGrid w:val="0"/>
        </w:rPr>
        <w:t>.</w:t>
      </w:r>
    </w:p>
    <w:p w14:paraId="0EC078C0" w14:textId="3FFCB772" w:rsidR="00314B3E" w:rsidRDefault="006A2F2C" w:rsidP="00314B3E">
      <w:pPr>
        <w:pStyle w:val="3-BodyText"/>
        <w:rPr>
          <w:iCs/>
        </w:rPr>
      </w:pPr>
      <w:bookmarkStart w:id="82" w:name="_Ref199415997"/>
      <w:r>
        <w:rPr>
          <w:iCs/>
        </w:rPr>
        <w:t xml:space="preserve">The PBAC considered that </w:t>
      </w:r>
      <w:r w:rsidR="00AC168F">
        <w:rPr>
          <w:iCs/>
        </w:rPr>
        <w:t>the re</w:t>
      </w:r>
      <w:r w:rsidR="00314B3E" w:rsidRPr="00E55A74">
        <w:rPr>
          <w:iCs/>
        </w:rPr>
        <w:t xml:space="preserve">-specified base case </w:t>
      </w:r>
      <w:r w:rsidR="00AC168F">
        <w:rPr>
          <w:iCs/>
        </w:rPr>
        <w:t xml:space="preserve">as proposed by the ESC was appropriate. </w:t>
      </w:r>
      <w:r w:rsidR="00C47F1B">
        <w:rPr>
          <w:iCs/>
        </w:rPr>
        <w:t xml:space="preserve">This respecified base case corrected the </w:t>
      </w:r>
      <w:r w:rsidR="00DB2D6D">
        <w:rPr>
          <w:iCs/>
        </w:rPr>
        <w:t xml:space="preserve">discounting rate, RDI application and extrapolation of </w:t>
      </w:r>
      <w:proofErr w:type="spellStart"/>
      <w:r w:rsidR="00DB2D6D">
        <w:rPr>
          <w:iCs/>
        </w:rPr>
        <w:t>ToT</w:t>
      </w:r>
      <w:proofErr w:type="spellEnd"/>
      <w:r w:rsidR="00DB2D6D">
        <w:rPr>
          <w:iCs/>
        </w:rPr>
        <w:t xml:space="preserve"> </w:t>
      </w:r>
      <w:r w:rsidR="00C3557C">
        <w:rPr>
          <w:iCs/>
        </w:rPr>
        <w:t>and revised</w:t>
      </w:r>
      <w:r w:rsidR="00314B3E" w:rsidRPr="00E55A74">
        <w:rPr>
          <w:iCs/>
        </w:rPr>
        <w:t xml:space="preserve"> the following</w:t>
      </w:r>
      <w:r w:rsidR="00C3557C">
        <w:rPr>
          <w:iCs/>
        </w:rPr>
        <w:t xml:space="preserve"> inputs</w:t>
      </w:r>
      <w:r w:rsidR="00314B3E" w:rsidRPr="00E55A74">
        <w:rPr>
          <w:iCs/>
        </w:rPr>
        <w:t xml:space="preserve">: 1) </w:t>
      </w:r>
      <w:r w:rsidR="00C3557C">
        <w:rPr>
          <w:iCs/>
        </w:rPr>
        <w:t>t</w:t>
      </w:r>
      <w:r w:rsidR="00314B3E" w:rsidRPr="00E55A74">
        <w:rPr>
          <w:iCs/>
        </w:rPr>
        <w:t xml:space="preserve">ime horizon </w:t>
      </w:r>
      <w:r w:rsidR="00C3557C">
        <w:rPr>
          <w:iCs/>
        </w:rPr>
        <w:t>from 7.5 to</w:t>
      </w:r>
      <w:r w:rsidR="00314B3E" w:rsidRPr="00E55A74">
        <w:rPr>
          <w:iCs/>
        </w:rPr>
        <w:t xml:space="preserve"> 4 years; 2) </w:t>
      </w:r>
      <w:r w:rsidR="00C3557C">
        <w:rPr>
          <w:iCs/>
        </w:rPr>
        <w:t xml:space="preserve">applied </w:t>
      </w:r>
      <w:proofErr w:type="spellStart"/>
      <w:r w:rsidR="00314B3E" w:rsidRPr="00E55A74">
        <w:rPr>
          <w:iCs/>
        </w:rPr>
        <w:t>Gebski</w:t>
      </w:r>
      <w:proofErr w:type="spellEnd"/>
      <w:r w:rsidR="00314B3E" w:rsidRPr="00E55A74">
        <w:rPr>
          <w:iCs/>
        </w:rPr>
        <w:t xml:space="preserve"> criterion to inform truncation points; and 3) </w:t>
      </w:r>
      <w:r w:rsidR="00C3557C">
        <w:rPr>
          <w:iCs/>
        </w:rPr>
        <w:t>applied W</w:t>
      </w:r>
      <w:r w:rsidR="00314B3E" w:rsidRPr="00E55A74">
        <w:rPr>
          <w:iCs/>
        </w:rPr>
        <w:t>eibull extrapolations for OS</w:t>
      </w:r>
      <w:r w:rsidR="00C3557C">
        <w:rPr>
          <w:iCs/>
        </w:rPr>
        <w:t xml:space="preserve"> for both arms</w:t>
      </w:r>
      <w:r w:rsidR="00314B3E" w:rsidRPr="00E55A74">
        <w:rPr>
          <w:iCs/>
        </w:rPr>
        <w:t xml:space="preserve">. </w:t>
      </w:r>
      <w:r w:rsidR="00314B3E">
        <w:rPr>
          <w:iCs/>
        </w:rPr>
        <w:t xml:space="preserve">The </w:t>
      </w:r>
      <w:r w:rsidR="00C3557C">
        <w:rPr>
          <w:iCs/>
        </w:rPr>
        <w:t xml:space="preserve">PBAC noted that the </w:t>
      </w:r>
      <w:r w:rsidR="00314B3E">
        <w:rPr>
          <w:iCs/>
        </w:rPr>
        <w:t>pre-PBAC response argued that this reflected highly conservative assumptions and would likely necessitate a very low price for T-</w:t>
      </w:r>
      <w:proofErr w:type="spellStart"/>
      <w:r w:rsidR="00314B3E">
        <w:rPr>
          <w:iCs/>
        </w:rPr>
        <w:t>DXd</w:t>
      </w:r>
      <w:proofErr w:type="spellEnd"/>
      <w:r w:rsidR="00314B3E">
        <w:rPr>
          <w:iCs/>
        </w:rPr>
        <w:t xml:space="preserve">, making it unviable for the sponsor to proceed with a listing in this indication. </w:t>
      </w:r>
      <w:r w:rsidRPr="00E55A74">
        <w:rPr>
          <w:iCs/>
        </w:rPr>
        <w:t xml:space="preserve">The </w:t>
      </w:r>
      <w:r>
        <w:rPr>
          <w:iCs/>
        </w:rPr>
        <w:t>PBAC noted that the pre-PBAC response proposed a modified respecified base case with assumptions the sponsor considered reasonable and plausible, which used a reduced patient weight</w:t>
      </w:r>
      <w:r w:rsidR="00241901">
        <w:rPr>
          <w:iCs/>
        </w:rPr>
        <w:t>, used the mean RDI of 89.95%</w:t>
      </w:r>
      <w:r w:rsidR="003301B6">
        <w:rPr>
          <w:iCs/>
        </w:rPr>
        <w:t xml:space="preserve"> instead of the median (92.5%)</w:t>
      </w:r>
      <w:r>
        <w:rPr>
          <w:iCs/>
        </w:rPr>
        <w:t xml:space="preserve"> and </w:t>
      </w:r>
      <w:r w:rsidR="0099369E">
        <w:rPr>
          <w:iCs/>
        </w:rPr>
        <w:t xml:space="preserve">maintained the favourable OS extrapolations. The PBAC </w:t>
      </w:r>
      <w:r>
        <w:rPr>
          <w:iCs/>
        </w:rPr>
        <w:t>considered that in the absence of any additional data to support different extrapolation of OS</w:t>
      </w:r>
      <w:r w:rsidR="0099369E">
        <w:rPr>
          <w:iCs/>
        </w:rPr>
        <w:t xml:space="preserve"> or patient weight, the </w:t>
      </w:r>
      <w:r w:rsidR="00D84866">
        <w:rPr>
          <w:iCs/>
        </w:rPr>
        <w:t>ESC respecified base case remained the most appropriate</w:t>
      </w:r>
      <w:r w:rsidR="003301B6">
        <w:rPr>
          <w:iCs/>
        </w:rPr>
        <w:t xml:space="preserve"> analysis for decision-making</w:t>
      </w:r>
      <w:r w:rsidR="00D84866">
        <w:rPr>
          <w:iCs/>
        </w:rPr>
        <w:t>. The PBAC noted that at the proposed price</w:t>
      </w:r>
      <w:r w:rsidR="003301B6">
        <w:rPr>
          <w:iCs/>
        </w:rPr>
        <w:t xml:space="preserve"> for TDX-d</w:t>
      </w:r>
      <w:r w:rsidR="005B7401">
        <w:rPr>
          <w:iCs/>
        </w:rPr>
        <w:t xml:space="preserve">, this would result in an ICER of </w:t>
      </w:r>
      <w:r w:rsidR="00111997" w:rsidRPr="00111997">
        <w:rPr>
          <w:iCs/>
        </w:rPr>
        <w:t>$155,000 to &lt; $255,000</w:t>
      </w:r>
      <w:r w:rsidR="005B7401">
        <w:t xml:space="preserve">, which the PBAC considered was </w:t>
      </w:r>
      <w:r w:rsidR="00E97719">
        <w:t xml:space="preserve">unacceptably high and remained uncertain due to the </w:t>
      </w:r>
      <w:r w:rsidR="00C93CC0">
        <w:t>limited applicability</w:t>
      </w:r>
      <w:r w:rsidR="00A715DE">
        <w:t xml:space="preserve"> and uncertain extrapolation</w:t>
      </w:r>
      <w:r w:rsidR="00C93CC0">
        <w:t xml:space="preserve"> of the </w:t>
      </w:r>
      <w:r w:rsidR="0060228C">
        <w:t xml:space="preserve">comparative trial data from DG-01. The PBAC considered that TDX-d would be considered acceptably cost-effective at a </w:t>
      </w:r>
      <w:r w:rsidR="00020204">
        <w:t xml:space="preserve">reduced </w:t>
      </w:r>
      <w:r w:rsidR="0060228C">
        <w:t>price</w:t>
      </w:r>
      <w:r w:rsidR="008B0899">
        <w:t xml:space="preserve"> that would result in an ICER of </w:t>
      </w:r>
      <w:r w:rsidR="00A715DE">
        <w:t>no more than $</w:t>
      </w:r>
      <w:r w:rsidR="00FB1043">
        <w:t>55,000 </w:t>
      </w:r>
      <w:r w:rsidR="009745D2">
        <w:t>to &lt; $</w:t>
      </w:r>
      <w:r w:rsidR="000C1D99">
        <w:t>7</w:t>
      </w:r>
      <w:r w:rsidR="009745D2">
        <w:t>5</w:t>
      </w:r>
      <w:r w:rsidR="00A715DE">
        <w:t>,000 per QALY.</w:t>
      </w:r>
      <w:bookmarkEnd w:id="82"/>
    </w:p>
    <w:p w14:paraId="438667AD" w14:textId="3F94526C" w:rsidR="00D67502" w:rsidRPr="00CE42B4" w:rsidRDefault="004069CF" w:rsidP="00EE27EC">
      <w:pPr>
        <w:widowControl w:val="0"/>
        <w:numPr>
          <w:ilvl w:val="1"/>
          <w:numId w:val="5"/>
        </w:numPr>
        <w:spacing w:after="120"/>
      </w:pPr>
      <w:r>
        <w:rPr>
          <w:rFonts w:asciiTheme="minorHAnsi" w:hAnsiTheme="minorHAnsi"/>
          <w:snapToGrid w:val="0"/>
          <w:lang w:val="en-GB"/>
        </w:rPr>
        <w:t>The PBAC</w:t>
      </w:r>
      <w:r w:rsidR="00EF6246">
        <w:rPr>
          <w:rFonts w:asciiTheme="minorHAnsi" w:hAnsiTheme="minorHAnsi"/>
          <w:snapToGrid w:val="0"/>
          <w:lang w:val="en-GB"/>
        </w:rPr>
        <w:t xml:space="preserve"> considered that the approach to estimating patient numbers was reasonable, however</w:t>
      </w:r>
      <w:r>
        <w:rPr>
          <w:rFonts w:asciiTheme="minorHAnsi" w:hAnsiTheme="minorHAnsi"/>
          <w:snapToGrid w:val="0"/>
          <w:lang w:val="en-GB"/>
        </w:rPr>
        <w:t xml:space="preserve"> </w:t>
      </w:r>
      <w:proofErr w:type="gramStart"/>
      <w:r>
        <w:rPr>
          <w:rFonts w:asciiTheme="minorHAnsi" w:hAnsiTheme="minorHAnsi"/>
          <w:snapToGrid w:val="0"/>
          <w:lang w:val="en-GB"/>
        </w:rPr>
        <w:t>a number of</w:t>
      </w:r>
      <w:proofErr w:type="gramEnd"/>
      <w:r>
        <w:rPr>
          <w:rFonts w:asciiTheme="minorHAnsi" w:hAnsiTheme="minorHAnsi"/>
          <w:snapToGrid w:val="0"/>
          <w:lang w:val="en-GB"/>
        </w:rPr>
        <w:t xml:space="preserve"> </w:t>
      </w:r>
      <w:r w:rsidR="007E56CB">
        <w:rPr>
          <w:rFonts w:asciiTheme="minorHAnsi" w:hAnsiTheme="minorHAnsi"/>
          <w:snapToGrid w:val="0"/>
          <w:lang w:val="en-GB"/>
        </w:rPr>
        <w:t xml:space="preserve">errors in the financial estimates were identified </w:t>
      </w:r>
      <w:r w:rsidR="00471EE9">
        <w:rPr>
          <w:rFonts w:asciiTheme="minorHAnsi" w:hAnsiTheme="minorHAnsi"/>
          <w:snapToGrid w:val="0"/>
          <w:lang w:val="en-GB"/>
        </w:rPr>
        <w:t>d</w:t>
      </w:r>
      <w:r w:rsidR="007E56CB">
        <w:rPr>
          <w:rFonts w:asciiTheme="minorHAnsi" w:hAnsiTheme="minorHAnsi"/>
          <w:snapToGrid w:val="0"/>
          <w:lang w:val="en-GB"/>
        </w:rPr>
        <w:t xml:space="preserve">uring the evaluation. </w:t>
      </w:r>
      <w:r w:rsidR="00471EE9">
        <w:rPr>
          <w:rFonts w:asciiTheme="minorHAnsi" w:hAnsiTheme="minorHAnsi"/>
          <w:snapToGrid w:val="0"/>
          <w:lang w:val="en-GB"/>
        </w:rPr>
        <w:t>The PBAC considered that these issues should be amended</w:t>
      </w:r>
      <w:r w:rsidR="00B30AE5">
        <w:rPr>
          <w:rFonts w:asciiTheme="minorHAnsi" w:hAnsiTheme="minorHAnsi"/>
          <w:snapToGrid w:val="0"/>
          <w:lang w:val="en-GB"/>
        </w:rPr>
        <w:t xml:space="preserve">, </w:t>
      </w:r>
      <w:r w:rsidR="00AA0109">
        <w:rPr>
          <w:rFonts w:asciiTheme="minorHAnsi" w:hAnsiTheme="minorHAnsi"/>
          <w:snapToGrid w:val="0"/>
          <w:lang w:val="en-GB"/>
        </w:rPr>
        <w:t>inclu</w:t>
      </w:r>
      <w:r w:rsidR="00B30AE5">
        <w:rPr>
          <w:rFonts w:asciiTheme="minorHAnsi" w:hAnsiTheme="minorHAnsi"/>
          <w:snapToGrid w:val="0"/>
          <w:lang w:val="en-GB"/>
        </w:rPr>
        <w:t>ding:</w:t>
      </w:r>
      <w:r w:rsidR="00AA0109">
        <w:rPr>
          <w:rFonts w:asciiTheme="minorHAnsi" w:hAnsiTheme="minorHAnsi"/>
          <w:snapToGrid w:val="0"/>
          <w:lang w:val="en-GB"/>
        </w:rPr>
        <w:t xml:space="preserve"> changes to the </w:t>
      </w:r>
      <w:r w:rsidR="004C13E6">
        <w:rPr>
          <w:rFonts w:asciiTheme="minorHAnsi" w:hAnsiTheme="minorHAnsi"/>
          <w:snapToGrid w:val="0"/>
          <w:lang w:val="en-GB"/>
        </w:rPr>
        <w:t xml:space="preserve">number of </w:t>
      </w:r>
      <w:r w:rsidR="00B30AE5">
        <w:rPr>
          <w:rFonts w:asciiTheme="minorHAnsi" w:hAnsiTheme="minorHAnsi"/>
          <w:snapToGrid w:val="0"/>
          <w:lang w:val="en-GB"/>
        </w:rPr>
        <w:t xml:space="preserve">incident and prevalent </w:t>
      </w:r>
      <w:r w:rsidR="004C13E6">
        <w:rPr>
          <w:rFonts w:asciiTheme="minorHAnsi" w:hAnsiTheme="minorHAnsi"/>
          <w:snapToGrid w:val="0"/>
          <w:lang w:val="en-GB"/>
        </w:rPr>
        <w:t>patients based on trastuzumab scripts</w:t>
      </w:r>
      <w:r w:rsidR="00B30AE5">
        <w:rPr>
          <w:rFonts w:asciiTheme="minorHAnsi" w:hAnsiTheme="minorHAnsi"/>
          <w:snapToGrid w:val="0"/>
          <w:lang w:val="en-GB"/>
        </w:rPr>
        <w:t xml:space="preserve"> (paragraph </w:t>
      </w:r>
      <w:r w:rsidR="00B30AE5">
        <w:rPr>
          <w:rFonts w:asciiTheme="minorHAnsi" w:hAnsiTheme="minorHAnsi"/>
          <w:snapToGrid w:val="0"/>
          <w:lang w:val="en-GB"/>
        </w:rPr>
        <w:fldChar w:fldCharType="begin"/>
      </w:r>
      <w:r w:rsidR="00B30AE5">
        <w:rPr>
          <w:rFonts w:asciiTheme="minorHAnsi" w:hAnsiTheme="minorHAnsi"/>
          <w:snapToGrid w:val="0"/>
          <w:lang w:val="en-GB"/>
        </w:rPr>
        <w:instrText xml:space="preserve"> REF _Ref199415715 \r \h </w:instrText>
      </w:r>
      <w:r w:rsidR="00B30AE5">
        <w:rPr>
          <w:rFonts w:asciiTheme="minorHAnsi" w:hAnsiTheme="minorHAnsi"/>
          <w:snapToGrid w:val="0"/>
          <w:lang w:val="en-GB"/>
        </w:rPr>
      </w:r>
      <w:r w:rsidR="00B30AE5">
        <w:rPr>
          <w:rFonts w:asciiTheme="minorHAnsi" w:hAnsiTheme="minorHAnsi"/>
          <w:snapToGrid w:val="0"/>
          <w:lang w:val="en-GB"/>
        </w:rPr>
        <w:fldChar w:fldCharType="separate"/>
      </w:r>
      <w:r w:rsidR="00593619">
        <w:rPr>
          <w:rFonts w:asciiTheme="minorHAnsi" w:hAnsiTheme="minorHAnsi"/>
          <w:snapToGrid w:val="0"/>
          <w:lang w:val="en-GB"/>
        </w:rPr>
        <w:t>6.65</w:t>
      </w:r>
      <w:r w:rsidR="00B30AE5">
        <w:rPr>
          <w:rFonts w:asciiTheme="minorHAnsi" w:hAnsiTheme="minorHAnsi"/>
          <w:snapToGrid w:val="0"/>
          <w:lang w:val="en-GB"/>
        </w:rPr>
        <w:fldChar w:fldCharType="end"/>
      </w:r>
      <w:r w:rsidR="00B30AE5">
        <w:rPr>
          <w:rFonts w:asciiTheme="minorHAnsi" w:hAnsiTheme="minorHAnsi"/>
          <w:snapToGrid w:val="0"/>
          <w:lang w:val="en-GB"/>
        </w:rPr>
        <w:t>)</w:t>
      </w:r>
      <w:r w:rsidR="004C13E6">
        <w:rPr>
          <w:rFonts w:asciiTheme="minorHAnsi" w:hAnsiTheme="minorHAnsi"/>
          <w:snapToGrid w:val="0"/>
          <w:lang w:val="en-GB"/>
        </w:rPr>
        <w:t xml:space="preserve">, </w:t>
      </w:r>
      <w:r w:rsidR="00471EE9">
        <w:rPr>
          <w:rFonts w:asciiTheme="minorHAnsi" w:hAnsiTheme="minorHAnsi"/>
          <w:snapToGrid w:val="0"/>
          <w:lang w:val="en-GB"/>
        </w:rPr>
        <w:t>adjustment to the</w:t>
      </w:r>
      <w:r w:rsidR="00B30AE5">
        <w:rPr>
          <w:rFonts w:asciiTheme="minorHAnsi" w:hAnsiTheme="minorHAnsi"/>
          <w:snapToGrid w:val="0"/>
          <w:lang w:val="en-GB"/>
        </w:rPr>
        <w:t xml:space="preserve"> duration of therapy consistent with the revised economic model</w:t>
      </w:r>
      <w:r w:rsidR="00471EE9">
        <w:rPr>
          <w:rFonts w:asciiTheme="minorHAnsi" w:hAnsiTheme="minorHAnsi"/>
          <w:snapToGrid w:val="0"/>
          <w:lang w:val="en-GB"/>
        </w:rPr>
        <w:t xml:space="preserve"> </w:t>
      </w:r>
      <w:r w:rsidR="00B30AE5">
        <w:rPr>
          <w:rFonts w:asciiTheme="minorHAnsi" w:hAnsiTheme="minorHAnsi"/>
          <w:snapToGrid w:val="0"/>
          <w:lang w:val="en-GB"/>
        </w:rPr>
        <w:t xml:space="preserve">(paragraph </w:t>
      </w:r>
      <w:r w:rsidR="00A17B5D">
        <w:rPr>
          <w:rFonts w:asciiTheme="minorHAnsi" w:hAnsiTheme="minorHAnsi"/>
          <w:snapToGrid w:val="0"/>
          <w:lang w:val="en-GB"/>
        </w:rPr>
        <w:fldChar w:fldCharType="begin"/>
      </w:r>
      <w:r w:rsidR="00A17B5D">
        <w:rPr>
          <w:rFonts w:asciiTheme="minorHAnsi" w:hAnsiTheme="minorHAnsi"/>
          <w:snapToGrid w:val="0"/>
          <w:lang w:val="en-GB"/>
        </w:rPr>
        <w:instrText xml:space="preserve"> REF _Ref199415755 \r \h </w:instrText>
      </w:r>
      <w:r w:rsidR="00A17B5D">
        <w:rPr>
          <w:rFonts w:asciiTheme="minorHAnsi" w:hAnsiTheme="minorHAnsi"/>
          <w:snapToGrid w:val="0"/>
          <w:lang w:val="en-GB"/>
        </w:rPr>
      </w:r>
      <w:r w:rsidR="00A17B5D">
        <w:rPr>
          <w:rFonts w:asciiTheme="minorHAnsi" w:hAnsiTheme="minorHAnsi"/>
          <w:snapToGrid w:val="0"/>
          <w:lang w:val="en-GB"/>
        </w:rPr>
        <w:fldChar w:fldCharType="separate"/>
      </w:r>
      <w:r w:rsidR="00593619">
        <w:rPr>
          <w:rFonts w:asciiTheme="minorHAnsi" w:hAnsiTheme="minorHAnsi"/>
          <w:snapToGrid w:val="0"/>
          <w:lang w:val="en-GB"/>
        </w:rPr>
        <w:t>6.66</w:t>
      </w:r>
      <w:r w:rsidR="00A17B5D">
        <w:rPr>
          <w:rFonts w:asciiTheme="minorHAnsi" w:hAnsiTheme="minorHAnsi"/>
          <w:snapToGrid w:val="0"/>
          <w:lang w:val="en-GB"/>
        </w:rPr>
        <w:fldChar w:fldCharType="end"/>
      </w:r>
      <w:r w:rsidR="00A17B5D">
        <w:rPr>
          <w:rFonts w:asciiTheme="minorHAnsi" w:hAnsiTheme="minorHAnsi"/>
          <w:snapToGrid w:val="0"/>
          <w:lang w:val="en-GB"/>
        </w:rPr>
        <w:t xml:space="preserve">), correction of the application of RDI (paragraph </w:t>
      </w:r>
      <w:r w:rsidR="00A17B5D">
        <w:rPr>
          <w:rFonts w:asciiTheme="minorHAnsi" w:hAnsiTheme="minorHAnsi"/>
          <w:snapToGrid w:val="0"/>
          <w:lang w:val="en-GB"/>
        </w:rPr>
        <w:fldChar w:fldCharType="begin"/>
      </w:r>
      <w:r w:rsidR="00A17B5D">
        <w:rPr>
          <w:rFonts w:asciiTheme="minorHAnsi" w:hAnsiTheme="minorHAnsi"/>
          <w:snapToGrid w:val="0"/>
          <w:lang w:val="en-GB"/>
        </w:rPr>
        <w:instrText xml:space="preserve"> REF _Ref199415786 \r \h </w:instrText>
      </w:r>
      <w:r w:rsidR="00A17B5D">
        <w:rPr>
          <w:rFonts w:asciiTheme="minorHAnsi" w:hAnsiTheme="minorHAnsi"/>
          <w:snapToGrid w:val="0"/>
          <w:lang w:val="en-GB"/>
        </w:rPr>
      </w:r>
      <w:r w:rsidR="00A17B5D">
        <w:rPr>
          <w:rFonts w:asciiTheme="minorHAnsi" w:hAnsiTheme="minorHAnsi"/>
          <w:snapToGrid w:val="0"/>
          <w:lang w:val="en-GB"/>
        </w:rPr>
        <w:fldChar w:fldCharType="separate"/>
      </w:r>
      <w:r w:rsidR="00593619">
        <w:rPr>
          <w:rFonts w:asciiTheme="minorHAnsi" w:hAnsiTheme="minorHAnsi"/>
          <w:snapToGrid w:val="0"/>
          <w:lang w:val="en-GB"/>
        </w:rPr>
        <w:t>6.67</w:t>
      </w:r>
      <w:r w:rsidR="00A17B5D">
        <w:rPr>
          <w:rFonts w:asciiTheme="minorHAnsi" w:hAnsiTheme="minorHAnsi"/>
          <w:snapToGrid w:val="0"/>
          <w:lang w:val="en-GB"/>
        </w:rPr>
        <w:fldChar w:fldCharType="end"/>
      </w:r>
      <w:r w:rsidR="00A17B5D">
        <w:rPr>
          <w:rFonts w:asciiTheme="minorHAnsi" w:hAnsiTheme="minorHAnsi"/>
          <w:snapToGrid w:val="0"/>
          <w:lang w:val="en-GB"/>
        </w:rPr>
        <w:t xml:space="preserve">) and </w:t>
      </w:r>
      <w:r w:rsidR="00D36B2E">
        <w:rPr>
          <w:rFonts w:asciiTheme="minorHAnsi" w:hAnsiTheme="minorHAnsi"/>
          <w:snapToGrid w:val="0"/>
          <w:lang w:val="en-GB"/>
        </w:rPr>
        <w:t xml:space="preserve">corrections to calculation of costs offsets for SoC (paragraphs </w:t>
      </w:r>
      <w:r w:rsidR="00D36B2E">
        <w:rPr>
          <w:rFonts w:asciiTheme="minorHAnsi" w:hAnsiTheme="minorHAnsi"/>
          <w:snapToGrid w:val="0"/>
          <w:lang w:val="en-GB"/>
        </w:rPr>
        <w:fldChar w:fldCharType="begin"/>
      </w:r>
      <w:r w:rsidR="00D36B2E">
        <w:rPr>
          <w:rFonts w:asciiTheme="minorHAnsi" w:hAnsiTheme="minorHAnsi"/>
          <w:snapToGrid w:val="0"/>
          <w:lang w:val="en-GB"/>
        </w:rPr>
        <w:instrText xml:space="preserve"> REF _Ref199415835 \r \h </w:instrText>
      </w:r>
      <w:r w:rsidR="00D36B2E">
        <w:rPr>
          <w:rFonts w:asciiTheme="minorHAnsi" w:hAnsiTheme="minorHAnsi"/>
          <w:snapToGrid w:val="0"/>
          <w:lang w:val="en-GB"/>
        </w:rPr>
      </w:r>
      <w:r w:rsidR="00D36B2E">
        <w:rPr>
          <w:rFonts w:asciiTheme="minorHAnsi" w:hAnsiTheme="minorHAnsi"/>
          <w:snapToGrid w:val="0"/>
          <w:lang w:val="en-GB"/>
        </w:rPr>
        <w:fldChar w:fldCharType="separate"/>
      </w:r>
      <w:r w:rsidR="00593619">
        <w:rPr>
          <w:rFonts w:asciiTheme="minorHAnsi" w:hAnsiTheme="minorHAnsi"/>
          <w:snapToGrid w:val="0"/>
          <w:lang w:val="en-GB"/>
        </w:rPr>
        <w:t>6.68</w:t>
      </w:r>
      <w:r w:rsidR="00D36B2E">
        <w:rPr>
          <w:rFonts w:asciiTheme="minorHAnsi" w:hAnsiTheme="minorHAnsi"/>
          <w:snapToGrid w:val="0"/>
          <w:lang w:val="en-GB"/>
        </w:rPr>
        <w:fldChar w:fldCharType="end"/>
      </w:r>
      <w:r w:rsidR="00D36B2E">
        <w:rPr>
          <w:rFonts w:asciiTheme="minorHAnsi" w:hAnsiTheme="minorHAnsi"/>
          <w:snapToGrid w:val="0"/>
          <w:lang w:val="en-GB"/>
        </w:rPr>
        <w:t xml:space="preserve"> and </w:t>
      </w:r>
      <w:r w:rsidR="00D36B2E">
        <w:rPr>
          <w:rFonts w:asciiTheme="minorHAnsi" w:hAnsiTheme="minorHAnsi"/>
          <w:snapToGrid w:val="0"/>
          <w:lang w:val="en-GB"/>
        </w:rPr>
        <w:fldChar w:fldCharType="begin"/>
      </w:r>
      <w:r w:rsidR="00D36B2E">
        <w:rPr>
          <w:rFonts w:asciiTheme="minorHAnsi" w:hAnsiTheme="minorHAnsi"/>
          <w:snapToGrid w:val="0"/>
          <w:lang w:val="en-GB"/>
        </w:rPr>
        <w:instrText xml:space="preserve"> REF _Ref199415838 \r \h </w:instrText>
      </w:r>
      <w:r w:rsidR="00D36B2E">
        <w:rPr>
          <w:rFonts w:asciiTheme="minorHAnsi" w:hAnsiTheme="minorHAnsi"/>
          <w:snapToGrid w:val="0"/>
          <w:lang w:val="en-GB"/>
        </w:rPr>
      </w:r>
      <w:r w:rsidR="00D36B2E">
        <w:rPr>
          <w:rFonts w:asciiTheme="minorHAnsi" w:hAnsiTheme="minorHAnsi"/>
          <w:snapToGrid w:val="0"/>
          <w:lang w:val="en-GB"/>
        </w:rPr>
        <w:fldChar w:fldCharType="separate"/>
      </w:r>
      <w:r w:rsidR="00593619">
        <w:rPr>
          <w:rFonts w:asciiTheme="minorHAnsi" w:hAnsiTheme="minorHAnsi"/>
          <w:snapToGrid w:val="0"/>
          <w:lang w:val="en-GB"/>
        </w:rPr>
        <w:t>6.69</w:t>
      </w:r>
      <w:r w:rsidR="00D36B2E">
        <w:rPr>
          <w:rFonts w:asciiTheme="minorHAnsi" w:hAnsiTheme="minorHAnsi"/>
          <w:snapToGrid w:val="0"/>
          <w:lang w:val="en-GB"/>
        </w:rPr>
        <w:fldChar w:fldCharType="end"/>
      </w:r>
      <w:r w:rsidR="00D36B2E">
        <w:rPr>
          <w:rFonts w:asciiTheme="minorHAnsi" w:hAnsiTheme="minorHAnsi"/>
          <w:snapToGrid w:val="0"/>
          <w:lang w:val="en-GB"/>
        </w:rPr>
        <w:t>).</w:t>
      </w:r>
    </w:p>
    <w:p w14:paraId="029E9D9C" w14:textId="5B66AECD" w:rsidR="00DA3E5B" w:rsidRPr="00CE42B4" w:rsidRDefault="00DC7115" w:rsidP="00A06A5E">
      <w:pPr>
        <w:pStyle w:val="3-BodyText"/>
        <w:widowControl w:val="0"/>
      </w:pPr>
      <w:r>
        <w:t xml:space="preserve">The </w:t>
      </w:r>
      <w:proofErr w:type="gramStart"/>
      <w:r>
        <w:t>Pre-PBAC</w:t>
      </w:r>
      <w:proofErr w:type="gramEnd"/>
      <w:r>
        <w:t xml:space="preserve"> response indicated that the sponsor </w:t>
      </w:r>
      <w:r w:rsidR="00F53895">
        <w:t>would</w:t>
      </w:r>
      <w:r>
        <w:t xml:space="preserve"> consider an RSA to mitigate any remaining uncertainties in the estimate of the average number of vials per patient</w:t>
      </w:r>
      <w:r w:rsidR="002E5B3A">
        <w:t xml:space="preserve">, which was reduced in the sponsor’s </w:t>
      </w:r>
      <w:r w:rsidR="00F43C52">
        <w:t>respecified</w:t>
      </w:r>
      <w:r w:rsidR="002E5B3A">
        <w:t xml:space="preserve"> economic model</w:t>
      </w:r>
      <w:r>
        <w:t xml:space="preserve">. </w:t>
      </w:r>
      <w:r w:rsidR="0098021E" w:rsidRPr="00DC7115">
        <w:rPr>
          <w:snapToGrid w:val="0"/>
        </w:rPr>
        <w:t>T</w:t>
      </w:r>
      <w:r w:rsidR="009A147E" w:rsidRPr="00DC7115">
        <w:rPr>
          <w:snapToGrid w:val="0"/>
        </w:rPr>
        <w:t xml:space="preserve">he PBAC advised that </w:t>
      </w:r>
      <w:r w:rsidR="00287EE5" w:rsidRPr="00DC7115">
        <w:rPr>
          <w:snapToGrid w:val="0"/>
        </w:rPr>
        <w:t xml:space="preserve">based on inputs </w:t>
      </w:r>
      <w:r w:rsidR="00BC699F" w:rsidRPr="00DC7115">
        <w:rPr>
          <w:snapToGrid w:val="0"/>
        </w:rPr>
        <w:t>in</w:t>
      </w:r>
      <w:r w:rsidR="00287EE5" w:rsidRPr="00DC7115">
        <w:rPr>
          <w:snapToGrid w:val="0"/>
        </w:rPr>
        <w:t xml:space="preserve"> </w:t>
      </w:r>
      <w:r w:rsidR="00DC4999">
        <w:rPr>
          <w:snapToGrid w:val="0"/>
        </w:rPr>
        <w:t xml:space="preserve">the </w:t>
      </w:r>
      <w:r w:rsidR="00BC699F" w:rsidRPr="00DC7115">
        <w:rPr>
          <w:snapToGrid w:val="0"/>
        </w:rPr>
        <w:t>ESC respecified base case (</w:t>
      </w:r>
      <w:r w:rsidR="00287EE5" w:rsidRPr="00DC7115">
        <w:rPr>
          <w:snapToGrid w:val="0"/>
        </w:rPr>
        <w:t xml:space="preserve">as </w:t>
      </w:r>
      <w:r w:rsidR="00BC699F" w:rsidRPr="00DC7115">
        <w:rPr>
          <w:snapToGrid w:val="0"/>
        </w:rPr>
        <w:t xml:space="preserve">per paragraph </w:t>
      </w:r>
      <w:r w:rsidR="008D5C29" w:rsidRPr="00DC7115">
        <w:rPr>
          <w:snapToGrid w:val="0"/>
        </w:rPr>
        <w:fldChar w:fldCharType="begin"/>
      </w:r>
      <w:r w:rsidR="008D5C29" w:rsidRPr="00DC7115">
        <w:rPr>
          <w:snapToGrid w:val="0"/>
        </w:rPr>
        <w:instrText xml:space="preserve"> REF _Ref199415997 \r \h </w:instrText>
      </w:r>
      <w:r w:rsidR="008D5C29" w:rsidRPr="00DC7115">
        <w:rPr>
          <w:snapToGrid w:val="0"/>
        </w:rPr>
      </w:r>
      <w:r w:rsidR="008D5C29" w:rsidRPr="00DC7115">
        <w:rPr>
          <w:snapToGrid w:val="0"/>
        </w:rPr>
        <w:fldChar w:fldCharType="separate"/>
      </w:r>
      <w:r w:rsidR="00593619">
        <w:rPr>
          <w:snapToGrid w:val="0"/>
        </w:rPr>
        <w:t>7.13</w:t>
      </w:r>
      <w:r w:rsidR="008D5C29" w:rsidRPr="00DC7115">
        <w:rPr>
          <w:snapToGrid w:val="0"/>
        </w:rPr>
        <w:fldChar w:fldCharType="end"/>
      </w:r>
      <w:r w:rsidR="00207E87">
        <w:rPr>
          <w:snapToGrid w:val="0"/>
        </w:rPr>
        <w:t xml:space="preserve">, </w:t>
      </w:r>
      <w:r w:rsidR="00DC4999">
        <w:rPr>
          <w:snapToGrid w:val="0"/>
        </w:rPr>
        <w:t xml:space="preserve">i.e. </w:t>
      </w:r>
      <w:r w:rsidR="00207E87">
        <w:rPr>
          <w:snapToGrid w:val="0"/>
        </w:rPr>
        <w:t xml:space="preserve">without reduction in the </w:t>
      </w:r>
      <w:r w:rsidR="004C7063">
        <w:rPr>
          <w:snapToGrid w:val="0"/>
        </w:rPr>
        <w:t>patient weight</w:t>
      </w:r>
      <w:r w:rsidR="008D5C29" w:rsidRPr="00DC7115">
        <w:rPr>
          <w:snapToGrid w:val="0"/>
        </w:rPr>
        <w:t xml:space="preserve">) </w:t>
      </w:r>
      <w:r w:rsidR="006659FF" w:rsidRPr="00DC7115">
        <w:rPr>
          <w:snapToGrid w:val="0"/>
        </w:rPr>
        <w:t>a</w:t>
      </w:r>
      <w:r w:rsidR="00817FD5">
        <w:rPr>
          <w:snapToGrid w:val="0"/>
        </w:rPr>
        <w:t>n</w:t>
      </w:r>
      <w:r w:rsidR="009A147E" w:rsidRPr="00DC7115">
        <w:rPr>
          <w:snapToGrid w:val="0"/>
        </w:rPr>
        <w:t xml:space="preserve"> </w:t>
      </w:r>
      <w:r w:rsidR="00817FD5">
        <w:rPr>
          <w:snapToGrid w:val="0"/>
        </w:rPr>
        <w:t xml:space="preserve">RSA </w:t>
      </w:r>
      <w:r w:rsidR="002E5B3A">
        <w:rPr>
          <w:snapToGrid w:val="0"/>
        </w:rPr>
        <w:t>i</w:t>
      </w:r>
      <w:r w:rsidR="002124EC" w:rsidRPr="00DC7115">
        <w:rPr>
          <w:snapToGrid w:val="0"/>
        </w:rPr>
        <w:t xml:space="preserve">s </w:t>
      </w:r>
      <w:r w:rsidR="009A147E" w:rsidRPr="00DC7115">
        <w:rPr>
          <w:snapToGrid w:val="0"/>
        </w:rPr>
        <w:t>not</w:t>
      </w:r>
      <w:r w:rsidR="002124EC" w:rsidRPr="00DC7115">
        <w:rPr>
          <w:snapToGrid w:val="0"/>
        </w:rPr>
        <w:t xml:space="preserve"> </w:t>
      </w:r>
      <w:r w:rsidR="0098021E" w:rsidRPr="00DC7115">
        <w:rPr>
          <w:snapToGrid w:val="0"/>
        </w:rPr>
        <w:t>required</w:t>
      </w:r>
      <w:r w:rsidR="00DC4F40" w:rsidRPr="00DC7115">
        <w:rPr>
          <w:snapToGrid w:val="0"/>
        </w:rPr>
        <w:t xml:space="preserve"> as the</w:t>
      </w:r>
      <w:r w:rsidR="00B463A7" w:rsidRPr="00DC7115">
        <w:rPr>
          <w:snapToGrid w:val="0"/>
        </w:rPr>
        <w:t xml:space="preserve"> assumed number of vials required </w:t>
      </w:r>
      <w:r w:rsidR="008034E5" w:rsidRPr="00DC7115">
        <w:rPr>
          <w:snapToGrid w:val="0"/>
        </w:rPr>
        <w:t>was</w:t>
      </w:r>
      <w:r w:rsidR="00B16C62" w:rsidRPr="00DC7115">
        <w:rPr>
          <w:snapToGrid w:val="0"/>
        </w:rPr>
        <w:t xml:space="preserve"> </w:t>
      </w:r>
      <w:r w:rsidR="00A32D78" w:rsidRPr="00DC7115">
        <w:rPr>
          <w:snapToGrid w:val="0"/>
        </w:rPr>
        <w:t>unlikely to be underestimated</w:t>
      </w:r>
      <w:r w:rsidR="00382C19" w:rsidRPr="00DC7115">
        <w:rPr>
          <w:snapToGrid w:val="0"/>
        </w:rPr>
        <w:t xml:space="preserve"> and t</w:t>
      </w:r>
      <w:r w:rsidR="00DA1DD5" w:rsidRPr="00DC7115">
        <w:rPr>
          <w:snapToGrid w:val="0"/>
        </w:rPr>
        <w:t xml:space="preserve">here is a low risk of leakage </w:t>
      </w:r>
      <w:r w:rsidRPr="00DC7115">
        <w:rPr>
          <w:snapToGrid w:val="0"/>
        </w:rPr>
        <w:t>or</w:t>
      </w:r>
      <w:r w:rsidR="00DA1DD5" w:rsidRPr="00DC7115">
        <w:rPr>
          <w:snapToGrid w:val="0"/>
        </w:rPr>
        <w:t xml:space="preserve"> use of T</w:t>
      </w:r>
      <w:r w:rsidR="00BD79FC">
        <w:rPr>
          <w:snapToGrid w:val="0"/>
        </w:rPr>
        <w:t>-</w:t>
      </w:r>
      <w:proofErr w:type="spellStart"/>
      <w:r w:rsidR="00DA1DD5" w:rsidRPr="00DC7115">
        <w:rPr>
          <w:snapToGrid w:val="0"/>
        </w:rPr>
        <w:t>DXd</w:t>
      </w:r>
      <w:proofErr w:type="spellEnd"/>
      <w:r w:rsidR="00DA1DD5" w:rsidRPr="00DC7115">
        <w:rPr>
          <w:snapToGrid w:val="0"/>
        </w:rPr>
        <w:t xml:space="preserve"> beyond progression.</w:t>
      </w:r>
    </w:p>
    <w:p w14:paraId="0B1083D6" w14:textId="57346525" w:rsidR="00D67502" w:rsidRPr="00295B12" w:rsidRDefault="002405E8" w:rsidP="00D67502">
      <w:pPr>
        <w:widowControl w:val="0"/>
        <w:numPr>
          <w:ilvl w:val="1"/>
          <w:numId w:val="5"/>
        </w:numPr>
        <w:spacing w:after="120"/>
        <w:rPr>
          <w:rFonts w:asciiTheme="minorHAnsi" w:hAnsiTheme="minorHAnsi"/>
          <w:bCs/>
          <w:snapToGrid w:val="0"/>
          <w:lang w:val="en-GB"/>
        </w:rPr>
      </w:pPr>
      <w:r>
        <w:rPr>
          <w:rFonts w:asciiTheme="minorHAnsi" w:hAnsiTheme="minorHAnsi"/>
          <w:snapToGrid w:val="0"/>
          <w:lang w:val="en-GB"/>
        </w:rPr>
        <w:lastRenderedPageBreak/>
        <w:t>Should the sponsor advise</w:t>
      </w:r>
      <w:r w:rsidR="005C60E9">
        <w:rPr>
          <w:rFonts w:asciiTheme="minorHAnsi" w:hAnsiTheme="minorHAnsi"/>
          <w:snapToGrid w:val="0"/>
          <w:lang w:val="en-GB"/>
        </w:rPr>
        <w:t xml:space="preserve"> it</w:t>
      </w:r>
      <w:r>
        <w:rPr>
          <w:rFonts w:asciiTheme="minorHAnsi" w:hAnsiTheme="minorHAnsi"/>
          <w:snapToGrid w:val="0"/>
          <w:lang w:val="en-GB"/>
        </w:rPr>
        <w:t xml:space="preserve"> </w:t>
      </w:r>
      <w:r w:rsidR="005C60E9" w:rsidRPr="00734272">
        <w:t xml:space="preserve">is not willing to progress the PBS listing </w:t>
      </w:r>
      <w:proofErr w:type="gramStart"/>
      <w:r w:rsidR="005C60E9" w:rsidRPr="00734272">
        <w:t>on t</w:t>
      </w:r>
      <w:r w:rsidR="00D418BA">
        <w:t>he</w:t>
      </w:r>
      <w:r w:rsidR="005C60E9" w:rsidRPr="00734272">
        <w:t xml:space="preserve"> basis</w:t>
      </w:r>
      <w:r w:rsidR="005C60E9">
        <w:t xml:space="preserve"> </w:t>
      </w:r>
      <w:r w:rsidR="00D418BA">
        <w:t>of</w:t>
      </w:r>
      <w:proofErr w:type="gramEnd"/>
      <w:r w:rsidR="00D418BA">
        <w:t xml:space="preserve"> the PBAC</w:t>
      </w:r>
      <w:r w:rsidR="00835660">
        <w:t>’</w:t>
      </w:r>
      <w:r w:rsidR="00D418BA">
        <w:t xml:space="preserve">s </w:t>
      </w:r>
      <w:r w:rsidR="005C60E9">
        <w:t xml:space="preserve">recommendations in paragraph </w:t>
      </w:r>
      <w:r w:rsidR="00D418BA">
        <w:fldChar w:fldCharType="begin"/>
      </w:r>
      <w:r w:rsidR="00D418BA">
        <w:instrText xml:space="preserve"> REF _Ref199415997 \r \h </w:instrText>
      </w:r>
      <w:r w:rsidR="00D418BA">
        <w:fldChar w:fldCharType="separate"/>
      </w:r>
      <w:r w:rsidR="00593619">
        <w:t>7.13</w:t>
      </w:r>
      <w:r w:rsidR="00D418BA">
        <w:fldChar w:fldCharType="end"/>
      </w:r>
      <w:r w:rsidR="005C60E9" w:rsidRPr="00734272">
        <w:t xml:space="preserve">, </w:t>
      </w:r>
      <w:r w:rsidR="00ED5E54">
        <w:t>the PBAC was of a mind to not recommend T-</w:t>
      </w:r>
      <w:proofErr w:type="spellStart"/>
      <w:r w:rsidR="00ED5E54">
        <w:t>DXd</w:t>
      </w:r>
      <w:proofErr w:type="spellEnd"/>
      <w:r w:rsidR="00ED5E54">
        <w:t xml:space="preserve"> in this indication. In this case</w:t>
      </w:r>
      <w:r w:rsidR="005C60E9" w:rsidRPr="00734272">
        <w:t xml:space="preserve"> the sponsor will need to make a resubmission incorporating updated clinical data</w:t>
      </w:r>
      <w:r w:rsidR="00D418BA">
        <w:t xml:space="preserve"> to support changes to the economic model. </w:t>
      </w:r>
      <w:r w:rsidR="00D67502" w:rsidRPr="00C6512B">
        <w:rPr>
          <w:rFonts w:asciiTheme="minorHAnsi" w:hAnsiTheme="minorHAnsi"/>
          <w:bCs/>
          <w:snapToGrid w:val="0"/>
          <w:lang w:val="en-GB"/>
        </w:rPr>
        <w:t>The resubmission may be lodged at any future standard due date for PBAC submissions using the standard re-entry pathway.</w:t>
      </w:r>
    </w:p>
    <w:p w14:paraId="139E50D5" w14:textId="77777777" w:rsidR="00D67502" w:rsidRPr="00525B39" w:rsidRDefault="00D67502" w:rsidP="00D6750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B8FB5AC" w14:textId="56F7B995" w:rsidR="00D67502" w:rsidRPr="00525B39" w:rsidRDefault="00D67502" w:rsidP="00D67502">
      <w:pPr>
        <w:rPr>
          <w:rFonts w:asciiTheme="minorHAnsi" w:hAnsiTheme="minorHAnsi"/>
          <w:bCs/>
          <w:snapToGrid w:val="0"/>
          <w:lang w:val="en-GB"/>
        </w:rPr>
      </w:pPr>
      <w:r w:rsidRPr="00525B39">
        <w:rPr>
          <w:rFonts w:asciiTheme="minorHAnsi" w:hAnsiTheme="minorHAnsi"/>
          <w:bCs/>
          <w:snapToGrid w:val="0"/>
          <w:lang w:val="en-GB"/>
        </w:rPr>
        <w:t xml:space="preserve">Deferred </w:t>
      </w:r>
    </w:p>
    <w:p w14:paraId="3FC1CB3D" w14:textId="77777777" w:rsidR="002B31B5" w:rsidRPr="002B31B5" w:rsidRDefault="002B31B5" w:rsidP="002B31B5">
      <w:pPr>
        <w:pStyle w:val="2-SectionHeading"/>
      </w:pPr>
      <w:r w:rsidRPr="002B31B5">
        <w:t>Context for Decision</w:t>
      </w:r>
    </w:p>
    <w:p w14:paraId="089EB057" w14:textId="77777777" w:rsidR="002B31B5" w:rsidRPr="00061CBE" w:rsidRDefault="002B31B5" w:rsidP="002B31B5">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ADFB087" w14:textId="60EF091D" w:rsidR="002B31B5" w:rsidRPr="002B31B5" w:rsidRDefault="002B31B5" w:rsidP="002B31B5">
      <w:pPr>
        <w:pStyle w:val="2-SectionHeading"/>
      </w:pPr>
      <w:r w:rsidRPr="002B31B5">
        <w:t>Sponsor’s Comment</w:t>
      </w:r>
    </w:p>
    <w:p w14:paraId="13396D77" w14:textId="1E8DFA56" w:rsidR="00D67502" w:rsidRPr="00525B39" w:rsidRDefault="002B31B5" w:rsidP="002B31B5">
      <w:pPr>
        <w:widowControl w:val="0"/>
        <w:spacing w:before="120" w:after="120"/>
        <w:ind w:firstLine="720"/>
        <w:rPr>
          <w:rFonts w:asciiTheme="minorHAnsi" w:hAnsiTheme="minorHAnsi"/>
          <w:b/>
          <w:bCs/>
          <w:snapToGrid w:val="0"/>
        </w:rPr>
      </w:pPr>
      <w:r w:rsidRPr="00061CBE">
        <w:rPr>
          <w:bCs/>
        </w:rPr>
        <w:t>The sponsor had no comment.</w:t>
      </w:r>
      <w:bookmarkEnd w:id="81"/>
    </w:p>
    <w:sectPr w:rsidR="00D67502" w:rsidRPr="00525B39" w:rsidSect="00C42461">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39F9" w14:textId="77777777" w:rsidR="00D6229C" w:rsidRDefault="00D6229C" w:rsidP="00124A51">
      <w:r>
        <w:separator/>
      </w:r>
    </w:p>
    <w:p w14:paraId="019FEB37" w14:textId="77777777" w:rsidR="00D6229C" w:rsidRDefault="00D6229C"/>
  </w:endnote>
  <w:endnote w:type="continuationSeparator" w:id="0">
    <w:p w14:paraId="37A5C02A" w14:textId="77777777" w:rsidR="00D6229C" w:rsidRDefault="00D6229C" w:rsidP="00124A51">
      <w:r>
        <w:continuationSeparator/>
      </w:r>
    </w:p>
    <w:p w14:paraId="6CC9D3DC" w14:textId="77777777" w:rsidR="00D6229C" w:rsidRDefault="00D6229C"/>
  </w:endnote>
  <w:endnote w:type="continuationNotice" w:id="1">
    <w:p w14:paraId="25E0BFA7" w14:textId="77777777" w:rsidR="00D6229C" w:rsidRDefault="00D62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C13C" w14:textId="4C7BD8E8" w:rsidR="002D5F61" w:rsidRDefault="00985265">
    <w:pPr>
      <w:pStyle w:val="Footer"/>
    </w:pPr>
    <w:r>
      <w:rPr>
        <w:noProof/>
      </w:rPr>
      <mc:AlternateContent>
        <mc:Choice Requires="wps">
          <w:drawing>
            <wp:anchor distT="0" distB="0" distL="0" distR="0" simplePos="0" relativeHeight="251668480" behindDoc="0" locked="0" layoutInCell="1" allowOverlap="1" wp14:anchorId="463D1F90" wp14:editId="67A4B39A">
              <wp:simplePos x="635" y="635"/>
              <wp:positionH relativeFrom="page">
                <wp:align>center</wp:align>
              </wp:positionH>
              <wp:positionV relativeFrom="page">
                <wp:align>bottom</wp:align>
              </wp:positionV>
              <wp:extent cx="551815" cy="376555"/>
              <wp:effectExtent l="0" t="0" r="635" b="0"/>
              <wp:wrapNone/>
              <wp:docPr id="15696254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E8EC6F" w14:textId="3DC35BC1"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D1F90"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7E8EC6F" w14:textId="3DC35BC1"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3507" w14:textId="5292AC8B" w:rsidR="006021BF" w:rsidRDefault="00985265">
    <w:pPr>
      <w:pStyle w:val="Footer"/>
      <w:jc w:val="center"/>
    </w:pPr>
    <w:r>
      <w:rPr>
        <w:noProof/>
      </w:rPr>
      <mc:AlternateContent>
        <mc:Choice Requires="wps">
          <w:drawing>
            <wp:anchor distT="0" distB="0" distL="0" distR="0" simplePos="0" relativeHeight="251669504" behindDoc="0" locked="0" layoutInCell="1" allowOverlap="1" wp14:anchorId="5FF232CD" wp14:editId="5CB75263">
              <wp:simplePos x="635" y="635"/>
              <wp:positionH relativeFrom="page">
                <wp:align>center</wp:align>
              </wp:positionH>
              <wp:positionV relativeFrom="page">
                <wp:align>bottom</wp:align>
              </wp:positionV>
              <wp:extent cx="551815" cy="376555"/>
              <wp:effectExtent l="0" t="0" r="635" b="0"/>
              <wp:wrapNone/>
              <wp:docPr id="330462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78060A" w14:textId="488CA631"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232CD"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578060A" w14:textId="488CA631"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sdt>
    <w:sdtPr>
      <w:id w:val="99149873"/>
      <w:docPartObj>
        <w:docPartGallery w:val="Page Numbers (Bottom of Page)"/>
        <w:docPartUnique/>
      </w:docPartObj>
    </w:sdtPr>
    <w:sdtEndPr>
      <w:rPr>
        <w:b/>
        <w:bCs/>
        <w:noProof/>
      </w:rPr>
    </w:sdtEndPr>
    <w:sdtContent>
      <w:p w14:paraId="3069452D" w14:textId="3404E384" w:rsidR="00C42461" w:rsidRPr="006021BF" w:rsidRDefault="006021BF" w:rsidP="006021BF">
        <w:pPr>
          <w:pStyle w:val="Footer"/>
          <w:jc w:val="center"/>
          <w:rPr>
            <w:b/>
            <w:bCs/>
          </w:rPr>
        </w:pPr>
        <w:r w:rsidRPr="006021BF">
          <w:rPr>
            <w:b/>
            <w:bCs/>
          </w:rPr>
          <w:fldChar w:fldCharType="begin"/>
        </w:r>
        <w:r w:rsidRPr="006021BF">
          <w:rPr>
            <w:b/>
            <w:bCs/>
          </w:rPr>
          <w:instrText xml:space="preserve"> PAGE   \* MERGEFORMAT </w:instrText>
        </w:r>
        <w:r w:rsidRPr="006021BF">
          <w:rPr>
            <w:b/>
            <w:bCs/>
          </w:rPr>
          <w:fldChar w:fldCharType="separate"/>
        </w:r>
        <w:r w:rsidRPr="006021BF">
          <w:rPr>
            <w:b/>
            <w:bCs/>
            <w:noProof/>
          </w:rPr>
          <w:t>2</w:t>
        </w:r>
        <w:r w:rsidRPr="006021B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3B9" w14:textId="78789DA8" w:rsidR="002D5F61" w:rsidRDefault="00985265">
    <w:pPr>
      <w:pStyle w:val="Footer"/>
    </w:pPr>
    <w:r>
      <w:rPr>
        <w:noProof/>
      </w:rPr>
      <mc:AlternateContent>
        <mc:Choice Requires="wps">
          <w:drawing>
            <wp:anchor distT="0" distB="0" distL="0" distR="0" simplePos="0" relativeHeight="251667456" behindDoc="0" locked="0" layoutInCell="1" allowOverlap="1" wp14:anchorId="46452227" wp14:editId="05409691">
              <wp:simplePos x="635" y="635"/>
              <wp:positionH relativeFrom="page">
                <wp:align>center</wp:align>
              </wp:positionH>
              <wp:positionV relativeFrom="page">
                <wp:align>bottom</wp:align>
              </wp:positionV>
              <wp:extent cx="551815" cy="376555"/>
              <wp:effectExtent l="0" t="0" r="635" b="0"/>
              <wp:wrapNone/>
              <wp:docPr id="13325962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467328" w14:textId="45BC9E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52227"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C467328" w14:textId="45BC9E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5BD7" w14:textId="77777777" w:rsidR="00D6229C" w:rsidRDefault="00D6229C">
      <w:r>
        <w:separator/>
      </w:r>
    </w:p>
  </w:footnote>
  <w:footnote w:type="continuationSeparator" w:id="0">
    <w:p w14:paraId="2BB97C75" w14:textId="77777777" w:rsidR="00D6229C" w:rsidRDefault="00D6229C" w:rsidP="00124A51">
      <w:r>
        <w:continuationSeparator/>
      </w:r>
    </w:p>
    <w:p w14:paraId="05E868F4" w14:textId="77777777" w:rsidR="00D6229C" w:rsidRDefault="00D6229C"/>
  </w:footnote>
  <w:footnote w:type="continuationNotice" w:id="1">
    <w:p w14:paraId="1AA45FD8" w14:textId="77777777" w:rsidR="00D6229C" w:rsidRDefault="00D6229C"/>
  </w:footnote>
  <w:footnote w:id="2">
    <w:p w14:paraId="6BE30C8A" w14:textId="1FF324A5" w:rsidR="00600820" w:rsidRDefault="00600820" w:rsidP="00600820">
      <w:pPr>
        <w:pStyle w:val="FootnoteText"/>
      </w:pPr>
      <w:r>
        <w:rPr>
          <w:rStyle w:val="FootnoteReference"/>
        </w:rPr>
        <w:footnoteRef/>
      </w:r>
      <w:r>
        <w:t xml:space="preserve"> MSAC Application </w:t>
      </w:r>
      <w:r w:rsidRPr="00600820">
        <w:t xml:space="preserve">1762 – Amendment to HER-2 MBS item to allow for trastuzumab </w:t>
      </w:r>
      <w:proofErr w:type="spellStart"/>
      <w:r w:rsidRPr="00600820">
        <w:t>deruxtecan</w:t>
      </w:r>
      <w:proofErr w:type="spellEnd"/>
      <w:r w:rsidRPr="00600820">
        <w:t xml:space="preserve"> for the treatment of patients with metastatic gastric or gastroesophageal junction adenocarcinoma</w:t>
      </w:r>
      <w:r>
        <w:t xml:space="preserve">, </w:t>
      </w:r>
      <w:r w:rsidRPr="00600820">
        <w:t>https://www.msac.gov.au/applications/1762</w:t>
      </w:r>
      <w:r>
        <w:t>.</w:t>
      </w:r>
    </w:p>
  </w:footnote>
  <w:footnote w:id="3">
    <w:p w14:paraId="710E5102" w14:textId="6CD5CF53" w:rsidR="008A6DD4" w:rsidRDefault="008A6DD4">
      <w:pPr>
        <w:pStyle w:val="FootnoteText"/>
      </w:pPr>
      <w:r>
        <w:rPr>
          <w:rStyle w:val="FootnoteReference"/>
        </w:rPr>
        <w:footnoteRef/>
      </w:r>
      <w:r>
        <w:t xml:space="preserve"> </w:t>
      </w:r>
      <w:hyperlink r:id="rId1" w:history="1">
        <w:r w:rsidRPr="007238D5">
          <w:rPr>
            <w:rStyle w:val="Hyperlink"/>
          </w:rPr>
          <w:t>https://www.tga.gov.au/resources/artg/343262</w:t>
        </w:r>
      </w:hyperlink>
      <w:r>
        <w:t xml:space="preserve"> </w:t>
      </w:r>
    </w:p>
  </w:footnote>
  <w:footnote w:id="4">
    <w:p w14:paraId="7342167C" w14:textId="600923A6" w:rsidR="00926210" w:rsidRDefault="00C21218">
      <w:pPr>
        <w:pStyle w:val="FootnoteText"/>
      </w:pPr>
      <w:r>
        <w:rPr>
          <w:rStyle w:val="FootnoteReference"/>
        </w:rPr>
        <w:footnoteRef/>
      </w:r>
      <w:r>
        <w:t xml:space="preserve"> </w:t>
      </w:r>
      <w:hyperlink r:id="rId2" w:history="1">
        <w:r w:rsidR="00926210" w:rsidRPr="006559D9">
          <w:rPr>
            <w:rStyle w:val="Hyperlink"/>
          </w:rPr>
          <w:t>https://www.pbs.gov.au/industry/listing/elements/pbac-meetings/psd/2024-11/files/tislelizumab-psd-nov-2024.pdf</w:t>
        </w:r>
      </w:hyperlink>
    </w:p>
  </w:footnote>
  <w:footnote w:id="5">
    <w:p w14:paraId="5347FAC0" w14:textId="46072831" w:rsidR="00926210" w:rsidRDefault="00C21218">
      <w:pPr>
        <w:pStyle w:val="FootnoteText"/>
      </w:pPr>
      <w:r>
        <w:rPr>
          <w:rStyle w:val="FootnoteReference"/>
        </w:rPr>
        <w:footnoteRef/>
      </w:r>
      <w:r>
        <w:t xml:space="preserve"> </w:t>
      </w:r>
      <w:hyperlink r:id="rId3" w:history="1">
        <w:r w:rsidR="00926210" w:rsidRPr="006559D9">
          <w:rPr>
            <w:rStyle w:val="Hyperlink"/>
          </w:rPr>
          <w:t>https://www.pbs.gov.au/industry/listing/elements/pbac-meetings/agenda/pdf/2025/March-2025-PBAC-Meeting.pdf</w:t>
        </w:r>
      </w:hyperlink>
    </w:p>
  </w:footnote>
  <w:footnote w:id="6">
    <w:p w14:paraId="63C06E9C" w14:textId="12EF0531" w:rsidR="00BF711F" w:rsidRDefault="00BF711F" w:rsidP="00BF711F">
      <w:pPr>
        <w:pStyle w:val="FootnoteText"/>
      </w:pPr>
      <w:r>
        <w:rPr>
          <w:rStyle w:val="FootnoteReference"/>
        </w:rPr>
        <w:footnoteRef/>
      </w:r>
      <w:r>
        <w:t xml:space="preserve"> </w:t>
      </w:r>
      <w:r w:rsidRPr="00AB29C6">
        <w:t xml:space="preserve">Arnold M, Rutherford MJ, Bardot A, et al. Progress in cancer survival, mortality, and incidence in seven high-income countries 1995–2014 (ICBP SURVMARK-2): a population-based study. </w:t>
      </w:r>
      <w:r w:rsidRPr="00AB29C6">
        <w:rPr>
          <w:i/>
          <w:iCs/>
        </w:rPr>
        <w:t>The Lancet Oncology</w:t>
      </w:r>
      <w:r w:rsidRPr="00AB29C6">
        <w:t>. 2019 2019/11/01/;20(11):1493-505.</w:t>
      </w:r>
    </w:p>
  </w:footnote>
  <w:footnote w:id="7">
    <w:p w14:paraId="4D5A2173" w14:textId="43316E65" w:rsidR="00BF711F" w:rsidRDefault="00BF711F" w:rsidP="001B184C">
      <w:pPr>
        <w:pStyle w:val="FootnoteText"/>
        <w:spacing w:after="40"/>
      </w:pPr>
      <w:r>
        <w:rPr>
          <w:rStyle w:val="FootnoteReference"/>
        </w:rPr>
        <w:footnoteRef/>
      </w:r>
      <w:r>
        <w:t xml:space="preserve"> </w:t>
      </w:r>
      <w:r w:rsidRPr="00AB29C6">
        <w:t xml:space="preserve">Bang YJ, Van </w:t>
      </w:r>
      <w:proofErr w:type="spellStart"/>
      <w:r w:rsidRPr="00AB29C6">
        <w:t>Cutsem</w:t>
      </w:r>
      <w:proofErr w:type="spellEnd"/>
      <w:r w:rsidRPr="00AB29C6">
        <w:t xml:space="preserve"> E, </w:t>
      </w:r>
      <w:proofErr w:type="spellStart"/>
      <w:r w:rsidRPr="00AB29C6">
        <w:t>Feyereislova</w:t>
      </w:r>
      <w:proofErr w:type="spellEnd"/>
      <w:r w:rsidRPr="00AB29C6">
        <w:t xml:space="preserve"> A, et al. Trastuzumab in combination with chemotherapy versus chemotherapy alone for treatment of HER2-positive advanced gastric or gastro-oesophageal junction cancer (</w:t>
      </w:r>
      <w:proofErr w:type="spellStart"/>
      <w:r w:rsidRPr="00AB29C6">
        <w:t>ToGA</w:t>
      </w:r>
      <w:proofErr w:type="spellEnd"/>
      <w:r w:rsidRPr="00AB29C6">
        <w:t xml:space="preserve">): a phase 3, open-label, randomised controlled trial. </w:t>
      </w:r>
      <w:r w:rsidRPr="00AB29C6">
        <w:rPr>
          <w:i/>
          <w:iCs/>
        </w:rPr>
        <w:t>Lancet</w:t>
      </w:r>
      <w:r w:rsidRPr="00AB29C6">
        <w:t>. 2010 Aug 28;376(9742):687-97.</w:t>
      </w:r>
    </w:p>
  </w:footnote>
  <w:footnote w:id="8">
    <w:p w14:paraId="68AD87D1" w14:textId="56F0829C" w:rsidR="00FC56D0" w:rsidRDefault="00FC56D0" w:rsidP="00FC56D0">
      <w:pPr>
        <w:pStyle w:val="FootnoteText"/>
      </w:pPr>
      <w:r>
        <w:rPr>
          <w:rStyle w:val="FootnoteReference"/>
        </w:rPr>
        <w:footnoteRef/>
      </w:r>
      <w:r>
        <w:t xml:space="preserve"> Boku N. HER2-positive gastric cancer. Gastric Cancer. 2014;17(1):1-12, Kumarasinghe MP, et al. Pathology. 2017;49(6):575-81., Lee S, et al. Histopathology. 2011;59(5):832-40.</w:t>
      </w:r>
    </w:p>
  </w:footnote>
  <w:footnote w:id="9">
    <w:p w14:paraId="0968DCF4" w14:textId="1F772505" w:rsidR="00632F31" w:rsidRDefault="00632F31">
      <w:pPr>
        <w:pStyle w:val="FootnoteText"/>
      </w:pPr>
      <w:r>
        <w:rPr>
          <w:rStyle w:val="FootnoteReference"/>
        </w:rPr>
        <w:footnoteRef/>
      </w:r>
      <w:r>
        <w:t xml:space="preserve"> </w:t>
      </w:r>
      <w:r w:rsidRPr="00632F31">
        <w:t xml:space="preserve">Seo S, Ryu MH, Park YS, et al. Loss of HER2 positivity after anti-HER2 chemotherapy in HER2-positive gastric cancer patients: results of the </w:t>
      </w:r>
      <w:proofErr w:type="spellStart"/>
      <w:r w:rsidRPr="00632F31">
        <w:t>GASTric</w:t>
      </w:r>
      <w:proofErr w:type="spellEnd"/>
      <w:r w:rsidRPr="00632F31">
        <w:t xml:space="preserve"> cancer HER2 reassessment study 3 (GASTHER3). Gastric Cancer. 2019 May;22(3):527-35.</w:t>
      </w:r>
    </w:p>
  </w:footnote>
  <w:footnote w:id="10">
    <w:p w14:paraId="55146FBF" w14:textId="54B04787" w:rsidR="00632F31" w:rsidRDefault="00632F31">
      <w:pPr>
        <w:pStyle w:val="FootnoteText"/>
      </w:pPr>
      <w:r>
        <w:rPr>
          <w:rStyle w:val="FootnoteReference"/>
        </w:rPr>
        <w:footnoteRef/>
      </w:r>
      <w:r>
        <w:t xml:space="preserve"> </w:t>
      </w:r>
      <w:r w:rsidRPr="009E3420">
        <w:t xml:space="preserve">Saeki H, Oki E, Kashiwada T, et al. Re-evaluation of HER2 status in patients with HER2-positive advanced or recurrent gastric cancer refractory to trastuzumab (KSCC1604). </w:t>
      </w:r>
      <w:proofErr w:type="spellStart"/>
      <w:r w:rsidRPr="009E3420">
        <w:rPr>
          <w:i/>
          <w:iCs/>
        </w:rPr>
        <w:t>Eur</w:t>
      </w:r>
      <w:proofErr w:type="spellEnd"/>
      <w:r w:rsidRPr="009E3420">
        <w:rPr>
          <w:i/>
          <w:iCs/>
        </w:rPr>
        <w:t xml:space="preserve"> J Cancer</w:t>
      </w:r>
      <w:r w:rsidRPr="009E3420">
        <w:t xml:space="preserve">. 2018 </w:t>
      </w:r>
      <w:proofErr w:type="gramStart"/>
      <w:r w:rsidRPr="009E3420">
        <w:t>Dec;105:41</w:t>
      </w:r>
      <w:proofErr w:type="gramEnd"/>
      <w:r w:rsidRPr="009E3420">
        <w:t>-9.</w:t>
      </w:r>
    </w:p>
  </w:footnote>
  <w:footnote w:id="11">
    <w:p w14:paraId="15356BD4" w14:textId="54E58CF5" w:rsidR="003E411C" w:rsidRDefault="003E411C">
      <w:pPr>
        <w:pStyle w:val="FootnoteText"/>
      </w:pPr>
      <w:r>
        <w:rPr>
          <w:rStyle w:val="FootnoteReference"/>
        </w:rPr>
        <w:footnoteRef/>
      </w:r>
      <w:r>
        <w:t xml:space="preserve"> </w:t>
      </w:r>
      <w:proofErr w:type="spellStart"/>
      <w:r w:rsidRPr="00540E31">
        <w:t>Lordick</w:t>
      </w:r>
      <w:proofErr w:type="spellEnd"/>
      <w:r w:rsidRPr="00540E31">
        <w:t xml:space="preserve"> F, Carneiro F, </w:t>
      </w:r>
      <w:proofErr w:type="spellStart"/>
      <w:r w:rsidRPr="00540E31">
        <w:t>Cascinu</w:t>
      </w:r>
      <w:proofErr w:type="spellEnd"/>
      <w:r w:rsidRPr="00540E31">
        <w:t xml:space="preserve"> S, et al. Gastric cancer: ESMO Clinical Practice Guideline for diagnosis, treatment and follow-up. </w:t>
      </w:r>
      <w:r w:rsidRPr="00540E31">
        <w:rPr>
          <w:i/>
          <w:iCs/>
        </w:rPr>
        <w:t>Ann Oncol</w:t>
      </w:r>
      <w:r w:rsidRPr="00540E31">
        <w:t>. 2022 Oct;33(10):1005-20.</w:t>
      </w:r>
    </w:p>
  </w:footnote>
  <w:footnote w:id="12">
    <w:p w14:paraId="79FC15F7" w14:textId="68E3AB41" w:rsidR="005A4679" w:rsidRDefault="005A4679">
      <w:pPr>
        <w:pStyle w:val="FootnoteText"/>
      </w:pPr>
      <w:r>
        <w:rPr>
          <w:rStyle w:val="FootnoteReference"/>
        </w:rPr>
        <w:footnoteRef/>
      </w:r>
      <w:r>
        <w:t xml:space="preserve"> </w:t>
      </w:r>
      <w:r w:rsidRPr="005A4679">
        <w:t>Cherny NI, Dafni U, Bogaerts J, et al: ESMO-Magnitude of Clinical Benefit Scale version 1.1. Annals of Oncology 28:2340-2366, 2017]</w:t>
      </w:r>
    </w:p>
  </w:footnote>
  <w:footnote w:id="13">
    <w:p w14:paraId="15C22534" w14:textId="77777777" w:rsidR="00BF711F" w:rsidRDefault="00BF711F" w:rsidP="00BF711F">
      <w:pPr>
        <w:pStyle w:val="FootnoteText"/>
      </w:pPr>
      <w:r>
        <w:rPr>
          <w:rStyle w:val="FootnoteReference"/>
        </w:rPr>
        <w:footnoteRef/>
      </w:r>
      <w:r>
        <w:t xml:space="preserve"> </w:t>
      </w:r>
      <w:r w:rsidRPr="00F53D67">
        <w:t xml:space="preserve">Shitara K, Bang YJ, Iwasa S, et al. Trastuzumab </w:t>
      </w:r>
      <w:proofErr w:type="spellStart"/>
      <w:r w:rsidRPr="00F53D67">
        <w:t>Deruxtecan</w:t>
      </w:r>
      <w:proofErr w:type="spellEnd"/>
      <w:r w:rsidRPr="00F53D67">
        <w:t xml:space="preserve"> in Previously Treated HER2-Positive Gastric Cancer. </w:t>
      </w:r>
      <w:r w:rsidRPr="00F53D67">
        <w:rPr>
          <w:i/>
          <w:iCs/>
        </w:rPr>
        <w:t>N Engl J Med</w:t>
      </w:r>
      <w:r w:rsidRPr="00F53D67">
        <w:t>. 2020 Jun 18;382(25):2419-30.</w:t>
      </w:r>
    </w:p>
  </w:footnote>
  <w:footnote w:id="14">
    <w:p w14:paraId="010C65D1" w14:textId="6116EE1D" w:rsidR="00BF711F" w:rsidRDefault="00BF711F" w:rsidP="00BF711F">
      <w:pPr>
        <w:pStyle w:val="FootnoteText"/>
      </w:pPr>
      <w:r>
        <w:rPr>
          <w:rStyle w:val="FootnoteReference"/>
        </w:rPr>
        <w:footnoteRef/>
      </w:r>
      <w:r>
        <w:t xml:space="preserve"> </w:t>
      </w:r>
      <w:r w:rsidRPr="00F53D67">
        <w:t xml:space="preserve">Van </w:t>
      </w:r>
      <w:proofErr w:type="spellStart"/>
      <w:r w:rsidRPr="00F53D67">
        <w:t>Cutsem</w:t>
      </w:r>
      <w:proofErr w:type="spellEnd"/>
      <w:r w:rsidRPr="00F53D67">
        <w:t xml:space="preserve"> E, di Bartolomeo M, Smyth E, et al. Trastuzumab </w:t>
      </w:r>
      <w:proofErr w:type="spellStart"/>
      <w:r w:rsidRPr="00F53D67">
        <w:t>deruxtecan</w:t>
      </w:r>
      <w:proofErr w:type="spellEnd"/>
      <w:r w:rsidRPr="00F53D67">
        <w:t xml:space="preserve"> in patients in the USA and Europe with HER2-positive advanced gastric or gastroesophageal junction cancer with disease progression on or after a trastuzumab-containing regimen (DESTINY-Gastric02): primary and updated analyses from a single-arm, phase 2 study. </w:t>
      </w:r>
      <w:r w:rsidRPr="00F53D67">
        <w:rPr>
          <w:i/>
          <w:iCs/>
        </w:rPr>
        <w:t>Lancet Oncol</w:t>
      </w:r>
      <w:r w:rsidRPr="00F53D67">
        <w:t>. 2023 Jul;24(7):744-56.</w:t>
      </w:r>
    </w:p>
  </w:footnote>
  <w:footnote w:id="15">
    <w:p w14:paraId="71B29E4E" w14:textId="77777777" w:rsidR="00DC2DBD" w:rsidRPr="004E0E26" w:rsidRDefault="00DC2DBD" w:rsidP="00DC2DBD">
      <w:pPr>
        <w:pStyle w:val="FootnoteText"/>
        <w:rPr>
          <w:lang w:val="en-US"/>
        </w:rPr>
      </w:pPr>
      <w:r>
        <w:rPr>
          <w:rStyle w:val="FootnoteReference"/>
        </w:rPr>
        <w:footnoteRef/>
      </w:r>
      <w:r>
        <w:t xml:space="preserve"> </w:t>
      </w:r>
      <w:r w:rsidRPr="004E0E26">
        <w:t xml:space="preserve">Val </w:t>
      </w:r>
      <w:proofErr w:type="spellStart"/>
      <w:r w:rsidRPr="004E0E26">
        <w:t>Gebski</w:t>
      </w:r>
      <w:proofErr w:type="spellEnd"/>
      <w:r w:rsidRPr="004E0E26">
        <w:t xml:space="preserve">, Valérie </w:t>
      </w:r>
      <w:proofErr w:type="spellStart"/>
      <w:r w:rsidRPr="004E0E26">
        <w:t>Garès</w:t>
      </w:r>
      <w:proofErr w:type="spellEnd"/>
      <w:r w:rsidRPr="004E0E26">
        <w:t xml:space="preserve">, Emma Gibbs, Karen Byth, Data maturity and follow-up in time-to-event analyses, </w:t>
      </w:r>
      <w:r w:rsidRPr="004E0E26">
        <w:rPr>
          <w:i/>
          <w:iCs/>
        </w:rPr>
        <w:t>International Journal of Epidemiology</w:t>
      </w:r>
      <w:r w:rsidRPr="004E0E26">
        <w:t xml:space="preserve">, Volume 47, Issue 3, June 2018, Pages 850–859, </w:t>
      </w:r>
      <w:hyperlink r:id="rId4" w:history="1">
        <w:r w:rsidRPr="004E0E26">
          <w:rPr>
            <w:rStyle w:val="Hyperlink"/>
          </w:rPr>
          <w:t>https://doi.org/10.1093/ije/dyy013</w:t>
        </w:r>
      </w:hyperlink>
    </w:p>
  </w:footnote>
  <w:footnote w:id="16">
    <w:p w14:paraId="6C700C32" w14:textId="77777777" w:rsidR="00DC2DBD" w:rsidRPr="006D6CE5" w:rsidRDefault="00DC2DBD" w:rsidP="00DC2DBD">
      <w:pPr>
        <w:pStyle w:val="FootnoteText"/>
        <w:rPr>
          <w:lang w:val="en-US"/>
        </w:rPr>
      </w:pPr>
      <w:r>
        <w:rPr>
          <w:rStyle w:val="FootnoteReference"/>
        </w:rPr>
        <w:footnoteRef/>
      </w:r>
      <w:r>
        <w:t xml:space="preserve"> Hernández-Alava, M., </w:t>
      </w:r>
      <w:proofErr w:type="spellStart"/>
      <w:r>
        <w:t>Wailoo</w:t>
      </w:r>
      <w:proofErr w:type="spellEnd"/>
      <w:r>
        <w:t>, A., &amp; Pudney, S. E. (2017). Methods for mapping between the EQ-5D-5L and the 3L for technology appraisal. Report by the NICE Decision Support Unit, University of Sheffield.</w:t>
      </w:r>
    </w:p>
  </w:footnote>
  <w:footnote w:id="17">
    <w:p w14:paraId="0DCB8AF9" w14:textId="7F0722FB" w:rsidR="004C494B" w:rsidRPr="004C494B" w:rsidRDefault="004C494B">
      <w:pPr>
        <w:pStyle w:val="FootnoteText"/>
        <w:rPr>
          <w:lang w:val="en-US"/>
        </w:rPr>
      </w:pPr>
      <w:r>
        <w:rPr>
          <w:rStyle w:val="FootnoteReference"/>
        </w:rPr>
        <w:footnoteRef/>
      </w:r>
      <w:r>
        <w:t xml:space="preserve"> </w:t>
      </w:r>
      <w:r w:rsidRPr="004C494B">
        <w:t xml:space="preserve">NICE 2015, </w:t>
      </w:r>
      <w:r w:rsidRPr="004C494B">
        <w:rPr>
          <w:i/>
          <w:iCs/>
        </w:rPr>
        <w:t>TA 378 -Ramucirumab for treating advanced gastric cancer or gastro-oesophageal junction adenocarcinoma previously treated with ch</w:t>
      </w:r>
      <w:r>
        <w:rPr>
          <w:i/>
          <w:iCs/>
        </w:rPr>
        <w:t>e</w:t>
      </w:r>
      <w:r w:rsidRPr="004C494B">
        <w:rPr>
          <w:i/>
          <w:iCs/>
        </w:rPr>
        <w:t>motherapy</w:t>
      </w:r>
      <w:r w:rsidRPr="004C494B">
        <w:t>, NHS, UK.</w:t>
      </w:r>
    </w:p>
  </w:footnote>
  <w:footnote w:id="18">
    <w:p w14:paraId="2190CFBB" w14:textId="77777777" w:rsidR="00DC2DBD" w:rsidRPr="008E59BE" w:rsidRDefault="00DC2DBD" w:rsidP="00DC2DBD">
      <w:pPr>
        <w:pStyle w:val="FootnoteText"/>
        <w:rPr>
          <w:lang w:val="en-US"/>
        </w:rPr>
      </w:pPr>
      <w:r>
        <w:rPr>
          <w:rStyle w:val="FootnoteReference"/>
        </w:rPr>
        <w:footnoteRef/>
      </w:r>
      <w:r>
        <w:t xml:space="preserve"> Gómez-Ulloa, D., et al., Real-world treatment patterns, healthcare resource use and clinical outcomes of patients receiving second line therapy for advanced or metastatic gastric cancer. BMC Gastroenterol, 2020. 20(1): p. 133.</w:t>
      </w:r>
    </w:p>
  </w:footnote>
  <w:footnote w:id="19">
    <w:p w14:paraId="647CE434" w14:textId="77777777" w:rsidR="00053329" w:rsidRPr="00C80C78" w:rsidRDefault="00053329" w:rsidP="00053329">
      <w:pPr>
        <w:pStyle w:val="FootnoteText"/>
        <w:rPr>
          <w:sz w:val="18"/>
          <w:szCs w:val="18"/>
        </w:rPr>
      </w:pPr>
      <w:r w:rsidRPr="00C80C78">
        <w:rPr>
          <w:rStyle w:val="FootnoteReference"/>
          <w:sz w:val="18"/>
          <w:szCs w:val="18"/>
        </w:rPr>
        <w:footnoteRef/>
      </w:r>
      <w:r w:rsidRPr="00C80C78">
        <w:rPr>
          <w:sz w:val="18"/>
          <w:szCs w:val="18"/>
        </w:rPr>
        <w:t xml:space="preserve"> https://www1.racgp.org.au/newsgp/clinical/health-snapshot-of-the-%E2%80%98typical-australian%E2%80%99</w:t>
      </w:r>
    </w:p>
  </w:footnote>
  <w:footnote w:id="20">
    <w:p w14:paraId="33371C3A" w14:textId="77777777" w:rsidR="00053329" w:rsidRPr="00896264" w:rsidRDefault="00053329" w:rsidP="00053329">
      <w:pPr>
        <w:pStyle w:val="FootnoteText"/>
        <w:rPr>
          <w:sz w:val="18"/>
          <w:szCs w:val="18"/>
        </w:rPr>
      </w:pPr>
      <w:r w:rsidRPr="00896264">
        <w:rPr>
          <w:rStyle w:val="FootnoteReference"/>
          <w:sz w:val="18"/>
          <w:szCs w:val="18"/>
        </w:rPr>
        <w:footnoteRef/>
      </w:r>
      <w:r w:rsidRPr="00896264">
        <w:rPr>
          <w:sz w:val="18"/>
          <w:szCs w:val="18"/>
        </w:rPr>
        <w:t xml:space="preserve"> https://www.aihw.gov.au/reports/overweight-obesity/overweight-and-obesity/contents/summary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2DE2" w14:textId="77C4D250" w:rsidR="002D5F61" w:rsidRDefault="00985265">
    <w:pPr>
      <w:pStyle w:val="Header"/>
    </w:pPr>
    <w:r>
      <w:rPr>
        <w:noProof/>
      </w:rPr>
      <mc:AlternateContent>
        <mc:Choice Requires="wps">
          <w:drawing>
            <wp:anchor distT="0" distB="0" distL="0" distR="0" simplePos="0" relativeHeight="251665408" behindDoc="0" locked="0" layoutInCell="1" allowOverlap="1" wp14:anchorId="54C536DB" wp14:editId="20394F02">
              <wp:simplePos x="635" y="635"/>
              <wp:positionH relativeFrom="page">
                <wp:align>center</wp:align>
              </wp:positionH>
              <wp:positionV relativeFrom="page">
                <wp:align>top</wp:align>
              </wp:positionV>
              <wp:extent cx="551815" cy="376555"/>
              <wp:effectExtent l="0" t="0" r="635" b="4445"/>
              <wp:wrapNone/>
              <wp:docPr id="12408475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D61F36" w14:textId="38782386"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536DB"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3D61F36" w14:textId="38782386"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6EA8" w14:textId="6F2489C0" w:rsidR="009B31CA" w:rsidRPr="00E406ED" w:rsidRDefault="00985265">
    <w:pPr>
      <w:pStyle w:val="Header"/>
    </w:pPr>
    <w:r>
      <w:rPr>
        <w:noProof/>
      </w:rPr>
      <mc:AlternateContent>
        <mc:Choice Requires="wps">
          <w:drawing>
            <wp:anchor distT="0" distB="0" distL="0" distR="0" simplePos="0" relativeHeight="251666432" behindDoc="0" locked="0" layoutInCell="1" allowOverlap="1" wp14:anchorId="67C589D4" wp14:editId="0DAF12B0">
              <wp:simplePos x="635" y="635"/>
              <wp:positionH relativeFrom="page">
                <wp:align>center</wp:align>
              </wp:positionH>
              <wp:positionV relativeFrom="page">
                <wp:align>top</wp:align>
              </wp:positionV>
              <wp:extent cx="551815" cy="376555"/>
              <wp:effectExtent l="0" t="0" r="635" b="4445"/>
              <wp:wrapNone/>
              <wp:docPr id="20868069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709618" w14:textId="773ADF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589D4"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1709618" w14:textId="773ADF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r w:rsidR="006021BF" w:rsidRPr="00E406ED">
      <w:t xml:space="preserve">Public Summary Document </w:t>
    </w:r>
    <w:r w:rsidR="00EC3A40" w:rsidRPr="00E406ED">
      <w:t>–</w:t>
    </w:r>
    <w:r w:rsidR="006021BF" w:rsidRPr="00E406ED">
      <w:t xml:space="preserve"> </w:t>
    </w:r>
    <w:r w:rsidR="00EC3A40" w:rsidRPr="00E406ED">
      <w:t>May 2025 PBAC Meeting</w:t>
    </w:r>
  </w:p>
  <w:p w14:paraId="1A9C70D3" w14:textId="77777777" w:rsidR="00EC3A40" w:rsidRDefault="00EC3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72FB" w14:textId="134479E6" w:rsidR="002D5F61" w:rsidRDefault="00985265">
    <w:pPr>
      <w:pStyle w:val="Header"/>
    </w:pPr>
    <w:r>
      <w:rPr>
        <w:noProof/>
      </w:rPr>
      <mc:AlternateContent>
        <mc:Choice Requires="wps">
          <w:drawing>
            <wp:anchor distT="0" distB="0" distL="0" distR="0" simplePos="0" relativeHeight="251664384" behindDoc="0" locked="0" layoutInCell="1" allowOverlap="1" wp14:anchorId="45051D7C" wp14:editId="562BA0D9">
              <wp:simplePos x="635" y="635"/>
              <wp:positionH relativeFrom="page">
                <wp:align>center</wp:align>
              </wp:positionH>
              <wp:positionV relativeFrom="page">
                <wp:align>top</wp:align>
              </wp:positionV>
              <wp:extent cx="551815" cy="376555"/>
              <wp:effectExtent l="0" t="0" r="635" b="4445"/>
              <wp:wrapNone/>
              <wp:docPr id="18847797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1E8AE0" w14:textId="06C274F1"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51D7C"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81E8AE0" w14:textId="06C274F1"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935A7"/>
    <w:multiLevelType w:val="hybridMultilevel"/>
    <w:tmpl w:val="96560A6E"/>
    <w:lvl w:ilvl="0" w:tplc="5F9EC3C6">
      <w:start w:val="1"/>
      <w:numFmt w:val="bullet"/>
      <w:pStyle w:val="Bullet1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650FE"/>
    <w:multiLevelType w:val="multilevel"/>
    <w:tmpl w:val="150CBD0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7E60A2"/>
    <w:multiLevelType w:val="hybridMultilevel"/>
    <w:tmpl w:val="4E7C5508"/>
    <w:lvl w:ilvl="0" w:tplc="83605EF4">
      <w:start w:val="1"/>
      <w:numFmt w:val="decimal"/>
      <w:pStyle w:val="ListNos12"/>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796E40"/>
    <w:multiLevelType w:val="hybridMultilevel"/>
    <w:tmpl w:val="A9E8D6E4"/>
    <w:lvl w:ilvl="0" w:tplc="845E68F4">
      <w:start w:val="1"/>
      <w:numFmt w:val="bullet"/>
      <w:lvlText w:val=""/>
      <w:lvlJc w:val="left"/>
      <w:pPr>
        <w:ind w:left="1440" w:hanging="360"/>
      </w:pPr>
      <w:rPr>
        <w:rFonts w:ascii="Symbol" w:hAnsi="Symbol"/>
      </w:rPr>
    </w:lvl>
    <w:lvl w:ilvl="1" w:tplc="C832C67E">
      <w:start w:val="1"/>
      <w:numFmt w:val="bullet"/>
      <w:lvlText w:val=""/>
      <w:lvlJc w:val="left"/>
      <w:pPr>
        <w:ind w:left="1440" w:hanging="360"/>
      </w:pPr>
      <w:rPr>
        <w:rFonts w:ascii="Symbol" w:hAnsi="Symbol"/>
      </w:rPr>
    </w:lvl>
    <w:lvl w:ilvl="2" w:tplc="6FA2264A">
      <w:start w:val="1"/>
      <w:numFmt w:val="bullet"/>
      <w:lvlText w:val=""/>
      <w:lvlJc w:val="left"/>
      <w:pPr>
        <w:ind w:left="1440" w:hanging="360"/>
      </w:pPr>
      <w:rPr>
        <w:rFonts w:ascii="Symbol" w:hAnsi="Symbol"/>
      </w:rPr>
    </w:lvl>
    <w:lvl w:ilvl="3" w:tplc="544C3882">
      <w:start w:val="1"/>
      <w:numFmt w:val="bullet"/>
      <w:lvlText w:val=""/>
      <w:lvlJc w:val="left"/>
      <w:pPr>
        <w:ind w:left="1440" w:hanging="360"/>
      </w:pPr>
      <w:rPr>
        <w:rFonts w:ascii="Symbol" w:hAnsi="Symbol"/>
      </w:rPr>
    </w:lvl>
    <w:lvl w:ilvl="4" w:tplc="41969530">
      <w:start w:val="1"/>
      <w:numFmt w:val="bullet"/>
      <w:lvlText w:val=""/>
      <w:lvlJc w:val="left"/>
      <w:pPr>
        <w:ind w:left="1440" w:hanging="360"/>
      </w:pPr>
      <w:rPr>
        <w:rFonts w:ascii="Symbol" w:hAnsi="Symbol"/>
      </w:rPr>
    </w:lvl>
    <w:lvl w:ilvl="5" w:tplc="FA74DF8C">
      <w:start w:val="1"/>
      <w:numFmt w:val="bullet"/>
      <w:lvlText w:val=""/>
      <w:lvlJc w:val="left"/>
      <w:pPr>
        <w:ind w:left="1440" w:hanging="360"/>
      </w:pPr>
      <w:rPr>
        <w:rFonts w:ascii="Symbol" w:hAnsi="Symbol"/>
      </w:rPr>
    </w:lvl>
    <w:lvl w:ilvl="6" w:tplc="9C6413B0">
      <w:start w:val="1"/>
      <w:numFmt w:val="bullet"/>
      <w:lvlText w:val=""/>
      <w:lvlJc w:val="left"/>
      <w:pPr>
        <w:ind w:left="1440" w:hanging="360"/>
      </w:pPr>
      <w:rPr>
        <w:rFonts w:ascii="Symbol" w:hAnsi="Symbol"/>
      </w:rPr>
    </w:lvl>
    <w:lvl w:ilvl="7" w:tplc="B94E869C">
      <w:start w:val="1"/>
      <w:numFmt w:val="bullet"/>
      <w:lvlText w:val=""/>
      <w:lvlJc w:val="left"/>
      <w:pPr>
        <w:ind w:left="1440" w:hanging="360"/>
      </w:pPr>
      <w:rPr>
        <w:rFonts w:ascii="Symbol" w:hAnsi="Symbol"/>
      </w:rPr>
    </w:lvl>
    <w:lvl w:ilvl="8" w:tplc="7E3C4F8C">
      <w:start w:val="1"/>
      <w:numFmt w:val="bullet"/>
      <w:lvlText w:val=""/>
      <w:lvlJc w:val="left"/>
      <w:pPr>
        <w:ind w:left="1440" w:hanging="360"/>
      </w:pPr>
      <w:rPr>
        <w:rFonts w:ascii="Symbol" w:hAnsi="Symbol"/>
      </w:rPr>
    </w:lvl>
  </w:abstractNum>
  <w:abstractNum w:abstractNumId="6" w15:restartNumberingAfterBreak="0">
    <w:nsid w:val="44442297"/>
    <w:multiLevelType w:val="hybridMultilevel"/>
    <w:tmpl w:val="950A402A"/>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8102A"/>
    <w:multiLevelType w:val="hybridMultilevel"/>
    <w:tmpl w:val="701EBC54"/>
    <w:lvl w:ilvl="0" w:tplc="3524289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C555A2"/>
    <w:multiLevelType w:val="hybridMultilevel"/>
    <w:tmpl w:val="BA7CB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FC25AA0"/>
    <w:multiLevelType w:val="hybridMultilevel"/>
    <w:tmpl w:val="D6A62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2342B1D"/>
    <w:multiLevelType w:val="multilevel"/>
    <w:tmpl w:val="628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4EF6F08"/>
    <w:multiLevelType w:val="hybridMultilevel"/>
    <w:tmpl w:val="B4549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84D033C"/>
    <w:multiLevelType w:val="multilevel"/>
    <w:tmpl w:val="149CEFC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941509"/>
    <w:multiLevelType w:val="hybridMultilevel"/>
    <w:tmpl w:val="70864C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17793048">
    <w:abstractNumId w:val="6"/>
  </w:num>
  <w:num w:numId="2" w16cid:durableId="263461728">
    <w:abstractNumId w:val="0"/>
  </w:num>
  <w:num w:numId="3" w16cid:durableId="220360847">
    <w:abstractNumId w:val="11"/>
  </w:num>
  <w:num w:numId="4" w16cid:durableId="268196418">
    <w:abstractNumId w:val="3"/>
  </w:num>
  <w:num w:numId="5" w16cid:durableId="1048839230">
    <w:abstractNumId w:val="13"/>
  </w:num>
  <w:num w:numId="6" w16cid:durableId="1258758998">
    <w:abstractNumId w:val="4"/>
  </w:num>
  <w:num w:numId="7" w16cid:durableId="1832716139">
    <w:abstractNumId w:val="8"/>
  </w:num>
  <w:num w:numId="8" w16cid:durableId="1474522338">
    <w:abstractNumId w:val="12"/>
  </w:num>
  <w:num w:numId="9" w16cid:durableId="446897144">
    <w:abstractNumId w:val="1"/>
  </w:num>
  <w:num w:numId="10" w16cid:durableId="229847195">
    <w:abstractNumId w:val="9"/>
  </w:num>
  <w:num w:numId="11" w16cid:durableId="1735740934">
    <w:abstractNumId w:val="2"/>
  </w:num>
  <w:num w:numId="12" w16cid:durableId="160968568">
    <w:abstractNumId w:val="5"/>
  </w:num>
  <w:num w:numId="13" w16cid:durableId="573319527">
    <w:abstractNumId w:val="7"/>
  </w:num>
  <w:num w:numId="14" w16cid:durableId="1687443345">
    <w:abstractNumId w:val="10"/>
  </w:num>
  <w:num w:numId="15" w16cid:durableId="590236630">
    <w:abstractNumId w:val="13"/>
  </w:num>
  <w:num w:numId="16" w16cid:durableId="209573570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s9ss0t0t5aded20o5s9zvdwe2rpfxtvtp&quot;&gt;T-DXd commentary library&lt;record-ids&gt;&lt;item&gt;3&lt;/item&gt;&lt;item&gt;5&lt;/item&gt;&lt;item&gt;8&lt;/item&gt;&lt;item&gt;9&lt;/item&gt;&lt;item&gt;10&lt;/item&gt;&lt;item&gt;12&lt;/item&gt;&lt;item&gt;13&lt;/item&gt;&lt;item&gt;14&lt;/item&gt;&lt;item&gt;18&lt;/item&gt;&lt;item&gt;23&lt;/item&gt;&lt;item&gt;31&lt;/item&gt;&lt;item&gt;33&lt;/item&gt;&lt;item&gt;34&lt;/item&gt;&lt;item&gt;35&lt;/item&gt;&lt;item&gt;36&lt;/item&gt;&lt;item&gt;41&lt;/item&gt;&lt;item&gt;42&lt;/item&gt;&lt;item&gt;50&lt;/item&gt;&lt;item&gt;55&lt;/item&gt;&lt;item&gt;60&lt;/item&gt;&lt;item&gt;61&lt;/item&gt;&lt;item&gt;62&lt;/item&gt;&lt;item&gt;63&lt;/item&gt;&lt;item&gt;65&lt;/item&gt;&lt;item&gt;66&lt;/item&gt;&lt;item&gt;68&lt;/item&gt;&lt;item&gt;69&lt;/item&gt;&lt;item&gt;70&lt;/item&gt;&lt;item&gt;71&lt;/item&gt;&lt;item&gt;86&lt;/item&gt;&lt;item&gt;91&lt;/item&gt;&lt;item&gt;92&lt;/item&gt;&lt;item&gt;93&lt;/item&gt;&lt;item&gt;98&lt;/item&gt;&lt;item&gt;99&lt;/item&gt;&lt;item&gt;101&lt;/item&gt;&lt;item&gt;102&lt;/item&gt;&lt;item&gt;103&lt;/item&gt;&lt;item&gt;106&lt;/item&gt;&lt;item&gt;109&lt;/item&gt;&lt;item&gt;110&lt;/item&gt;&lt;item&gt;111&lt;/item&gt;&lt;item&gt;114&lt;/item&gt;&lt;item&gt;115&lt;/item&gt;&lt;item&gt;118&lt;/item&gt;&lt;item&gt;119&lt;/item&gt;&lt;item&gt;121&lt;/item&gt;&lt;item&gt;122&lt;/item&gt;&lt;item&gt;123&lt;/item&gt;&lt;item&gt;124&lt;/item&gt;&lt;item&gt;125&lt;/item&gt;&lt;item&gt;127&lt;/item&gt;&lt;item&gt;129&lt;/item&gt;&lt;item&gt;130&lt;/item&gt;&lt;item&gt;131&lt;/item&gt;&lt;item&gt;132&lt;/item&gt;&lt;item&gt;133&lt;/item&gt;&lt;item&gt;134&lt;/item&gt;&lt;item&gt;136&lt;/item&gt;&lt;item&gt;138&lt;/item&gt;&lt;/record-ids&gt;&lt;/item&gt;&lt;/Libraries&gt;"/>
  </w:docVars>
  <w:rsids>
    <w:rsidRoot w:val="00E65E79"/>
    <w:rsid w:val="00000790"/>
    <w:rsid w:val="0000110B"/>
    <w:rsid w:val="00001198"/>
    <w:rsid w:val="0000120F"/>
    <w:rsid w:val="000028A9"/>
    <w:rsid w:val="00002F4B"/>
    <w:rsid w:val="00003499"/>
    <w:rsid w:val="0000367A"/>
    <w:rsid w:val="000038E1"/>
    <w:rsid w:val="000039B7"/>
    <w:rsid w:val="00003D30"/>
    <w:rsid w:val="000040C1"/>
    <w:rsid w:val="00004258"/>
    <w:rsid w:val="0000471E"/>
    <w:rsid w:val="000051BD"/>
    <w:rsid w:val="00005409"/>
    <w:rsid w:val="000056B9"/>
    <w:rsid w:val="0000639A"/>
    <w:rsid w:val="000064C4"/>
    <w:rsid w:val="000068B1"/>
    <w:rsid w:val="00006B95"/>
    <w:rsid w:val="00010121"/>
    <w:rsid w:val="000113D2"/>
    <w:rsid w:val="000114E6"/>
    <w:rsid w:val="00012543"/>
    <w:rsid w:val="00013247"/>
    <w:rsid w:val="00013A46"/>
    <w:rsid w:val="00013FB4"/>
    <w:rsid w:val="000141E5"/>
    <w:rsid w:val="00014748"/>
    <w:rsid w:val="00014CC7"/>
    <w:rsid w:val="00015886"/>
    <w:rsid w:val="00015CEF"/>
    <w:rsid w:val="00015F77"/>
    <w:rsid w:val="000162EF"/>
    <w:rsid w:val="00016D76"/>
    <w:rsid w:val="00017DAD"/>
    <w:rsid w:val="00017E2D"/>
    <w:rsid w:val="00020204"/>
    <w:rsid w:val="000207C9"/>
    <w:rsid w:val="00020C2C"/>
    <w:rsid w:val="00020E8B"/>
    <w:rsid w:val="00021C26"/>
    <w:rsid w:val="0002225F"/>
    <w:rsid w:val="0002227B"/>
    <w:rsid w:val="00022780"/>
    <w:rsid w:val="00023218"/>
    <w:rsid w:val="00023480"/>
    <w:rsid w:val="00023763"/>
    <w:rsid w:val="0002426D"/>
    <w:rsid w:val="00024EB5"/>
    <w:rsid w:val="00025614"/>
    <w:rsid w:val="00025E2B"/>
    <w:rsid w:val="000274B8"/>
    <w:rsid w:val="00027548"/>
    <w:rsid w:val="00030242"/>
    <w:rsid w:val="00031086"/>
    <w:rsid w:val="000315DF"/>
    <w:rsid w:val="00031DBC"/>
    <w:rsid w:val="0003215C"/>
    <w:rsid w:val="00032DC4"/>
    <w:rsid w:val="0003327F"/>
    <w:rsid w:val="00033863"/>
    <w:rsid w:val="00033939"/>
    <w:rsid w:val="000339F6"/>
    <w:rsid w:val="00033E60"/>
    <w:rsid w:val="000349F7"/>
    <w:rsid w:val="00034C65"/>
    <w:rsid w:val="00035194"/>
    <w:rsid w:val="00035292"/>
    <w:rsid w:val="00035DC0"/>
    <w:rsid w:val="0003660C"/>
    <w:rsid w:val="0003660F"/>
    <w:rsid w:val="00036829"/>
    <w:rsid w:val="0003748F"/>
    <w:rsid w:val="000407CB"/>
    <w:rsid w:val="00040895"/>
    <w:rsid w:val="00040C86"/>
    <w:rsid w:val="00040D23"/>
    <w:rsid w:val="000410A0"/>
    <w:rsid w:val="000414FD"/>
    <w:rsid w:val="00041AF7"/>
    <w:rsid w:val="00041B86"/>
    <w:rsid w:val="00041F77"/>
    <w:rsid w:val="00042350"/>
    <w:rsid w:val="00042CBE"/>
    <w:rsid w:val="000435EE"/>
    <w:rsid w:val="00043C37"/>
    <w:rsid w:val="00043D91"/>
    <w:rsid w:val="00043E50"/>
    <w:rsid w:val="00044452"/>
    <w:rsid w:val="000448DF"/>
    <w:rsid w:val="00045017"/>
    <w:rsid w:val="00045A2B"/>
    <w:rsid w:val="00045CFA"/>
    <w:rsid w:val="0004618C"/>
    <w:rsid w:val="0004698F"/>
    <w:rsid w:val="00046C20"/>
    <w:rsid w:val="00046D64"/>
    <w:rsid w:val="0004755B"/>
    <w:rsid w:val="00047AD9"/>
    <w:rsid w:val="00047D6A"/>
    <w:rsid w:val="00050487"/>
    <w:rsid w:val="00050538"/>
    <w:rsid w:val="000508C2"/>
    <w:rsid w:val="00050F18"/>
    <w:rsid w:val="00051A49"/>
    <w:rsid w:val="00051ED1"/>
    <w:rsid w:val="00052753"/>
    <w:rsid w:val="00052A65"/>
    <w:rsid w:val="00052F86"/>
    <w:rsid w:val="00053329"/>
    <w:rsid w:val="000536FE"/>
    <w:rsid w:val="0005376B"/>
    <w:rsid w:val="000539D0"/>
    <w:rsid w:val="00054621"/>
    <w:rsid w:val="000546D7"/>
    <w:rsid w:val="00054A8D"/>
    <w:rsid w:val="00055012"/>
    <w:rsid w:val="00055A19"/>
    <w:rsid w:val="00055E20"/>
    <w:rsid w:val="00056082"/>
    <w:rsid w:val="00056ECF"/>
    <w:rsid w:val="0005745C"/>
    <w:rsid w:val="0005784A"/>
    <w:rsid w:val="00057DAB"/>
    <w:rsid w:val="000604DF"/>
    <w:rsid w:val="0006191C"/>
    <w:rsid w:val="00061C75"/>
    <w:rsid w:val="00062324"/>
    <w:rsid w:val="00062747"/>
    <w:rsid w:val="000629E9"/>
    <w:rsid w:val="00062CB7"/>
    <w:rsid w:val="000633E7"/>
    <w:rsid w:val="00064576"/>
    <w:rsid w:val="0006467A"/>
    <w:rsid w:val="0006469D"/>
    <w:rsid w:val="000646CC"/>
    <w:rsid w:val="00064FB5"/>
    <w:rsid w:val="000653B5"/>
    <w:rsid w:val="000656D7"/>
    <w:rsid w:val="000658C2"/>
    <w:rsid w:val="00065D2C"/>
    <w:rsid w:val="00066360"/>
    <w:rsid w:val="00066AF8"/>
    <w:rsid w:val="000674F5"/>
    <w:rsid w:val="00070B5E"/>
    <w:rsid w:val="00070C72"/>
    <w:rsid w:val="00071248"/>
    <w:rsid w:val="00071F76"/>
    <w:rsid w:val="000720B9"/>
    <w:rsid w:val="000737F7"/>
    <w:rsid w:val="0007387D"/>
    <w:rsid w:val="000738B7"/>
    <w:rsid w:val="00073E97"/>
    <w:rsid w:val="00074241"/>
    <w:rsid w:val="000749C6"/>
    <w:rsid w:val="00074DBC"/>
    <w:rsid w:val="00075997"/>
    <w:rsid w:val="00075FC6"/>
    <w:rsid w:val="0007639A"/>
    <w:rsid w:val="0007672F"/>
    <w:rsid w:val="00076AED"/>
    <w:rsid w:val="00076B54"/>
    <w:rsid w:val="000774F0"/>
    <w:rsid w:val="00077E63"/>
    <w:rsid w:val="0008002A"/>
    <w:rsid w:val="000808FC"/>
    <w:rsid w:val="00080909"/>
    <w:rsid w:val="00080BB1"/>
    <w:rsid w:val="000812CA"/>
    <w:rsid w:val="00081676"/>
    <w:rsid w:val="00081A4D"/>
    <w:rsid w:val="00081D20"/>
    <w:rsid w:val="00081E63"/>
    <w:rsid w:val="0008258D"/>
    <w:rsid w:val="0008304B"/>
    <w:rsid w:val="000833FF"/>
    <w:rsid w:val="00083E99"/>
    <w:rsid w:val="00084B8F"/>
    <w:rsid w:val="00084FA8"/>
    <w:rsid w:val="000856C5"/>
    <w:rsid w:val="00085C31"/>
    <w:rsid w:val="00086121"/>
    <w:rsid w:val="00087DDB"/>
    <w:rsid w:val="000902D9"/>
    <w:rsid w:val="0009030D"/>
    <w:rsid w:val="000909B1"/>
    <w:rsid w:val="00090C7E"/>
    <w:rsid w:val="000911AC"/>
    <w:rsid w:val="00091569"/>
    <w:rsid w:val="00091930"/>
    <w:rsid w:val="00091B2A"/>
    <w:rsid w:val="00092600"/>
    <w:rsid w:val="00092622"/>
    <w:rsid w:val="0009262B"/>
    <w:rsid w:val="000927F2"/>
    <w:rsid w:val="00092BFB"/>
    <w:rsid w:val="00092E6C"/>
    <w:rsid w:val="00093310"/>
    <w:rsid w:val="00093526"/>
    <w:rsid w:val="0009445C"/>
    <w:rsid w:val="00094913"/>
    <w:rsid w:val="00095200"/>
    <w:rsid w:val="00095323"/>
    <w:rsid w:val="00095FE5"/>
    <w:rsid w:val="00096284"/>
    <w:rsid w:val="00096372"/>
    <w:rsid w:val="0009644C"/>
    <w:rsid w:val="000966AF"/>
    <w:rsid w:val="000966D2"/>
    <w:rsid w:val="00096C9F"/>
    <w:rsid w:val="00097F71"/>
    <w:rsid w:val="000A12B8"/>
    <w:rsid w:val="000A1B1F"/>
    <w:rsid w:val="000A1BC0"/>
    <w:rsid w:val="000A2F9E"/>
    <w:rsid w:val="000A3E47"/>
    <w:rsid w:val="000A442C"/>
    <w:rsid w:val="000A522B"/>
    <w:rsid w:val="000A6039"/>
    <w:rsid w:val="000A685A"/>
    <w:rsid w:val="000A7453"/>
    <w:rsid w:val="000A75C5"/>
    <w:rsid w:val="000A7834"/>
    <w:rsid w:val="000A7D08"/>
    <w:rsid w:val="000B0121"/>
    <w:rsid w:val="000B0670"/>
    <w:rsid w:val="000B0BD5"/>
    <w:rsid w:val="000B0E75"/>
    <w:rsid w:val="000B18CD"/>
    <w:rsid w:val="000B1CBE"/>
    <w:rsid w:val="000B2DCB"/>
    <w:rsid w:val="000B3AEA"/>
    <w:rsid w:val="000B4F3B"/>
    <w:rsid w:val="000B5AF8"/>
    <w:rsid w:val="000B5CE0"/>
    <w:rsid w:val="000B644E"/>
    <w:rsid w:val="000B6787"/>
    <w:rsid w:val="000B6CAC"/>
    <w:rsid w:val="000B6CBA"/>
    <w:rsid w:val="000B745B"/>
    <w:rsid w:val="000B7612"/>
    <w:rsid w:val="000B78AE"/>
    <w:rsid w:val="000B79EB"/>
    <w:rsid w:val="000B7C41"/>
    <w:rsid w:val="000C118D"/>
    <w:rsid w:val="000C166F"/>
    <w:rsid w:val="000C19B1"/>
    <w:rsid w:val="000C1D99"/>
    <w:rsid w:val="000C2E8F"/>
    <w:rsid w:val="000C377C"/>
    <w:rsid w:val="000C3997"/>
    <w:rsid w:val="000C3B9B"/>
    <w:rsid w:val="000C3DF9"/>
    <w:rsid w:val="000C3E0C"/>
    <w:rsid w:val="000C429C"/>
    <w:rsid w:val="000C4800"/>
    <w:rsid w:val="000C4CF2"/>
    <w:rsid w:val="000C502B"/>
    <w:rsid w:val="000C58D1"/>
    <w:rsid w:val="000C5BE0"/>
    <w:rsid w:val="000C6713"/>
    <w:rsid w:val="000C6A96"/>
    <w:rsid w:val="000C7322"/>
    <w:rsid w:val="000C7B8E"/>
    <w:rsid w:val="000D0610"/>
    <w:rsid w:val="000D0EAA"/>
    <w:rsid w:val="000D18D1"/>
    <w:rsid w:val="000D1BFC"/>
    <w:rsid w:val="000D1C1D"/>
    <w:rsid w:val="000D1D5D"/>
    <w:rsid w:val="000D281A"/>
    <w:rsid w:val="000D2848"/>
    <w:rsid w:val="000D2C7D"/>
    <w:rsid w:val="000D326A"/>
    <w:rsid w:val="000D35D4"/>
    <w:rsid w:val="000D408E"/>
    <w:rsid w:val="000D4751"/>
    <w:rsid w:val="000D49CB"/>
    <w:rsid w:val="000D51FB"/>
    <w:rsid w:val="000D59A8"/>
    <w:rsid w:val="000D5D0C"/>
    <w:rsid w:val="000D616D"/>
    <w:rsid w:val="000D683D"/>
    <w:rsid w:val="000D6C25"/>
    <w:rsid w:val="000D7381"/>
    <w:rsid w:val="000D755E"/>
    <w:rsid w:val="000D7AD5"/>
    <w:rsid w:val="000E042C"/>
    <w:rsid w:val="000E0445"/>
    <w:rsid w:val="000E0640"/>
    <w:rsid w:val="000E0D78"/>
    <w:rsid w:val="000E135D"/>
    <w:rsid w:val="000E1F46"/>
    <w:rsid w:val="000E2320"/>
    <w:rsid w:val="000E26FA"/>
    <w:rsid w:val="000E30E9"/>
    <w:rsid w:val="000E338E"/>
    <w:rsid w:val="000E342B"/>
    <w:rsid w:val="000E5424"/>
    <w:rsid w:val="000E562F"/>
    <w:rsid w:val="000E6422"/>
    <w:rsid w:val="000E7CD2"/>
    <w:rsid w:val="000F00BA"/>
    <w:rsid w:val="000F11AC"/>
    <w:rsid w:val="000F28EF"/>
    <w:rsid w:val="000F2EF4"/>
    <w:rsid w:val="000F316A"/>
    <w:rsid w:val="000F3C74"/>
    <w:rsid w:val="000F462D"/>
    <w:rsid w:val="000F4709"/>
    <w:rsid w:val="000F4BB8"/>
    <w:rsid w:val="000F4FA9"/>
    <w:rsid w:val="000F53FB"/>
    <w:rsid w:val="000F5431"/>
    <w:rsid w:val="000F5849"/>
    <w:rsid w:val="000F58B1"/>
    <w:rsid w:val="000F5A9D"/>
    <w:rsid w:val="000F5B1C"/>
    <w:rsid w:val="000F6073"/>
    <w:rsid w:val="000F68C3"/>
    <w:rsid w:val="000F6AB6"/>
    <w:rsid w:val="000F7127"/>
    <w:rsid w:val="000F7157"/>
    <w:rsid w:val="000F7648"/>
    <w:rsid w:val="000F7B54"/>
    <w:rsid w:val="001000B3"/>
    <w:rsid w:val="00100F8A"/>
    <w:rsid w:val="001010A9"/>
    <w:rsid w:val="0010160E"/>
    <w:rsid w:val="00101947"/>
    <w:rsid w:val="00101A26"/>
    <w:rsid w:val="00101BEB"/>
    <w:rsid w:val="0010236A"/>
    <w:rsid w:val="00103006"/>
    <w:rsid w:val="00103301"/>
    <w:rsid w:val="00103B4D"/>
    <w:rsid w:val="0010452E"/>
    <w:rsid w:val="001058E0"/>
    <w:rsid w:val="00105AE1"/>
    <w:rsid w:val="00105AE2"/>
    <w:rsid w:val="00105B8C"/>
    <w:rsid w:val="00105BC1"/>
    <w:rsid w:val="001060C6"/>
    <w:rsid w:val="001065C2"/>
    <w:rsid w:val="00106775"/>
    <w:rsid w:val="00106B80"/>
    <w:rsid w:val="00107121"/>
    <w:rsid w:val="0011003B"/>
    <w:rsid w:val="0011032E"/>
    <w:rsid w:val="001107FB"/>
    <w:rsid w:val="0011124C"/>
    <w:rsid w:val="001114EE"/>
    <w:rsid w:val="00111997"/>
    <w:rsid w:val="00111C9B"/>
    <w:rsid w:val="0011226E"/>
    <w:rsid w:val="00112302"/>
    <w:rsid w:val="001124F4"/>
    <w:rsid w:val="00112849"/>
    <w:rsid w:val="00112DBE"/>
    <w:rsid w:val="0011316E"/>
    <w:rsid w:val="0011348B"/>
    <w:rsid w:val="00114352"/>
    <w:rsid w:val="0011446A"/>
    <w:rsid w:val="0011496F"/>
    <w:rsid w:val="0011574A"/>
    <w:rsid w:val="00115982"/>
    <w:rsid w:val="00116388"/>
    <w:rsid w:val="00116C53"/>
    <w:rsid w:val="001177F2"/>
    <w:rsid w:val="00120D46"/>
    <w:rsid w:val="001210D7"/>
    <w:rsid w:val="001210E2"/>
    <w:rsid w:val="00121799"/>
    <w:rsid w:val="00121FD7"/>
    <w:rsid w:val="001222FC"/>
    <w:rsid w:val="001227E2"/>
    <w:rsid w:val="00123222"/>
    <w:rsid w:val="00123902"/>
    <w:rsid w:val="0012434B"/>
    <w:rsid w:val="001244C9"/>
    <w:rsid w:val="00124A51"/>
    <w:rsid w:val="00124EF6"/>
    <w:rsid w:val="0012503A"/>
    <w:rsid w:val="001255A2"/>
    <w:rsid w:val="00126621"/>
    <w:rsid w:val="00126A65"/>
    <w:rsid w:val="00126B1D"/>
    <w:rsid w:val="00126C39"/>
    <w:rsid w:val="001301E9"/>
    <w:rsid w:val="001304AA"/>
    <w:rsid w:val="00130987"/>
    <w:rsid w:val="0013143B"/>
    <w:rsid w:val="00131D82"/>
    <w:rsid w:val="00131EA5"/>
    <w:rsid w:val="00132B22"/>
    <w:rsid w:val="00133692"/>
    <w:rsid w:val="0013378E"/>
    <w:rsid w:val="00133D36"/>
    <w:rsid w:val="00135D90"/>
    <w:rsid w:val="00135F8F"/>
    <w:rsid w:val="00136352"/>
    <w:rsid w:val="00136F25"/>
    <w:rsid w:val="00137645"/>
    <w:rsid w:val="001377DD"/>
    <w:rsid w:val="001379B0"/>
    <w:rsid w:val="00137C1E"/>
    <w:rsid w:val="00137D01"/>
    <w:rsid w:val="0014015A"/>
    <w:rsid w:val="001401C4"/>
    <w:rsid w:val="00140E99"/>
    <w:rsid w:val="0014149C"/>
    <w:rsid w:val="00141648"/>
    <w:rsid w:val="00141B53"/>
    <w:rsid w:val="00142123"/>
    <w:rsid w:val="001428B5"/>
    <w:rsid w:val="001428E5"/>
    <w:rsid w:val="00143279"/>
    <w:rsid w:val="00143F4E"/>
    <w:rsid w:val="00143F67"/>
    <w:rsid w:val="0014419E"/>
    <w:rsid w:val="001445B3"/>
    <w:rsid w:val="0014470B"/>
    <w:rsid w:val="00144D63"/>
    <w:rsid w:val="00145234"/>
    <w:rsid w:val="00145540"/>
    <w:rsid w:val="001456B0"/>
    <w:rsid w:val="001460AB"/>
    <w:rsid w:val="0014631D"/>
    <w:rsid w:val="00147D3D"/>
    <w:rsid w:val="001500D5"/>
    <w:rsid w:val="0015159C"/>
    <w:rsid w:val="001518E6"/>
    <w:rsid w:val="00151AA9"/>
    <w:rsid w:val="00151E92"/>
    <w:rsid w:val="001526A9"/>
    <w:rsid w:val="0015297C"/>
    <w:rsid w:val="0015346F"/>
    <w:rsid w:val="0015387B"/>
    <w:rsid w:val="00153BAA"/>
    <w:rsid w:val="00154704"/>
    <w:rsid w:val="001547AB"/>
    <w:rsid w:val="00154B37"/>
    <w:rsid w:val="00154B8F"/>
    <w:rsid w:val="001558FD"/>
    <w:rsid w:val="00155AE0"/>
    <w:rsid w:val="00155B43"/>
    <w:rsid w:val="001566BF"/>
    <w:rsid w:val="0015679A"/>
    <w:rsid w:val="00156F8F"/>
    <w:rsid w:val="00157130"/>
    <w:rsid w:val="0015721A"/>
    <w:rsid w:val="001576B1"/>
    <w:rsid w:val="00157CD3"/>
    <w:rsid w:val="00157F2E"/>
    <w:rsid w:val="00160031"/>
    <w:rsid w:val="0016047B"/>
    <w:rsid w:val="0016097F"/>
    <w:rsid w:val="00160A4C"/>
    <w:rsid w:val="00160E63"/>
    <w:rsid w:val="0016183E"/>
    <w:rsid w:val="00162208"/>
    <w:rsid w:val="00162913"/>
    <w:rsid w:val="00162C37"/>
    <w:rsid w:val="001639D7"/>
    <w:rsid w:val="00163C48"/>
    <w:rsid w:val="00163EFF"/>
    <w:rsid w:val="00163F66"/>
    <w:rsid w:val="00164349"/>
    <w:rsid w:val="001643D6"/>
    <w:rsid w:val="0016478E"/>
    <w:rsid w:val="0016496F"/>
    <w:rsid w:val="00164B25"/>
    <w:rsid w:val="00164E1F"/>
    <w:rsid w:val="0016548D"/>
    <w:rsid w:val="00165EC4"/>
    <w:rsid w:val="001661FB"/>
    <w:rsid w:val="001662BB"/>
    <w:rsid w:val="00166438"/>
    <w:rsid w:val="0016685A"/>
    <w:rsid w:val="00166951"/>
    <w:rsid w:val="0016716C"/>
    <w:rsid w:val="001671A0"/>
    <w:rsid w:val="001672B1"/>
    <w:rsid w:val="0016748B"/>
    <w:rsid w:val="0016767F"/>
    <w:rsid w:val="00170EAF"/>
    <w:rsid w:val="0017114E"/>
    <w:rsid w:val="00171731"/>
    <w:rsid w:val="00173565"/>
    <w:rsid w:val="00173B07"/>
    <w:rsid w:val="00173B83"/>
    <w:rsid w:val="00173D8D"/>
    <w:rsid w:val="00173E42"/>
    <w:rsid w:val="0017403A"/>
    <w:rsid w:val="001751FA"/>
    <w:rsid w:val="001761DC"/>
    <w:rsid w:val="00176429"/>
    <w:rsid w:val="001767DA"/>
    <w:rsid w:val="00176E74"/>
    <w:rsid w:val="00176FD4"/>
    <w:rsid w:val="0017740D"/>
    <w:rsid w:val="00177AE4"/>
    <w:rsid w:val="00177C7D"/>
    <w:rsid w:val="00177E3A"/>
    <w:rsid w:val="00180193"/>
    <w:rsid w:val="001806A9"/>
    <w:rsid w:val="001809F3"/>
    <w:rsid w:val="00180F82"/>
    <w:rsid w:val="0018111D"/>
    <w:rsid w:val="00181649"/>
    <w:rsid w:val="00181C10"/>
    <w:rsid w:val="00181D9C"/>
    <w:rsid w:val="001826E3"/>
    <w:rsid w:val="00182E3F"/>
    <w:rsid w:val="00182FF8"/>
    <w:rsid w:val="001834AC"/>
    <w:rsid w:val="001837FF"/>
    <w:rsid w:val="001839AA"/>
    <w:rsid w:val="00184B0E"/>
    <w:rsid w:val="00184C52"/>
    <w:rsid w:val="00184E2E"/>
    <w:rsid w:val="00185A99"/>
    <w:rsid w:val="00185B53"/>
    <w:rsid w:val="00185D43"/>
    <w:rsid w:val="001868E0"/>
    <w:rsid w:val="00186926"/>
    <w:rsid w:val="00186B02"/>
    <w:rsid w:val="001873A0"/>
    <w:rsid w:val="0018752F"/>
    <w:rsid w:val="001878AB"/>
    <w:rsid w:val="0019028A"/>
    <w:rsid w:val="00190A6E"/>
    <w:rsid w:val="001921EC"/>
    <w:rsid w:val="001922D8"/>
    <w:rsid w:val="0019234A"/>
    <w:rsid w:val="001930B1"/>
    <w:rsid w:val="0019381B"/>
    <w:rsid w:val="00193838"/>
    <w:rsid w:val="00193F4B"/>
    <w:rsid w:val="001942A9"/>
    <w:rsid w:val="00194AD8"/>
    <w:rsid w:val="00195222"/>
    <w:rsid w:val="00195452"/>
    <w:rsid w:val="00196010"/>
    <w:rsid w:val="001963D1"/>
    <w:rsid w:val="00196618"/>
    <w:rsid w:val="0019672B"/>
    <w:rsid w:val="00196FFB"/>
    <w:rsid w:val="001972C8"/>
    <w:rsid w:val="0019758C"/>
    <w:rsid w:val="001975D8"/>
    <w:rsid w:val="001977E2"/>
    <w:rsid w:val="00197EB8"/>
    <w:rsid w:val="00197F8D"/>
    <w:rsid w:val="001A0313"/>
    <w:rsid w:val="001A0552"/>
    <w:rsid w:val="001A0F6E"/>
    <w:rsid w:val="001A107A"/>
    <w:rsid w:val="001A1366"/>
    <w:rsid w:val="001A1690"/>
    <w:rsid w:val="001A178E"/>
    <w:rsid w:val="001A26A2"/>
    <w:rsid w:val="001A2BA2"/>
    <w:rsid w:val="001A3148"/>
    <w:rsid w:val="001A349F"/>
    <w:rsid w:val="001A43AA"/>
    <w:rsid w:val="001A43FA"/>
    <w:rsid w:val="001A47C5"/>
    <w:rsid w:val="001A49E8"/>
    <w:rsid w:val="001A4C9F"/>
    <w:rsid w:val="001A4DFA"/>
    <w:rsid w:val="001A5778"/>
    <w:rsid w:val="001A59FB"/>
    <w:rsid w:val="001A5D82"/>
    <w:rsid w:val="001A5E9E"/>
    <w:rsid w:val="001A6354"/>
    <w:rsid w:val="001A6366"/>
    <w:rsid w:val="001A7927"/>
    <w:rsid w:val="001A7A84"/>
    <w:rsid w:val="001A7AE8"/>
    <w:rsid w:val="001B0C38"/>
    <w:rsid w:val="001B0D05"/>
    <w:rsid w:val="001B140A"/>
    <w:rsid w:val="001B14F7"/>
    <w:rsid w:val="001B184C"/>
    <w:rsid w:val="001B1E09"/>
    <w:rsid w:val="001B1F4B"/>
    <w:rsid w:val="001B201E"/>
    <w:rsid w:val="001B202A"/>
    <w:rsid w:val="001B204E"/>
    <w:rsid w:val="001B2372"/>
    <w:rsid w:val="001B25F6"/>
    <w:rsid w:val="001B2B56"/>
    <w:rsid w:val="001B3443"/>
    <w:rsid w:val="001B3451"/>
    <w:rsid w:val="001B4184"/>
    <w:rsid w:val="001B4644"/>
    <w:rsid w:val="001B47EE"/>
    <w:rsid w:val="001B4D20"/>
    <w:rsid w:val="001B4D98"/>
    <w:rsid w:val="001B5394"/>
    <w:rsid w:val="001B55BE"/>
    <w:rsid w:val="001B563A"/>
    <w:rsid w:val="001B58F0"/>
    <w:rsid w:val="001B5CA2"/>
    <w:rsid w:val="001B5EE6"/>
    <w:rsid w:val="001B5F58"/>
    <w:rsid w:val="001B6CCD"/>
    <w:rsid w:val="001B6E13"/>
    <w:rsid w:val="001B7E2C"/>
    <w:rsid w:val="001B7F84"/>
    <w:rsid w:val="001C09EA"/>
    <w:rsid w:val="001C119B"/>
    <w:rsid w:val="001C2235"/>
    <w:rsid w:val="001C2A9B"/>
    <w:rsid w:val="001C3217"/>
    <w:rsid w:val="001C35DC"/>
    <w:rsid w:val="001C3AB0"/>
    <w:rsid w:val="001C3BC0"/>
    <w:rsid w:val="001C3CEE"/>
    <w:rsid w:val="001C3DD6"/>
    <w:rsid w:val="001C428A"/>
    <w:rsid w:val="001C4299"/>
    <w:rsid w:val="001C437B"/>
    <w:rsid w:val="001C4874"/>
    <w:rsid w:val="001C597B"/>
    <w:rsid w:val="001C5F26"/>
    <w:rsid w:val="001C5F94"/>
    <w:rsid w:val="001C6019"/>
    <w:rsid w:val="001C6241"/>
    <w:rsid w:val="001C63B9"/>
    <w:rsid w:val="001C6899"/>
    <w:rsid w:val="001C6D5B"/>
    <w:rsid w:val="001C6E66"/>
    <w:rsid w:val="001D046A"/>
    <w:rsid w:val="001D1100"/>
    <w:rsid w:val="001D1391"/>
    <w:rsid w:val="001D1559"/>
    <w:rsid w:val="001D1D4C"/>
    <w:rsid w:val="001D1EFF"/>
    <w:rsid w:val="001D22AD"/>
    <w:rsid w:val="001D25D7"/>
    <w:rsid w:val="001D3090"/>
    <w:rsid w:val="001D3C67"/>
    <w:rsid w:val="001D403F"/>
    <w:rsid w:val="001D4047"/>
    <w:rsid w:val="001D42AD"/>
    <w:rsid w:val="001D50B2"/>
    <w:rsid w:val="001D6007"/>
    <w:rsid w:val="001D6642"/>
    <w:rsid w:val="001D68DA"/>
    <w:rsid w:val="001D6B36"/>
    <w:rsid w:val="001D6B9B"/>
    <w:rsid w:val="001D6EF8"/>
    <w:rsid w:val="001D71F4"/>
    <w:rsid w:val="001D7645"/>
    <w:rsid w:val="001E051A"/>
    <w:rsid w:val="001E1090"/>
    <w:rsid w:val="001E1293"/>
    <w:rsid w:val="001E17EF"/>
    <w:rsid w:val="001E19B0"/>
    <w:rsid w:val="001E1E86"/>
    <w:rsid w:val="001E238E"/>
    <w:rsid w:val="001E2483"/>
    <w:rsid w:val="001E25B6"/>
    <w:rsid w:val="001E2B1E"/>
    <w:rsid w:val="001E2CFF"/>
    <w:rsid w:val="001E2F24"/>
    <w:rsid w:val="001E30D4"/>
    <w:rsid w:val="001E34DF"/>
    <w:rsid w:val="001E52EB"/>
    <w:rsid w:val="001E5768"/>
    <w:rsid w:val="001E5E78"/>
    <w:rsid w:val="001E61D2"/>
    <w:rsid w:val="001E6AA4"/>
    <w:rsid w:val="001E740C"/>
    <w:rsid w:val="001F0214"/>
    <w:rsid w:val="001F0D51"/>
    <w:rsid w:val="001F1235"/>
    <w:rsid w:val="001F1CB3"/>
    <w:rsid w:val="001F1F5A"/>
    <w:rsid w:val="001F236F"/>
    <w:rsid w:val="001F2635"/>
    <w:rsid w:val="001F2700"/>
    <w:rsid w:val="001F2EC4"/>
    <w:rsid w:val="001F38B5"/>
    <w:rsid w:val="001F4081"/>
    <w:rsid w:val="001F4854"/>
    <w:rsid w:val="001F538A"/>
    <w:rsid w:val="001F67AF"/>
    <w:rsid w:val="001F7361"/>
    <w:rsid w:val="001F742C"/>
    <w:rsid w:val="001F798D"/>
    <w:rsid w:val="001F7E4E"/>
    <w:rsid w:val="002002FD"/>
    <w:rsid w:val="0020051D"/>
    <w:rsid w:val="00200BE9"/>
    <w:rsid w:val="002011B0"/>
    <w:rsid w:val="00201C61"/>
    <w:rsid w:val="00202345"/>
    <w:rsid w:val="00202477"/>
    <w:rsid w:val="0020306D"/>
    <w:rsid w:val="00203181"/>
    <w:rsid w:val="00203396"/>
    <w:rsid w:val="002033EA"/>
    <w:rsid w:val="00203595"/>
    <w:rsid w:val="00203783"/>
    <w:rsid w:val="00203829"/>
    <w:rsid w:val="0020385F"/>
    <w:rsid w:val="00203879"/>
    <w:rsid w:val="0020393C"/>
    <w:rsid w:val="0020469A"/>
    <w:rsid w:val="00204E92"/>
    <w:rsid w:val="00204EFA"/>
    <w:rsid w:val="00205141"/>
    <w:rsid w:val="002067A3"/>
    <w:rsid w:val="00206851"/>
    <w:rsid w:val="002068A0"/>
    <w:rsid w:val="00206EC6"/>
    <w:rsid w:val="00207021"/>
    <w:rsid w:val="0020732F"/>
    <w:rsid w:val="00207CD1"/>
    <w:rsid w:val="00207D00"/>
    <w:rsid w:val="00207E87"/>
    <w:rsid w:val="00210152"/>
    <w:rsid w:val="002105C1"/>
    <w:rsid w:val="00210785"/>
    <w:rsid w:val="00210921"/>
    <w:rsid w:val="00210960"/>
    <w:rsid w:val="002116FD"/>
    <w:rsid w:val="002121E7"/>
    <w:rsid w:val="002124EC"/>
    <w:rsid w:val="002129A4"/>
    <w:rsid w:val="00213EF5"/>
    <w:rsid w:val="00214491"/>
    <w:rsid w:val="00214A35"/>
    <w:rsid w:val="00214ED2"/>
    <w:rsid w:val="00215794"/>
    <w:rsid w:val="00215F0F"/>
    <w:rsid w:val="00216255"/>
    <w:rsid w:val="00216BF5"/>
    <w:rsid w:val="002171E5"/>
    <w:rsid w:val="0021739D"/>
    <w:rsid w:val="002176FA"/>
    <w:rsid w:val="00217CA9"/>
    <w:rsid w:val="00220538"/>
    <w:rsid w:val="002207A3"/>
    <w:rsid w:val="00221276"/>
    <w:rsid w:val="00221CE5"/>
    <w:rsid w:val="00222143"/>
    <w:rsid w:val="002231AB"/>
    <w:rsid w:val="00223A6C"/>
    <w:rsid w:val="00223B49"/>
    <w:rsid w:val="00223D5A"/>
    <w:rsid w:val="00224361"/>
    <w:rsid w:val="00224DD4"/>
    <w:rsid w:val="002275F4"/>
    <w:rsid w:val="002278A0"/>
    <w:rsid w:val="00227F05"/>
    <w:rsid w:val="00230488"/>
    <w:rsid w:val="002309CC"/>
    <w:rsid w:val="00230BC3"/>
    <w:rsid w:val="002316D8"/>
    <w:rsid w:val="00231AA7"/>
    <w:rsid w:val="00231BA9"/>
    <w:rsid w:val="0023209F"/>
    <w:rsid w:val="002326E1"/>
    <w:rsid w:val="00232D07"/>
    <w:rsid w:val="002337D1"/>
    <w:rsid w:val="00233C01"/>
    <w:rsid w:val="0023413C"/>
    <w:rsid w:val="002346F0"/>
    <w:rsid w:val="00234EE2"/>
    <w:rsid w:val="00235097"/>
    <w:rsid w:val="0023629D"/>
    <w:rsid w:val="002366CF"/>
    <w:rsid w:val="002370A4"/>
    <w:rsid w:val="00237255"/>
    <w:rsid w:val="002372D3"/>
    <w:rsid w:val="002372F7"/>
    <w:rsid w:val="002377CD"/>
    <w:rsid w:val="002403AF"/>
    <w:rsid w:val="00240455"/>
    <w:rsid w:val="00240484"/>
    <w:rsid w:val="002405E8"/>
    <w:rsid w:val="002408BD"/>
    <w:rsid w:val="00241901"/>
    <w:rsid w:val="00241A58"/>
    <w:rsid w:val="002424AF"/>
    <w:rsid w:val="00242A9A"/>
    <w:rsid w:val="002432B5"/>
    <w:rsid w:val="00243444"/>
    <w:rsid w:val="0024374C"/>
    <w:rsid w:val="00243909"/>
    <w:rsid w:val="002439DC"/>
    <w:rsid w:val="002441D2"/>
    <w:rsid w:val="002444CC"/>
    <w:rsid w:val="00244812"/>
    <w:rsid w:val="0024486E"/>
    <w:rsid w:val="00244AC9"/>
    <w:rsid w:val="00244DC8"/>
    <w:rsid w:val="00244FA5"/>
    <w:rsid w:val="002458BA"/>
    <w:rsid w:val="00245CE9"/>
    <w:rsid w:val="0024636C"/>
    <w:rsid w:val="002466F2"/>
    <w:rsid w:val="002469B5"/>
    <w:rsid w:val="00246CF5"/>
    <w:rsid w:val="00247871"/>
    <w:rsid w:val="00247925"/>
    <w:rsid w:val="00247B66"/>
    <w:rsid w:val="0025026B"/>
    <w:rsid w:val="00251006"/>
    <w:rsid w:val="0025188F"/>
    <w:rsid w:val="002518B9"/>
    <w:rsid w:val="002524D5"/>
    <w:rsid w:val="002528A6"/>
    <w:rsid w:val="00252D11"/>
    <w:rsid w:val="002532A1"/>
    <w:rsid w:val="00253425"/>
    <w:rsid w:val="00253818"/>
    <w:rsid w:val="00253B1D"/>
    <w:rsid w:val="00254141"/>
    <w:rsid w:val="00254C88"/>
    <w:rsid w:val="00254DCF"/>
    <w:rsid w:val="002550D7"/>
    <w:rsid w:val="00255344"/>
    <w:rsid w:val="0025534B"/>
    <w:rsid w:val="00255A1A"/>
    <w:rsid w:val="00255B25"/>
    <w:rsid w:val="00255BB7"/>
    <w:rsid w:val="00255CA6"/>
    <w:rsid w:val="00256B32"/>
    <w:rsid w:val="00256CD7"/>
    <w:rsid w:val="00257541"/>
    <w:rsid w:val="002575F1"/>
    <w:rsid w:val="00257A39"/>
    <w:rsid w:val="00257AC4"/>
    <w:rsid w:val="00257BBE"/>
    <w:rsid w:val="00260089"/>
    <w:rsid w:val="00260C5B"/>
    <w:rsid w:val="00261573"/>
    <w:rsid w:val="00261BA6"/>
    <w:rsid w:val="00261C66"/>
    <w:rsid w:val="00261ECF"/>
    <w:rsid w:val="00261EEF"/>
    <w:rsid w:val="002623CF"/>
    <w:rsid w:val="002624C7"/>
    <w:rsid w:val="0026256E"/>
    <w:rsid w:val="00262915"/>
    <w:rsid w:val="00262A1A"/>
    <w:rsid w:val="00262A87"/>
    <w:rsid w:val="00262AEC"/>
    <w:rsid w:val="00262BDA"/>
    <w:rsid w:val="00262BF9"/>
    <w:rsid w:val="00263AE1"/>
    <w:rsid w:val="00263F15"/>
    <w:rsid w:val="00264BD5"/>
    <w:rsid w:val="00264D26"/>
    <w:rsid w:val="002651BA"/>
    <w:rsid w:val="00265417"/>
    <w:rsid w:val="00265B65"/>
    <w:rsid w:val="00265FD6"/>
    <w:rsid w:val="002661F8"/>
    <w:rsid w:val="0026638D"/>
    <w:rsid w:val="00267642"/>
    <w:rsid w:val="00267ADD"/>
    <w:rsid w:val="00267AEA"/>
    <w:rsid w:val="00267BC6"/>
    <w:rsid w:val="00267C6C"/>
    <w:rsid w:val="002700E6"/>
    <w:rsid w:val="002701A7"/>
    <w:rsid w:val="0027022D"/>
    <w:rsid w:val="002704DF"/>
    <w:rsid w:val="0027058F"/>
    <w:rsid w:val="0027167D"/>
    <w:rsid w:val="0027294B"/>
    <w:rsid w:val="00272B14"/>
    <w:rsid w:val="002731E3"/>
    <w:rsid w:val="00273EB4"/>
    <w:rsid w:val="00274308"/>
    <w:rsid w:val="00274682"/>
    <w:rsid w:val="00275158"/>
    <w:rsid w:val="00275C5A"/>
    <w:rsid w:val="00276001"/>
    <w:rsid w:val="00276E9F"/>
    <w:rsid w:val="00281014"/>
    <w:rsid w:val="00281139"/>
    <w:rsid w:val="0028115E"/>
    <w:rsid w:val="002812B6"/>
    <w:rsid w:val="002817A2"/>
    <w:rsid w:val="002819D2"/>
    <w:rsid w:val="0028287D"/>
    <w:rsid w:val="002832DF"/>
    <w:rsid w:val="00283CA6"/>
    <w:rsid w:val="00284916"/>
    <w:rsid w:val="00284C2F"/>
    <w:rsid w:val="00285302"/>
    <w:rsid w:val="0028547E"/>
    <w:rsid w:val="00285BCE"/>
    <w:rsid w:val="00286196"/>
    <w:rsid w:val="0028665D"/>
    <w:rsid w:val="00286676"/>
    <w:rsid w:val="0028683A"/>
    <w:rsid w:val="00286B4B"/>
    <w:rsid w:val="002874DA"/>
    <w:rsid w:val="00287508"/>
    <w:rsid w:val="00287760"/>
    <w:rsid w:val="00287EE5"/>
    <w:rsid w:val="0029023D"/>
    <w:rsid w:val="00290406"/>
    <w:rsid w:val="002906CC"/>
    <w:rsid w:val="00290BC4"/>
    <w:rsid w:val="00291303"/>
    <w:rsid w:val="00291BF5"/>
    <w:rsid w:val="0029270E"/>
    <w:rsid w:val="00292A47"/>
    <w:rsid w:val="00292BEE"/>
    <w:rsid w:val="00293756"/>
    <w:rsid w:val="00294B29"/>
    <w:rsid w:val="00295B12"/>
    <w:rsid w:val="00295C3B"/>
    <w:rsid w:val="0029638D"/>
    <w:rsid w:val="002A0386"/>
    <w:rsid w:val="002A06C0"/>
    <w:rsid w:val="002A0DC6"/>
    <w:rsid w:val="002A14AB"/>
    <w:rsid w:val="002A2ADE"/>
    <w:rsid w:val="002A2B6F"/>
    <w:rsid w:val="002A2F50"/>
    <w:rsid w:val="002A5B6B"/>
    <w:rsid w:val="002A5D8E"/>
    <w:rsid w:val="002A71D8"/>
    <w:rsid w:val="002A7242"/>
    <w:rsid w:val="002A7383"/>
    <w:rsid w:val="002A7435"/>
    <w:rsid w:val="002A7943"/>
    <w:rsid w:val="002A7B18"/>
    <w:rsid w:val="002A7F64"/>
    <w:rsid w:val="002B05A1"/>
    <w:rsid w:val="002B09A4"/>
    <w:rsid w:val="002B0E6F"/>
    <w:rsid w:val="002B1C1C"/>
    <w:rsid w:val="002B1C1F"/>
    <w:rsid w:val="002B1DC2"/>
    <w:rsid w:val="002B20EE"/>
    <w:rsid w:val="002B278C"/>
    <w:rsid w:val="002B31B5"/>
    <w:rsid w:val="002B432F"/>
    <w:rsid w:val="002B45D6"/>
    <w:rsid w:val="002B518A"/>
    <w:rsid w:val="002B56D3"/>
    <w:rsid w:val="002B5B8B"/>
    <w:rsid w:val="002B60E4"/>
    <w:rsid w:val="002B614F"/>
    <w:rsid w:val="002B62B3"/>
    <w:rsid w:val="002B6754"/>
    <w:rsid w:val="002B6CCE"/>
    <w:rsid w:val="002B7DA5"/>
    <w:rsid w:val="002C014F"/>
    <w:rsid w:val="002C06F7"/>
    <w:rsid w:val="002C09F0"/>
    <w:rsid w:val="002C0C08"/>
    <w:rsid w:val="002C0C50"/>
    <w:rsid w:val="002C0D4E"/>
    <w:rsid w:val="002C113F"/>
    <w:rsid w:val="002C2510"/>
    <w:rsid w:val="002C2775"/>
    <w:rsid w:val="002C27C1"/>
    <w:rsid w:val="002C36CB"/>
    <w:rsid w:val="002C36E3"/>
    <w:rsid w:val="002C3888"/>
    <w:rsid w:val="002C45C1"/>
    <w:rsid w:val="002C5099"/>
    <w:rsid w:val="002C5889"/>
    <w:rsid w:val="002C5A90"/>
    <w:rsid w:val="002C5D86"/>
    <w:rsid w:val="002C6141"/>
    <w:rsid w:val="002C686F"/>
    <w:rsid w:val="002C6D28"/>
    <w:rsid w:val="002C7124"/>
    <w:rsid w:val="002C71CE"/>
    <w:rsid w:val="002D08F8"/>
    <w:rsid w:val="002D0A6D"/>
    <w:rsid w:val="002D0EA6"/>
    <w:rsid w:val="002D0F0A"/>
    <w:rsid w:val="002D135C"/>
    <w:rsid w:val="002D2A25"/>
    <w:rsid w:val="002D33D7"/>
    <w:rsid w:val="002D36C3"/>
    <w:rsid w:val="002D577C"/>
    <w:rsid w:val="002D5F61"/>
    <w:rsid w:val="002D674D"/>
    <w:rsid w:val="002D6B54"/>
    <w:rsid w:val="002D7500"/>
    <w:rsid w:val="002D7832"/>
    <w:rsid w:val="002E1071"/>
    <w:rsid w:val="002E15B9"/>
    <w:rsid w:val="002E184B"/>
    <w:rsid w:val="002E1D1A"/>
    <w:rsid w:val="002E206D"/>
    <w:rsid w:val="002E2158"/>
    <w:rsid w:val="002E2306"/>
    <w:rsid w:val="002E2908"/>
    <w:rsid w:val="002E2ABC"/>
    <w:rsid w:val="002E2E82"/>
    <w:rsid w:val="002E3004"/>
    <w:rsid w:val="002E3B20"/>
    <w:rsid w:val="002E41A5"/>
    <w:rsid w:val="002E4587"/>
    <w:rsid w:val="002E45F9"/>
    <w:rsid w:val="002E4F02"/>
    <w:rsid w:val="002E524D"/>
    <w:rsid w:val="002E5B3A"/>
    <w:rsid w:val="002E60EA"/>
    <w:rsid w:val="002E6158"/>
    <w:rsid w:val="002E692D"/>
    <w:rsid w:val="002E6DFD"/>
    <w:rsid w:val="002E7722"/>
    <w:rsid w:val="002E792C"/>
    <w:rsid w:val="002E7B01"/>
    <w:rsid w:val="002E7D1C"/>
    <w:rsid w:val="002F07BA"/>
    <w:rsid w:val="002F08AA"/>
    <w:rsid w:val="002F0DA9"/>
    <w:rsid w:val="002F0EC1"/>
    <w:rsid w:val="002F1014"/>
    <w:rsid w:val="002F163F"/>
    <w:rsid w:val="002F1DF6"/>
    <w:rsid w:val="002F1E3B"/>
    <w:rsid w:val="002F28D7"/>
    <w:rsid w:val="002F34F8"/>
    <w:rsid w:val="002F370D"/>
    <w:rsid w:val="002F38CA"/>
    <w:rsid w:val="002F3A47"/>
    <w:rsid w:val="002F3E8E"/>
    <w:rsid w:val="002F4B2B"/>
    <w:rsid w:val="002F57C6"/>
    <w:rsid w:val="002F62CC"/>
    <w:rsid w:val="002F6422"/>
    <w:rsid w:val="002F643C"/>
    <w:rsid w:val="002F653D"/>
    <w:rsid w:val="002F6E0E"/>
    <w:rsid w:val="002F71C0"/>
    <w:rsid w:val="002F7325"/>
    <w:rsid w:val="002F74F1"/>
    <w:rsid w:val="0030071A"/>
    <w:rsid w:val="003007E9"/>
    <w:rsid w:val="00300E2B"/>
    <w:rsid w:val="00301017"/>
    <w:rsid w:val="0030155F"/>
    <w:rsid w:val="00301967"/>
    <w:rsid w:val="003023E2"/>
    <w:rsid w:val="0030262C"/>
    <w:rsid w:val="003031D1"/>
    <w:rsid w:val="003037D8"/>
    <w:rsid w:val="00303993"/>
    <w:rsid w:val="00303D54"/>
    <w:rsid w:val="00304603"/>
    <w:rsid w:val="0030587B"/>
    <w:rsid w:val="00305B7E"/>
    <w:rsid w:val="00306970"/>
    <w:rsid w:val="00306D98"/>
    <w:rsid w:val="0030714F"/>
    <w:rsid w:val="0030725C"/>
    <w:rsid w:val="003072D1"/>
    <w:rsid w:val="00307343"/>
    <w:rsid w:val="0030786C"/>
    <w:rsid w:val="00307BBE"/>
    <w:rsid w:val="0031031A"/>
    <w:rsid w:val="0031049D"/>
    <w:rsid w:val="00310591"/>
    <w:rsid w:val="00310981"/>
    <w:rsid w:val="00311BC8"/>
    <w:rsid w:val="00311D9B"/>
    <w:rsid w:val="003124D9"/>
    <w:rsid w:val="003124F4"/>
    <w:rsid w:val="00312594"/>
    <w:rsid w:val="003125A8"/>
    <w:rsid w:val="003128D8"/>
    <w:rsid w:val="00312917"/>
    <w:rsid w:val="00312E14"/>
    <w:rsid w:val="003133F0"/>
    <w:rsid w:val="00314543"/>
    <w:rsid w:val="003148AE"/>
    <w:rsid w:val="00314AF8"/>
    <w:rsid w:val="00314B3E"/>
    <w:rsid w:val="00314B5D"/>
    <w:rsid w:val="00315498"/>
    <w:rsid w:val="003163E9"/>
    <w:rsid w:val="00316474"/>
    <w:rsid w:val="0031717D"/>
    <w:rsid w:val="00317F8E"/>
    <w:rsid w:val="003216A2"/>
    <w:rsid w:val="00322107"/>
    <w:rsid w:val="00322355"/>
    <w:rsid w:val="00322846"/>
    <w:rsid w:val="003228BE"/>
    <w:rsid w:val="00324B13"/>
    <w:rsid w:val="00325948"/>
    <w:rsid w:val="00325F5D"/>
    <w:rsid w:val="00326DA7"/>
    <w:rsid w:val="00327022"/>
    <w:rsid w:val="003270E4"/>
    <w:rsid w:val="0032716D"/>
    <w:rsid w:val="00327B57"/>
    <w:rsid w:val="00327DB5"/>
    <w:rsid w:val="003301B6"/>
    <w:rsid w:val="00330459"/>
    <w:rsid w:val="00330DAA"/>
    <w:rsid w:val="00330F5C"/>
    <w:rsid w:val="00332556"/>
    <w:rsid w:val="00332CE1"/>
    <w:rsid w:val="00332D79"/>
    <w:rsid w:val="00333235"/>
    <w:rsid w:val="00333445"/>
    <w:rsid w:val="0033380C"/>
    <w:rsid w:val="00333E5D"/>
    <w:rsid w:val="003344B9"/>
    <w:rsid w:val="003360A2"/>
    <w:rsid w:val="003363FD"/>
    <w:rsid w:val="003366C9"/>
    <w:rsid w:val="0033673E"/>
    <w:rsid w:val="00336A1A"/>
    <w:rsid w:val="00336E4D"/>
    <w:rsid w:val="003371B0"/>
    <w:rsid w:val="0033730D"/>
    <w:rsid w:val="0034043B"/>
    <w:rsid w:val="003404B0"/>
    <w:rsid w:val="00340953"/>
    <w:rsid w:val="00340DF1"/>
    <w:rsid w:val="00341861"/>
    <w:rsid w:val="00342148"/>
    <w:rsid w:val="00342838"/>
    <w:rsid w:val="00343029"/>
    <w:rsid w:val="003446DE"/>
    <w:rsid w:val="003447A4"/>
    <w:rsid w:val="00344B68"/>
    <w:rsid w:val="00345FA1"/>
    <w:rsid w:val="003463FB"/>
    <w:rsid w:val="00346DA4"/>
    <w:rsid w:val="00347312"/>
    <w:rsid w:val="00347496"/>
    <w:rsid w:val="00347E7A"/>
    <w:rsid w:val="00350409"/>
    <w:rsid w:val="003517F9"/>
    <w:rsid w:val="00351BA9"/>
    <w:rsid w:val="00352D24"/>
    <w:rsid w:val="00352E1E"/>
    <w:rsid w:val="003535BC"/>
    <w:rsid w:val="00354165"/>
    <w:rsid w:val="003548BD"/>
    <w:rsid w:val="00354C79"/>
    <w:rsid w:val="00354F64"/>
    <w:rsid w:val="0035585C"/>
    <w:rsid w:val="00356172"/>
    <w:rsid w:val="0035620E"/>
    <w:rsid w:val="003564EE"/>
    <w:rsid w:val="003574DE"/>
    <w:rsid w:val="003575BE"/>
    <w:rsid w:val="003578CC"/>
    <w:rsid w:val="00357B06"/>
    <w:rsid w:val="00360345"/>
    <w:rsid w:val="003609A5"/>
    <w:rsid w:val="00360CD4"/>
    <w:rsid w:val="00360ECB"/>
    <w:rsid w:val="00360FDB"/>
    <w:rsid w:val="003612CA"/>
    <w:rsid w:val="003612E5"/>
    <w:rsid w:val="00361A05"/>
    <w:rsid w:val="00361F3A"/>
    <w:rsid w:val="003623B4"/>
    <w:rsid w:val="003624C4"/>
    <w:rsid w:val="0036262D"/>
    <w:rsid w:val="0036294D"/>
    <w:rsid w:val="00362955"/>
    <w:rsid w:val="00363B00"/>
    <w:rsid w:val="00364785"/>
    <w:rsid w:val="00364A1D"/>
    <w:rsid w:val="00364BF2"/>
    <w:rsid w:val="003654AC"/>
    <w:rsid w:val="00365A19"/>
    <w:rsid w:val="00365BB7"/>
    <w:rsid w:val="003677CD"/>
    <w:rsid w:val="00367C2C"/>
    <w:rsid w:val="00370A53"/>
    <w:rsid w:val="003710CF"/>
    <w:rsid w:val="00372216"/>
    <w:rsid w:val="00373165"/>
    <w:rsid w:val="003732AF"/>
    <w:rsid w:val="0037358A"/>
    <w:rsid w:val="00373BFB"/>
    <w:rsid w:val="003750F6"/>
    <w:rsid w:val="0037517B"/>
    <w:rsid w:val="003760FC"/>
    <w:rsid w:val="00376454"/>
    <w:rsid w:val="0037717B"/>
    <w:rsid w:val="00380559"/>
    <w:rsid w:val="00380764"/>
    <w:rsid w:val="00380ACA"/>
    <w:rsid w:val="00380CE1"/>
    <w:rsid w:val="003821FB"/>
    <w:rsid w:val="0038221F"/>
    <w:rsid w:val="003822FF"/>
    <w:rsid w:val="00382C19"/>
    <w:rsid w:val="00382F39"/>
    <w:rsid w:val="0038365C"/>
    <w:rsid w:val="0038369B"/>
    <w:rsid w:val="0038376D"/>
    <w:rsid w:val="0038394D"/>
    <w:rsid w:val="00383B78"/>
    <w:rsid w:val="00383F2F"/>
    <w:rsid w:val="003849A6"/>
    <w:rsid w:val="00385328"/>
    <w:rsid w:val="00385A9D"/>
    <w:rsid w:val="00385D5F"/>
    <w:rsid w:val="00386A63"/>
    <w:rsid w:val="00387121"/>
    <w:rsid w:val="00387E7A"/>
    <w:rsid w:val="003902B1"/>
    <w:rsid w:val="00390DD3"/>
    <w:rsid w:val="003911BE"/>
    <w:rsid w:val="0039179C"/>
    <w:rsid w:val="00392D62"/>
    <w:rsid w:val="0039357D"/>
    <w:rsid w:val="00394137"/>
    <w:rsid w:val="003965EA"/>
    <w:rsid w:val="00396896"/>
    <w:rsid w:val="00396FD0"/>
    <w:rsid w:val="00397946"/>
    <w:rsid w:val="003A0764"/>
    <w:rsid w:val="003A1278"/>
    <w:rsid w:val="003A140E"/>
    <w:rsid w:val="003A1A7A"/>
    <w:rsid w:val="003A1F48"/>
    <w:rsid w:val="003A22B1"/>
    <w:rsid w:val="003A2392"/>
    <w:rsid w:val="003A2831"/>
    <w:rsid w:val="003A2F94"/>
    <w:rsid w:val="003A3479"/>
    <w:rsid w:val="003A372E"/>
    <w:rsid w:val="003A3CB6"/>
    <w:rsid w:val="003A3ED1"/>
    <w:rsid w:val="003A44DB"/>
    <w:rsid w:val="003A453C"/>
    <w:rsid w:val="003A4702"/>
    <w:rsid w:val="003A4C14"/>
    <w:rsid w:val="003A5263"/>
    <w:rsid w:val="003A53B6"/>
    <w:rsid w:val="003A7403"/>
    <w:rsid w:val="003A7DF1"/>
    <w:rsid w:val="003B0A43"/>
    <w:rsid w:val="003B0B7B"/>
    <w:rsid w:val="003B149A"/>
    <w:rsid w:val="003B1988"/>
    <w:rsid w:val="003B1D0B"/>
    <w:rsid w:val="003B3757"/>
    <w:rsid w:val="003B3971"/>
    <w:rsid w:val="003B3F03"/>
    <w:rsid w:val="003B4377"/>
    <w:rsid w:val="003B44E2"/>
    <w:rsid w:val="003B5227"/>
    <w:rsid w:val="003B548B"/>
    <w:rsid w:val="003B55AD"/>
    <w:rsid w:val="003B55D1"/>
    <w:rsid w:val="003B57D9"/>
    <w:rsid w:val="003B5A83"/>
    <w:rsid w:val="003B5B61"/>
    <w:rsid w:val="003B646E"/>
    <w:rsid w:val="003B6B90"/>
    <w:rsid w:val="003B739D"/>
    <w:rsid w:val="003C0928"/>
    <w:rsid w:val="003C0C8F"/>
    <w:rsid w:val="003C1654"/>
    <w:rsid w:val="003C36D3"/>
    <w:rsid w:val="003C3824"/>
    <w:rsid w:val="003C3BF4"/>
    <w:rsid w:val="003C3E60"/>
    <w:rsid w:val="003C5283"/>
    <w:rsid w:val="003C5542"/>
    <w:rsid w:val="003C6700"/>
    <w:rsid w:val="003C6D2A"/>
    <w:rsid w:val="003C72A3"/>
    <w:rsid w:val="003C758B"/>
    <w:rsid w:val="003C7C15"/>
    <w:rsid w:val="003C7CAF"/>
    <w:rsid w:val="003C7D19"/>
    <w:rsid w:val="003C7D2F"/>
    <w:rsid w:val="003D0C5A"/>
    <w:rsid w:val="003D0F82"/>
    <w:rsid w:val="003D1337"/>
    <w:rsid w:val="003D147A"/>
    <w:rsid w:val="003D1828"/>
    <w:rsid w:val="003D18FD"/>
    <w:rsid w:val="003D1DE4"/>
    <w:rsid w:val="003D1E9A"/>
    <w:rsid w:val="003D2422"/>
    <w:rsid w:val="003D28EF"/>
    <w:rsid w:val="003D2C53"/>
    <w:rsid w:val="003D3057"/>
    <w:rsid w:val="003D39A1"/>
    <w:rsid w:val="003D3FBF"/>
    <w:rsid w:val="003D4A30"/>
    <w:rsid w:val="003D5167"/>
    <w:rsid w:val="003D5BB5"/>
    <w:rsid w:val="003D6BD0"/>
    <w:rsid w:val="003D6F50"/>
    <w:rsid w:val="003D7452"/>
    <w:rsid w:val="003D79BB"/>
    <w:rsid w:val="003D7C98"/>
    <w:rsid w:val="003D7D9D"/>
    <w:rsid w:val="003E0543"/>
    <w:rsid w:val="003E071B"/>
    <w:rsid w:val="003E1546"/>
    <w:rsid w:val="003E25C1"/>
    <w:rsid w:val="003E287F"/>
    <w:rsid w:val="003E411C"/>
    <w:rsid w:val="003E43F2"/>
    <w:rsid w:val="003E46D7"/>
    <w:rsid w:val="003E54D6"/>
    <w:rsid w:val="003E5566"/>
    <w:rsid w:val="003E5603"/>
    <w:rsid w:val="003E58DC"/>
    <w:rsid w:val="003E5B2C"/>
    <w:rsid w:val="003E5C48"/>
    <w:rsid w:val="003E6056"/>
    <w:rsid w:val="003E627A"/>
    <w:rsid w:val="003E63EB"/>
    <w:rsid w:val="003E749E"/>
    <w:rsid w:val="003F004B"/>
    <w:rsid w:val="003F045C"/>
    <w:rsid w:val="003F0DFB"/>
    <w:rsid w:val="003F0EB6"/>
    <w:rsid w:val="003F1265"/>
    <w:rsid w:val="003F1616"/>
    <w:rsid w:val="003F1E33"/>
    <w:rsid w:val="003F1E9B"/>
    <w:rsid w:val="003F2CF1"/>
    <w:rsid w:val="003F35A5"/>
    <w:rsid w:val="003F3CED"/>
    <w:rsid w:val="003F4156"/>
    <w:rsid w:val="003F4871"/>
    <w:rsid w:val="003F49D6"/>
    <w:rsid w:val="003F4ACC"/>
    <w:rsid w:val="003F4DDD"/>
    <w:rsid w:val="003F5ADF"/>
    <w:rsid w:val="003F5C6B"/>
    <w:rsid w:val="003F6622"/>
    <w:rsid w:val="003F6998"/>
    <w:rsid w:val="003F7378"/>
    <w:rsid w:val="003F76F4"/>
    <w:rsid w:val="003F77DC"/>
    <w:rsid w:val="003F7A31"/>
    <w:rsid w:val="003F7D71"/>
    <w:rsid w:val="00400065"/>
    <w:rsid w:val="00400191"/>
    <w:rsid w:val="00400A4C"/>
    <w:rsid w:val="00400B29"/>
    <w:rsid w:val="00401329"/>
    <w:rsid w:val="00401BF5"/>
    <w:rsid w:val="00402118"/>
    <w:rsid w:val="00402812"/>
    <w:rsid w:val="0040290A"/>
    <w:rsid w:val="0040365C"/>
    <w:rsid w:val="00404703"/>
    <w:rsid w:val="0040504B"/>
    <w:rsid w:val="004059F0"/>
    <w:rsid w:val="004059F4"/>
    <w:rsid w:val="0040679B"/>
    <w:rsid w:val="004069CF"/>
    <w:rsid w:val="00407076"/>
    <w:rsid w:val="004073E9"/>
    <w:rsid w:val="00407DCE"/>
    <w:rsid w:val="00407FE5"/>
    <w:rsid w:val="0041003C"/>
    <w:rsid w:val="004101B0"/>
    <w:rsid w:val="00410326"/>
    <w:rsid w:val="0041053D"/>
    <w:rsid w:val="004105BB"/>
    <w:rsid w:val="00410708"/>
    <w:rsid w:val="00410DFE"/>
    <w:rsid w:val="00410EC7"/>
    <w:rsid w:val="004110DD"/>
    <w:rsid w:val="004112DB"/>
    <w:rsid w:val="0041131C"/>
    <w:rsid w:val="0041183C"/>
    <w:rsid w:val="00411B39"/>
    <w:rsid w:val="00411DF2"/>
    <w:rsid w:val="004127A7"/>
    <w:rsid w:val="004136B5"/>
    <w:rsid w:val="00413A1E"/>
    <w:rsid w:val="00414476"/>
    <w:rsid w:val="004146DD"/>
    <w:rsid w:val="00414C2E"/>
    <w:rsid w:val="00414F44"/>
    <w:rsid w:val="004151CF"/>
    <w:rsid w:val="00415658"/>
    <w:rsid w:val="004156AE"/>
    <w:rsid w:val="004157EF"/>
    <w:rsid w:val="00415B7E"/>
    <w:rsid w:val="00415FF6"/>
    <w:rsid w:val="00416175"/>
    <w:rsid w:val="00416364"/>
    <w:rsid w:val="00416526"/>
    <w:rsid w:val="0041788B"/>
    <w:rsid w:val="0042047F"/>
    <w:rsid w:val="00420AA6"/>
    <w:rsid w:val="00420B9F"/>
    <w:rsid w:val="00420DB1"/>
    <w:rsid w:val="0042137B"/>
    <w:rsid w:val="00421528"/>
    <w:rsid w:val="00421652"/>
    <w:rsid w:val="0042192C"/>
    <w:rsid w:val="00422260"/>
    <w:rsid w:val="0042262C"/>
    <w:rsid w:val="00423657"/>
    <w:rsid w:val="00423DE7"/>
    <w:rsid w:val="0042413F"/>
    <w:rsid w:val="00424431"/>
    <w:rsid w:val="004246A8"/>
    <w:rsid w:val="004249C2"/>
    <w:rsid w:val="004254BF"/>
    <w:rsid w:val="004257A1"/>
    <w:rsid w:val="00425838"/>
    <w:rsid w:val="00425C72"/>
    <w:rsid w:val="0042610E"/>
    <w:rsid w:val="0042789C"/>
    <w:rsid w:val="00431864"/>
    <w:rsid w:val="004319F8"/>
    <w:rsid w:val="00431DDE"/>
    <w:rsid w:val="00431E55"/>
    <w:rsid w:val="00431F11"/>
    <w:rsid w:val="004321F6"/>
    <w:rsid w:val="00432B9B"/>
    <w:rsid w:val="00433044"/>
    <w:rsid w:val="004331E3"/>
    <w:rsid w:val="0043341D"/>
    <w:rsid w:val="00433764"/>
    <w:rsid w:val="00433E31"/>
    <w:rsid w:val="00434088"/>
    <w:rsid w:val="004358D2"/>
    <w:rsid w:val="00435A90"/>
    <w:rsid w:val="00435D60"/>
    <w:rsid w:val="00435E4E"/>
    <w:rsid w:val="00435EE5"/>
    <w:rsid w:val="004369D6"/>
    <w:rsid w:val="00436B37"/>
    <w:rsid w:val="00437162"/>
    <w:rsid w:val="004375B9"/>
    <w:rsid w:val="0043772B"/>
    <w:rsid w:val="00440A66"/>
    <w:rsid w:val="004413D9"/>
    <w:rsid w:val="004414FE"/>
    <w:rsid w:val="00441663"/>
    <w:rsid w:val="00441C61"/>
    <w:rsid w:val="00441D4F"/>
    <w:rsid w:val="00441D9D"/>
    <w:rsid w:val="00441E25"/>
    <w:rsid w:val="0044227C"/>
    <w:rsid w:val="004423CE"/>
    <w:rsid w:val="004428D0"/>
    <w:rsid w:val="00442C4B"/>
    <w:rsid w:val="00442E11"/>
    <w:rsid w:val="00443028"/>
    <w:rsid w:val="00443574"/>
    <w:rsid w:val="00443C88"/>
    <w:rsid w:val="00443E46"/>
    <w:rsid w:val="00444185"/>
    <w:rsid w:val="004443A7"/>
    <w:rsid w:val="0044442C"/>
    <w:rsid w:val="004444AF"/>
    <w:rsid w:val="00444F4E"/>
    <w:rsid w:val="00445316"/>
    <w:rsid w:val="00445507"/>
    <w:rsid w:val="00445941"/>
    <w:rsid w:val="00445D5A"/>
    <w:rsid w:val="00445DFD"/>
    <w:rsid w:val="00445FE4"/>
    <w:rsid w:val="0044645A"/>
    <w:rsid w:val="004464EB"/>
    <w:rsid w:val="0044651B"/>
    <w:rsid w:val="00447CF6"/>
    <w:rsid w:val="00447D26"/>
    <w:rsid w:val="00447DFC"/>
    <w:rsid w:val="00447FF4"/>
    <w:rsid w:val="0045000A"/>
    <w:rsid w:val="00453421"/>
    <w:rsid w:val="00453886"/>
    <w:rsid w:val="00453B75"/>
    <w:rsid w:val="004545F4"/>
    <w:rsid w:val="0045464A"/>
    <w:rsid w:val="0045578F"/>
    <w:rsid w:val="00455D45"/>
    <w:rsid w:val="00455F25"/>
    <w:rsid w:val="00456AED"/>
    <w:rsid w:val="00456DC8"/>
    <w:rsid w:val="00457271"/>
    <w:rsid w:val="00457461"/>
    <w:rsid w:val="00460301"/>
    <w:rsid w:val="00460685"/>
    <w:rsid w:val="00461262"/>
    <w:rsid w:val="004619E4"/>
    <w:rsid w:val="00461AEF"/>
    <w:rsid w:val="00462854"/>
    <w:rsid w:val="00462A5F"/>
    <w:rsid w:val="0046389B"/>
    <w:rsid w:val="00463A88"/>
    <w:rsid w:val="00464595"/>
    <w:rsid w:val="004649CE"/>
    <w:rsid w:val="00464AAE"/>
    <w:rsid w:val="004652E7"/>
    <w:rsid w:val="004653E2"/>
    <w:rsid w:val="0046579B"/>
    <w:rsid w:val="004658B5"/>
    <w:rsid w:val="00466F26"/>
    <w:rsid w:val="004672D6"/>
    <w:rsid w:val="004673CE"/>
    <w:rsid w:val="00467948"/>
    <w:rsid w:val="00467D47"/>
    <w:rsid w:val="004718A5"/>
    <w:rsid w:val="00471EA5"/>
    <w:rsid w:val="00471EE9"/>
    <w:rsid w:val="00472243"/>
    <w:rsid w:val="00472435"/>
    <w:rsid w:val="004727BB"/>
    <w:rsid w:val="00472A79"/>
    <w:rsid w:val="00472E03"/>
    <w:rsid w:val="004739A6"/>
    <w:rsid w:val="00473F19"/>
    <w:rsid w:val="004744F3"/>
    <w:rsid w:val="0047477B"/>
    <w:rsid w:val="00474801"/>
    <w:rsid w:val="0047496E"/>
    <w:rsid w:val="00474A06"/>
    <w:rsid w:val="00474D07"/>
    <w:rsid w:val="00474FF9"/>
    <w:rsid w:val="00475624"/>
    <w:rsid w:val="00475700"/>
    <w:rsid w:val="00475948"/>
    <w:rsid w:val="00475E22"/>
    <w:rsid w:val="00476446"/>
    <w:rsid w:val="00476450"/>
    <w:rsid w:val="00476BE1"/>
    <w:rsid w:val="00476E80"/>
    <w:rsid w:val="00477011"/>
    <w:rsid w:val="00477864"/>
    <w:rsid w:val="00477DD8"/>
    <w:rsid w:val="0048088E"/>
    <w:rsid w:val="00480F2B"/>
    <w:rsid w:val="00480FBB"/>
    <w:rsid w:val="004812C6"/>
    <w:rsid w:val="00481383"/>
    <w:rsid w:val="004815BE"/>
    <w:rsid w:val="00481639"/>
    <w:rsid w:val="004817FA"/>
    <w:rsid w:val="0048212C"/>
    <w:rsid w:val="004825FB"/>
    <w:rsid w:val="00482720"/>
    <w:rsid w:val="004835E7"/>
    <w:rsid w:val="00483E2B"/>
    <w:rsid w:val="004849D1"/>
    <w:rsid w:val="004849E2"/>
    <w:rsid w:val="004859E1"/>
    <w:rsid w:val="00485F55"/>
    <w:rsid w:val="00486118"/>
    <w:rsid w:val="004867E2"/>
    <w:rsid w:val="0048762F"/>
    <w:rsid w:val="00490025"/>
    <w:rsid w:val="004904EE"/>
    <w:rsid w:val="004909B9"/>
    <w:rsid w:val="004909CA"/>
    <w:rsid w:val="00490B17"/>
    <w:rsid w:val="00490B8E"/>
    <w:rsid w:val="00490FE4"/>
    <w:rsid w:val="00491801"/>
    <w:rsid w:val="00491B3A"/>
    <w:rsid w:val="00491E86"/>
    <w:rsid w:val="0049218F"/>
    <w:rsid w:val="00492CFD"/>
    <w:rsid w:val="00493055"/>
    <w:rsid w:val="004930D1"/>
    <w:rsid w:val="00493703"/>
    <w:rsid w:val="004937DD"/>
    <w:rsid w:val="0049390A"/>
    <w:rsid w:val="00493B49"/>
    <w:rsid w:val="00494207"/>
    <w:rsid w:val="00494DD5"/>
    <w:rsid w:val="00495FFA"/>
    <w:rsid w:val="004960FF"/>
    <w:rsid w:val="004962D2"/>
    <w:rsid w:val="00496E11"/>
    <w:rsid w:val="00496FCB"/>
    <w:rsid w:val="004973A3"/>
    <w:rsid w:val="0049747E"/>
    <w:rsid w:val="00497C72"/>
    <w:rsid w:val="004A0DA1"/>
    <w:rsid w:val="004A0FEB"/>
    <w:rsid w:val="004A111E"/>
    <w:rsid w:val="004A1399"/>
    <w:rsid w:val="004A13D6"/>
    <w:rsid w:val="004A1A68"/>
    <w:rsid w:val="004A2762"/>
    <w:rsid w:val="004A2842"/>
    <w:rsid w:val="004A2E38"/>
    <w:rsid w:val="004A367E"/>
    <w:rsid w:val="004A3B58"/>
    <w:rsid w:val="004A3D0A"/>
    <w:rsid w:val="004A407C"/>
    <w:rsid w:val="004A47F9"/>
    <w:rsid w:val="004A4B7D"/>
    <w:rsid w:val="004A52E9"/>
    <w:rsid w:val="004A538B"/>
    <w:rsid w:val="004A543A"/>
    <w:rsid w:val="004A5485"/>
    <w:rsid w:val="004A5BC1"/>
    <w:rsid w:val="004A5F07"/>
    <w:rsid w:val="004A6040"/>
    <w:rsid w:val="004A6495"/>
    <w:rsid w:val="004A6597"/>
    <w:rsid w:val="004A7440"/>
    <w:rsid w:val="004A7848"/>
    <w:rsid w:val="004A793B"/>
    <w:rsid w:val="004B13E5"/>
    <w:rsid w:val="004B1552"/>
    <w:rsid w:val="004B1CB4"/>
    <w:rsid w:val="004B25E1"/>
    <w:rsid w:val="004B2F18"/>
    <w:rsid w:val="004B33CE"/>
    <w:rsid w:val="004B3875"/>
    <w:rsid w:val="004B3919"/>
    <w:rsid w:val="004B3DDB"/>
    <w:rsid w:val="004B4313"/>
    <w:rsid w:val="004B44FD"/>
    <w:rsid w:val="004B4BE8"/>
    <w:rsid w:val="004B4F76"/>
    <w:rsid w:val="004B5CFC"/>
    <w:rsid w:val="004B6D79"/>
    <w:rsid w:val="004B6F79"/>
    <w:rsid w:val="004B774D"/>
    <w:rsid w:val="004B7A57"/>
    <w:rsid w:val="004C0093"/>
    <w:rsid w:val="004C13E6"/>
    <w:rsid w:val="004C1452"/>
    <w:rsid w:val="004C2648"/>
    <w:rsid w:val="004C2AC2"/>
    <w:rsid w:val="004C31A3"/>
    <w:rsid w:val="004C3B02"/>
    <w:rsid w:val="004C4888"/>
    <w:rsid w:val="004C494B"/>
    <w:rsid w:val="004C4AED"/>
    <w:rsid w:val="004C5804"/>
    <w:rsid w:val="004C5CA4"/>
    <w:rsid w:val="004C6AC2"/>
    <w:rsid w:val="004C7063"/>
    <w:rsid w:val="004C77FC"/>
    <w:rsid w:val="004D0030"/>
    <w:rsid w:val="004D0209"/>
    <w:rsid w:val="004D08A3"/>
    <w:rsid w:val="004D1625"/>
    <w:rsid w:val="004D1751"/>
    <w:rsid w:val="004D1CAF"/>
    <w:rsid w:val="004D24CF"/>
    <w:rsid w:val="004D2C2D"/>
    <w:rsid w:val="004D3225"/>
    <w:rsid w:val="004D3BC1"/>
    <w:rsid w:val="004D5707"/>
    <w:rsid w:val="004D5B85"/>
    <w:rsid w:val="004D69B5"/>
    <w:rsid w:val="004D70AC"/>
    <w:rsid w:val="004D7227"/>
    <w:rsid w:val="004D7346"/>
    <w:rsid w:val="004D73C0"/>
    <w:rsid w:val="004D76F1"/>
    <w:rsid w:val="004D7829"/>
    <w:rsid w:val="004D7B5E"/>
    <w:rsid w:val="004D7E1F"/>
    <w:rsid w:val="004D7FA1"/>
    <w:rsid w:val="004E01CD"/>
    <w:rsid w:val="004E08A3"/>
    <w:rsid w:val="004E0E7F"/>
    <w:rsid w:val="004E0EB8"/>
    <w:rsid w:val="004E18E9"/>
    <w:rsid w:val="004E1929"/>
    <w:rsid w:val="004E29D3"/>
    <w:rsid w:val="004E2ADC"/>
    <w:rsid w:val="004E2BC9"/>
    <w:rsid w:val="004E43B2"/>
    <w:rsid w:val="004E47EB"/>
    <w:rsid w:val="004E47FC"/>
    <w:rsid w:val="004E48F4"/>
    <w:rsid w:val="004E4C7A"/>
    <w:rsid w:val="004E5F2B"/>
    <w:rsid w:val="004E6265"/>
    <w:rsid w:val="004E7E2D"/>
    <w:rsid w:val="004F03BC"/>
    <w:rsid w:val="004F0D50"/>
    <w:rsid w:val="004F1328"/>
    <w:rsid w:val="004F1D02"/>
    <w:rsid w:val="004F1E66"/>
    <w:rsid w:val="004F259D"/>
    <w:rsid w:val="004F2679"/>
    <w:rsid w:val="004F2736"/>
    <w:rsid w:val="004F27A0"/>
    <w:rsid w:val="004F2CE4"/>
    <w:rsid w:val="004F2F21"/>
    <w:rsid w:val="004F3DE5"/>
    <w:rsid w:val="004F4AEF"/>
    <w:rsid w:val="004F5AA6"/>
    <w:rsid w:val="004F6913"/>
    <w:rsid w:val="004F712B"/>
    <w:rsid w:val="004F7865"/>
    <w:rsid w:val="0050039A"/>
    <w:rsid w:val="00501314"/>
    <w:rsid w:val="0050174E"/>
    <w:rsid w:val="00501854"/>
    <w:rsid w:val="0050219B"/>
    <w:rsid w:val="00502FED"/>
    <w:rsid w:val="00503032"/>
    <w:rsid w:val="0050374D"/>
    <w:rsid w:val="0050384A"/>
    <w:rsid w:val="00503F17"/>
    <w:rsid w:val="00503F3A"/>
    <w:rsid w:val="00505BF5"/>
    <w:rsid w:val="005060E9"/>
    <w:rsid w:val="0050676B"/>
    <w:rsid w:val="00506928"/>
    <w:rsid w:val="005071CF"/>
    <w:rsid w:val="0050777D"/>
    <w:rsid w:val="005077EF"/>
    <w:rsid w:val="00510380"/>
    <w:rsid w:val="00510731"/>
    <w:rsid w:val="00510D15"/>
    <w:rsid w:val="00510D57"/>
    <w:rsid w:val="00510ED6"/>
    <w:rsid w:val="005112C2"/>
    <w:rsid w:val="0051130A"/>
    <w:rsid w:val="00511AD5"/>
    <w:rsid w:val="00511DC7"/>
    <w:rsid w:val="00513C15"/>
    <w:rsid w:val="005142C5"/>
    <w:rsid w:val="00514483"/>
    <w:rsid w:val="00514A5D"/>
    <w:rsid w:val="0051501B"/>
    <w:rsid w:val="0051520C"/>
    <w:rsid w:val="005152B5"/>
    <w:rsid w:val="00515542"/>
    <w:rsid w:val="00515681"/>
    <w:rsid w:val="005157C5"/>
    <w:rsid w:val="00515886"/>
    <w:rsid w:val="00515B72"/>
    <w:rsid w:val="00516526"/>
    <w:rsid w:val="0051682D"/>
    <w:rsid w:val="00516B07"/>
    <w:rsid w:val="00516F15"/>
    <w:rsid w:val="00517AEA"/>
    <w:rsid w:val="00517CF8"/>
    <w:rsid w:val="0052123C"/>
    <w:rsid w:val="00521309"/>
    <w:rsid w:val="00521319"/>
    <w:rsid w:val="00521C1E"/>
    <w:rsid w:val="00521C7C"/>
    <w:rsid w:val="00522A25"/>
    <w:rsid w:val="00522BC8"/>
    <w:rsid w:val="0052381F"/>
    <w:rsid w:val="00523BCC"/>
    <w:rsid w:val="00523C28"/>
    <w:rsid w:val="00523C7C"/>
    <w:rsid w:val="005254F1"/>
    <w:rsid w:val="00525C6D"/>
    <w:rsid w:val="00526269"/>
    <w:rsid w:val="0052686C"/>
    <w:rsid w:val="00526B74"/>
    <w:rsid w:val="005271F9"/>
    <w:rsid w:val="0052782F"/>
    <w:rsid w:val="00530F90"/>
    <w:rsid w:val="0053176B"/>
    <w:rsid w:val="00532317"/>
    <w:rsid w:val="00532C8B"/>
    <w:rsid w:val="0053372C"/>
    <w:rsid w:val="0053387B"/>
    <w:rsid w:val="00533A56"/>
    <w:rsid w:val="00533D28"/>
    <w:rsid w:val="005341B3"/>
    <w:rsid w:val="00534A1E"/>
    <w:rsid w:val="00534CC6"/>
    <w:rsid w:val="005350B5"/>
    <w:rsid w:val="005354D7"/>
    <w:rsid w:val="005363E3"/>
    <w:rsid w:val="005368A1"/>
    <w:rsid w:val="00536C7E"/>
    <w:rsid w:val="00536CE4"/>
    <w:rsid w:val="00536E45"/>
    <w:rsid w:val="00536F42"/>
    <w:rsid w:val="00537182"/>
    <w:rsid w:val="00540201"/>
    <w:rsid w:val="0054044D"/>
    <w:rsid w:val="00540BEB"/>
    <w:rsid w:val="005413C9"/>
    <w:rsid w:val="00541A1D"/>
    <w:rsid w:val="00541B22"/>
    <w:rsid w:val="00541E81"/>
    <w:rsid w:val="00541ED0"/>
    <w:rsid w:val="00541EDD"/>
    <w:rsid w:val="0054202E"/>
    <w:rsid w:val="00542561"/>
    <w:rsid w:val="00542666"/>
    <w:rsid w:val="00542743"/>
    <w:rsid w:val="00542C2D"/>
    <w:rsid w:val="00543019"/>
    <w:rsid w:val="005434C5"/>
    <w:rsid w:val="00543BAA"/>
    <w:rsid w:val="00544752"/>
    <w:rsid w:val="00544777"/>
    <w:rsid w:val="00544BA2"/>
    <w:rsid w:val="0054538D"/>
    <w:rsid w:val="00545554"/>
    <w:rsid w:val="005459FC"/>
    <w:rsid w:val="00545B60"/>
    <w:rsid w:val="005473BD"/>
    <w:rsid w:val="005478BD"/>
    <w:rsid w:val="005479E3"/>
    <w:rsid w:val="00550874"/>
    <w:rsid w:val="00551356"/>
    <w:rsid w:val="00551985"/>
    <w:rsid w:val="005520AE"/>
    <w:rsid w:val="005528AF"/>
    <w:rsid w:val="00552BD3"/>
    <w:rsid w:val="005532A0"/>
    <w:rsid w:val="005536D2"/>
    <w:rsid w:val="00553DA4"/>
    <w:rsid w:val="005547BE"/>
    <w:rsid w:val="005550F8"/>
    <w:rsid w:val="00555109"/>
    <w:rsid w:val="00555D4A"/>
    <w:rsid w:val="00556866"/>
    <w:rsid w:val="00556B35"/>
    <w:rsid w:val="00556D49"/>
    <w:rsid w:val="00556F0C"/>
    <w:rsid w:val="0055728C"/>
    <w:rsid w:val="0055741A"/>
    <w:rsid w:val="00557B1B"/>
    <w:rsid w:val="00557DC5"/>
    <w:rsid w:val="00557EC6"/>
    <w:rsid w:val="00557EF6"/>
    <w:rsid w:val="0056020F"/>
    <w:rsid w:val="00560682"/>
    <w:rsid w:val="005608FA"/>
    <w:rsid w:val="0056098F"/>
    <w:rsid w:val="0056111E"/>
    <w:rsid w:val="005611B7"/>
    <w:rsid w:val="00561290"/>
    <w:rsid w:val="00561315"/>
    <w:rsid w:val="005618D4"/>
    <w:rsid w:val="00561FF9"/>
    <w:rsid w:val="005629A7"/>
    <w:rsid w:val="0056395B"/>
    <w:rsid w:val="00564867"/>
    <w:rsid w:val="00564D43"/>
    <w:rsid w:val="00565419"/>
    <w:rsid w:val="00565C79"/>
    <w:rsid w:val="00565DF0"/>
    <w:rsid w:val="0056619A"/>
    <w:rsid w:val="0056696F"/>
    <w:rsid w:val="00570412"/>
    <w:rsid w:val="005713EB"/>
    <w:rsid w:val="005721FF"/>
    <w:rsid w:val="00572269"/>
    <w:rsid w:val="0057244A"/>
    <w:rsid w:val="00572F26"/>
    <w:rsid w:val="00574A28"/>
    <w:rsid w:val="00574C77"/>
    <w:rsid w:val="005750C5"/>
    <w:rsid w:val="005752DE"/>
    <w:rsid w:val="005755BA"/>
    <w:rsid w:val="00575B0E"/>
    <w:rsid w:val="00575D60"/>
    <w:rsid w:val="00575D8D"/>
    <w:rsid w:val="0057642B"/>
    <w:rsid w:val="005765E6"/>
    <w:rsid w:val="00576685"/>
    <w:rsid w:val="00576972"/>
    <w:rsid w:val="00576A80"/>
    <w:rsid w:val="00577248"/>
    <w:rsid w:val="00577C43"/>
    <w:rsid w:val="0058035B"/>
    <w:rsid w:val="00581810"/>
    <w:rsid w:val="005827A9"/>
    <w:rsid w:val="00583699"/>
    <w:rsid w:val="00583F5B"/>
    <w:rsid w:val="00583F6E"/>
    <w:rsid w:val="00584748"/>
    <w:rsid w:val="00584BA9"/>
    <w:rsid w:val="005854F9"/>
    <w:rsid w:val="00585843"/>
    <w:rsid w:val="00585CDD"/>
    <w:rsid w:val="00585FBF"/>
    <w:rsid w:val="00586755"/>
    <w:rsid w:val="00587058"/>
    <w:rsid w:val="00587A3F"/>
    <w:rsid w:val="00587B9E"/>
    <w:rsid w:val="00590866"/>
    <w:rsid w:val="00590F3A"/>
    <w:rsid w:val="00591957"/>
    <w:rsid w:val="00591B81"/>
    <w:rsid w:val="00591DBC"/>
    <w:rsid w:val="005926F8"/>
    <w:rsid w:val="00592B96"/>
    <w:rsid w:val="00593619"/>
    <w:rsid w:val="00593EA9"/>
    <w:rsid w:val="00593F38"/>
    <w:rsid w:val="00594531"/>
    <w:rsid w:val="00594C7F"/>
    <w:rsid w:val="00594F3A"/>
    <w:rsid w:val="00595436"/>
    <w:rsid w:val="005954EC"/>
    <w:rsid w:val="005956B7"/>
    <w:rsid w:val="00595DED"/>
    <w:rsid w:val="00596EDC"/>
    <w:rsid w:val="00597BF9"/>
    <w:rsid w:val="005A0C11"/>
    <w:rsid w:val="005A1187"/>
    <w:rsid w:val="005A15E6"/>
    <w:rsid w:val="005A26C2"/>
    <w:rsid w:val="005A3000"/>
    <w:rsid w:val="005A309A"/>
    <w:rsid w:val="005A373D"/>
    <w:rsid w:val="005A3F9D"/>
    <w:rsid w:val="005A444F"/>
    <w:rsid w:val="005A44DC"/>
    <w:rsid w:val="005A44E3"/>
    <w:rsid w:val="005A4679"/>
    <w:rsid w:val="005A4CDC"/>
    <w:rsid w:val="005A539C"/>
    <w:rsid w:val="005A5C94"/>
    <w:rsid w:val="005A667A"/>
    <w:rsid w:val="005A67AD"/>
    <w:rsid w:val="005A6B33"/>
    <w:rsid w:val="005A76A0"/>
    <w:rsid w:val="005A7737"/>
    <w:rsid w:val="005A77D6"/>
    <w:rsid w:val="005B0B58"/>
    <w:rsid w:val="005B0F23"/>
    <w:rsid w:val="005B1C61"/>
    <w:rsid w:val="005B1E46"/>
    <w:rsid w:val="005B203B"/>
    <w:rsid w:val="005B204B"/>
    <w:rsid w:val="005B27B4"/>
    <w:rsid w:val="005B2EF7"/>
    <w:rsid w:val="005B34F5"/>
    <w:rsid w:val="005B3CE9"/>
    <w:rsid w:val="005B4416"/>
    <w:rsid w:val="005B4A11"/>
    <w:rsid w:val="005B4E53"/>
    <w:rsid w:val="005B4EB5"/>
    <w:rsid w:val="005B57BD"/>
    <w:rsid w:val="005B5857"/>
    <w:rsid w:val="005B5998"/>
    <w:rsid w:val="005B72F9"/>
    <w:rsid w:val="005B7401"/>
    <w:rsid w:val="005B7C44"/>
    <w:rsid w:val="005B7C9B"/>
    <w:rsid w:val="005B7CC1"/>
    <w:rsid w:val="005C031C"/>
    <w:rsid w:val="005C19C4"/>
    <w:rsid w:val="005C1B83"/>
    <w:rsid w:val="005C2252"/>
    <w:rsid w:val="005C25FF"/>
    <w:rsid w:val="005C2871"/>
    <w:rsid w:val="005C2D55"/>
    <w:rsid w:val="005C346B"/>
    <w:rsid w:val="005C5879"/>
    <w:rsid w:val="005C5ABC"/>
    <w:rsid w:val="005C60E9"/>
    <w:rsid w:val="005C64A7"/>
    <w:rsid w:val="005D044D"/>
    <w:rsid w:val="005D0ABD"/>
    <w:rsid w:val="005D0C37"/>
    <w:rsid w:val="005D15C1"/>
    <w:rsid w:val="005D18AD"/>
    <w:rsid w:val="005D1D97"/>
    <w:rsid w:val="005D1E08"/>
    <w:rsid w:val="005D1FAA"/>
    <w:rsid w:val="005D223A"/>
    <w:rsid w:val="005D26B4"/>
    <w:rsid w:val="005D47E7"/>
    <w:rsid w:val="005D4B19"/>
    <w:rsid w:val="005D4D0D"/>
    <w:rsid w:val="005D4F07"/>
    <w:rsid w:val="005D6933"/>
    <w:rsid w:val="005D6AA2"/>
    <w:rsid w:val="005D6D1E"/>
    <w:rsid w:val="005D6E8A"/>
    <w:rsid w:val="005D7F66"/>
    <w:rsid w:val="005E009B"/>
    <w:rsid w:val="005E193A"/>
    <w:rsid w:val="005E1995"/>
    <w:rsid w:val="005E1C9F"/>
    <w:rsid w:val="005E1CB5"/>
    <w:rsid w:val="005E1D8D"/>
    <w:rsid w:val="005E1EF2"/>
    <w:rsid w:val="005E2F67"/>
    <w:rsid w:val="005E4311"/>
    <w:rsid w:val="005E43DB"/>
    <w:rsid w:val="005E4998"/>
    <w:rsid w:val="005E582B"/>
    <w:rsid w:val="005E5CE2"/>
    <w:rsid w:val="005E61A5"/>
    <w:rsid w:val="005E63D7"/>
    <w:rsid w:val="005E63FC"/>
    <w:rsid w:val="005E6CBC"/>
    <w:rsid w:val="005E72FF"/>
    <w:rsid w:val="005E73C0"/>
    <w:rsid w:val="005E75DC"/>
    <w:rsid w:val="005F07ED"/>
    <w:rsid w:val="005F24F0"/>
    <w:rsid w:val="005F2706"/>
    <w:rsid w:val="005F2DCE"/>
    <w:rsid w:val="005F31CA"/>
    <w:rsid w:val="005F3810"/>
    <w:rsid w:val="005F590E"/>
    <w:rsid w:val="005F5B89"/>
    <w:rsid w:val="005F60EA"/>
    <w:rsid w:val="005F6A8F"/>
    <w:rsid w:val="005F6BB7"/>
    <w:rsid w:val="005F6D7A"/>
    <w:rsid w:val="005F7588"/>
    <w:rsid w:val="005F782D"/>
    <w:rsid w:val="006002A4"/>
    <w:rsid w:val="00600820"/>
    <w:rsid w:val="00600D94"/>
    <w:rsid w:val="00600E0E"/>
    <w:rsid w:val="00601224"/>
    <w:rsid w:val="006013BF"/>
    <w:rsid w:val="00601A15"/>
    <w:rsid w:val="006021BF"/>
    <w:rsid w:val="0060228C"/>
    <w:rsid w:val="006028D3"/>
    <w:rsid w:val="00602928"/>
    <w:rsid w:val="00602A6B"/>
    <w:rsid w:val="006035CF"/>
    <w:rsid w:val="00603C17"/>
    <w:rsid w:val="00603DB9"/>
    <w:rsid w:val="006040D6"/>
    <w:rsid w:val="0060441A"/>
    <w:rsid w:val="00604BF1"/>
    <w:rsid w:val="00604BF3"/>
    <w:rsid w:val="00605EE8"/>
    <w:rsid w:val="00606D6F"/>
    <w:rsid w:val="00606FBA"/>
    <w:rsid w:val="006071D2"/>
    <w:rsid w:val="00607669"/>
    <w:rsid w:val="006076F4"/>
    <w:rsid w:val="006078C3"/>
    <w:rsid w:val="006079C7"/>
    <w:rsid w:val="00607AFD"/>
    <w:rsid w:val="00607B6E"/>
    <w:rsid w:val="00611436"/>
    <w:rsid w:val="00611B12"/>
    <w:rsid w:val="006120CF"/>
    <w:rsid w:val="0061296A"/>
    <w:rsid w:val="00612F97"/>
    <w:rsid w:val="006130F2"/>
    <w:rsid w:val="006133A7"/>
    <w:rsid w:val="0061345D"/>
    <w:rsid w:val="00613E20"/>
    <w:rsid w:val="00613F3C"/>
    <w:rsid w:val="0061543E"/>
    <w:rsid w:val="0061548F"/>
    <w:rsid w:val="0061549B"/>
    <w:rsid w:val="006156BD"/>
    <w:rsid w:val="00615ECB"/>
    <w:rsid w:val="00616053"/>
    <w:rsid w:val="00616071"/>
    <w:rsid w:val="00616176"/>
    <w:rsid w:val="00616802"/>
    <w:rsid w:val="00616A01"/>
    <w:rsid w:val="00616D2C"/>
    <w:rsid w:val="00616F47"/>
    <w:rsid w:val="006175C3"/>
    <w:rsid w:val="00617BA5"/>
    <w:rsid w:val="00617E12"/>
    <w:rsid w:val="00617E8D"/>
    <w:rsid w:val="00620C25"/>
    <w:rsid w:val="00620D9B"/>
    <w:rsid w:val="00621349"/>
    <w:rsid w:val="00621477"/>
    <w:rsid w:val="00621ADA"/>
    <w:rsid w:val="00621F75"/>
    <w:rsid w:val="0062276C"/>
    <w:rsid w:val="00622B0F"/>
    <w:rsid w:val="006235C6"/>
    <w:rsid w:val="00623F7B"/>
    <w:rsid w:val="00624BD4"/>
    <w:rsid w:val="00630045"/>
    <w:rsid w:val="0063158F"/>
    <w:rsid w:val="00631D6B"/>
    <w:rsid w:val="00631E89"/>
    <w:rsid w:val="00632183"/>
    <w:rsid w:val="00632F31"/>
    <w:rsid w:val="006330A1"/>
    <w:rsid w:val="0063330B"/>
    <w:rsid w:val="00633845"/>
    <w:rsid w:val="00633F80"/>
    <w:rsid w:val="00634350"/>
    <w:rsid w:val="006345C0"/>
    <w:rsid w:val="0063479F"/>
    <w:rsid w:val="006353F0"/>
    <w:rsid w:val="006357B5"/>
    <w:rsid w:val="006364A1"/>
    <w:rsid w:val="006365A4"/>
    <w:rsid w:val="0063678E"/>
    <w:rsid w:val="00637274"/>
    <w:rsid w:val="00637474"/>
    <w:rsid w:val="00637B8D"/>
    <w:rsid w:val="00637BFD"/>
    <w:rsid w:val="00637C5C"/>
    <w:rsid w:val="00637CD3"/>
    <w:rsid w:val="00637DAF"/>
    <w:rsid w:val="006405B4"/>
    <w:rsid w:val="006407F7"/>
    <w:rsid w:val="006410DA"/>
    <w:rsid w:val="00641BBB"/>
    <w:rsid w:val="00641C4E"/>
    <w:rsid w:val="00641FB3"/>
    <w:rsid w:val="006420F4"/>
    <w:rsid w:val="006434BE"/>
    <w:rsid w:val="00643B85"/>
    <w:rsid w:val="00643BCC"/>
    <w:rsid w:val="0064434C"/>
    <w:rsid w:val="00644784"/>
    <w:rsid w:val="0064554B"/>
    <w:rsid w:val="0064554D"/>
    <w:rsid w:val="00646787"/>
    <w:rsid w:val="00646CCE"/>
    <w:rsid w:val="006471CC"/>
    <w:rsid w:val="006472FE"/>
    <w:rsid w:val="0064741B"/>
    <w:rsid w:val="00647A29"/>
    <w:rsid w:val="00650354"/>
    <w:rsid w:val="0065079F"/>
    <w:rsid w:val="00650A1C"/>
    <w:rsid w:val="006517E1"/>
    <w:rsid w:val="00652A28"/>
    <w:rsid w:val="0065379F"/>
    <w:rsid w:val="00655158"/>
    <w:rsid w:val="0065590B"/>
    <w:rsid w:val="00656188"/>
    <w:rsid w:val="006562B7"/>
    <w:rsid w:val="0065673D"/>
    <w:rsid w:val="0065684C"/>
    <w:rsid w:val="00657025"/>
    <w:rsid w:val="0065715A"/>
    <w:rsid w:val="00660F82"/>
    <w:rsid w:val="006610F1"/>
    <w:rsid w:val="0066130B"/>
    <w:rsid w:val="00661C6B"/>
    <w:rsid w:val="0066207B"/>
    <w:rsid w:val="00662A7A"/>
    <w:rsid w:val="00662D3E"/>
    <w:rsid w:val="006631A2"/>
    <w:rsid w:val="00664091"/>
    <w:rsid w:val="006643EF"/>
    <w:rsid w:val="006647AE"/>
    <w:rsid w:val="00664A29"/>
    <w:rsid w:val="00664B4D"/>
    <w:rsid w:val="00664E4D"/>
    <w:rsid w:val="0066587A"/>
    <w:rsid w:val="006659FF"/>
    <w:rsid w:val="00665E71"/>
    <w:rsid w:val="00666288"/>
    <w:rsid w:val="00666B1C"/>
    <w:rsid w:val="00667190"/>
    <w:rsid w:val="006676A5"/>
    <w:rsid w:val="00667A9D"/>
    <w:rsid w:val="00667BE3"/>
    <w:rsid w:val="00671004"/>
    <w:rsid w:val="00671320"/>
    <w:rsid w:val="00671A0C"/>
    <w:rsid w:val="00671A75"/>
    <w:rsid w:val="00671CC9"/>
    <w:rsid w:val="00671D41"/>
    <w:rsid w:val="00671D81"/>
    <w:rsid w:val="00672646"/>
    <w:rsid w:val="00673107"/>
    <w:rsid w:val="006733D6"/>
    <w:rsid w:val="0067344B"/>
    <w:rsid w:val="00674D3B"/>
    <w:rsid w:val="00674E42"/>
    <w:rsid w:val="006757DB"/>
    <w:rsid w:val="00675B36"/>
    <w:rsid w:val="00675D83"/>
    <w:rsid w:val="006763CC"/>
    <w:rsid w:val="00676563"/>
    <w:rsid w:val="00676644"/>
    <w:rsid w:val="00677AE6"/>
    <w:rsid w:val="00677CEA"/>
    <w:rsid w:val="00680973"/>
    <w:rsid w:val="006809E3"/>
    <w:rsid w:val="006813F8"/>
    <w:rsid w:val="00681910"/>
    <w:rsid w:val="00681DF2"/>
    <w:rsid w:val="00682112"/>
    <w:rsid w:val="00682882"/>
    <w:rsid w:val="0068288F"/>
    <w:rsid w:val="00682BA6"/>
    <w:rsid w:val="00682F60"/>
    <w:rsid w:val="006830FF"/>
    <w:rsid w:val="00683582"/>
    <w:rsid w:val="006841C5"/>
    <w:rsid w:val="0068489B"/>
    <w:rsid w:val="00684B1B"/>
    <w:rsid w:val="00684F34"/>
    <w:rsid w:val="006857C5"/>
    <w:rsid w:val="00685BCC"/>
    <w:rsid w:val="00686381"/>
    <w:rsid w:val="006863BD"/>
    <w:rsid w:val="00686957"/>
    <w:rsid w:val="006869A5"/>
    <w:rsid w:val="006872BA"/>
    <w:rsid w:val="00687EB0"/>
    <w:rsid w:val="0069012D"/>
    <w:rsid w:val="006903D9"/>
    <w:rsid w:val="006906CF"/>
    <w:rsid w:val="00690795"/>
    <w:rsid w:val="00690EE2"/>
    <w:rsid w:val="00691648"/>
    <w:rsid w:val="006917D7"/>
    <w:rsid w:val="00691982"/>
    <w:rsid w:val="00691FB6"/>
    <w:rsid w:val="00692145"/>
    <w:rsid w:val="00692930"/>
    <w:rsid w:val="00693109"/>
    <w:rsid w:val="006935A4"/>
    <w:rsid w:val="00693DC1"/>
    <w:rsid w:val="00693EF0"/>
    <w:rsid w:val="0069434C"/>
    <w:rsid w:val="00694CAE"/>
    <w:rsid w:val="00694F44"/>
    <w:rsid w:val="006952A5"/>
    <w:rsid w:val="00695B26"/>
    <w:rsid w:val="00696EF9"/>
    <w:rsid w:val="00696F51"/>
    <w:rsid w:val="006979A5"/>
    <w:rsid w:val="00697A25"/>
    <w:rsid w:val="006A016F"/>
    <w:rsid w:val="006A0549"/>
    <w:rsid w:val="006A0DF7"/>
    <w:rsid w:val="006A15B2"/>
    <w:rsid w:val="006A2679"/>
    <w:rsid w:val="006A2EFB"/>
    <w:rsid w:val="006A2F2C"/>
    <w:rsid w:val="006A32C7"/>
    <w:rsid w:val="006A3561"/>
    <w:rsid w:val="006A40EF"/>
    <w:rsid w:val="006A4321"/>
    <w:rsid w:val="006A4323"/>
    <w:rsid w:val="006A436A"/>
    <w:rsid w:val="006A43D9"/>
    <w:rsid w:val="006A57DF"/>
    <w:rsid w:val="006A5C0C"/>
    <w:rsid w:val="006A6B99"/>
    <w:rsid w:val="006A6C4E"/>
    <w:rsid w:val="006A6EA7"/>
    <w:rsid w:val="006A7004"/>
    <w:rsid w:val="006A703B"/>
    <w:rsid w:val="006A75A7"/>
    <w:rsid w:val="006A7939"/>
    <w:rsid w:val="006A7E5F"/>
    <w:rsid w:val="006B02CD"/>
    <w:rsid w:val="006B0661"/>
    <w:rsid w:val="006B12F1"/>
    <w:rsid w:val="006B13FF"/>
    <w:rsid w:val="006B1686"/>
    <w:rsid w:val="006B261B"/>
    <w:rsid w:val="006B2ADB"/>
    <w:rsid w:val="006B2ADC"/>
    <w:rsid w:val="006B2C90"/>
    <w:rsid w:val="006B35E6"/>
    <w:rsid w:val="006B465A"/>
    <w:rsid w:val="006B48AD"/>
    <w:rsid w:val="006B4A70"/>
    <w:rsid w:val="006B52B9"/>
    <w:rsid w:val="006B6054"/>
    <w:rsid w:val="006B6260"/>
    <w:rsid w:val="006B64E1"/>
    <w:rsid w:val="006B6844"/>
    <w:rsid w:val="006B6DD0"/>
    <w:rsid w:val="006B72C7"/>
    <w:rsid w:val="006B796C"/>
    <w:rsid w:val="006B7B6B"/>
    <w:rsid w:val="006B7DA4"/>
    <w:rsid w:val="006B7F86"/>
    <w:rsid w:val="006C018C"/>
    <w:rsid w:val="006C0399"/>
    <w:rsid w:val="006C04F3"/>
    <w:rsid w:val="006C0BF6"/>
    <w:rsid w:val="006C1B00"/>
    <w:rsid w:val="006C2A8E"/>
    <w:rsid w:val="006C313E"/>
    <w:rsid w:val="006C323B"/>
    <w:rsid w:val="006C3255"/>
    <w:rsid w:val="006C3F26"/>
    <w:rsid w:val="006C4E7F"/>
    <w:rsid w:val="006C553F"/>
    <w:rsid w:val="006C5629"/>
    <w:rsid w:val="006C6425"/>
    <w:rsid w:val="006C7E77"/>
    <w:rsid w:val="006D07ED"/>
    <w:rsid w:val="006D0897"/>
    <w:rsid w:val="006D0D17"/>
    <w:rsid w:val="006D3C41"/>
    <w:rsid w:val="006D3C7D"/>
    <w:rsid w:val="006D42C7"/>
    <w:rsid w:val="006D4659"/>
    <w:rsid w:val="006D4D04"/>
    <w:rsid w:val="006D4E89"/>
    <w:rsid w:val="006D5005"/>
    <w:rsid w:val="006D5D5F"/>
    <w:rsid w:val="006D68FB"/>
    <w:rsid w:val="006D6AEC"/>
    <w:rsid w:val="006D6DBA"/>
    <w:rsid w:val="006D6F96"/>
    <w:rsid w:val="006D7A44"/>
    <w:rsid w:val="006D7E57"/>
    <w:rsid w:val="006D7ED4"/>
    <w:rsid w:val="006E0219"/>
    <w:rsid w:val="006E0D6E"/>
    <w:rsid w:val="006E102B"/>
    <w:rsid w:val="006E139A"/>
    <w:rsid w:val="006E2794"/>
    <w:rsid w:val="006E2868"/>
    <w:rsid w:val="006E38A4"/>
    <w:rsid w:val="006E4274"/>
    <w:rsid w:val="006E44CA"/>
    <w:rsid w:val="006E540B"/>
    <w:rsid w:val="006E6388"/>
    <w:rsid w:val="006E6BC8"/>
    <w:rsid w:val="006E7D2D"/>
    <w:rsid w:val="006F068D"/>
    <w:rsid w:val="006F09A4"/>
    <w:rsid w:val="006F11EF"/>
    <w:rsid w:val="006F1943"/>
    <w:rsid w:val="006F306C"/>
    <w:rsid w:val="006F42DE"/>
    <w:rsid w:val="006F4A99"/>
    <w:rsid w:val="006F4CCE"/>
    <w:rsid w:val="006F5210"/>
    <w:rsid w:val="006F5BD4"/>
    <w:rsid w:val="006F63A5"/>
    <w:rsid w:val="006F63AD"/>
    <w:rsid w:val="006F7C97"/>
    <w:rsid w:val="00700D89"/>
    <w:rsid w:val="00701262"/>
    <w:rsid w:val="0070142B"/>
    <w:rsid w:val="00701B03"/>
    <w:rsid w:val="0070276E"/>
    <w:rsid w:val="00702A5D"/>
    <w:rsid w:val="00702D50"/>
    <w:rsid w:val="00702F8F"/>
    <w:rsid w:val="00704527"/>
    <w:rsid w:val="007061C4"/>
    <w:rsid w:val="00706F78"/>
    <w:rsid w:val="00707824"/>
    <w:rsid w:val="0070799C"/>
    <w:rsid w:val="007079FC"/>
    <w:rsid w:val="00707DA6"/>
    <w:rsid w:val="00707F4D"/>
    <w:rsid w:val="00710360"/>
    <w:rsid w:val="0071056F"/>
    <w:rsid w:val="00710BDF"/>
    <w:rsid w:val="0071106D"/>
    <w:rsid w:val="00711A36"/>
    <w:rsid w:val="00711E69"/>
    <w:rsid w:val="007125D3"/>
    <w:rsid w:val="007130A1"/>
    <w:rsid w:val="0071316B"/>
    <w:rsid w:val="00713A35"/>
    <w:rsid w:val="00714675"/>
    <w:rsid w:val="00714BC4"/>
    <w:rsid w:val="00714C1B"/>
    <w:rsid w:val="00714C26"/>
    <w:rsid w:val="00714CC7"/>
    <w:rsid w:val="00714D36"/>
    <w:rsid w:val="0071529C"/>
    <w:rsid w:val="00715347"/>
    <w:rsid w:val="0071569B"/>
    <w:rsid w:val="007160F5"/>
    <w:rsid w:val="00716768"/>
    <w:rsid w:val="00716F57"/>
    <w:rsid w:val="007170DA"/>
    <w:rsid w:val="007172AD"/>
    <w:rsid w:val="00717546"/>
    <w:rsid w:val="0071767E"/>
    <w:rsid w:val="0071773B"/>
    <w:rsid w:val="0072014B"/>
    <w:rsid w:val="00720801"/>
    <w:rsid w:val="00721059"/>
    <w:rsid w:val="00721CDC"/>
    <w:rsid w:val="00722743"/>
    <w:rsid w:val="00722B1B"/>
    <w:rsid w:val="00722EDF"/>
    <w:rsid w:val="00722F4A"/>
    <w:rsid w:val="00723BFB"/>
    <w:rsid w:val="0072416F"/>
    <w:rsid w:val="007244A9"/>
    <w:rsid w:val="00724752"/>
    <w:rsid w:val="00724D66"/>
    <w:rsid w:val="00724EF0"/>
    <w:rsid w:val="00725284"/>
    <w:rsid w:val="00725DB9"/>
    <w:rsid w:val="00725E1F"/>
    <w:rsid w:val="007264E7"/>
    <w:rsid w:val="007267C6"/>
    <w:rsid w:val="00726E03"/>
    <w:rsid w:val="00726FCE"/>
    <w:rsid w:val="007270BB"/>
    <w:rsid w:val="00727C94"/>
    <w:rsid w:val="00727EE8"/>
    <w:rsid w:val="0073041D"/>
    <w:rsid w:val="0073074F"/>
    <w:rsid w:val="00731359"/>
    <w:rsid w:val="00731B0A"/>
    <w:rsid w:val="00731D62"/>
    <w:rsid w:val="00731EAE"/>
    <w:rsid w:val="00731FD3"/>
    <w:rsid w:val="0073246F"/>
    <w:rsid w:val="00732DB5"/>
    <w:rsid w:val="00733073"/>
    <w:rsid w:val="0073311F"/>
    <w:rsid w:val="007334AE"/>
    <w:rsid w:val="00734272"/>
    <w:rsid w:val="0073462C"/>
    <w:rsid w:val="00735033"/>
    <w:rsid w:val="00735328"/>
    <w:rsid w:val="00736479"/>
    <w:rsid w:val="00736554"/>
    <w:rsid w:val="0073685B"/>
    <w:rsid w:val="00736D09"/>
    <w:rsid w:val="0073714A"/>
    <w:rsid w:val="00737A84"/>
    <w:rsid w:val="00740C43"/>
    <w:rsid w:val="00740D80"/>
    <w:rsid w:val="00741161"/>
    <w:rsid w:val="00744423"/>
    <w:rsid w:val="007449BF"/>
    <w:rsid w:val="007451DB"/>
    <w:rsid w:val="00745C48"/>
    <w:rsid w:val="00745E45"/>
    <w:rsid w:val="007463FE"/>
    <w:rsid w:val="00746BC0"/>
    <w:rsid w:val="00746DDC"/>
    <w:rsid w:val="00747169"/>
    <w:rsid w:val="007472D9"/>
    <w:rsid w:val="00747547"/>
    <w:rsid w:val="00750DDE"/>
    <w:rsid w:val="007510B4"/>
    <w:rsid w:val="0075176C"/>
    <w:rsid w:val="00752142"/>
    <w:rsid w:val="007523F9"/>
    <w:rsid w:val="007527E1"/>
    <w:rsid w:val="0075357E"/>
    <w:rsid w:val="00753A7D"/>
    <w:rsid w:val="00753B29"/>
    <w:rsid w:val="007541F7"/>
    <w:rsid w:val="0075505E"/>
    <w:rsid w:val="007554DA"/>
    <w:rsid w:val="00755BF2"/>
    <w:rsid w:val="00756721"/>
    <w:rsid w:val="00756A07"/>
    <w:rsid w:val="00756C96"/>
    <w:rsid w:val="007573A9"/>
    <w:rsid w:val="007573E8"/>
    <w:rsid w:val="007577D2"/>
    <w:rsid w:val="0076067E"/>
    <w:rsid w:val="007608AB"/>
    <w:rsid w:val="00760C4E"/>
    <w:rsid w:val="00760F9E"/>
    <w:rsid w:val="0076122C"/>
    <w:rsid w:val="007616E6"/>
    <w:rsid w:val="007623E8"/>
    <w:rsid w:val="0076250D"/>
    <w:rsid w:val="007627BE"/>
    <w:rsid w:val="00762889"/>
    <w:rsid w:val="00762941"/>
    <w:rsid w:val="00762E0D"/>
    <w:rsid w:val="007632AE"/>
    <w:rsid w:val="0076392D"/>
    <w:rsid w:val="00763D18"/>
    <w:rsid w:val="00764740"/>
    <w:rsid w:val="00764C3E"/>
    <w:rsid w:val="00764F03"/>
    <w:rsid w:val="00764F37"/>
    <w:rsid w:val="00765071"/>
    <w:rsid w:val="0076585B"/>
    <w:rsid w:val="00765ACA"/>
    <w:rsid w:val="00765B1A"/>
    <w:rsid w:val="00765DC1"/>
    <w:rsid w:val="0076685C"/>
    <w:rsid w:val="007669D1"/>
    <w:rsid w:val="00766C17"/>
    <w:rsid w:val="00766F85"/>
    <w:rsid w:val="007677D8"/>
    <w:rsid w:val="007704E5"/>
    <w:rsid w:val="00770D35"/>
    <w:rsid w:val="00771709"/>
    <w:rsid w:val="00771A48"/>
    <w:rsid w:val="0077260A"/>
    <w:rsid w:val="00774017"/>
    <w:rsid w:val="00774188"/>
    <w:rsid w:val="007745DA"/>
    <w:rsid w:val="007746E1"/>
    <w:rsid w:val="00774788"/>
    <w:rsid w:val="00775C6C"/>
    <w:rsid w:val="00776A29"/>
    <w:rsid w:val="00777335"/>
    <w:rsid w:val="007774FB"/>
    <w:rsid w:val="007804B5"/>
    <w:rsid w:val="007818D9"/>
    <w:rsid w:val="00781A9E"/>
    <w:rsid w:val="00781EDD"/>
    <w:rsid w:val="007821EB"/>
    <w:rsid w:val="00782C38"/>
    <w:rsid w:val="00783F66"/>
    <w:rsid w:val="007843F2"/>
    <w:rsid w:val="007846FA"/>
    <w:rsid w:val="00785050"/>
    <w:rsid w:val="00785A9F"/>
    <w:rsid w:val="007872B4"/>
    <w:rsid w:val="00787BD3"/>
    <w:rsid w:val="00787DE7"/>
    <w:rsid w:val="007906FA"/>
    <w:rsid w:val="0079129F"/>
    <w:rsid w:val="00791CEC"/>
    <w:rsid w:val="00791EE0"/>
    <w:rsid w:val="00791F7B"/>
    <w:rsid w:val="007925DF"/>
    <w:rsid w:val="00792961"/>
    <w:rsid w:val="00792A22"/>
    <w:rsid w:val="00792D49"/>
    <w:rsid w:val="00792F1D"/>
    <w:rsid w:val="007932AA"/>
    <w:rsid w:val="007933E0"/>
    <w:rsid w:val="00793C72"/>
    <w:rsid w:val="00793EBA"/>
    <w:rsid w:val="0079416A"/>
    <w:rsid w:val="00794915"/>
    <w:rsid w:val="0079639A"/>
    <w:rsid w:val="00797251"/>
    <w:rsid w:val="00797E4D"/>
    <w:rsid w:val="007A01B7"/>
    <w:rsid w:val="007A0245"/>
    <w:rsid w:val="007A0474"/>
    <w:rsid w:val="007A08AA"/>
    <w:rsid w:val="007A0A12"/>
    <w:rsid w:val="007A0EE6"/>
    <w:rsid w:val="007A10EF"/>
    <w:rsid w:val="007A132D"/>
    <w:rsid w:val="007A1345"/>
    <w:rsid w:val="007A16FF"/>
    <w:rsid w:val="007A1A0F"/>
    <w:rsid w:val="007A2068"/>
    <w:rsid w:val="007A2DDB"/>
    <w:rsid w:val="007A3C33"/>
    <w:rsid w:val="007A41AF"/>
    <w:rsid w:val="007A4AF5"/>
    <w:rsid w:val="007A5419"/>
    <w:rsid w:val="007A70BA"/>
    <w:rsid w:val="007A7106"/>
    <w:rsid w:val="007A7F85"/>
    <w:rsid w:val="007B0D68"/>
    <w:rsid w:val="007B0DE2"/>
    <w:rsid w:val="007B177B"/>
    <w:rsid w:val="007B251D"/>
    <w:rsid w:val="007B2985"/>
    <w:rsid w:val="007B2AAB"/>
    <w:rsid w:val="007B2AFC"/>
    <w:rsid w:val="007B2D31"/>
    <w:rsid w:val="007B30EF"/>
    <w:rsid w:val="007B3300"/>
    <w:rsid w:val="007B3533"/>
    <w:rsid w:val="007B39FF"/>
    <w:rsid w:val="007B3ACE"/>
    <w:rsid w:val="007B4715"/>
    <w:rsid w:val="007B4CB1"/>
    <w:rsid w:val="007B4F58"/>
    <w:rsid w:val="007B528D"/>
    <w:rsid w:val="007B63CA"/>
    <w:rsid w:val="007B6B83"/>
    <w:rsid w:val="007B6F5E"/>
    <w:rsid w:val="007B70B7"/>
    <w:rsid w:val="007B717A"/>
    <w:rsid w:val="007B71BF"/>
    <w:rsid w:val="007B72CD"/>
    <w:rsid w:val="007B77D1"/>
    <w:rsid w:val="007B7AA6"/>
    <w:rsid w:val="007C036A"/>
    <w:rsid w:val="007C07C7"/>
    <w:rsid w:val="007C0AD6"/>
    <w:rsid w:val="007C118B"/>
    <w:rsid w:val="007C11B0"/>
    <w:rsid w:val="007C181A"/>
    <w:rsid w:val="007C1CD9"/>
    <w:rsid w:val="007C1E95"/>
    <w:rsid w:val="007C2C6D"/>
    <w:rsid w:val="007C2E15"/>
    <w:rsid w:val="007C32EF"/>
    <w:rsid w:val="007C35D3"/>
    <w:rsid w:val="007C361D"/>
    <w:rsid w:val="007C474C"/>
    <w:rsid w:val="007C4B84"/>
    <w:rsid w:val="007C5BD5"/>
    <w:rsid w:val="007C5C4E"/>
    <w:rsid w:val="007C5FCA"/>
    <w:rsid w:val="007C6DF0"/>
    <w:rsid w:val="007C70FF"/>
    <w:rsid w:val="007C772A"/>
    <w:rsid w:val="007C7C25"/>
    <w:rsid w:val="007D004F"/>
    <w:rsid w:val="007D035F"/>
    <w:rsid w:val="007D06B2"/>
    <w:rsid w:val="007D0B38"/>
    <w:rsid w:val="007D1193"/>
    <w:rsid w:val="007D17A8"/>
    <w:rsid w:val="007D2650"/>
    <w:rsid w:val="007D2F5B"/>
    <w:rsid w:val="007D39E0"/>
    <w:rsid w:val="007D3D63"/>
    <w:rsid w:val="007D4EA8"/>
    <w:rsid w:val="007D4FCD"/>
    <w:rsid w:val="007D5440"/>
    <w:rsid w:val="007D5F5A"/>
    <w:rsid w:val="007D61D1"/>
    <w:rsid w:val="007D62D0"/>
    <w:rsid w:val="007D649B"/>
    <w:rsid w:val="007D64A0"/>
    <w:rsid w:val="007D667A"/>
    <w:rsid w:val="007D69EB"/>
    <w:rsid w:val="007D7081"/>
    <w:rsid w:val="007D7F9C"/>
    <w:rsid w:val="007E128F"/>
    <w:rsid w:val="007E1313"/>
    <w:rsid w:val="007E2A6D"/>
    <w:rsid w:val="007E3493"/>
    <w:rsid w:val="007E3840"/>
    <w:rsid w:val="007E3EAE"/>
    <w:rsid w:val="007E4ACF"/>
    <w:rsid w:val="007E54DC"/>
    <w:rsid w:val="007E56CB"/>
    <w:rsid w:val="007E5B9C"/>
    <w:rsid w:val="007E5BFB"/>
    <w:rsid w:val="007E6BAB"/>
    <w:rsid w:val="007E6D89"/>
    <w:rsid w:val="007E72FA"/>
    <w:rsid w:val="007E7D9E"/>
    <w:rsid w:val="007F07EC"/>
    <w:rsid w:val="007F0A3E"/>
    <w:rsid w:val="007F0DA9"/>
    <w:rsid w:val="007F1017"/>
    <w:rsid w:val="007F1645"/>
    <w:rsid w:val="007F1B64"/>
    <w:rsid w:val="007F1EF9"/>
    <w:rsid w:val="007F265C"/>
    <w:rsid w:val="007F2810"/>
    <w:rsid w:val="007F30F2"/>
    <w:rsid w:val="007F38C1"/>
    <w:rsid w:val="007F3956"/>
    <w:rsid w:val="007F3DC7"/>
    <w:rsid w:val="007F437D"/>
    <w:rsid w:val="007F46AE"/>
    <w:rsid w:val="007F4A3F"/>
    <w:rsid w:val="007F4A61"/>
    <w:rsid w:val="007F4ED7"/>
    <w:rsid w:val="007F5255"/>
    <w:rsid w:val="007F56CC"/>
    <w:rsid w:val="007F5EE8"/>
    <w:rsid w:val="007F6162"/>
    <w:rsid w:val="007F61C2"/>
    <w:rsid w:val="007F66B3"/>
    <w:rsid w:val="007F6D1D"/>
    <w:rsid w:val="007F6F40"/>
    <w:rsid w:val="007F73D3"/>
    <w:rsid w:val="007F76F7"/>
    <w:rsid w:val="00800447"/>
    <w:rsid w:val="00800FFB"/>
    <w:rsid w:val="00801913"/>
    <w:rsid w:val="00801D08"/>
    <w:rsid w:val="00802209"/>
    <w:rsid w:val="00802AC7"/>
    <w:rsid w:val="00802B1A"/>
    <w:rsid w:val="008034E5"/>
    <w:rsid w:val="00803640"/>
    <w:rsid w:val="00804756"/>
    <w:rsid w:val="0080486F"/>
    <w:rsid w:val="0080489E"/>
    <w:rsid w:val="00804A86"/>
    <w:rsid w:val="00805142"/>
    <w:rsid w:val="0080566B"/>
    <w:rsid w:val="00805A74"/>
    <w:rsid w:val="00805FCE"/>
    <w:rsid w:val="00806910"/>
    <w:rsid w:val="00807A8B"/>
    <w:rsid w:val="00807CFE"/>
    <w:rsid w:val="00807D53"/>
    <w:rsid w:val="00807F9B"/>
    <w:rsid w:val="008111DD"/>
    <w:rsid w:val="00811383"/>
    <w:rsid w:val="008117D5"/>
    <w:rsid w:val="00811B6F"/>
    <w:rsid w:val="00812149"/>
    <w:rsid w:val="00812ADB"/>
    <w:rsid w:val="00812CAC"/>
    <w:rsid w:val="0081498A"/>
    <w:rsid w:val="00814C9B"/>
    <w:rsid w:val="00814EDE"/>
    <w:rsid w:val="00815064"/>
    <w:rsid w:val="00815A3F"/>
    <w:rsid w:val="00816361"/>
    <w:rsid w:val="0081668E"/>
    <w:rsid w:val="008166EF"/>
    <w:rsid w:val="00816FEF"/>
    <w:rsid w:val="00817EED"/>
    <w:rsid w:val="00817FD5"/>
    <w:rsid w:val="00820A8C"/>
    <w:rsid w:val="00820AE6"/>
    <w:rsid w:val="008215FB"/>
    <w:rsid w:val="00821F42"/>
    <w:rsid w:val="008220CC"/>
    <w:rsid w:val="008220FC"/>
    <w:rsid w:val="00822111"/>
    <w:rsid w:val="00823174"/>
    <w:rsid w:val="00823322"/>
    <w:rsid w:val="00824808"/>
    <w:rsid w:val="00825751"/>
    <w:rsid w:val="00825841"/>
    <w:rsid w:val="008264EB"/>
    <w:rsid w:val="008267E9"/>
    <w:rsid w:val="008268CE"/>
    <w:rsid w:val="008269BA"/>
    <w:rsid w:val="00827C23"/>
    <w:rsid w:val="008305AE"/>
    <w:rsid w:val="00830E57"/>
    <w:rsid w:val="008325FA"/>
    <w:rsid w:val="00832895"/>
    <w:rsid w:val="00832965"/>
    <w:rsid w:val="00832C6F"/>
    <w:rsid w:val="00833B05"/>
    <w:rsid w:val="00834EC6"/>
    <w:rsid w:val="0083525C"/>
    <w:rsid w:val="00835660"/>
    <w:rsid w:val="00835735"/>
    <w:rsid w:val="00835F4D"/>
    <w:rsid w:val="008362B4"/>
    <w:rsid w:val="00836397"/>
    <w:rsid w:val="00837A15"/>
    <w:rsid w:val="00837E5B"/>
    <w:rsid w:val="00840091"/>
    <w:rsid w:val="00840A81"/>
    <w:rsid w:val="00840CA2"/>
    <w:rsid w:val="008427D1"/>
    <w:rsid w:val="008434FC"/>
    <w:rsid w:val="0084374F"/>
    <w:rsid w:val="008437A0"/>
    <w:rsid w:val="00843AD4"/>
    <w:rsid w:val="00843E6B"/>
    <w:rsid w:val="0084434A"/>
    <w:rsid w:val="00844459"/>
    <w:rsid w:val="00844A22"/>
    <w:rsid w:val="00846016"/>
    <w:rsid w:val="00846132"/>
    <w:rsid w:val="00846C64"/>
    <w:rsid w:val="00847703"/>
    <w:rsid w:val="00847DF5"/>
    <w:rsid w:val="00851736"/>
    <w:rsid w:val="008523AA"/>
    <w:rsid w:val="0085309D"/>
    <w:rsid w:val="00853735"/>
    <w:rsid w:val="00853A53"/>
    <w:rsid w:val="00853A9B"/>
    <w:rsid w:val="008541C4"/>
    <w:rsid w:val="00854536"/>
    <w:rsid w:val="00854EAE"/>
    <w:rsid w:val="00855C48"/>
    <w:rsid w:val="00856046"/>
    <w:rsid w:val="00856897"/>
    <w:rsid w:val="00856E9A"/>
    <w:rsid w:val="00856FA4"/>
    <w:rsid w:val="00857005"/>
    <w:rsid w:val="008576FE"/>
    <w:rsid w:val="00857CBD"/>
    <w:rsid w:val="00857D2D"/>
    <w:rsid w:val="00857DCE"/>
    <w:rsid w:val="00857F0F"/>
    <w:rsid w:val="008602C8"/>
    <w:rsid w:val="0086075D"/>
    <w:rsid w:val="008617B5"/>
    <w:rsid w:val="008617F8"/>
    <w:rsid w:val="00861E30"/>
    <w:rsid w:val="00862502"/>
    <w:rsid w:val="00862BCC"/>
    <w:rsid w:val="00862CC1"/>
    <w:rsid w:val="00863B74"/>
    <w:rsid w:val="008640CE"/>
    <w:rsid w:val="008642A7"/>
    <w:rsid w:val="008642EC"/>
    <w:rsid w:val="008643FC"/>
    <w:rsid w:val="0086455D"/>
    <w:rsid w:val="008648A0"/>
    <w:rsid w:val="00864A20"/>
    <w:rsid w:val="00864CCE"/>
    <w:rsid w:val="0086568D"/>
    <w:rsid w:val="008660D4"/>
    <w:rsid w:val="0086772A"/>
    <w:rsid w:val="00870DED"/>
    <w:rsid w:val="00871FA9"/>
    <w:rsid w:val="008721D4"/>
    <w:rsid w:val="008726F8"/>
    <w:rsid w:val="008728E9"/>
    <w:rsid w:val="008731E1"/>
    <w:rsid w:val="0087388D"/>
    <w:rsid w:val="00873C52"/>
    <w:rsid w:val="0087426F"/>
    <w:rsid w:val="00874533"/>
    <w:rsid w:val="008755F9"/>
    <w:rsid w:val="0087790B"/>
    <w:rsid w:val="008806AC"/>
    <w:rsid w:val="008809DF"/>
    <w:rsid w:val="008815D2"/>
    <w:rsid w:val="00881934"/>
    <w:rsid w:val="00881ECB"/>
    <w:rsid w:val="0088283F"/>
    <w:rsid w:val="00882874"/>
    <w:rsid w:val="00882D06"/>
    <w:rsid w:val="00882E3C"/>
    <w:rsid w:val="0088308A"/>
    <w:rsid w:val="008833EF"/>
    <w:rsid w:val="00883787"/>
    <w:rsid w:val="0088379A"/>
    <w:rsid w:val="00883AC5"/>
    <w:rsid w:val="00884D05"/>
    <w:rsid w:val="00884E73"/>
    <w:rsid w:val="008854BA"/>
    <w:rsid w:val="008855E4"/>
    <w:rsid w:val="00886886"/>
    <w:rsid w:val="00886A70"/>
    <w:rsid w:val="00886CD2"/>
    <w:rsid w:val="0088707C"/>
    <w:rsid w:val="00887397"/>
    <w:rsid w:val="0088769C"/>
    <w:rsid w:val="00887A5F"/>
    <w:rsid w:val="00890E8C"/>
    <w:rsid w:val="00891109"/>
    <w:rsid w:val="008913F6"/>
    <w:rsid w:val="008915B5"/>
    <w:rsid w:val="00891C51"/>
    <w:rsid w:val="00891D87"/>
    <w:rsid w:val="00891E6F"/>
    <w:rsid w:val="008922BC"/>
    <w:rsid w:val="008925A5"/>
    <w:rsid w:val="008926D9"/>
    <w:rsid w:val="0089275D"/>
    <w:rsid w:val="00892A36"/>
    <w:rsid w:val="00892C61"/>
    <w:rsid w:val="00893239"/>
    <w:rsid w:val="00893A68"/>
    <w:rsid w:val="0089420E"/>
    <w:rsid w:val="008942E0"/>
    <w:rsid w:val="00894489"/>
    <w:rsid w:val="00894AB6"/>
    <w:rsid w:val="00894CD6"/>
    <w:rsid w:val="00895283"/>
    <w:rsid w:val="00895AF2"/>
    <w:rsid w:val="00895DD4"/>
    <w:rsid w:val="00895EFA"/>
    <w:rsid w:val="008963A5"/>
    <w:rsid w:val="0089642E"/>
    <w:rsid w:val="0089692E"/>
    <w:rsid w:val="00896D5D"/>
    <w:rsid w:val="00896E13"/>
    <w:rsid w:val="00897370"/>
    <w:rsid w:val="00897539"/>
    <w:rsid w:val="00897721"/>
    <w:rsid w:val="0089791D"/>
    <w:rsid w:val="00897BF4"/>
    <w:rsid w:val="008A14C1"/>
    <w:rsid w:val="008A16C7"/>
    <w:rsid w:val="008A2C8B"/>
    <w:rsid w:val="008A3158"/>
    <w:rsid w:val="008A3363"/>
    <w:rsid w:val="008A3371"/>
    <w:rsid w:val="008A3AAB"/>
    <w:rsid w:val="008A3C3E"/>
    <w:rsid w:val="008A441F"/>
    <w:rsid w:val="008A4528"/>
    <w:rsid w:val="008A48A4"/>
    <w:rsid w:val="008A49CB"/>
    <w:rsid w:val="008A4FB5"/>
    <w:rsid w:val="008A593F"/>
    <w:rsid w:val="008A5C7D"/>
    <w:rsid w:val="008A6DD4"/>
    <w:rsid w:val="008A7219"/>
    <w:rsid w:val="008A75A6"/>
    <w:rsid w:val="008A7797"/>
    <w:rsid w:val="008A794A"/>
    <w:rsid w:val="008A79DE"/>
    <w:rsid w:val="008B010A"/>
    <w:rsid w:val="008B038F"/>
    <w:rsid w:val="008B07A1"/>
    <w:rsid w:val="008B0899"/>
    <w:rsid w:val="008B13CD"/>
    <w:rsid w:val="008B1757"/>
    <w:rsid w:val="008B1770"/>
    <w:rsid w:val="008B1A49"/>
    <w:rsid w:val="008B1C33"/>
    <w:rsid w:val="008B2084"/>
    <w:rsid w:val="008B2871"/>
    <w:rsid w:val="008B2955"/>
    <w:rsid w:val="008B2A72"/>
    <w:rsid w:val="008B2C8D"/>
    <w:rsid w:val="008B30BE"/>
    <w:rsid w:val="008B3331"/>
    <w:rsid w:val="008B461E"/>
    <w:rsid w:val="008B4B6F"/>
    <w:rsid w:val="008B5035"/>
    <w:rsid w:val="008B553C"/>
    <w:rsid w:val="008B61E9"/>
    <w:rsid w:val="008B6809"/>
    <w:rsid w:val="008B69E2"/>
    <w:rsid w:val="008B6AF4"/>
    <w:rsid w:val="008B6E8F"/>
    <w:rsid w:val="008B6E9C"/>
    <w:rsid w:val="008B7449"/>
    <w:rsid w:val="008B7992"/>
    <w:rsid w:val="008B7D7E"/>
    <w:rsid w:val="008B7DFE"/>
    <w:rsid w:val="008C013A"/>
    <w:rsid w:val="008C020B"/>
    <w:rsid w:val="008C100B"/>
    <w:rsid w:val="008C1AC4"/>
    <w:rsid w:val="008C2019"/>
    <w:rsid w:val="008C5610"/>
    <w:rsid w:val="008C567F"/>
    <w:rsid w:val="008C5739"/>
    <w:rsid w:val="008C5EEF"/>
    <w:rsid w:val="008C617E"/>
    <w:rsid w:val="008C6CC7"/>
    <w:rsid w:val="008C6EED"/>
    <w:rsid w:val="008C71ED"/>
    <w:rsid w:val="008C7282"/>
    <w:rsid w:val="008C766F"/>
    <w:rsid w:val="008C7E0F"/>
    <w:rsid w:val="008C7ECB"/>
    <w:rsid w:val="008D007E"/>
    <w:rsid w:val="008D05AF"/>
    <w:rsid w:val="008D13F9"/>
    <w:rsid w:val="008D165C"/>
    <w:rsid w:val="008D1894"/>
    <w:rsid w:val="008D34D7"/>
    <w:rsid w:val="008D3B86"/>
    <w:rsid w:val="008D3DD1"/>
    <w:rsid w:val="008D3E65"/>
    <w:rsid w:val="008D43FD"/>
    <w:rsid w:val="008D44E9"/>
    <w:rsid w:val="008D4755"/>
    <w:rsid w:val="008D4874"/>
    <w:rsid w:val="008D4A48"/>
    <w:rsid w:val="008D4C3D"/>
    <w:rsid w:val="008D4EFC"/>
    <w:rsid w:val="008D5C29"/>
    <w:rsid w:val="008D62F3"/>
    <w:rsid w:val="008D743C"/>
    <w:rsid w:val="008D78C1"/>
    <w:rsid w:val="008D7956"/>
    <w:rsid w:val="008E0D3C"/>
    <w:rsid w:val="008E1034"/>
    <w:rsid w:val="008E16E9"/>
    <w:rsid w:val="008E1B9E"/>
    <w:rsid w:val="008E1C1B"/>
    <w:rsid w:val="008E1CBB"/>
    <w:rsid w:val="008E1FC3"/>
    <w:rsid w:val="008E210E"/>
    <w:rsid w:val="008E37EB"/>
    <w:rsid w:val="008E3ABD"/>
    <w:rsid w:val="008E3DE0"/>
    <w:rsid w:val="008E4B7F"/>
    <w:rsid w:val="008E4FDD"/>
    <w:rsid w:val="008E55AB"/>
    <w:rsid w:val="008E5E01"/>
    <w:rsid w:val="008E6B51"/>
    <w:rsid w:val="008E6F4F"/>
    <w:rsid w:val="008E7C26"/>
    <w:rsid w:val="008F0612"/>
    <w:rsid w:val="008F06F3"/>
    <w:rsid w:val="008F0A7C"/>
    <w:rsid w:val="008F0AB7"/>
    <w:rsid w:val="008F1168"/>
    <w:rsid w:val="008F120A"/>
    <w:rsid w:val="008F1ADC"/>
    <w:rsid w:val="008F2554"/>
    <w:rsid w:val="008F27E0"/>
    <w:rsid w:val="008F2BDD"/>
    <w:rsid w:val="008F3AE0"/>
    <w:rsid w:val="008F48EB"/>
    <w:rsid w:val="008F4B18"/>
    <w:rsid w:val="008F4F0B"/>
    <w:rsid w:val="008F58B7"/>
    <w:rsid w:val="008F5AA9"/>
    <w:rsid w:val="008F69F8"/>
    <w:rsid w:val="008F7A33"/>
    <w:rsid w:val="008F7A48"/>
    <w:rsid w:val="008F7BCE"/>
    <w:rsid w:val="0090012F"/>
    <w:rsid w:val="00900588"/>
    <w:rsid w:val="00900704"/>
    <w:rsid w:val="00901AC8"/>
    <w:rsid w:val="00902122"/>
    <w:rsid w:val="009021BB"/>
    <w:rsid w:val="00902FE0"/>
    <w:rsid w:val="00903685"/>
    <w:rsid w:val="00903BB5"/>
    <w:rsid w:val="009045A5"/>
    <w:rsid w:val="009046C4"/>
    <w:rsid w:val="00905010"/>
    <w:rsid w:val="009050AA"/>
    <w:rsid w:val="009051E6"/>
    <w:rsid w:val="009062A5"/>
    <w:rsid w:val="009075FA"/>
    <w:rsid w:val="00907699"/>
    <w:rsid w:val="00907744"/>
    <w:rsid w:val="00907978"/>
    <w:rsid w:val="00910B66"/>
    <w:rsid w:val="00910EFB"/>
    <w:rsid w:val="00910FA7"/>
    <w:rsid w:val="009111D4"/>
    <w:rsid w:val="00911272"/>
    <w:rsid w:val="00911339"/>
    <w:rsid w:val="009113BB"/>
    <w:rsid w:val="009121C0"/>
    <w:rsid w:val="00912E44"/>
    <w:rsid w:val="00913067"/>
    <w:rsid w:val="009135D6"/>
    <w:rsid w:val="00913606"/>
    <w:rsid w:val="00913A3E"/>
    <w:rsid w:val="00914135"/>
    <w:rsid w:val="00914236"/>
    <w:rsid w:val="009147D9"/>
    <w:rsid w:val="00914C77"/>
    <w:rsid w:val="00914E9A"/>
    <w:rsid w:val="00914F46"/>
    <w:rsid w:val="009152D4"/>
    <w:rsid w:val="00916A78"/>
    <w:rsid w:val="009172A6"/>
    <w:rsid w:val="00917721"/>
    <w:rsid w:val="00917A41"/>
    <w:rsid w:val="009203AA"/>
    <w:rsid w:val="00920505"/>
    <w:rsid w:val="009205CC"/>
    <w:rsid w:val="00920B93"/>
    <w:rsid w:val="00921ACB"/>
    <w:rsid w:val="00921F10"/>
    <w:rsid w:val="0092239B"/>
    <w:rsid w:val="0092244D"/>
    <w:rsid w:val="00922737"/>
    <w:rsid w:val="00922FE4"/>
    <w:rsid w:val="0092339C"/>
    <w:rsid w:val="0092369B"/>
    <w:rsid w:val="00923B23"/>
    <w:rsid w:val="00923CB7"/>
    <w:rsid w:val="009242F5"/>
    <w:rsid w:val="0092515D"/>
    <w:rsid w:val="009255B8"/>
    <w:rsid w:val="00925718"/>
    <w:rsid w:val="00925B8B"/>
    <w:rsid w:val="00926210"/>
    <w:rsid w:val="0092749D"/>
    <w:rsid w:val="00927543"/>
    <w:rsid w:val="009276BD"/>
    <w:rsid w:val="0092770B"/>
    <w:rsid w:val="0092780F"/>
    <w:rsid w:val="00927A98"/>
    <w:rsid w:val="0093036A"/>
    <w:rsid w:val="009307EA"/>
    <w:rsid w:val="009309CE"/>
    <w:rsid w:val="0093143C"/>
    <w:rsid w:val="009318A7"/>
    <w:rsid w:val="009327A9"/>
    <w:rsid w:val="00934191"/>
    <w:rsid w:val="00934988"/>
    <w:rsid w:val="00934CEA"/>
    <w:rsid w:val="0093582D"/>
    <w:rsid w:val="0093587C"/>
    <w:rsid w:val="00935D50"/>
    <w:rsid w:val="00937089"/>
    <w:rsid w:val="00937AE0"/>
    <w:rsid w:val="00940629"/>
    <w:rsid w:val="00940A9E"/>
    <w:rsid w:val="009418D5"/>
    <w:rsid w:val="009420D6"/>
    <w:rsid w:val="009421DC"/>
    <w:rsid w:val="00942306"/>
    <w:rsid w:val="009426A9"/>
    <w:rsid w:val="00942E3A"/>
    <w:rsid w:val="00942E85"/>
    <w:rsid w:val="00942F7C"/>
    <w:rsid w:val="00943CAF"/>
    <w:rsid w:val="00943EC5"/>
    <w:rsid w:val="0094425C"/>
    <w:rsid w:val="009448A5"/>
    <w:rsid w:val="00944ACD"/>
    <w:rsid w:val="00944F8A"/>
    <w:rsid w:val="009450D0"/>
    <w:rsid w:val="00946E98"/>
    <w:rsid w:val="0094741D"/>
    <w:rsid w:val="00947746"/>
    <w:rsid w:val="0094775C"/>
    <w:rsid w:val="0095082C"/>
    <w:rsid w:val="00950D59"/>
    <w:rsid w:val="00951049"/>
    <w:rsid w:val="009510A2"/>
    <w:rsid w:val="009511C4"/>
    <w:rsid w:val="0095241E"/>
    <w:rsid w:val="00953257"/>
    <w:rsid w:val="0095371D"/>
    <w:rsid w:val="00953B3A"/>
    <w:rsid w:val="0095474C"/>
    <w:rsid w:val="0095630E"/>
    <w:rsid w:val="00957A0C"/>
    <w:rsid w:val="00957D92"/>
    <w:rsid w:val="0096072C"/>
    <w:rsid w:val="0096093F"/>
    <w:rsid w:val="009617CE"/>
    <w:rsid w:val="009627F8"/>
    <w:rsid w:val="00962BD6"/>
    <w:rsid w:val="00962C61"/>
    <w:rsid w:val="00962CB9"/>
    <w:rsid w:val="009632E5"/>
    <w:rsid w:val="00963CD1"/>
    <w:rsid w:val="00963EA6"/>
    <w:rsid w:val="00964312"/>
    <w:rsid w:val="009647EC"/>
    <w:rsid w:val="00965B8A"/>
    <w:rsid w:val="0097057B"/>
    <w:rsid w:val="0097071F"/>
    <w:rsid w:val="00971144"/>
    <w:rsid w:val="009717AC"/>
    <w:rsid w:val="00971800"/>
    <w:rsid w:val="00971EB3"/>
    <w:rsid w:val="00971EC1"/>
    <w:rsid w:val="00972032"/>
    <w:rsid w:val="00972119"/>
    <w:rsid w:val="00972521"/>
    <w:rsid w:val="00972B1A"/>
    <w:rsid w:val="00972BBD"/>
    <w:rsid w:val="00972D5D"/>
    <w:rsid w:val="009730BF"/>
    <w:rsid w:val="00973F7A"/>
    <w:rsid w:val="009740A6"/>
    <w:rsid w:val="009740F7"/>
    <w:rsid w:val="009745D2"/>
    <w:rsid w:val="0097470B"/>
    <w:rsid w:val="009750B7"/>
    <w:rsid w:val="009751C1"/>
    <w:rsid w:val="009753A0"/>
    <w:rsid w:val="00975E1F"/>
    <w:rsid w:val="00976189"/>
    <w:rsid w:val="0097653D"/>
    <w:rsid w:val="00976BDF"/>
    <w:rsid w:val="00977224"/>
    <w:rsid w:val="009779AF"/>
    <w:rsid w:val="0098021E"/>
    <w:rsid w:val="00980D97"/>
    <w:rsid w:val="00980FCE"/>
    <w:rsid w:val="00981004"/>
    <w:rsid w:val="009811F1"/>
    <w:rsid w:val="00981DF5"/>
    <w:rsid w:val="00981F78"/>
    <w:rsid w:val="0098252E"/>
    <w:rsid w:val="0098262F"/>
    <w:rsid w:val="0098278A"/>
    <w:rsid w:val="00982B34"/>
    <w:rsid w:val="00983179"/>
    <w:rsid w:val="00983B86"/>
    <w:rsid w:val="00983E57"/>
    <w:rsid w:val="0098412A"/>
    <w:rsid w:val="0098476B"/>
    <w:rsid w:val="0098505B"/>
    <w:rsid w:val="00985176"/>
    <w:rsid w:val="00985265"/>
    <w:rsid w:val="0098558E"/>
    <w:rsid w:val="00985DE2"/>
    <w:rsid w:val="00986513"/>
    <w:rsid w:val="0098675D"/>
    <w:rsid w:val="00987BA4"/>
    <w:rsid w:val="00987F89"/>
    <w:rsid w:val="0099012F"/>
    <w:rsid w:val="009916F1"/>
    <w:rsid w:val="0099193B"/>
    <w:rsid w:val="00991ED2"/>
    <w:rsid w:val="00991FF1"/>
    <w:rsid w:val="009926E0"/>
    <w:rsid w:val="009934B5"/>
    <w:rsid w:val="0099369E"/>
    <w:rsid w:val="0099377E"/>
    <w:rsid w:val="00993BAD"/>
    <w:rsid w:val="0099451E"/>
    <w:rsid w:val="00995371"/>
    <w:rsid w:val="00995AE9"/>
    <w:rsid w:val="00995C0C"/>
    <w:rsid w:val="00995EAD"/>
    <w:rsid w:val="00995F43"/>
    <w:rsid w:val="00995FB5"/>
    <w:rsid w:val="009967EE"/>
    <w:rsid w:val="00996B1A"/>
    <w:rsid w:val="00996F9B"/>
    <w:rsid w:val="00997531"/>
    <w:rsid w:val="009976B1"/>
    <w:rsid w:val="00997C81"/>
    <w:rsid w:val="00997ECA"/>
    <w:rsid w:val="009A0399"/>
    <w:rsid w:val="009A0445"/>
    <w:rsid w:val="009A06BD"/>
    <w:rsid w:val="009A0BD1"/>
    <w:rsid w:val="009A0EC9"/>
    <w:rsid w:val="009A147E"/>
    <w:rsid w:val="009A18F6"/>
    <w:rsid w:val="009A2DCC"/>
    <w:rsid w:val="009A2E41"/>
    <w:rsid w:val="009A3402"/>
    <w:rsid w:val="009A387E"/>
    <w:rsid w:val="009A3D06"/>
    <w:rsid w:val="009A4184"/>
    <w:rsid w:val="009A4D70"/>
    <w:rsid w:val="009A5ABC"/>
    <w:rsid w:val="009A6AD7"/>
    <w:rsid w:val="009A7B69"/>
    <w:rsid w:val="009A7F10"/>
    <w:rsid w:val="009B01FD"/>
    <w:rsid w:val="009B0228"/>
    <w:rsid w:val="009B02DB"/>
    <w:rsid w:val="009B1588"/>
    <w:rsid w:val="009B1D5D"/>
    <w:rsid w:val="009B2415"/>
    <w:rsid w:val="009B25D0"/>
    <w:rsid w:val="009B31CA"/>
    <w:rsid w:val="009B32A1"/>
    <w:rsid w:val="009B3C42"/>
    <w:rsid w:val="009B3E26"/>
    <w:rsid w:val="009B49AC"/>
    <w:rsid w:val="009B4BB6"/>
    <w:rsid w:val="009B4EE5"/>
    <w:rsid w:val="009B5476"/>
    <w:rsid w:val="009B5F1F"/>
    <w:rsid w:val="009B66B5"/>
    <w:rsid w:val="009B7418"/>
    <w:rsid w:val="009B7659"/>
    <w:rsid w:val="009C062D"/>
    <w:rsid w:val="009C0C76"/>
    <w:rsid w:val="009C0FE0"/>
    <w:rsid w:val="009C1271"/>
    <w:rsid w:val="009C1BBD"/>
    <w:rsid w:val="009C3309"/>
    <w:rsid w:val="009C3706"/>
    <w:rsid w:val="009C3A3A"/>
    <w:rsid w:val="009C426B"/>
    <w:rsid w:val="009C485D"/>
    <w:rsid w:val="009C5EDD"/>
    <w:rsid w:val="009C62B4"/>
    <w:rsid w:val="009C6572"/>
    <w:rsid w:val="009C6CEA"/>
    <w:rsid w:val="009C6F69"/>
    <w:rsid w:val="009C7B85"/>
    <w:rsid w:val="009D0254"/>
    <w:rsid w:val="009D0839"/>
    <w:rsid w:val="009D09D1"/>
    <w:rsid w:val="009D0F67"/>
    <w:rsid w:val="009D1284"/>
    <w:rsid w:val="009D130E"/>
    <w:rsid w:val="009D150F"/>
    <w:rsid w:val="009D1A64"/>
    <w:rsid w:val="009D1FF6"/>
    <w:rsid w:val="009D2354"/>
    <w:rsid w:val="009D3AE1"/>
    <w:rsid w:val="009D3E24"/>
    <w:rsid w:val="009D4CA7"/>
    <w:rsid w:val="009D4DD5"/>
    <w:rsid w:val="009D53B7"/>
    <w:rsid w:val="009D5B91"/>
    <w:rsid w:val="009D5F58"/>
    <w:rsid w:val="009D6480"/>
    <w:rsid w:val="009D7152"/>
    <w:rsid w:val="009D7596"/>
    <w:rsid w:val="009D792E"/>
    <w:rsid w:val="009E0DFE"/>
    <w:rsid w:val="009E0E63"/>
    <w:rsid w:val="009E1538"/>
    <w:rsid w:val="009E2484"/>
    <w:rsid w:val="009E2829"/>
    <w:rsid w:val="009E31F6"/>
    <w:rsid w:val="009E33DA"/>
    <w:rsid w:val="009E3447"/>
    <w:rsid w:val="009E35F0"/>
    <w:rsid w:val="009E4C07"/>
    <w:rsid w:val="009E665E"/>
    <w:rsid w:val="009E777F"/>
    <w:rsid w:val="009E7CD0"/>
    <w:rsid w:val="009E7DBB"/>
    <w:rsid w:val="009F0725"/>
    <w:rsid w:val="009F0F11"/>
    <w:rsid w:val="009F1144"/>
    <w:rsid w:val="009F14FF"/>
    <w:rsid w:val="009F367C"/>
    <w:rsid w:val="009F3FF9"/>
    <w:rsid w:val="009F4793"/>
    <w:rsid w:val="009F515D"/>
    <w:rsid w:val="009F5F1F"/>
    <w:rsid w:val="009F6120"/>
    <w:rsid w:val="009F6549"/>
    <w:rsid w:val="009F67E3"/>
    <w:rsid w:val="009F6D31"/>
    <w:rsid w:val="009F73CC"/>
    <w:rsid w:val="00A00166"/>
    <w:rsid w:val="00A00C27"/>
    <w:rsid w:val="00A00D76"/>
    <w:rsid w:val="00A01184"/>
    <w:rsid w:val="00A0142D"/>
    <w:rsid w:val="00A01449"/>
    <w:rsid w:val="00A02EDA"/>
    <w:rsid w:val="00A037C2"/>
    <w:rsid w:val="00A03A19"/>
    <w:rsid w:val="00A03D43"/>
    <w:rsid w:val="00A04380"/>
    <w:rsid w:val="00A04786"/>
    <w:rsid w:val="00A04C84"/>
    <w:rsid w:val="00A05472"/>
    <w:rsid w:val="00A05C32"/>
    <w:rsid w:val="00A05EA8"/>
    <w:rsid w:val="00A06384"/>
    <w:rsid w:val="00A0653F"/>
    <w:rsid w:val="00A06C81"/>
    <w:rsid w:val="00A06F4F"/>
    <w:rsid w:val="00A06F79"/>
    <w:rsid w:val="00A07647"/>
    <w:rsid w:val="00A07871"/>
    <w:rsid w:val="00A10199"/>
    <w:rsid w:val="00A10242"/>
    <w:rsid w:val="00A119F7"/>
    <w:rsid w:val="00A11CD0"/>
    <w:rsid w:val="00A1347F"/>
    <w:rsid w:val="00A13869"/>
    <w:rsid w:val="00A13948"/>
    <w:rsid w:val="00A13BCC"/>
    <w:rsid w:val="00A13D01"/>
    <w:rsid w:val="00A151E8"/>
    <w:rsid w:val="00A1555B"/>
    <w:rsid w:val="00A155C5"/>
    <w:rsid w:val="00A15792"/>
    <w:rsid w:val="00A15CDF"/>
    <w:rsid w:val="00A16AD8"/>
    <w:rsid w:val="00A16EF7"/>
    <w:rsid w:val="00A16FB9"/>
    <w:rsid w:val="00A1783F"/>
    <w:rsid w:val="00A17B5D"/>
    <w:rsid w:val="00A17C6D"/>
    <w:rsid w:val="00A200D8"/>
    <w:rsid w:val="00A2021E"/>
    <w:rsid w:val="00A20673"/>
    <w:rsid w:val="00A20979"/>
    <w:rsid w:val="00A20AE3"/>
    <w:rsid w:val="00A21213"/>
    <w:rsid w:val="00A21C95"/>
    <w:rsid w:val="00A21CF3"/>
    <w:rsid w:val="00A22169"/>
    <w:rsid w:val="00A2234D"/>
    <w:rsid w:val="00A22778"/>
    <w:rsid w:val="00A22D66"/>
    <w:rsid w:val="00A22E71"/>
    <w:rsid w:val="00A2382A"/>
    <w:rsid w:val="00A23F6A"/>
    <w:rsid w:val="00A24609"/>
    <w:rsid w:val="00A24813"/>
    <w:rsid w:val="00A24BC4"/>
    <w:rsid w:val="00A24CEC"/>
    <w:rsid w:val="00A2552C"/>
    <w:rsid w:val="00A256C4"/>
    <w:rsid w:val="00A26BC5"/>
    <w:rsid w:val="00A26C26"/>
    <w:rsid w:val="00A273C8"/>
    <w:rsid w:val="00A27562"/>
    <w:rsid w:val="00A27AEC"/>
    <w:rsid w:val="00A30985"/>
    <w:rsid w:val="00A31C1F"/>
    <w:rsid w:val="00A31CE7"/>
    <w:rsid w:val="00A320D5"/>
    <w:rsid w:val="00A320DB"/>
    <w:rsid w:val="00A321ED"/>
    <w:rsid w:val="00A327FD"/>
    <w:rsid w:val="00A32D78"/>
    <w:rsid w:val="00A3362D"/>
    <w:rsid w:val="00A34FB1"/>
    <w:rsid w:val="00A35D16"/>
    <w:rsid w:val="00A35D78"/>
    <w:rsid w:val="00A3678F"/>
    <w:rsid w:val="00A36C74"/>
    <w:rsid w:val="00A36CE1"/>
    <w:rsid w:val="00A36DE3"/>
    <w:rsid w:val="00A37BCD"/>
    <w:rsid w:val="00A40166"/>
    <w:rsid w:val="00A40B46"/>
    <w:rsid w:val="00A40E58"/>
    <w:rsid w:val="00A41689"/>
    <w:rsid w:val="00A4243A"/>
    <w:rsid w:val="00A42592"/>
    <w:rsid w:val="00A436DC"/>
    <w:rsid w:val="00A43982"/>
    <w:rsid w:val="00A43C59"/>
    <w:rsid w:val="00A43E69"/>
    <w:rsid w:val="00A442CF"/>
    <w:rsid w:val="00A44755"/>
    <w:rsid w:val="00A4480B"/>
    <w:rsid w:val="00A44878"/>
    <w:rsid w:val="00A44D86"/>
    <w:rsid w:val="00A45A13"/>
    <w:rsid w:val="00A46655"/>
    <w:rsid w:val="00A46855"/>
    <w:rsid w:val="00A46C8D"/>
    <w:rsid w:val="00A46DBB"/>
    <w:rsid w:val="00A47430"/>
    <w:rsid w:val="00A47596"/>
    <w:rsid w:val="00A50ECD"/>
    <w:rsid w:val="00A5143A"/>
    <w:rsid w:val="00A518F3"/>
    <w:rsid w:val="00A51EB0"/>
    <w:rsid w:val="00A52729"/>
    <w:rsid w:val="00A5291E"/>
    <w:rsid w:val="00A52E15"/>
    <w:rsid w:val="00A53321"/>
    <w:rsid w:val="00A53675"/>
    <w:rsid w:val="00A53C23"/>
    <w:rsid w:val="00A547DF"/>
    <w:rsid w:val="00A54BBA"/>
    <w:rsid w:val="00A5506A"/>
    <w:rsid w:val="00A55359"/>
    <w:rsid w:val="00A564D7"/>
    <w:rsid w:val="00A56B6A"/>
    <w:rsid w:val="00A56BEC"/>
    <w:rsid w:val="00A57776"/>
    <w:rsid w:val="00A578DC"/>
    <w:rsid w:val="00A60558"/>
    <w:rsid w:val="00A6069F"/>
    <w:rsid w:val="00A60EBA"/>
    <w:rsid w:val="00A61209"/>
    <w:rsid w:val="00A61250"/>
    <w:rsid w:val="00A62310"/>
    <w:rsid w:val="00A62439"/>
    <w:rsid w:val="00A6380E"/>
    <w:rsid w:val="00A63BC3"/>
    <w:rsid w:val="00A640E2"/>
    <w:rsid w:val="00A64675"/>
    <w:rsid w:val="00A64D65"/>
    <w:rsid w:val="00A6507E"/>
    <w:rsid w:val="00A657D5"/>
    <w:rsid w:val="00A6725B"/>
    <w:rsid w:val="00A67931"/>
    <w:rsid w:val="00A67B90"/>
    <w:rsid w:val="00A7007F"/>
    <w:rsid w:val="00A703B4"/>
    <w:rsid w:val="00A70605"/>
    <w:rsid w:val="00A707AC"/>
    <w:rsid w:val="00A715DE"/>
    <w:rsid w:val="00A71AE7"/>
    <w:rsid w:val="00A722FE"/>
    <w:rsid w:val="00A72448"/>
    <w:rsid w:val="00A72F4F"/>
    <w:rsid w:val="00A73134"/>
    <w:rsid w:val="00A73147"/>
    <w:rsid w:val="00A7365A"/>
    <w:rsid w:val="00A73A35"/>
    <w:rsid w:val="00A74113"/>
    <w:rsid w:val="00A750B8"/>
    <w:rsid w:val="00A7511D"/>
    <w:rsid w:val="00A75F22"/>
    <w:rsid w:val="00A76001"/>
    <w:rsid w:val="00A765FA"/>
    <w:rsid w:val="00A777B2"/>
    <w:rsid w:val="00A8066B"/>
    <w:rsid w:val="00A8082A"/>
    <w:rsid w:val="00A80AEA"/>
    <w:rsid w:val="00A80D0E"/>
    <w:rsid w:val="00A80D6F"/>
    <w:rsid w:val="00A80F60"/>
    <w:rsid w:val="00A8150F"/>
    <w:rsid w:val="00A8229A"/>
    <w:rsid w:val="00A825D4"/>
    <w:rsid w:val="00A828F6"/>
    <w:rsid w:val="00A82B73"/>
    <w:rsid w:val="00A82CB0"/>
    <w:rsid w:val="00A83298"/>
    <w:rsid w:val="00A83A5B"/>
    <w:rsid w:val="00A83A70"/>
    <w:rsid w:val="00A84263"/>
    <w:rsid w:val="00A84959"/>
    <w:rsid w:val="00A84DFC"/>
    <w:rsid w:val="00A85AA0"/>
    <w:rsid w:val="00A85E8F"/>
    <w:rsid w:val="00A85F71"/>
    <w:rsid w:val="00A86319"/>
    <w:rsid w:val="00A86E8B"/>
    <w:rsid w:val="00A87164"/>
    <w:rsid w:val="00A871A9"/>
    <w:rsid w:val="00A87A93"/>
    <w:rsid w:val="00A90BC0"/>
    <w:rsid w:val="00A912BF"/>
    <w:rsid w:val="00A9170C"/>
    <w:rsid w:val="00A927A4"/>
    <w:rsid w:val="00A92E8B"/>
    <w:rsid w:val="00A92F66"/>
    <w:rsid w:val="00A93072"/>
    <w:rsid w:val="00A93376"/>
    <w:rsid w:val="00A938BD"/>
    <w:rsid w:val="00A93953"/>
    <w:rsid w:val="00A940EF"/>
    <w:rsid w:val="00A9488A"/>
    <w:rsid w:val="00A94B82"/>
    <w:rsid w:val="00A94BAC"/>
    <w:rsid w:val="00A95649"/>
    <w:rsid w:val="00A95919"/>
    <w:rsid w:val="00A959D8"/>
    <w:rsid w:val="00A97159"/>
    <w:rsid w:val="00A972A9"/>
    <w:rsid w:val="00A978BD"/>
    <w:rsid w:val="00A97C4A"/>
    <w:rsid w:val="00A97C6D"/>
    <w:rsid w:val="00AA0109"/>
    <w:rsid w:val="00AA02D9"/>
    <w:rsid w:val="00AA08D4"/>
    <w:rsid w:val="00AA0A95"/>
    <w:rsid w:val="00AA0D53"/>
    <w:rsid w:val="00AA113D"/>
    <w:rsid w:val="00AA12E8"/>
    <w:rsid w:val="00AA372E"/>
    <w:rsid w:val="00AA3D8B"/>
    <w:rsid w:val="00AA44A7"/>
    <w:rsid w:val="00AA4CF5"/>
    <w:rsid w:val="00AA5890"/>
    <w:rsid w:val="00AA5A7B"/>
    <w:rsid w:val="00AA5C13"/>
    <w:rsid w:val="00AA6902"/>
    <w:rsid w:val="00AA694B"/>
    <w:rsid w:val="00AA6BD5"/>
    <w:rsid w:val="00AA6BD8"/>
    <w:rsid w:val="00AA6C7D"/>
    <w:rsid w:val="00AA70CF"/>
    <w:rsid w:val="00AA7FD6"/>
    <w:rsid w:val="00AB042A"/>
    <w:rsid w:val="00AB095A"/>
    <w:rsid w:val="00AB11AD"/>
    <w:rsid w:val="00AB19EF"/>
    <w:rsid w:val="00AB2227"/>
    <w:rsid w:val="00AB2495"/>
    <w:rsid w:val="00AB2608"/>
    <w:rsid w:val="00AB268D"/>
    <w:rsid w:val="00AB29FA"/>
    <w:rsid w:val="00AB2D32"/>
    <w:rsid w:val="00AB2D34"/>
    <w:rsid w:val="00AB3430"/>
    <w:rsid w:val="00AB37B9"/>
    <w:rsid w:val="00AB3DE0"/>
    <w:rsid w:val="00AB4AD1"/>
    <w:rsid w:val="00AB4E3A"/>
    <w:rsid w:val="00AB4FEA"/>
    <w:rsid w:val="00AB5338"/>
    <w:rsid w:val="00AB593A"/>
    <w:rsid w:val="00AB5E07"/>
    <w:rsid w:val="00AB658A"/>
    <w:rsid w:val="00AB6CA0"/>
    <w:rsid w:val="00AB73F7"/>
    <w:rsid w:val="00AB75D7"/>
    <w:rsid w:val="00AB7CFA"/>
    <w:rsid w:val="00AC09B2"/>
    <w:rsid w:val="00AC0BC5"/>
    <w:rsid w:val="00AC0EA5"/>
    <w:rsid w:val="00AC168F"/>
    <w:rsid w:val="00AC1819"/>
    <w:rsid w:val="00AC1AF8"/>
    <w:rsid w:val="00AC1FEE"/>
    <w:rsid w:val="00AC2090"/>
    <w:rsid w:val="00AC2E4E"/>
    <w:rsid w:val="00AC320A"/>
    <w:rsid w:val="00AC3F1B"/>
    <w:rsid w:val="00AC5B42"/>
    <w:rsid w:val="00AC5B48"/>
    <w:rsid w:val="00AC71FB"/>
    <w:rsid w:val="00AC751A"/>
    <w:rsid w:val="00AD042B"/>
    <w:rsid w:val="00AD05F8"/>
    <w:rsid w:val="00AD10F8"/>
    <w:rsid w:val="00AD1450"/>
    <w:rsid w:val="00AD15E8"/>
    <w:rsid w:val="00AD1E20"/>
    <w:rsid w:val="00AD2169"/>
    <w:rsid w:val="00AD30D6"/>
    <w:rsid w:val="00AD356D"/>
    <w:rsid w:val="00AD3D47"/>
    <w:rsid w:val="00AD56D3"/>
    <w:rsid w:val="00AD5C15"/>
    <w:rsid w:val="00AD5DC8"/>
    <w:rsid w:val="00AD6502"/>
    <w:rsid w:val="00AD6558"/>
    <w:rsid w:val="00AD666A"/>
    <w:rsid w:val="00AD707F"/>
    <w:rsid w:val="00AE0489"/>
    <w:rsid w:val="00AE04B3"/>
    <w:rsid w:val="00AE0513"/>
    <w:rsid w:val="00AE05C5"/>
    <w:rsid w:val="00AE0695"/>
    <w:rsid w:val="00AE0B8A"/>
    <w:rsid w:val="00AE102D"/>
    <w:rsid w:val="00AE1166"/>
    <w:rsid w:val="00AE27DB"/>
    <w:rsid w:val="00AE2B66"/>
    <w:rsid w:val="00AE3509"/>
    <w:rsid w:val="00AE3E7E"/>
    <w:rsid w:val="00AE54DF"/>
    <w:rsid w:val="00AE5E91"/>
    <w:rsid w:val="00AE5EA0"/>
    <w:rsid w:val="00AE5EF4"/>
    <w:rsid w:val="00AE764F"/>
    <w:rsid w:val="00AE79C7"/>
    <w:rsid w:val="00AE7E53"/>
    <w:rsid w:val="00AF10AE"/>
    <w:rsid w:val="00AF1315"/>
    <w:rsid w:val="00AF19BF"/>
    <w:rsid w:val="00AF1D6D"/>
    <w:rsid w:val="00AF23B8"/>
    <w:rsid w:val="00AF2771"/>
    <w:rsid w:val="00AF2C7E"/>
    <w:rsid w:val="00AF2D2E"/>
    <w:rsid w:val="00AF2DC3"/>
    <w:rsid w:val="00AF3891"/>
    <w:rsid w:val="00AF41B0"/>
    <w:rsid w:val="00AF4DA6"/>
    <w:rsid w:val="00AF5C86"/>
    <w:rsid w:val="00AF5CEC"/>
    <w:rsid w:val="00AF66DE"/>
    <w:rsid w:val="00AF6A7E"/>
    <w:rsid w:val="00AF73D5"/>
    <w:rsid w:val="00AF7517"/>
    <w:rsid w:val="00B00B8E"/>
    <w:rsid w:val="00B00F91"/>
    <w:rsid w:val="00B01D16"/>
    <w:rsid w:val="00B02FBB"/>
    <w:rsid w:val="00B033E5"/>
    <w:rsid w:val="00B03A63"/>
    <w:rsid w:val="00B04D99"/>
    <w:rsid w:val="00B050F4"/>
    <w:rsid w:val="00B05406"/>
    <w:rsid w:val="00B059CF"/>
    <w:rsid w:val="00B066F5"/>
    <w:rsid w:val="00B06D44"/>
    <w:rsid w:val="00B071E8"/>
    <w:rsid w:val="00B1208C"/>
    <w:rsid w:val="00B1280F"/>
    <w:rsid w:val="00B129A4"/>
    <w:rsid w:val="00B130AF"/>
    <w:rsid w:val="00B13B1C"/>
    <w:rsid w:val="00B13DB7"/>
    <w:rsid w:val="00B13EB0"/>
    <w:rsid w:val="00B14CD7"/>
    <w:rsid w:val="00B154B6"/>
    <w:rsid w:val="00B16C62"/>
    <w:rsid w:val="00B17A1F"/>
    <w:rsid w:val="00B17A26"/>
    <w:rsid w:val="00B17C33"/>
    <w:rsid w:val="00B201A4"/>
    <w:rsid w:val="00B201D1"/>
    <w:rsid w:val="00B211CC"/>
    <w:rsid w:val="00B213A6"/>
    <w:rsid w:val="00B21A4D"/>
    <w:rsid w:val="00B227DF"/>
    <w:rsid w:val="00B22A3E"/>
    <w:rsid w:val="00B235B0"/>
    <w:rsid w:val="00B235E2"/>
    <w:rsid w:val="00B2367B"/>
    <w:rsid w:val="00B2443F"/>
    <w:rsid w:val="00B24599"/>
    <w:rsid w:val="00B2478D"/>
    <w:rsid w:val="00B24DF6"/>
    <w:rsid w:val="00B2593E"/>
    <w:rsid w:val="00B25A52"/>
    <w:rsid w:val="00B25F61"/>
    <w:rsid w:val="00B27387"/>
    <w:rsid w:val="00B278AD"/>
    <w:rsid w:val="00B27A61"/>
    <w:rsid w:val="00B30AE5"/>
    <w:rsid w:val="00B31E31"/>
    <w:rsid w:val="00B321E8"/>
    <w:rsid w:val="00B32EC6"/>
    <w:rsid w:val="00B34158"/>
    <w:rsid w:val="00B347C2"/>
    <w:rsid w:val="00B34A20"/>
    <w:rsid w:val="00B34A7C"/>
    <w:rsid w:val="00B34DB5"/>
    <w:rsid w:val="00B34DFF"/>
    <w:rsid w:val="00B34FE2"/>
    <w:rsid w:val="00B35166"/>
    <w:rsid w:val="00B35585"/>
    <w:rsid w:val="00B357D8"/>
    <w:rsid w:val="00B35AFD"/>
    <w:rsid w:val="00B360C9"/>
    <w:rsid w:val="00B360F4"/>
    <w:rsid w:val="00B36A00"/>
    <w:rsid w:val="00B3792B"/>
    <w:rsid w:val="00B37BFC"/>
    <w:rsid w:val="00B37FBD"/>
    <w:rsid w:val="00B40358"/>
    <w:rsid w:val="00B40EFF"/>
    <w:rsid w:val="00B41614"/>
    <w:rsid w:val="00B41E49"/>
    <w:rsid w:val="00B42053"/>
    <w:rsid w:val="00B421A2"/>
    <w:rsid w:val="00B42851"/>
    <w:rsid w:val="00B4298D"/>
    <w:rsid w:val="00B42F80"/>
    <w:rsid w:val="00B432D6"/>
    <w:rsid w:val="00B435CB"/>
    <w:rsid w:val="00B43880"/>
    <w:rsid w:val="00B43B92"/>
    <w:rsid w:val="00B45C4E"/>
    <w:rsid w:val="00B46314"/>
    <w:rsid w:val="00B463A7"/>
    <w:rsid w:val="00B46407"/>
    <w:rsid w:val="00B465EC"/>
    <w:rsid w:val="00B47778"/>
    <w:rsid w:val="00B477D8"/>
    <w:rsid w:val="00B47D73"/>
    <w:rsid w:val="00B50112"/>
    <w:rsid w:val="00B505C8"/>
    <w:rsid w:val="00B50DB8"/>
    <w:rsid w:val="00B50ECD"/>
    <w:rsid w:val="00B519E8"/>
    <w:rsid w:val="00B51BF8"/>
    <w:rsid w:val="00B523CE"/>
    <w:rsid w:val="00B53262"/>
    <w:rsid w:val="00B53654"/>
    <w:rsid w:val="00B53905"/>
    <w:rsid w:val="00B53A87"/>
    <w:rsid w:val="00B546DB"/>
    <w:rsid w:val="00B54839"/>
    <w:rsid w:val="00B54B5B"/>
    <w:rsid w:val="00B5562E"/>
    <w:rsid w:val="00B55862"/>
    <w:rsid w:val="00B55D65"/>
    <w:rsid w:val="00B56305"/>
    <w:rsid w:val="00B57000"/>
    <w:rsid w:val="00B601B7"/>
    <w:rsid w:val="00B60939"/>
    <w:rsid w:val="00B60AFD"/>
    <w:rsid w:val="00B611D9"/>
    <w:rsid w:val="00B61A4D"/>
    <w:rsid w:val="00B61E45"/>
    <w:rsid w:val="00B61ECA"/>
    <w:rsid w:val="00B622D0"/>
    <w:rsid w:val="00B62715"/>
    <w:rsid w:val="00B63EE0"/>
    <w:rsid w:val="00B63F7A"/>
    <w:rsid w:val="00B64760"/>
    <w:rsid w:val="00B651F3"/>
    <w:rsid w:val="00B65491"/>
    <w:rsid w:val="00B65611"/>
    <w:rsid w:val="00B66E79"/>
    <w:rsid w:val="00B67C51"/>
    <w:rsid w:val="00B7020E"/>
    <w:rsid w:val="00B70823"/>
    <w:rsid w:val="00B70E8E"/>
    <w:rsid w:val="00B717BE"/>
    <w:rsid w:val="00B71D6A"/>
    <w:rsid w:val="00B731CF"/>
    <w:rsid w:val="00B74CD8"/>
    <w:rsid w:val="00B755AD"/>
    <w:rsid w:val="00B76181"/>
    <w:rsid w:val="00B7636D"/>
    <w:rsid w:val="00B763D6"/>
    <w:rsid w:val="00B76C92"/>
    <w:rsid w:val="00B777F0"/>
    <w:rsid w:val="00B8022A"/>
    <w:rsid w:val="00B80705"/>
    <w:rsid w:val="00B807A4"/>
    <w:rsid w:val="00B80EFD"/>
    <w:rsid w:val="00B818A4"/>
    <w:rsid w:val="00B82038"/>
    <w:rsid w:val="00B82717"/>
    <w:rsid w:val="00B82883"/>
    <w:rsid w:val="00B82DD7"/>
    <w:rsid w:val="00B8352B"/>
    <w:rsid w:val="00B83739"/>
    <w:rsid w:val="00B83C59"/>
    <w:rsid w:val="00B83F08"/>
    <w:rsid w:val="00B84111"/>
    <w:rsid w:val="00B84117"/>
    <w:rsid w:val="00B8455C"/>
    <w:rsid w:val="00B84714"/>
    <w:rsid w:val="00B858F0"/>
    <w:rsid w:val="00B85AA2"/>
    <w:rsid w:val="00B8649C"/>
    <w:rsid w:val="00B864D2"/>
    <w:rsid w:val="00B86548"/>
    <w:rsid w:val="00B8695D"/>
    <w:rsid w:val="00B86C6E"/>
    <w:rsid w:val="00B871F3"/>
    <w:rsid w:val="00B87F0A"/>
    <w:rsid w:val="00B901CA"/>
    <w:rsid w:val="00B90CC5"/>
    <w:rsid w:val="00B91360"/>
    <w:rsid w:val="00B91524"/>
    <w:rsid w:val="00B92294"/>
    <w:rsid w:val="00B92C63"/>
    <w:rsid w:val="00B92D0B"/>
    <w:rsid w:val="00B92F22"/>
    <w:rsid w:val="00B9473A"/>
    <w:rsid w:val="00B94945"/>
    <w:rsid w:val="00B94DD6"/>
    <w:rsid w:val="00B954AB"/>
    <w:rsid w:val="00B977B0"/>
    <w:rsid w:val="00B97BA7"/>
    <w:rsid w:val="00BA1B92"/>
    <w:rsid w:val="00BA260F"/>
    <w:rsid w:val="00BA2A5A"/>
    <w:rsid w:val="00BA322D"/>
    <w:rsid w:val="00BA3D0B"/>
    <w:rsid w:val="00BA5F5E"/>
    <w:rsid w:val="00BA614F"/>
    <w:rsid w:val="00BA63FA"/>
    <w:rsid w:val="00BA68C2"/>
    <w:rsid w:val="00BA6B99"/>
    <w:rsid w:val="00BA6D49"/>
    <w:rsid w:val="00BA6D71"/>
    <w:rsid w:val="00BA7ECB"/>
    <w:rsid w:val="00BA7F88"/>
    <w:rsid w:val="00BB00B3"/>
    <w:rsid w:val="00BB0775"/>
    <w:rsid w:val="00BB0BDD"/>
    <w:rsid w:val="00BB0EDF"/>
    <w:rsid w:val="00BB176C"/>
    <w:rsid w:val="00BB189F"/>
    <w:rsid w:val="00BB1F45"/>
    <w:rsid w:val="00BB21D4"/>
    <w:rsid w:val="00BB2A73"/>
    <w:rsid w:val="00BB2C82"/>
    <w:rsid w:val="00BB3A45"/>
    <w:rsid w:val="00BB3E9A"/>
    <w:rsid w:val="00BB4662"/>
    <w:rsid w:val="00BB4ACC"/>
    <w:rsid w:val="00BB53A0"/>
    <w:rsid w:val="00BB5715"/>
    <w:rsid w:val="00BB58B3"/>
    <w:rsid w:val="00BB6BBF"/>
    <w:rsid w:val="00BB6D54"/>
    <w:rsid w:val="00BB703E"/>
    <w:rsid w:val="00BB732D"/>
    <w:rsid w:val="00BB7405"/>
    <w:rsid w:val="00BC06AA"/>
    <w:rsid w:val="00BC072C"/>
    <w:rsid w:val="00BC14BD"/>
    <w:rsid w:val="00BC17BD"/>
    <w:rsid w:val="00BC1FBC"/>
    <w:rsid w:val="00BC22C9"/>
    <w:rsid w:val="00BC2700"/>
    <w:rsid w:val="00BC3631"/>
    <w:rsid w:val="00BC3945"/>
    <w:rsid w:val="00BC3E36"/>
    <w:rsid w:val="00BC49F5"/>
    <w:rsid w:val="00BC4EE8"/>
    <w:rsid w:val="00BC516A"/>
    <w:rsid w:val="00BC5842"/>
    <w:rsid w:val="00BC591F"/>
    <w:rsid w:val="00BC59C7"/>
    <w:rsid w:val="00BC62AE"/>
    <w:rsid w:val="00BC699F"/>
    <w:rsid w:val="00BC6B5B"/>
    <w:rsid w:val="00BC7D6D"/>
    <w:rsid w:val="00BD033E"/>
    <w:rsid w:val="00BD0670"/>
    <w:rsid w:val="00BD2013"/>
    <w:rsid w:val="00BD2108"/>
    <w:rsid w:val="00BD2680"/>
    <w:rsid w:val="00BD28B8"/>
    <w:rsid w:val="00BD2C0D"/>
    <w:rsid w:val="00BD2C63"/>
    <w:rsid w:val="00BD32F3"/>
    <w:rsid w:val="00BD404C"/>
    <w:rsid w:val="00BD425D"/>
    <w:rsid w:val="00BD4CC0"/>
    <w:rsid w:val="00BD59D0"/>
    <w:rsid w:val="00BD5DD8"/>
    <w:rsid w:val="00BD6690"/>
    <w:rsid w:val="00BD68A3"/>
    <w:rsid w:val="00BD6938"/>
    <w:rsid w:val="00BD6CF3"/>
    <w:rsid w:val="00BD7098"/>
    <w:rsid w:val="00BD729C"/>
    <w:rsid w:val="00BD7610"/>
    <w:rsid w:val="00BD79FC"/>
    <w:rsid w:val="00BD7F72"/>
    <w:rsid w:val="00BE060B"/>
    <w:rsid w:val="00BE0ECA"/>
    <w:rsid w:val="00BE1133"/>
    <w:rsid w:val="00BE11DA"/>
    <w:rsid w:val="00BE1C64"/>
    <w:rsid w:val="00BE2180"/>
    <w:rsid w:val="00BE21F2"/>
    <w:rsid w:val="00BE2230"/>
    <w:rsid w:val="00BE23AE"/>
    <w:rsid w:val="00BE315C"/>
    <w:rsid w:val="00BE3A87"/>
    <w:rsid w:val="00BE3C1E"/>
    <w:rsid w:val="00BE3D91"/>
    <w:rsid w:val="00BE4275"/>
    <w:rsid w:val="00BE5857"/>
    <w:rsid w:val="00BE5C5B"/>
    <w:rsid w:val="00BE621D"/>
    <w:rsid w:val="00BE63FB"/>
    <w:rsid w:val="00BF0540"/>
    <w:rsid w:val="00BF06AE"/>
    <w:rsid w:val="00BF0D1F"/>
    <w:rsid w:val="00BF0F95"/>
    <w:rsid w:val="00BF19A4"/>
    <w:rsid w:val="00BF19BF"/>
    <w:rsid w:val="00BF2433"/>
    <w:rsid w:val="00BF24F1"/>
    <w:rsid w:val="00BF2E6E"/>
    <w:rsid w:val="00BF3A93"/>
    <w:rsid w:val="00BF3BD4"/>
    <w:rsid w:val="00BF5281"/>
    <w:rsid w:val="00BF61C9"/>
    <w:rsid w:val="00BF633E"/>
    <w:rsid w:val="00BF6762"/>
    <w:rsid w:val="00BF676E"/>
    <w:rsid w:val="00BF6C94"/>
    <w:rsid w:val="00BF711F"/>
    <w:rsid w:val="00BF7246"/>
    <w:rsid w:val="00BF75EF"/>
    <w:rsid w:val="00C00424"/>
    <w:rsid w:val="00C004F0"/>
    <w:rsid w:val="00C007BC"/>
    <w:rsid w:val="00C00BB0"/>
    <w:rsid w:val="00C021C0"/>
    <w:rsid w:val="00C024E4"/>
    <w:rsid w:val="00C02DCB"/>
    <w:rsid w:val="00C02E43"/>
    <w:rsid w:val="00C0362F"/>
    <w:rsid w:val="00C03B41"/>
    <w:rsid w:val="00C03B4E"/>
    <w:rsid w:val="00C04328"/>
    <w:rsid w:val="00C04EFF"/>
    <w:rsid w:val="00C05146"/>
    <w:rsid w:val="00C05D50"/>
    <w:rsid w:val="00C065E3"/>
    <w:rsid w:val="00C06FF0"/>
    <w:rsid w:val="00C07411"/>
    <w:rsid w:val="00C07600"/>
    <w:rsid w:val="00C07852"/>
    <w:rsid w:val="00C07D2C"/>
    <w:rsid w:val="00C106B6"/>
    <w:rsid w:val="00C10F1E"/>
    <w:rsid w:val="00C116EA"/>
    <w:rsid w:val="00C1179F"/>
    <w:rsid w:val="00C11A06"/>
    <w:rsid w:val="00C11CB1"/>
    <w:rsid w:val="00C11D1C"/>
    <w:rsid w:val="00C11F1F"/>
    <w:rsid w:val="00C127B9"/>
    <w:rsid w:val="00C128FA"/>
    <w:rsid w:val="00C12B3B"/>
    <w:rsid w:val="00C12B66"/>
    <w:rsid w:val="00C12C14"/>
    <w:rsid w:val="00C12CE2"/>
    <w:rsid w:val="00C12E34"/>
    <w:rsid w:val="00C12FB1"/>
    <w:rsid w:val="00C136CF"/>
    <w:rsid w:val="00C13EED"/>
    <w:rsid w:val="00C141ED"/>
    <w:rsid w:val="00C158CF"/>
    <w:rsid w:val="00C15E5E"/>
    <w:rsid w:val="00C15F04"/>
    <w:rsid w:val="00C17772"/>
    <w:rsid w:val="00C1783B"/>
    <w:rsid w:val="00C179B3"/>
    <w:rsid w:val="00C17E3F"/>
    <w:rsid w:val="00C200AA"/>
    <w:rsid w:val="00C20200"/>
    <w:rsid w:val="00C2072E"/>
    <w:rsid w:val="00C210EA"/>
    <w:rsid w:val="00C21218"/>
    <w:rsid w:val="00C2157A"/>
    <w:rsid w:val="00C218D0"/>
    <w:rsid w:val="00C21E64"/>
    <w:rsid w:val="00C22253"/>
    <w:rsid w:val="00C222D6"/>
    <w:rsid w:val="00C222EC"/>
    <w:rsid w:val="00C22FAD"/>
    <w:rsid w:val="00C237ED"/>
    <w:rsid w:val="00C24632"/>
    <w:rsid w:val="00C24A50"/>
    <w:rsid w:val="00C24E92"/>
    <w:rsid w:val="00C25418"/>
    <w:rsid w:val="00C25C92"/>
    <w:rsid w:val="00C25D9C"/>
    <w:rsid w:val="00C266BB"/>
    <w:rsid w:val="00C26DF4"/>
    <w:rsid w:val="00C27228"/>
    <w:rsid w:val="00C272B0"/>
    <w:rsid w:val="00C2778B"/>
    <w:rsid w:val="00C31649"/>
    <w:rsid w:val="00C317BE"/>
    <w:rsid w:val="00C324DF"/>
    <w:rsid w:val="00C328E6"/>
    <w:rsid w:val="00C32E61"/>
    <w:rsid w:val="00C3394C"/>
    <w:rsid w:val="00C34270"/>
    <w:rsid w:val="00C3434C"/>
    <w:rsid w:val="00C34402"/>
    <w:rsid w:val="00C34EBD"/>
    <w:rsid w:val="00C3557C"/>
    <w:rsid w:val="00C360A3"/>
    <w:rsid w:val="00C361B5"/>
    <w:rsid w:val="00C3695F"/>
    <w:rsid w:val="00C37073"/>
    <w:rsid w:val="00C37A44"/>
    <w:rsid w:val="00C37C75"/>
    <w:rsid w:val="00C37F41"/>
    <w:rsid w:val="00C40385"/>
    <w:rsid w:val="00C41768"/>
    <w:rsid w:val="00C419E6"/>
    <w:rsid w:val="00C41F64"/>
    <w:rsid w:val="00C42461"/>
    <w:rsid w:val="00C42888"/>
    <w:rsid w:val="00C43104"/>
    <w:rsid w:val="00C43202"/>
    <w:rsid w:val="00C43284"/>
    <w:rsid w:val="00C4476C"/>
    <w:rsid w:val="00C452BB"/>
    <w:rsid w:val="00C45840"/>
    <w:rsid w:val="00C45A0C"/>
    <w:rsid w:val="00C45B93"/>
    <w:rsid w:val="00C45CFF"/>
    <w:rsid w:val="00C45E71"/>
    <w:rsid w:val="00C46009"/>
    <w:rsid w:val="00C475AA"/>
    <w:rsid w:val="00C47848"/>
    <w:rsid w:val="00C47DEB"/>
    <w:rsid w:val="00C47DFD"/>
    <w:rsid w:val="00C47F1B"/>
    <w:rsid w:val="00C504A2"/>
    <w:rsid w:val="00C50550"/>
    <w:rsid w:val="00C505AB"/>
    <w:rsid w:val="00C50D75"/>
    <w:rsid w:val="00C51E0D"/>
    <w:rsid w:val="00C5225A"/>
    <w:rsid w:val="00C527C7"/>
    <w:rsid w:val="00C5280A"/>
    <w:rsid w:val="00C52859"/>
    <w:rsid w:val="00C5377F"/>
    <w:rsid w:val="00C539E7"/>
    <w:rsid w:val="00C53C98"/>
    <w:rsid w:val="00C53ED2"/>
    <w:rsid w:val="00C53F36"/>
    <w:rsid w:val="00C54D87"/>
    <w:rsid w:val="00C55D6C"/>
    <w:rsid w:val="00C56FCF"/>
    <w:rsid w:val="00C571D0"/>
    <w:rsid w:val="00C572F6"/>
    <w:rsid w:val="00C57B6C"/>
    <w:rsid w:val="00C57EF9"/>
    <w:rsid w:val="00C6075E"/>
    <w:rsid w:val="00C60951"/>
    <w:rsid w:val="00C61585"/>
    <w:rsid w:val="00C61870"/>
    <w:rsid w:val="00C61880"/>
    <w:rsid w:val="00C61A59"/>
    <w:rsid w:val="00C62130"/>
    <w:rsid w:val="00C628A6"/>
    <w:rsid w:val="00C62AF7"/>
    <w:rsid w:val="00C63BC5"/>
    <w:rsid w:val="00C63CD5"/>
    <w:rsid w:val="00C63DFB"/>
    <w:rsid w:val="00C64344"/>
    <w:rsid w:val="00C6467E"/>
    <w:rsid w:val="00C64FD6"/>
    <w:rsid w:val="00C65108"/>
    <w:rsid w:val="00C65285"/>
    <w:rsid w:val="00C654BE"/>
    <w:rsid w:val="00C65576"/>
    <w:rsid w:val="00C65D93"/>
    <w:rsid w:val="00C66165"/>
    <w:rsid w:val="00C67964"/>
    <w:rsid w:val="00C7060A"/>
    <w:rsid w:val="00C70682"/>
    <w:rsid w:val="00C70FD4"/>
    <w:rsid w:val="00C71276"/>
    <w:rsid w:val="00C7151A"/>
    <w:rsid w:val="00C717E3"/>
    <w:rsid w:val="00C71F60"/>
    <w:rsid w:val="00C72241"/>
    <w:rsid w:val="00C73584"/>
    <w:rsid w:val="00C73CE7"/>
    <w:rsid w:val="00C74748"/>
    <w:rsid w:val="00C750C8"/>
    <w:rsid w:val="00C75448"/>
    <w:rsid w:val="00C7560F"/>
    <w:rsid w:val="00C75D1E"/>
    <w:rsid w:val="00C7648C"/>
    <w:rsid w:val="00C772CD"/>
    <w:rsid w:val="00C77306"/>
    <w:rsid w:val="00C7783F"/>
    <w:rsid w:val="00C77D87"/>
    <w:rsid w:val="00C80A0E"/>
    <w:rsid w:val="00C80B04"/>
    <w:rsid w:val="00C8119C"/>
    <w:rsid w:val="00C81562"/>
    <w:rsid w:val="00C8213F"/>
    <w:rsid w:val="00C82963"/>
    <w:rsid w:val="00C8303F"/>
    <w:rsid w:val="00C84050"/>
    <w:rsid w:val="00C85154"/>
    <w:rsid w:val="00C8535B"/>
    <w:rsid w:val="00C85668"/>
    <w:rsid w:val="00C859DC"/>
    <w:rsid w:val="00C85A70"/>
    <w:rsid w:val="00C865BE"/>
    <w:rsid w:val="00C86736"/>
    <w:rsid w:val="00C86C80"/>
    <w:rsid w:val="00C87339"/>
    <w:rsid w:val="00C876F7"/>
    <w:rsid w:val="00C8797A"/>
    <w:rsid w:val="00C87AC0"/>
    <w:rsid w:val="00C900B8"/>
    <w:rsid w:val="00C90197"/>
    <w:rsid w:val="00C901F7"/>
    <w:rsid w:val="00C90C71"/>
    <w:rsid w:val="00C91184"/>
    <w:rsid w:val="00C91E46"/>
    <w:rsid w:val="00C91E58"/>
    <w:rsid w:val="00C91FD1"/>
    <w:rsid w:val="00C923BA"/>
    <w:rsid w:val="00C9255E"/>
    <w:rsid w:val="00C92596"/>
    <w:rsid w:val="00C92682"/>
    <w:rsid w:val="00C930B1"/>
    <w:rsid w:val="00C931CF"/>
    <w:rsid w:val="00C938CF"/>
    <w:rsid w:val="00C93CC0"/>
    <w:rsid w:val="00C94053"/>
    <w:rsid w:val="00C94335"/>
    <w:rsid w:val="00C95B6A"/>
    <w:rsid w:val="00C9621F"/>
    <w:rsid w:val="00C9624D"/>
    <w:rsid w:val="00C964A8"/>
    <w:rsid w:val="00C969DA"/>
    <w:rsid w:val="00C97292"/>
    <w:rsid w:val="00C97388"/>
    <w:rsid w:val="00C97579"/>
    <w:rsid w:val="00CA006E"/>
    <w:rsid w:val="00CA0861"/>
    <w:rsid w:val="00CA104C"/>
    <w:rsid w:val="00CA16BF"/>
    <w:rsid w:val="00CA2C77"/>
    <w:rsid w:val="00CA348A"/>
    <w:rsid w:val="00CA3E5C"/>
    <w:rsid w:val="00CA3ED4"/>
    <w:rsid w:val="00CA444F"/>
    <w:rsid w:val="00CA46F9"/>
    <w:rsid w:val="00CA4A2D"/>
    <w:rsid w:val="00CA5245"/>
    <w:rsid w:val="00CA58D4"/>
    <w:rsid w:val="00CA5B14"/>
    <w:rsid w:val="00CA6253"/>
    <w:rsid w:val="00CA6CB2"/>
    <w:rsid w:val="00CA6CD0"/>
    <w:rsid w:val="00CA71F4"/>
    <w:rsid w:val="00CA782A"/>
    <w:rsid w:val="00CA7B09"/>
    <w:rsid w:val="00CB0880"/>
    <w:rsid w:val="00CB0921"/>
    <w:rsid w:val="00CB109D"/>
    <w:rsid w:val="00CB12A5"/>
    <w:rsid w:val="00CB13D8"/>
    <w:rsid w:val="00CB1CAC"/>
    <w:rsid w:val="00CB2425"/>
    <w:rsid w:val="00CB2F2A"/>
    <w:rsid w:val="00CB4375"/>
    <w:rsid w:val="00CB439F"/>
    <w:rsid w:val="00CB5B1A"/>
    <w:rsid w:val="00CB5C39"/>
    <w:rsid w:val="00CB61B7"/>
    <w:rsid w:val="00CB6B22"/>
    <w:rsid w:val="00CB6F3D"/>
    <w:rsid w:val="00CB76D9"/>
    <w:rsid w:val="00CB7B4B"/>
    <w:rsid w:val="00CB7B9D"/>
    <w:rsid w:val="00CB7DA1"/>
    <w:rsid w:val="00CB7F5F"/>
    <w:rsid w:val="00CC00E7"/>
    <w:rsid w:val="00CC0401"/>
    <w:rsid w:val="00CC0C79"/>
    <w:rsid w:val="00CC1160"/>
    <w:rsid w:val="00CC1B39"/>
    <w:rsid w:val="00CC1BFA"/>
    <w:rsid w:val="00CC2631"/>
    <w:rsid w:val="00CC26AB"/>
    <w:rsid w:val="00CC2E9F"/>
    <w:rsid w:val="00CC3274"/>
    <w:rsid w:val="00CC35EA"/>
    <w:rsid w:val="00CC3848"/>
    <w:rsid w:val="00CC3D2A"/>
    <w:rsid w:val="00CC43AA"/>
    <w:rsid w:val="00CC5369"/>
    <w:rsid w:val="00CC54D4"/>
    <w:rsid w:val="00CC5942"/>
    <w:rsid w:val="00CC6D5E"/>
    <w:rsid w:val="00CC70C6"/>
    <w:rsid w:val="00CC72B3"/>
    <w:rsid w:val="00CC7C3F"/>
    <w:rsid w:val="00CC7EB3"/>
    <w:rsid w:val="00CD0200"/>
    <w:rsid w:val="00CD080C"/>
    <w:rsid w:val="00CD0CFD"/>
    <w:rsid w:val="00CD1395"/>
    <w:rsid w:val="00CD1AF0"/>
    <w:rsid w:val="00CD1F9A"/>
    <w:rsid w:val="00CD210C"/>
    <w:rsid w:val="00CD283D"/>
    <w:rsid w:val="00CD2C90"/>
    <w:rsid w:val="00CD3AE0"/>
    <w:rsid w:val="00CD3F77"/>
    <w:rsid w:val="00CD40F5"/>
    <w:rsid w:val="00CD44A3"/>
    <w:rsid w:val="00CD482F"/>
    <w:rsid w:val="00CD4878"/>
    <w:rsid w:val="00CD492C"/>
    <w:rsid w:val="00CD5742"/>
    <w:rsid w:val="00CD5B0E"/>
    <w:rsid w:val="00CD6ADC"/>
    <w:rsid w:val="00CD6B18"/>
    <w:rsid w:val="00CD7193"/>
    <w:rsid w:val="00CD74D8"/>
    <w:rsid w:val="00CD7A3B"/>
    <w:rsid w:val="00CD7B23"/>
    <w:rsid w:val="00CE0563"/>
    <w:rsid w:val="00CE10C0"/>
    <w:rsid w:val="00CE1380"/>
    <w:rsid w:val="00CE1821"/>
    <w:rsid w:val="00CE2E62"/>
    <w:rsid w:val="00CE311A"/>
    <w:rsid w:val="00CE38AE"/>
    <w:rsid w:val="00CE38C8"/>
    <w:rsid w:val="00CE3BEC"/>
    <w:rsid w:val="00CE4480"/>
    <w:rsid w:val="00CE4808"/>
    <w:rsid w:val="00CE4E1C"/>
    <w:rsid w:val="00CE524F"/>
    <w:rsid w:val="00CE52BB"/>
    <w:rsid w:val="00CE58CC"/>
    <w:rsid w:val="00CE5D2A"/>
    <w:rsid w:val="00CE6274"/>
    <w:rsid w:val="00CE6E1E"/>
    <w:rsid w:val="00CE7050"/>
    <w:rsid w:val="00CE77B6"/>
    <w:rsid w:val="00CF07D0"/>
    <w:rsid w:val="00CF0933"/>
    <w:rsid w:val="00CF0D6D"/>
    <w:rsid w:val="00CF2B8D"/>
    <w:rsid w:val="00CF2C3C"/>
    <w:rsid w:val="00CF2F9C"/>
    <w:rsid w:val="00CF315B"/>
    <w:rsid w:val="00CF3207"/>
    <w:rsid w:val="00CF35E0"/>
    <w:rsid w:val="00CF3A1B"/>
    <w:rsid w:val="00CF456B"/>
    <w:rsid w:val="00CF5281"/>
    <w:rsid w:val="00CF5A22"/>
    <w:rsid w:val="00CF65CD"/>
    <w:rsid w:val="00CF7054"/>
    <w:rsid w:val="00CF79D6"/>
    <w:rsid w:val="00D00E9C"/>
    <w:rsid w:val="00D01113"/>
    <w:rsid w:val="00D0139A"/>
    <w:rsid w:val="00D01E8B"/>
    <w:rsid w:val="00D02280"/>
    <w:rsid w:val="00D0252C"/>
    <w:rsid w:val="00D0262E"/>
    <w:rsid w:val="00D0338E"/>
    <w:rsid w:val="00D03679"/>
    <w:rsid w:val="00D03FF6"/>
    <w:rsid w:val="00D049D8"/>
    <w:rsid w:val="00D05263"/>
    <w:rsid w:val="00D05D47"/>
    <w:rsid w:val="00D05DFC"/>
    <w:rsid w:val="00D05E3D"/>
    <w:rsid w:val="00D06139"/>
    <w:rsid w:val="00D07BEE"/>
    <w:rsid w:val="00D07C7B"/>
    <w:rsid w:val="00D07F56"/>
    <w:rsid w:val="00D10715"/>
    <w:rsid w:val="00D10B08"/>
    <w:rsid w:val="00D110BD"/>
    <w:rsid w:val="00D114A4"/>
    <w:rsid w:val="00D12A2C"/>
    <w:rsid w:val="00D134E9"/>
    <w:rsid w:val="00D13544"/>
    <w:rsid w:val="00D13675"/>
    <w:rsid w:val="00D139AB"/>
    <w:rsid w:val="00D141E1"/>
    <w:rsid w:val="00D1476F"/>
    <w:rsid w:val="00D14843"/>
    <w:rsid w:val="00D15314"/>
    <w:rsid w:val="00D15783"/>
    <w:rsid w:val="00D15B48"/>
    <w:rsid w:val="00D15F36"/>
    <w:rsid w:val="00D16BAE"/>
    <w:rsid w:val="00D16FBF"/>
    <w:rsid w:val="00D171AB"/>
    <w:rsid w:val="00D17D6C"/>
    <w:rsid w:val="00D204AA"/>
    <w:rsid w:val="00D20616"/>
    <w:rsid w:val="00D206E4"/>
    <w:rsid w:val="00D207AF"/>
    <w:rsid w:val="00D20982"/>
    <w:rsid w:val="00D20FCC"/>
    <w:rsid w:val="00D2105D"/>
    <w:rsid w:val="00D2155B"/>
    <w:rsid w:val="00D216AE"/>
    <w:rsid w:val="00D225B7"/>
    <w:rsid w:val="00D225E6"/>
    <w:rsid w:val="00D229CD"/>
    <w:rsid w:val="00D22E20"/>
    <w:rsid w:val="00D23AC5"/>
    <w:rsid w:val="00D23D11"/>
    <w:rsid w:val="00D244B6"/>
    <w:rsid w:val="00D26C3C"/>
    <w:rsid w:val="00D270AD"/>
    <w:rsid w:val="00D2754D"/>
    <w:rsid w:val="00D27B27"/>
    <w:rsid w:val="00D27B76"/>
    <w:rsid w:val="00D27F0A"/>
    <w:rsid w:val="00D30D5B"/>
    <w:rsid w:val="00D31E90"/>
    <w:rsid w:val="00D31FF2"/>
    <w:rsid w:val="00D32748"/>
    <w:rsid w:val="00D32BA3"/>
    <w:rsid w:val="00D33B17"/>
    <w:rsid w:val="00D33BE9"/>
    <w:rsid w:val="00D33F93"/>
    <w:rsid w:val="00D34275"/>
    <w:rsid w:val="00D34806"/>
    <w:rsid w:val="00D350DD"/>
    <w:rsid w:val="00D352C9"/>
    <w:rsid w:val="00D357FF"/>
    <w:rsid w:val="00D35C4D"/>
    <w:rsid w:val="00D36166"/>
    <w:rsid w:val="00D361AB"/>
    <w:rsid w:val="00D3662E"/>
    <w:rsid w:val="00D3672B"/>
    <w:rsid w:val="00D36A8F"/>
    <w:rsid w:val="00D36B2E"/>
    <w:rsid w:val="00D36D63"/>
    <w:rsid w:val="00D3735B"/>
    <w:rsid w:val="00D4092B"/>
    <w:rsid w:val="00D40B46"/>
    <w:rsid w:val="00D418BA"/>
    <w:rsid w:val="00D41E03"/>
    <w:rsid w:val="00D41ED4"/>
    <w:rsid w:val="00D41F0E"/>
    <w:rsid w:val="00D42058"/>
    <w:rsid w:val="00D424C7"/>
    <w:rsid w:val="00D43909"/>
    <w:rsid w:val="00D43B2A"/>
    <w:rsid w:val="00D43CE2"/>
    <w:rsid w:val="00D43CF1"/>
    <w:rsid w:val="00D43D83"/>
    <w:rsid w:val="00D45594"/>
    <w:rsid w:val="00D45C30"/>
    <w:rsid w:val="00D46303"/>
    <w:rsid w:val="00D46417"/>
    <w:rsid w:val="00D46AC6"/>
    <w:rsid w:val="00D46CBC"/>
    <w:rsid w:val="00D471BA"/>
    <w:rsid w:val="00D47575"/>
    <w:rsid w:val="00D47C65"/>
    <w:rsid w:val="00D509ED"/>
    <w:rsid w:val="00D51104"/>
    <w:rsid w:val="00D518A2"/>
    <w:rsid w:val="00D51968"/>
    <w:rsid w:val="00D52370"/>
    <w:rsid w:val="00D5243B"/>
    <w:rsid w:val="00D52A7D"/>
    <w:rsid w:val="00D52AF4"/>
    <w:rsid w:val="00D52F51"/>
    <w:rsid w:val="00D53257"/>
    <w:rsid w:val="00D533EC"/>
    <w:rsid w:val="00D53CCE"/>
    <w:rsid w:val="00D53D63"/>
    <w:rsid w:val="00D544C3"/>
    <w:rsid w:val="00D5488F"/>
    <w:rsid w:val="00D54B87"/>
    <w:rsid w:val="00D55562"/>
    <w:rsid w:val="00D565BB"/>
    <w:rsid w:val="00D56A95"/>
    <w:rsid w:val="00D56C14"/>
    <w:rsid w:val="00D56FD2"/>
    <w:rsid w:val="00D57955"/>
    <w:rsid w:val="00D6001D"/>
    <w:rsid w:val="00D6066A"/>
    <w:rsid w:val="00D6076E"/>
    <w:rsid w:val="00D6229C"/>
    <w:rsid w:val="00D6292B"/>
    <w:rsid w:val="00D658AB"/>
    <w:rsid w:val="00D65C96"/>
    <w:rsid w:val="00D66983"/>
    <w:rsid w:val="00D66CB2"/>
    <w:rsid w:val="00D67502"/>
    <w:rsid w:val="00D67548"/>
    <w:rsid w:val="00D67AC6"/>
    <w:rsid w:val="00D67F91"/>
    <w:rsid w:val="00D70301"/>
    <w:rsid w:val="00D7044C"/>
    <w:rsid w:val="00D705FD"/>
    <w:rsid w:val="00D70D04"/>
    <w:rsid w:val="00D70F16"/>
    <w:rsid w:val="00D72312"/>
    <w:rsid w:val="00D72475"/>
    <w:rsid w:val="00D72617"/>
    <w:rsid w:val="00D728D9"/>
    <w:rsid w:val="00D72F57"/>
    <w:rsid w:val="00D7346B"/>
    <w:rsid w:val="00D738B1"/>
    <w:rsid w:val="00D749E4"/>
    <w:rsid w:val="00D74AA9"/>
    <w:rsid w:val="00D74D62"/>
    <w:rsid w:val="00D75623"/>
    <w:rsid w:val="00D75910"/>
    <w:rsid w:val="00D762C8"/>
    <w:rsid w:val="00D7641F"/>
    <w:rsid w:val="00D76A44"/>
    <w:rsid w:val="00D76B68"/>
    <w:rsid w:val="00D77B00"/>
    <w:rsid w:val="00D812FF"/>
    <w:rsid w:val="00D815EF"/>
    <w:rsid w:val="00D8163D"/>
    <w:rsid w:val="00D81949"/>
    <w:rsid w:val="00D81D3F"/>
    <w:rsid w:val="00D81E1A"/>
    <w:rsid w:val="00D81F26"/>
    <w:rsid w:val="00D822E2"/>
    <w:rsid w:val="00D82472"/>
    <w:rsid w:val="00D82714"/>
    <w:rsid w:val="00D82CB6"/>
    <w:rsid w:val="00D83906"/>
    <w:rsid w:val="00D843F2"/>
    <w:rsid w:val="00D84866"/>
    <w:rsid w:val="00D85100"/>
    <w:rsid w:val="00D8511B"/>
    <w:rsid w:val="00D8551A"/>
    <w:rsid w:val="00D859F6"/>
    <w:rsid w:val="00D85FC6"/>
    <w:rsid w:val="00D86231"/>
    <w:rsid w:val="00D86797"/>
    <w:rsid w:val="00D86F4E"/>
    <w:rsid w:val="00D87972"/>
    <w:rsid w:val="00D906EC"/>
    <w:rsid w:val="00D90812"/>
    <w:rsid w:val="00D908B1"/>
    <w:rsid w:val="00D9104D"/>
    <w:rsid w:val="00D912AB"/>
    <w:rsid w:val="00D91757"/>
    <w:rsid w:val="00D91923"/>
    <w:rsid w:val="00D91F96"/>
    <w:rsid w:val="00D92B8A"/>
    <w:rsid w:val="00D92D9D"/>
    <w:rsid w:val="00D930FD"/>
    <w:rsid w:val="00D93123"/>
    <w:rsid w:val="00D93753"/>
    <w:rsid w:val="00D93B51"/>
    <w:rsid w:val="00D94106"/>
    <w:rsid w:val="00D9450D"/>
    <w:rsid w:val="00D9498B"/>
    <w:rsid w:val="00D952BC"/>
    <w:rsid w:val="00D96BD1"/>
    <w:rsid w:val="00D96F78"/>
    <w:rsid w:val="00D97179"/>
    <w:rsid w:val="00D9735E"/>
    <w:rsid w:val="00D97895"/>
    <w:rsid w:val="00D97B42"/>
    <w:rsid w:val="00DA12DF"/>
    <w:rsid w:val="00DA1DD5"/>
    <w:rsid w:val="00DA1E7F"/>
    <w:rsid w:val="00DA24D6"/>
    <w:rsid w:val="00DA27CC"/>
    <w:rsid w:val="00DA29E9"/>
    <w:rsid w:val="00DA2F6E"/>
    <w:rsid w:val="00DA3167"/>
    <w:rsid w:val="00DA3E5B"/>
    <w:rsid w:val="00DA4DC3"/>
    <w:rsid w:val="00DA528E"/>
    <w:rsid w:val="00DA5296"/>
    <w:rsid w:val="00DA5336"/>
    <w:rsid w:val="00DA5714"/>
    <w:rsid w:val="00DA6463"/>
    <w:rsid w:val="00DA6B12"/>
    <w:rsid w:val="00DA77A5"/>
    <w:rsid w:val="00DA7A73"/>
    <w:rsid w:val="00DB006A"/>
    <w:rsid w:val="00DB0E36"/>
    <w:rsid w:val="00DB10FC"/>
    <w:rsid w:val="00DB14D8"/>
    <w:rsid w:val="00DB167A"/>
    <w:rsid w:val="00DB1ACA"/>
    <w:rsid w:val="00DB1B70"/>
    <w:rsid w:val="00DB2723"/>
    <w:rsid w:val="00DB2D6D"/>
    <w:rsid w:val="00DB3DBF"/>
    <w:rsid w:val="00DB412D"/>
    <w:rsid w:val="00DB484F"/>
    <w:rsid w:val="00DB4A96"/>
    <w:rsid w:val="00DB4DCC"/>
    <w:rsid w:val="00DB4E1D"/>
    <w:rsid w:val="00DB54B4"/>
    <w:rsid w:val="00DB6363"/>
    <w:rsid w:val="00DB6E30"/>
    <w:rsid w:val="00DB6F4D"/>
    <w:rsid w:val="00DB7DAC"/>
    <w:rsid w:val="00DC0377"/>
    <w:rsid w:val="00DC04F6"/>
    <w:rsid w:val="00DC0690"/>
    <w:rsid w:val="00DC06F3"/>
    <w:rsid w:val="00DC089C"/>
    <w:rsid w:val="00DC11E9"/>
    <w:rsid w:val="00DC1765"/>
    <w:rsid w:val="00DC1854"/>
    <w:rsid w:val="00DC1B79"/>
    <w:rsid w:val="00DC1D65"/>
    <w:rsid w:val="00DC242A"/>
    <w:rsid w:val="00DC244A"/>
    <w:rsid w:val="00DC2D63"/>
    <w:rsid w:val="00DC2DBD"/>
    <w:rsid w:val="00DC2F04"/>
    <w:rsid w:val="00DC2F96"/>
    <w:rsid w:val="00DC3609"/>
    <w:rsid w:val="00DC3A6D"/>
    <w:rsid w:val="00DC3C57"/>
    <w:rsid w:val="00DC418D"/>
    <w:rsid w:val="00DC473C"/>
    <w:rsid w:val="00DC496F"/>
    <w:rsid w:val="00DC4999"/>
    <w:rsid w:val="00DC4F40"/>
    <w:rsid w:val="00DC522E"/>
    <w:rsid w:val="00DC5364"/>
    <w:rsid w:val="00DC5458"/>
    <w:rsid w:val="00DC5501"/>
    <w:rsid w:val="00DC5DE4"/>
    <w:rsid w:val="00DC7011"/>
    <w:rsid w:val="00DC7115"/>
    <w:rsid w:val="00DC7154"/>
    <w:rsid w:val="00DC7C32"/>
    <w:rsid w:val="00DC7E8A"/>
    <w:rsid w:val="00DD033B"/>
    <w:rsid w:val="00DD0F78"/>
    <w:rsid w:val="00DD11A5"/>
    <w:rsid w:val="00DD11B9"/>
    <w:rsid w:val="00DD1323"/>
    <w:rsid w:val="00DD1807"/>
    <w:rsid w:val="00DD1DD8"/>
    <w:rsid w:val="00DD2517"/>
    <w:rsid w:val="00DD2554"/>
    <w:rsid w:val="00DD273C"/>
    <w:rsid w:val="00DD2DFD"/>
    <w:rsid w:val="00DD30EB"/>
    <w:rsid w:val="00DD3299"/>
    <w:rsid w:val="00DD36B3"/>
    <w:rsid w:val="00DD3B57"/>
    <w:rsid w:val="00DD3F28"/>
    <w:rsid w:val="00DD4026"/>
    <w:rsid w:val="00DD4446"/>
    <w:rsid w:val="00DD4537"/>
    <w:rsid w:val="00DD4816"/>
    <w:rsid w:val="00DD4AE1"/>
    <w:rsid w:val="00DD4E15"/>
    <w:rsid w:val="00DD533D"/>
    <w:rsid w:val="00DD54F4"/>
    <w:rsid w:val="00DD66A2"/>
    <w:rsid w:val="00DD6955"/>
    <w:rsid w:val="00DD7580"/>
    <w:rsid w:val="00DD7BF5"/>
    <w:rsid w:val="00DE0025"/>
    <w:rsid w:val="00DE1584"/>
    <w:rsid w:val="00DE1799"/>
    <w:rsid w:val="00DE20E8"/>
    <w:rsid w:val="00DE2304"/>
    <w:rsid w:val="00DE3138"/>
    <w:rsid w:val="00DE3358"/>
    <w:rsid w:val="00DE37F8"/>
    <w:rsid w:val="00DE397B"/>
    <w:rsid w:val="00DE39E6"/>
    <w:rsid w:val="00DE3A61"/>
    <w:rsid w:val="00DE3E58"/>
    <w:rsid w:val="00DE4273"/>
    <w:rsid w:val="00DE463E"/>
    <w:rsid w:val="00DE482F"/>
    <w:rsid w:val="00DE4985"/>
    <w:rsid w:val="00DE4FCB"/>
    <w:rsid w:val="00DE508F"/>
    <w:rsid w:val="00DE52EC"/>
    <w:rsid w:val="00DE5399"/>
    <w:rsid w:val="00DE556E"/>
    <w:rsid w:val="00DE5B7C"/>
    <w:rsid w:val="00DE5C2F"/>
    <w:rsid w:val="00DE5D07"/>
    <w:rsid w:val="00DE6B0A"/>
    <w:rsid w:val="00DE6EE9"/>
    <w:rsid w:val="00DE72A7"/>
    <w:rsid w:val="00DE7832"/>
    <w:rsid w:val="00DF0610"/>
    <w:rsid w:val="00DF0C2A"/>
    <w:rsid w:val="00DF0C84"/>
    <w:rsid w:val="00DF125D"/>
    <w:rsid w:val="00DF18FC"/>
    <w:rsid w:val="00DF22E7"/>
    <w:rsid w:val="00DF2442"/>
    <w:rsid w:val="00DF2DF8"/>
    <w:rsid w:val="00DF344A"/>
    <w:rsid w:val="00DF5290"/>
    <w:rsid w:val="00DF5403"/>
    <w:rsid w:val="00DF5D2B"/>
    <w:rsid w:val="00DF5DC5"/>
    <w:rsid w:val="00DF6341"/>
    <w:rsid w:val="00DF702B"/>
    <w:rsid w:val="00DF75CB"/>
    <w:rsid w:val="00DF76B6"/>
    <w:rsid w:val="00DF77D2"/>
    <w:rsid w:val="00DF78D5"/>
    <w:rsid w:val="00DF7FB1"/>
    <w:rsid w:val="00E0093F"/>
    <w:rsid w:val="00E00A3D"/>
    <w:rsid w:val="00E00AC7"/>
    <w:rsid w:val="00E00E8E"/>
    <w:rsid w:val="00E01049"/>
    <w:rsid w:val="00E014B1"/>
    <w:rsid w:val="00E01602"/>
    <w:rsid w:val="00E017AA"/>
    <w:rsid w:val="00E01A12"/>
    <w:rsid w:val="00E0241D"/>
    <w:rsid w:val="00E03CE1"/>
    <w:rsid w:val="00E04127"/>
    <w:rsid w:val="00E043CF"/>
    <w:rsid w:val="00E04471"/>
    <w:rsid w:val="00E055E2"/>
    <w:rsid w:val="00E05630"/>
    <w:rsid w:val="00E06533"/>
    <w:rsid w:val="00E06DBB"/>
    <w:rsid w:val="00E07B6C"/>
    <w:rsid w:val="00E10149"/>
    <w:rsid w:val="00E10D88"/>
    <w:rsid w:val="00E10F81"/>
    <w:rsid w:val="00E10FAB"/>
    <w:rsid w:val="00E11340"/>
    <w:rsid w:val="00E11661"/>
    <w:rsid w:val="00E122A1"/>
    <w:rsid w:val="00E12B2C"/>
    <w:rsid w:val="00E1318D"/>
    <w:rsid w:val="00E13952"/>
    <w:rsid w:val="00E141CD"/>
    <w:rsid w:val="00E14F27"/>
    <w:rsid w:val="00E15609"/>
    <w:rsid w:val="00E156DB"/>
    <w:rsid w:val="00E16372"/>
    <w:rsid w:val="00E16AD8"/>
    <w:rsid w:val="00E16F33"/>
    <w:rsid w:val="00E16F5B"/>
    <w:rsid w:val="00E17FFA"/>
    <w:rsid w:val="00E20543"/>
    <w:rsid w:val="00E208C8"/>
    <w:rsid w:val="00E20AC1"/>
    <w:rsid w:val="00E20E4D"/>
    <w:rsid w:val="00E20ED6"/>
    <w:rsid w:val="00E21358"/>
    <w:rsid w:val="00E21884"/>
    <w:rsid w:val="00E2249B"/>
    <w:rsid w:val="00E22A0D"/>
    <w:rsid w:val="00E22B57"/>
    <w:rsid w:val="00E23113"/>
    <w:rsid w:val="00E23CEC"/>
    <w:rsid w:val="00E23DC4"/>
    <w:rsid w:val="00E240D8"/>
    <w:rsid w:val="00E244F6"/>
    <w:rsid w:val="00E246E2"/>
    <w:rsid w:val="00E24C91"/>
    <w:rsid w:val="00E258DB"/>
    <w:rsid w:val="00E25BA6"/>
    <w:rsid w:val="00E260D1"/>
    <w:rsid w:val="00E263C0"/>
    <w:rsid w:val="00E26824"/>
    <w:rsid w:val="00E2771E"/>
    <w:rsid w:val="00E279EB"/>
    <w:rsid w:val="00E27DE2"/>
    <w:rsid w:val="00E311EF"/>
    <w:rsid w:val="00E31601"/>
    <w:rsid w:val="00E318B3"/>
    <w:rsid w:val="00E32019"/>
    <w:rsid w:val="00E32180"/>
    <w:rsid w:val="00E329E3"/>
    <w:rsid w:val="00E32BA8"/>
    <w:rsid w:val="00E335CA"/>
    <w:rsid w:val="00E34948"/>
    <w:rsid w:val="00E34FB5"/>
    <w:rsid w:val="00E35500"/>
    <w:rsid w:val="00E3596A"/>
    <w:rsid w:val="00E35B39"/>
    <w:rsid w:val="00E3620B"/>
    <w:rsid w:val="00E3688C"/>
    <w:rsid w:val="00E37569"/>
    <w:rsid w:val="00E401B2"/>
    <w:rsid w:val="00E4023D"/>
    <w:rsid w:val="00E406ED"/>
    <w:rsid w:val="00E40BE8"/>
    <w:rsid w:val="00E4143E"/>
    <w:rsid w:val="00E419B0"/>
    <w:rsid w:val="00E41E30"/>
    <w:rsid w:val="00E4223B"/>
    <w:rsid w:val="00E42F73"/>
    <w:rsid w:val="00E4372C"/>
    <w:rsid w:val="00E43D70"/>
    <w:rsid w:val="00E43EAE"/>
    <w:rsid w:val="00E44D05"/>
    <w:rsid w:val="00E44FE3"/>
    <w:rsid w:val="00E45010"/>
    <w:rsid w:val="00E466F3"/>
    <w:rsid w:val="00E46F0B"/>
    <w:rsid w:val="00E47B2C"/>
    <w:rsid w:val="00E47C64"/>
    <w:rsid w:val="00E5021A"/>
    <w:rsid w:val="00E50A26"/>
    <w:rsid w:val="00E51560"/>
    <w:rsid w:val="00E51801"/>
    <w:rsid w:val="00E51821"/>
    <w:rsid w:val="00E5248E"/>
    <w:rsid w:val="00E52DFC"/>
    <w:rsid w:val="00E53CFC"/>
    <w:rsid w:val="00E53FC8"/>
    <w:rsid w:val="00E5422A"/>
    <w:rsid w:val="00E54347"/>
    <w:rsid w:val="00E5484B"/>
    <w:rsid w:val="00E5513D"/>
    <w:rsid w:val="00E55424"/>
    <w:rsid w:val="00E55915"/>
    <w:rsid w:val="00E559D8"/>
    <w:rsid w:val="00E55A74"/>
    <w:rsid w:val="00E55BB5"/>
    <w:rsid w:val="00E563F7"/>
    <w:rsid w:val="00E56532"/>
    <w:rsid w:val="00E569FB"/>
    <w:rsid w:val="00E603AC"/>
    <w:rsid w:val="00E60896"/>
    <w:rsid w:val="00E608D9"/>
    <w:rsid w:val="00E60CE9"/>
    <w:rsid w:val="00E611DF"/>
    <w:rsid w:val="00E61383"/>
    <w:rsid w:val="00E61AC7"/>
    <w:rsid w:val="00E6206D"/>
    <w:rsid w:val="00E62208"/>
    <w:rsid w:val="00E62925"/>
    <w:rsid w:val="00E62C98"/>
    <w:rsid w:val="00E63763"/>
    <w:rsid w:val="00E637FB"/>
    <w:rsid w:val="00E63DAE"/>
    <w:rsid w:val="00E6576C"/>
    <w:rsid w:val="00E65E79"/>
    <w:rsid w:val="00E66043"/>
    <w:rsid w:val="00E66BA2"/>
    <w:rsid w:val="00E67228"/>
    <w:rsid w:val="00E67416"/>
    <w:rsid w:val="00E70918"/>
    <w:rsid w:val="00E70AE1"/>
    <w:rsid w:val="00E70D32"/>
    <w:rsid w:val="00E71011"/>
    <w:rsid w:val="00E718B6"/>
    <w:rsid w:val="00E71C91"/>
    <w:rsid w:val="00E723BA"/>
    <w:rsid w:val="00E732DD"/>
    <w:rsid w:val="00E73581"/>
    <w:rsid w:val="00E74217"/>
    <w:rsid w:val="00E743F4"/>
    <w:rsid w:val="00E744FE"/>
    <w:rsid w:val="00E75902"/>
    <w:rsid w:val="00E7591B"/>
    <w:rsid w:val="00E77B74"/>
    <w:rsid w:val="00E77F2B"/>
    <w:rsid w:val="00E80DC1"/>
    <w:rsid w:val="00E817A9"/>
    <w:rsid w:val="00E81DBB"/>
    <w:rsid w:val="00E82CB5"/>
    <w:rsid w:val="00E83018"/>
    <w:rsid w:val="00E832EE"/>
    <w:rsid w:val="00E833F7"/>
    <w:rsid w:val="00E835AB"/>
    <w:rsid w:val="00E83A44"/>
    <w:rsid w:val="00E83BDF"/>
    <w:rsid w:val="00E85EAE"/>
    <w:rsid w:val="00E86539"/>
    <w:rsid w:val="00E86A30"/>
    <w:rsid w:val="00E86B71"/>
    <w:rsid w:val="00E86FCC"/>
    <w:rsid w:val="00E87947"/>
    <w:rsid w:val="00E87A1D"/>
    <w:rsid w:val="00E87F19"/>
    <w:rsid w:val="00E900A1"/>
    <w:rsid w:val="00E9029B"/>
    <w:rsid w:val="00E903A6"/>
    <w:rsid w:val="00E9094A"/>
    <w:rsid w:val="00E90BCF"/>
    <w:rsid w:val="00E9160F"/>
    <w:rsid w:val="00E91D35"/>
    <w:rsid w:val="00E9246E"/>
    <w:rsid w:val="00E926A5"/>
    <w:rsid w:val="00E93AFF"/>
    <w:rsid w:val="00E94418"/>
    <w:rsid w:val="00E94967"/>
    <w:rsid w:val="00E94D5B"/>
    <w:rsid w:val="00E957AD"/>
    <w:rsid w:val="00E96217"/>
    <w:rsid w:val="00E962CC"/>
    <w:rsid w:val="00E96342"/>
    <w:rsid w:val="00E96C95"/>
    <w:rsid w:val="00E96CAA"/>
    <w:rsid w:val="00E97719"/>
    <w:rsid w:val="00EA062A"/>
    <w:rsid w:val="00EA12B1"/>
    <w:rsid w:val="00EA17C3"/>
    <w:rsid w:val="00EA1AB3"/>
    <w:rsid w:val="00EA1AF0"/>
    <w:rsid w:val="00EA2BBE"/>
    <w:rsid w:val="00EA2CAA"/>
    <w:rsid w:val="00EA2F81"/>
    <w:rsid w:val="00EA325D"/>
    <w:rsid w:val="00EA3864"/>
    <w:rsid w:val="00EA45F1"/>
    <w:rsid w:val="00EA546E"/>
    <w:rsid w:val="00EA5900"/>
    <w:rsid w:val="00EA59B9"/>
    <w:rsid w:val="00EA7301"/>
    <w:rsid w:val="00EA7F1C"/>
    <w:rsid w:val="00EB138D"/>
    <w:rsid w:val="00EB15B6"/>
    <w:rsid w:val="00EB15C2"/>
    <w:rsid w:val="00EB1CD0"/>
    <w:rsid w:val="00EB2713"/>
    <w:rsid w:val="00EB3249"/>
    <w:rsid w:val="00EB3D06"/>
    <w:rsid w:val="00EB44BF"/>
    <w:rsid w:val="00EB4916"/>
    <w:rsid w:val="00EB49DC"/>
    <w:rsid w:val="00EB4B36"/>
    <w:rsid w:val="00EB566D"/>
    <w:rsid w:val="00EB68EE"/>
    <w:rsid w:val="00EB6DD6"/>
    <w:rsid w:val="00EB6E7E"/>
    <w:rsid w:val="00EB756B"/>
    <w:rsid w:val="00EB7A3E"/>
    <w:rsid w:val="00EB7F19"/>
    <w:rsid w:val="00EC00C9"/>
    <w:rsid w:val="00EC0DD9"/>
    <w:rsid w:val="00EC136F"/>
    <w:rsid w:val="00EC1A87"/>
    <w:rsid w:val="00EC1E2B"/>
    <w:rsid w:val="00EC2616"/>
    <w:rsid w:val="00EC2649"/>
    <w:rsid w:val="00EC29FB"/>
    <w:rsid w:val="00EC31ED"/>
    <w:rsid w:val="00EC3A40"/>
    <w:rsid w:val="00EC3A63"/>
    <w:rsid w:val="00EC3BA2"/>
    <w:rsid w:val="00EC445F"/>
    <w:rsid w:val="00EC4922"/>
    <w:rsid w:val="00EC4DAE"/>
    <w:rsid w:val="00EC4DEB"/>
    <w:rsid w:val="00EC4FD7"/>
    <w:rsid w:val="00EC524E"/>
    <w:rsid w:val="00EC5836"/>
    <w:rsid w:val="00EC588D"/>
    <w:rsid w:val="00EC5B51"/>
    <w:rsid w:val="00EC653C"/>
    <w:rsid w:val="00EC688C"/>
    <w:rsid w:val="00EC777B"/>
    <w:rsid w:val="00EC780A"/>
    <w:rsid w:val="00ED0229"/>
    <w:rsid w:val="00ED0231"/>
    <w:rsid w:val="00ED04CA"/>
    <w:rsid w:val="00ED0CBB"/>
    <w:rsid w:val="00ED12E3"/>
    <w:rsid w:val="00ED1667"/>
    <w:rsid w:val="00ED1AE6"/>
    <w:rsid w:val="00ED1B40"/>
    <w:rsid w:val="00ED22DF"/>
    <w:rsid w:val="00ED2699"/>
    <w:rsid w:val="00ED2D8F"/>
    <w:rsid w:val="00ED451B"/>
    <w:rsid w:val="00ED46C7"/>
    <w:rsid w:val="00ED4B04"/>
    <w:rsid w:val="00ED513C"/>
    <w:rsid w:val="00ED5531"/>
    <w:rsid w:val="00ED57EA"/>
    <w:rsid w:val="00ED5BA4"/>
    <w:rsid w:val="00ED5BD4"/>
    <w:rsid w:val="00ED5E54"/>
    <w:rsid w:val="00ED6198"/>
    <w:rsid w:val="00ED63C6"/>
    <w:rsid w:val="00ED6EF5"/>
    <w:rsid w:val="00ED6FD5"/>
    <w:rsid w:val="00ED703F"/>
    <w:rsid w:val="00EE011D"/>
    <w:rsid w:val="00EE04B2"/>
    <w:rsid w:val="00EE0539"/>
    <w:rsid w:val="00EE07D3"/>
    <w:rsid w:val="00EE0B07"/>
    <w:rsid w:val="00EE1996"/>
    <w:rsid w:val="00EE1C01"/>
    <w:rsid w:val="00EE22AF"/>
    <w:rsid w:val="00EE27EC"/>
    <w:rsid w:val="00EE2DC9"/>
    <w:rsid w:val="00EE3587"/>
    <w:rsid w:val="00EE3679"/>
    <w:rsid w:val="00EE4EA7"/>
    <w:rsid w:val="00EE5862"/>
    <w:rsid w:val="00EE6107"/>
    <w:rsid w:val="00EE6BD3"/>
    <w:rsid w:val="00EE6DB6"/>
    <w:rsid w:val="00EE6FA5"/>
    <w:rsid w:val="00EF0171"/>
    <w:rsid w:val="00EF0C23"/>
    <w:rsid w:val="00EF191B"/>
    <w:rsid w:val="00EF1B25"/>
    <w:rsid w:val="00EF1D7D"/>
    <w:rsid w:val="00EF1DA0"/>
    <w:rsid w:val="00EF1E06"/>
    <w:rsid w:val="00EF2F3F"/>
    <w:rsid w:val="00EF34F6"/>
    <w:rsid w:val="00EF3A1A"/>
    <w:rsid w:val="00EF42AD"/>
    <w:rsid w:val="00EF4501"/>
    <w:rsid w:val="00EF46F5"/>
    <w:rsid w:val="00EF4747"/>
    <w:rsid w:val="00EF49A7"/>
    <w:rsid w:val="00EF4BF8"/>
    <w:rsid w:val="00EF6246"/>
    <w:rsid w:val="00EF655E"/>
    <w:rsid w:val="00EF6F43"/>
    <w:rsid w:val="00EF7230"/>
    <w:rsid w:val="00EF7621"/>
    <w:rsid w:val="00EF776D"/>
    <w:rsid w:val="00EF7BF4"/>
    <w:rsid w:val="00F0042D"/>
    <w:rsid w:val="00F00744"/>
    <w:rsid w:val="00F00CA9"/>
    <w:rsid w:val="00F015DC"/>
    <w:rsid w:val="00F01A9B"/>
    <w:rsid w:val="00F02253"/>
    <w:rsid w:val="00F025D9"/>
    <w:rsid w:val="00F0274A"/>
    <w:rsid w:val="00F0332B"/>
    <w:rsid w:val="00F03A49"/>
    <w:rsid w:val="00F03C2E"/>
    <w:rsid w:val="00F04019"/>
    <w:rsid w:val="00F0480F"/>
    <w:rsid w:val="00F04A66"/>
    <w:rsid w:val="00F04B4B"/>
    <w:rsid w:val="00F0516C"/>
    <w:rsid w:val="00F05F9C"/>
    <w:rsid w:val="00F06662"/>
    <w:rsid w:val="00F067A2"/>
    <w:rsid w:val="00F06CF7"/>
    <w:rsid w:val="00F06E54"/>
    <w:rsid w:val="00F07058"/>
    <w:rsid w:val="00F0769D"/>
    <w:rsid w:val="00F079D5"/>
    <w:rsid w:val="00F07B9E"/>
    <w:rsid w:val="00F1116F"/>
    <w:rsid w:val="00F112A5"/>
    <w:rsid w:val="00F119AD"/>
    <w:rsid w:val="00F1263A"/>
    <w:rsid w:val="00F1311A"/>
    <w:rsid w:val="00F131C1"/>
    <w:rsid w:val="00F13704"/>
    <w:rsid w:val="00F13737"/>
    <w:rsid w:val="00F139C5"/>
    <w:rsid w:val="00F13AEE"/>
    <w:rsid w:val="00F13FB9"/>
    <w:rsid w:val="00F1474C"/>
    <w:rsid w:val="00F15B77"/>
    <w:rsid w:val="00F16477"/>
    <w:rsid w:val="00F16806"/>
    <w:rsid w:val="00F17543"/>
    <w:rsid w:val="00F177D1"/>
    <w:rsid w:val="00F17E61"/>
    <w:rsid w:val="00F2025C"/>
    <w:rsid w:val="00F20556"/>
    <w:rsid w:val="00F21236"/>
    <w:rsid w:val="00F21BE5"/>
    <w:rsid w:val="00F22582"/>
    <w:rsid w:val="00F2262B"/>
    <w:rsid w:val="00F239DF"/>
    <w:rsid w:val="00F23B23"/>
    <w:rsid w:val="00F23F66"/>
    <w:rsid w:val="00F24837"/>
    <w:rsid w:val="00F25430"/>
    <w:rsid w:val="00F2575F"/>
    <w:rsid w:val="00F262EC"/>
    <w:rsid w:val="00F2648C"/>
    <w:rsid w:val="00F27565"/>
    <w:rsid w:val="00F27A2A"/>
    <w:rsid w:val="00F30163"/>
    <w:rsid w:val="00F30AF7"/>
    <w:rsid w:val="00F310D4"/>
    <w:rsid w:val="00F31D5A"/>
    <w:rsid w:val="00F31EE3"/>
    <w:rsid w:val="00F32659"/>
    <w:rsid w:val="00F33227"/>
    <w:rsid w:val="00F3332F"/>
    <w:rsid w:val="00F3392D"/>
    <w:rsid w:val="00F33975"/>
    <w:rsid w:val="00F33DE9"/>
    <w:rsid w:val="00F33F1D"/>
    <w:rsid w:val="00F34141"/>
    <w:rsid w:val="00F342E7"/>
    <w:rsid w:val="00F34BF6"/>
    <w:rsid w:val="00F34DA0"/>
    <w:rsid w:val="00F3552D"/>
    <w:rsid w:val="00F35A0E"/>
    <w:rsid w:val="00F35A95"/>
    <w:rsid w:val="00F35E6D"/>
    <w:rsid w:val="00F3619A"/>
    <w:rsid w:val="00F36491"/>
    <w:rsid w:val="00F36941"/>
    <w:rsid w:val="00F40038"/>
    <w:rsid w:val="00F40AAA"/>
    <w:rsid w:val="00F40BA7"/>
    <w:rsid w:val="00F40F9D"/>
    <w:rsid w:val="00F41055"/>
    <w:rsid w:val="00F415F1"/>
    <w:rsid w:val="00F418CD"/>
    <w:rsid w:val="00F41AB0"/>
    <w:rsid w:val="00F41ACD"/>
    <w:rsid w:val="00F41BC2"/>
    <w:rsid w:val="00F4227B"/>
    <w:rsid w:val="00F4278D"/>
    <w:rsid w:val="00F4296E"/>
    <w:rsid w:val="00F42EFA"/>
    <w:rsid w:val="00F42FFB"/>
    <w:rsid w:val="00F4377A"/>
    <w:rsid w:val="00F43C52"/>
    <w:rsid w:val="00F44CF0"/>
    <w:rsid w:val="00F44D5E"/>
    <w:rsid w:val="00F4571C"/>
    <w:rsid w:val="00F45E1A"/>
    <w:rsid w:val="00F46432"/>
    <w:rsid w:val="00F46CB6"/>
    <w:rsid w:val="00F47139"/>
    <w:rsid w:val="00F4756D"/>
    <w:rsid w:val="00F476BE"/>
    <w:rsid w:val="00F47DE8"/>
    <w:rsid w:val="00F50BC0"/>
    <w:rsid w:val="00F514A9"/>
    <w:rsid w:val="00F5160E"/>
    <w:rsid w:val="00F51CE4"/>
    <w:rsid w:val="00F52636"/>
    <w:rsid w:val="00F52C8C"/>
    <w:rsid w:val="00F533F1"/>
    <w:rsid w:val="00F5384A"/>
    <w:rsid w:val="00F53895"/>
    <w:rsid w:val="00F53D74"/>
    <w:rsid w:val="00F542C1"/>
    <w:rsid w:val="00F54556"/>
    <w:rsid w:val="00F550E3"/>
    <w:rsid w:val="00F551F1"/>
    <w:rsid w:val="00F55E73"/>
    <w:rsid w:val="00F55EA4"/>
    <w:rsid w:val="00F55EDA"/>
    <w:rsid w:val="00F56C80"/>
    <w:rsid w:val="00F56EE4"/>
    <w:rsid w:val="00F60092"/>
    <w:rsid w:val="00F60724"/>
    <w:rsid w:val="00F61722"/>
    <w:rsid w:val="00F61BF1"/>
    <w:rsid w:val="00F61C18"/>
    <w:rsid w:val="00F6304D"/>
    <w:rsid w:val="00F635F6"/>
    <w:rsid w:val="00F639A4"/>
    <w:rsid w:val="00F63CB0"/>
    <w:rsid w:val="00F64A21"/>
    <w:rsid w:val="00F658F8"/>
    <w:rsid w:val="00F65E34"/>
    <w:rsid w:val="00F65F4B"/>
    <w:rsid w:val="00F660BB"/>
    <w:rsid w:val="00F6644A"/>
    <w:rsid w:val="00F66E52"/>
    <w:rsid w:val="00F67262"/>
    <w:rsid w:val="00F67A12"/>
    <w:rsid w:val="00F67A69"/>
    <w:rsid w:val="00F704F0"/>
    <w:rsid w:val="00F70BFF"/>
    <w:rsid w:val="00F70C9D"/>
    <w:rsid w:val="00F710FB"/>
    <w:rsid w:val="00F712A6"/>
    <w:rsid w:val="00F713D9"/>
    <w:rsid w:val="00F71ACD"/>
    <w:rsid w:val="00F72F79"/>
    <w:rsid w:val="00F73047"/>
    <w:rsid w:val="00F7314D"/>
    <w:rsid w:val="00F7392B"/>
    <w:rsid w:val="00F73E08"/>
    <w:rsid w:val="00F740DB"/>
    <w:rsid w:val="00F7468E"/>
    <w:rsid w:val="00F7477E"/>
    <w:rsid w:val="00F74CD9"/>
    <w:rsid w:val="00F75F63"/>
    <w:rsid w:val="00F76CE4"/>
    <w:rsid w:val="00F76F62"/>
    <w:rsid w:val="00F77393"/>
    <w:rsid w:val="00F77633"/>
    <w:rsid w:val="00F80A7B"/>
    <w:rsid w:val="00F80E5D"/>
    <w:rsid w:val="00F81A05"/>
    <w:rsid w:val="00F81E78"/>
    <w:rsid w:val="00F81FB9"/>
    <w:rsid w:val="00F821AF"/>
    <w:rsid w:val="00F82227"/>
    <w:rsid w:val="00F8379F"/>
    <w:rsid w:val="00F83916"/>
    <w:rsid w:val="00F83924"/>
    <w:rsid w:val="00F83C16"/>
    <w:rsid w:val="00F84D1C"/>
    <w:rsid w:val="00F85046"/>
    <w:rsid w:val="00F851CE"/>
    <w:rsid w:val="00F85317"/>
    <w:rsid w:val="00F85BE4"/>
    <w:rsid w:val="00F861C1"/>
    <w:rsid w:val="00F863D3"/>
    <w:rsid w:val="00F86ADE"/>
    <w:rsid w:val="00F873E3"/>
    <w:rsid w:val="00F8769D"/>
    <w:rsid w:val="00F87FA5"/>
    <w:rsid w:val="00F9050C"/>
    <w:rsid w:val="00F90694"/>
    <w:rsid w:val="00F91219"/>
    <w:rsid w:val="00F92444"/>
    <w:rsid w:val="00F924EF"/>
    <w:rsid w:val="00F93274"/>
    <w:rsid w:val="00F93776"/>
    <w:rsid w:val="00F9393E"/>
    <w:rsid w:val="00F93D1F"/>
    <w:rsid w:val="00F94696"/>
    <w:rsid w:val="00F9497D"/>
    <w:rsid w:val="00F94A76"/>
    <w:rsid w:val="00F95157"/>
    <w:rsid w:val="00F951F4"/>
    <w:rsid w:val="00F95208"/>
    <w:rsid w:val="00F95343"/>
    <w:rsid w:val="00F963B5"/>
    <w:rsid w:val="00F965E4"/>
    <w:rsid w:val="00F96B47"/>
    <w:rsid w:val="00F96FD0"/>
    <w:rsid w:val="00F9737B"/>
    <w:rsid w:val="00F9758E"/>
    <w:rsid w:val="00F978F3"/>
    <w:rsid w:val="00F97A78"/>
    <w:rsid w:val="00F97EDC"/>
    <w:rsid w:val="00FA0038"/>
    <w:rsid w:val="00FA01DE"/>
    <w:rsid w:val="00FA0B20"/>
    <w:rsid w:val="00FA14BD"/>
    <w:rsid w:val="00FA1C4F"/>
    <w:rsid w:val="00FA2125"/>
    <w:rsid w:val="00FA24BC"/>
    <w:rsid w:val="00FA24E7"/>
    <w:rsid w:val="00FA278B"/>
    <w:rsid w:val="00FA2873"/>
    <w:rsid w:val="00FA3A13"/>
    <w:rsid w:val="00FA444C"/>
    <w:rsid w:val="00FA4C33"/>
    <w:rsid w:val="00FA57B7"/>
    <w:rsid w:val="00FA5891"/>
    <w:rsid w:val="00FA59D0"/>
    <w:rsid w:val="00FA5EE6"/>
    <w:rsid w:val="00FA6811"/>
    <w:rsid w:val="00FA6B13"/>
    <w:rsid w:val="00FA6DDE"/>
    <w:rsid w:val="00FA71F2"/>
    <w:rsid w:val="00FA7956"/>
    <w:rsid w:val="00FA7BF9"/>
    <w:rsid w:val="00FA7C72"/>
    <w:rsid w:val="00FB0778"/>
    <w:rsid w:val="00FB0824"/>
    <w:rsid w:val="00FB0943"/>
    <w:rsid w:val="00FB0E86"/>
    <w:rsid w:val="00FB0F80"/>
    <w:rsid w:val="00FB1043"/>
    <w:rsid w:val="00FB1744"/>
    <w:rsid w:val="00FB2FCB"/>
    <w:rsid w:val="00FB3123"/>
    <w:rsid w:val="00FB3446"/>
    <w:rsid w:val="00FB399C"/>
    <w:rsid w:val="00FB3B56"/>
    <w:rsid w:val="00FB3BE9"/>
    <w:rsid w:val="00FB3D9A"/>
    <w:rsid w:val="00FB4383"/>
    <w:rsid w:val="00FB4730"/>
    <w:rsid w:val="00FB4C9C"/>
    <w:rsid w:val="00FB5D19"/>
    <w:rsid w:val="00FB616D"/>
    <w:rsid w:val="00FB6270"/>
    <w:rsid w:val="00FB6C7F"/>
    <w:rsid w:val="00FB738B"/>
    <w:rsid w:val="00FB7B33"/>
    <w:rsid w:val="00FB7C55"/>
    <w:rsid w:val="00FC01CE"/>
    <w:rsid w:val="00FC0657"/>
    <w:rsid w:val="00FC08D8"/>
    <w:rsid w:val="00FC1074"/>
    <w:rsid w:val="00FC11F8"/>
    <w:rsid w:val="00FC1884"/>
    <w:rsid w:val="00FC1904"/>
    <w:rsid w:val="00FC22B9"/>
    <w:rsid w:val="00FC2C93"/>
    <w:rsid w:val="00FC371D"/>
    <w:rsid w:val="00FC3F30"/>
    <w:rsid w:val="00FC43C0"/>
    <w:rsid w:val="00FC480E"/>
    <w:rsid w:val="00FC530A"/>
    <w:rsid w:val="00FC56D0"/>
    <w:rsid w:val="00FC5F0B"/>
    <w:rsid w:val="00FC627D"/>
    <w:rsid w:val="00FC6FEA"/>
    <w:rsid w:val="00FC7596"/>
    <w:rsid w:val="00FC7F6B"/>
    <w:rsid w:val="00FD00A0"/>
    <w:rsid w:val="00FD0197"/>
    <w:rsid w:val="00FD134D"/>
    <w:rsid w:val="00FD1863"/>
    <w:rsid w:val="00FD1A78"/>
    <w:rsid w:val="00FD2100"/>
    <w:rsid w:val="00FD2583"/>
    <w:rsid w:val="00FD2675"/>
    <w:rsid w:val="00FD2685"/>
    <w:rsid w:val="00FD2C3E"/>
    <w:rsid w:val="00FD33BD"/>
    <w:rsid w:val="00FD3F37"/>
    <w:rsid w:val="00FD436C"/>
    <w:rsid w:val="00FD446D"/>
    <w:rsid w:val="00FD48B8"/>
    <w:rsid w:val="00FD4F2C"/>
    <w:rsid w:val="00FD5246"/>
    <w:rsid w:val="00FD525F"/>
    <w:rsid w:val="00FD605D"/>
    <w:rsid w:val="00FD6394"/>
    <w:rsid w:val="00FD6A61"/>
    <w:rsid w:val="00FD71BA"/>
    <w:rsid w:val="00FD7A67"/>
    <w:rsid w:val="00FE00D5"/>
    <w:rsid w:val="00FE0114"/>
    <w:rsid w:val="00FE0E6C"/>
    <w:rsid w:val="00FE1BE4"/>
    <w:rsid w:val="00FE1CDC"/>
    <w:rsid w:val="00FE237A"/>
    <w:rsid w:val="00FE2480"/>
    <w:rsid w:val="00FE2AD6"/>
    <w:rsid w:val="00FE3A60"/>
    <w:rsid w:val="00FE3EF5"/>
    <w:rsid w:val="00FE443B"/>
    <w:rsid w:val="00FE472C"/>
    <w:rsid w:val="00FE4AFD"/>
    <w:rsid w:val="00FE5BBA"/>
    <w:rsid w:val="00FE601B"/>
    <w:rsid w:val="00FE629A"/>
    <w:rsid w:val="00FE66A0"/>
    <w:rsid w:val="00FE6754"/>
    <w:rsid w:val="00FE6802"/>
    <w:rsid w:val="00FE707F"/>
    <w:rsid w:val="00FE70C3"/>
    <w:rsid w:val="00FE7A78"/>
    <w:rsid w:val="00FF03E9"/>
    <w:rsid w:val="00FF081B"/>
    <w:rsid w:val="00FF1173"/>
    <w:rsid w:val="00FF1A8B"/>
    <w:rsid w:val="00FF1BC6"/>
    <w:rsid w:val="00FF26FC"/>
    <w:rsid w:val="00FF2734"/>
    <w:rsid w:val="00FF2AD9"/>
    <w:rsid w:val="00FF2CC2"/>
    <w:rsid w:val="00FF2F9F"/>
    <w:rsid w:val="00FF359F"/>
    <w:rsid w:val="00FF3DCF"/>
    <w:rsid w:val="00FF492C"/>
    <w:rsid w:val="00FF4A21"/>
    <w:rsid w:val="00FF5AA3"/>
    <w:rsid w:val="00FF5AD8"/>
    <w:rsid w:val="00FF6BB3"/>
    <w:rsid w:val="00FF6D27"/>
    <w:rsid w:val="00FF7187"/>
    <w:rsid w:val="052C72A6"/>
    <w:rsid w:val="3B4BFC89"/>
    <w:rsid w:val="43E26527"/>
    <w:rsid w:val="4D9644E6"/>
    <w:rsid w:val="5F90A677"/>
    <w:rsid w:val="5F93F736"/>
    <w:rsid w:val="6051DE1A"/>
    <w:rsid w:val="70D08ADC"/>
    <w:rsid w:val="7233FA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19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RUS List,Noise heading,Credits,Number abc,a List Paragraph,Text,Cell bullets,Rec para,alphabet listin"/>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RUS List Char,Noise heading Char,Credits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PBAC table,MSD Table Grid,Dossier table,Summary Table,HealthConsult,Lash Style Table,Section 3- footnotes,Table Grid nm,PHE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8E1CBB"/>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C05D50"/>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406ED"/>
    <w:pPr>
      <w:numPr>
        <w:ilvl w:val="1"/>
        <w:numId w:val="5"/>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406E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2"/>
      </w:numPr>
      <w:contextualSpacing/>
    </w:pPr>
  </w:style>
  <w:style w:type="character" w:customStyle="1" w:styleId="TableTextChar0">
    <w:name w:val="Table Text Char"/>
    <w:basedOn w:val="DefaultParagraphFont"/>
    <w:link w:val="TableText0"/>
    <w:rsid w:val="008E1CBB"/>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ind w:left="720" w:hanging="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8220FC"/>
    <w:pPr>
      <w:contextualSpacing/>
      <w:jc w:val="left"/>
    </w:pPr>
    <w:rPr>
      <w:rFonts w:ascii="Arial Narrow" w:eastAsiaTheme="majorEastAsia" w:hAnsi="Arial Narrow"/>
      <w:snapToGrid w:val="0"/>
      <w:sz w:val="18"/>
      <w:szCs w:val="22"/>
    </w:rPr>
  </w:style>
  <w:style w:type="character" w:customStyle="1" w:styleId="TableFigureFooterChar">
    <w:name w:val="Table/Figure Footer Char"/>
    <w:link w:val="TableFigureFooter"/>
    <w:rsid w:val="008220FC"/>
    <w:rPr>
      <w:rFonts w:ascii="Arial Narrow" w:eastAsiaTheme="majorEastAsia" w:hAnsi="Arial Narrow" w:cs="Arial"/>
      <w:snapToGrid w:val="0"/>
      <w:sz w:val="18"/>
      <w:szCs w:val="22"/>
    </w:rPr>
  </w:style>
  <w:style w:type="paragraph" w:styleId="FootnoteText">
    <w:name w:val="footnote text"/>
    <w:basedOn w:val="Normal"/>
    <w:link w:val="FootnoteTextChar"/>
    <w:uiPriority w:val="99"/>
    <w:semiHidden/>
    <w:unhideWhenUsed/>
    <w:rsid w:val="0083525C"/>
    <w:rPr>
      <w:sz w:val="20"/>
      <w:szCs w:val="20"/>
    </w:rPr>
  </w:style>
  <w:style w:type="character" w:customStyle="1" w:styleId="FootnoteTextChar">
    <w:name w:val="Footnote Text Char"/>
    <w:basedOn w:val="DefaultParagraphFont"/>
    <w:link w:val="FootnoteText"/>
    <w:uiPriority w:val="99"/>
    <w:semiHidden/>
    <w:rsid w:val="0083525C"/>
    <w:rPr>
      <w:rFonts w:ascii="Calibri" w:hAnsi="Calibri" w:cs="Arial"/>
    </w:rPr>
  </w:style>
  <w:style w:type="character" w:styleId="FootnoteReference">
    <w:name w:val="footnote reference"/>
    <w:basedOn w:val="DefaultParagraphFont"/>
    <w:uiPriority w:val="99"/>
    <w:unhideWhenUsed/>
    <w:rsid w:val="0083525C"/>
    <w:rPr>
      <w:vertAlign w:val="superscript"/>
    </w:rPr>
  </w:style>
  <w:style w:type="paragraph" w:customStyle="1" w:styleId="EndNoteBibliographyTitle">
    <w:name w:val="EndNote Bibliography Title"/>
    <w:basedOn w:val="Normal"/>
    <w:link w:val="EndNoteBibliographyTitleChar"/>
    <w:rsid w:val="00F3552D"/>
    <w:pPr>
      <w:jc w:val="center"/>
    </w:pPr>
    <w:rPr>
      <w:rFonts w:cs="Calibri"/>
      <w:noProof/>
    </w:rPr>
  </w:style>
  <w:style w:type="character" w:customStyle="1" w:styleId="ListBulletChar">
    <w:name w:val="List Bullet Char"/>
    <w:basedOn w:val="DefaultParagraphFont"/>
    <w:link w:val="ListBullet"/>
    <w:rsid w:val="00F3552D"/>
    <w:rPr>
      <w:rFonts w:ascii="Calibri" w:hAnsi="Calibri" w:cs="Arial"/>
      <w:sz w:val="24"/>
      <w:szCs w:val="24"/>
    </w:rPr>
  </w:style>
  <w:style w:type="character" w:customStyle="1" w:styleId="EndNoteBibliographyTitleChar">
    <w:name w:val="EndNote Bibliography Title Char"/>
    <w:basedOn w:val="ListBulletChar"/>
    <w:link w:val="EndNoteBibliographyTitle"/>
    <w:rsid w:val="00F3552D"/>
    <w:rPr>
      <w:rFonts w:ascii="Calibri" w:hAnsi="Calibri" w:cs="Calibri"/>
      <w:noProof/>
      <w:sz w:val="24"/>
      <w:szCs w:val="24"/>
    </w:rPr>
  </w:style>
  <w:style w:type="paragraph" w:customStyle="1" w:styleId="EndNoteBibliography">
    <w:name w:val="EndNote Bibliography"/>
    <w:basedOn w:val="Normal"/>
    <w:link w:val="EndNoteBibliographyChar"/>
    <w:rsid w:val="00F3552D"/>
    <w:rPr>
      <w:rFonts w:cs="Calibri"/>
      <w:noProof/>
    </w:rPr>
  </w:style>
  <w:style w:type="character" w:customStyle="1" w:styleId="EndNoteBibliographyChar">
    <w:name w:val="EndNote Bibliography Char"/>
    <w:basedOn w:val="ListBulletChar"/>
    <w:link w:val="EndNoteBibliography"/>
    <w:rsid w:val="00F3552D"/>
    <w:rPr>
      <w:rFonts w:ascii="Calibri" w:hAnsi="Calibri" w:cs="Calibri"/>
      <w:noProof/>
      <w:sz w:val="24"/>
      <w:szCs w:val="24"/>
    </w:rPr>
  </w:style>
  <w:style w:type="paragraph" w:customStyle="1" w:styleId="AscNormal">
    <w:name w:val="Asc Normal"/>
    <w:basedOn w:val="Normal"/>
    <w:link w:val="AscNormalChar"/>
    <w:qFormat/>
    <w:rsid w:val="00C62AF7"/>
    <w:pPr>
      <w:spacing w:after="60"/>
    </w:pPr>
    <w:rPr>
      <w:rFonts w:asciiTheme="minorHAnsi" w:hAnsiTheme="minorHAnsi" w:cs="Times New Roman"/>
      <w:color w:val="262626"/>
      <w:sz w:val="22"/>
      <w:lang w:val="en-US" w:eastAsia="en-US"/>
    </w:rPr>
  </w:style>
  <w:style w:type="character" w:customStyle="1" w:styleId="AscNormalChar">
    <w:name w:val="Asc Normal Char"/>
    <w:link w:val="AscNormal"/>
    <w:locked/>
    <w:rsid w:val="00C62AF7"/>
    <w:rPr>
      <w:rFonts w:asciiTheme="minorHAnsi" w:hAnsiTheme="minorHAnsi"/>
      <w:color w:val="262626"/>
      <w:sz w:val="22"/>
      <w:szCs w:val="24"/>
      <w:lang w:val="en-US" w:eastAsia="en-US"/>
    </w:rPr>
  </w:style>
  <w:style w:type="character" w:styleId="UnresolvedMention">
    <w:name w:val="Unresolved Mention"/>
    <w:basedOn w:val="DefaultParagraphFont"/>
    <w:uiPriority w:val="99"/>
    <w:unhideWhenUsed/>
    <w:rsid w:val="0076585B"/>
    <w:rPr>
      <w:color w:val="605E5C"/>
      <w:shd w:val="clear" w:color="auto" w:fill="E1DFDD"/>
    </w:rPr>
  </w:style>
  <w:style w:type="character" w:styleId="Strong">
    <w:name w:val="Strong"/>
    <w:basedOn w:val="DefaultParagraphFont"/>
    <w:uiPriority w:val="22"/>
    <w:qFormat/>
    <w:rsid w:val="006B2ADB"/>
    <w:rPr>
      <w:b/>
      <w:bCs/>
    </w:rPr>
  </w:style>
  <w:style w:type="table" w:customStyle="1" w:styleId="HTATableshaded">
    <w:name w:val="HTA Table shaded"/>
    <w:basedOn w:val="TableNormal"/>
    <w:rsid w:val="007F6D1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ListNos12">
    <w:name w:val="ListNos+12"/>
    <w:basedOn w:val="Normal"/>
    <w:next w:val="BodyText"/>
    <w:uiPriority w:val="2"/>
    <w:qFormat/>
    <w:rsid w:val="00973F7A"/>
    <w:pPr>
      <w:keepLines/>
      <w:numPr>
        <w:numId w:val="6"/>
      </w:numPr>
      <w:spacing w:after="240" w:line="288" w:lineRule="auto"/>
      <w:jc w:val="left"/>
    </w:pPr>
    <w:rPr>
      <w:rFonts w:ascii="Montserrat" w:eastAsia="Calibri" w:hAnsi="Montserrat" w:cs="Calibri"/>
      <w:sz w:val="18"/>
      <w:szCs w:val="20"/>
      <w:lang w:eastAsia="en-US"/>
    </w:rPr>
  </w:style>
  <w:style w:type="table" w:customStyle="1" w:styleId="HTATableshaded1">
    <w:name w:val="HTA Table shaded1"/>
    <w:basedOn w:val="TableNormal"/>
    <w:rsid w:val="00A9488A"/>
    <w:pPr>
      <w:spacing w:before="40" w:after="20"/>
    </w:pPr>
    <w:rPr>
      <w:rFonts w:ascii="Calibri" w:hAnsi="Calibri"/>
      <w:sz w:val="18"/>
      <w:szCs w:val="1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ealthConsult1">
    <w:name w:val="HealthConsult1"/>
    <w:basedOn w:val="TableNormal"/>
    <w:next w:val="TableGrid"/>
    <w:uiPriority w:val="39"/>
    <w:rsid w:val="001460AB"/>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E7E6E6"/>
      </w:tcPr>
    </w:tblStylePr>
  </w:style>
  <w:style w:type="table" w:customStyle="1" w:styleId="ASDTable1">
    <w:name w:val="ASD Table1"/>
    <w:basedOn w:val="TableNormal"/>
    <w:next w:val="TableGrid"/>
    <w:uiPriority w:val="39"/>
    <w:rsid w:val="0016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qFormat/>
    <w:rsid w:val="0016685A"/>
    <w:pPr>
      <w:keepNext/>
      <w:keepLines/>
      <w:suppressLineNumbers/>
      <w:spacing w:after="80"/>
      <w:textboxTightWrap w:val="allLines"/>
    </w:pPr>
    <w:rPr>
      <w:rFonts w:ascii="Arial Narrow" w:hAnsi="Arial Narrow" w:cs="Arial"/>
      <w:sz w:val="22"/>
      <w:szCs w:val="24"/>
      <w:lang w:eastAsia="en-GB"/>
    </w:rPr>
  </w:style>
  <w:style w:type="paragraph" w:customStyle="1" w:styleId="PBACTblFignote">
    <w:name w:val="PBAC Tbl/Fig note"/>
    <w:qFormat/>
    <w:rsid w:val="0016685A"/>
    <w:pPr>
      <w:spacing w:after="360"/>
      <w:contextualSpacing/>
      <w:textboxTightWrap w:val="allLines"/>
    </w:pPr>
    <w:rPr>
      <w:rFonts w:ascii="Arial Narrow" w:hAnsi="Arial Narrow" w:cs="Arial"/>
      <w:sz w:val="16"/>
      <w:szCs w:val="24"/>
      <w:lang w:eastAsia="en-GB"/>
    </w:rPr>
  </w:style>
  <w:style w:type="character" w:customStyle="1" w:styleId="normaltextrun">
    <w:name w:val="normaltextrun"/>
    <w:basedOn w:val="DefaultParagraphFont"/>
    <w:rsid w:val="00CE4808"/>
  </w:style>
  <w:style w:type="paragraph" w:customStyle="1" w:styleId="TableFigNotes18">
    <w:name w:val="TableFigNotes+18"/>
    <w:basedOn w:val="ListParagraph"/>
    <w:next w:val="BodyText"/>
    <w:link w:val="TableFigNotes18Char"/>
    <w:uiPriority w:val="4"/>
    <w:qFormat/>
    <w:rsid w:val="00CE4808"/>
    <w:pPr>
      <w:widowControl w:val="0"/>
      <w:numPr>
        <w:numId w:val="0"/>
      </w:numPr>
      <w:spacing w:before="60" w:after="360"/>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CE4808"/>
    <w:rPr>
      <w:rFonts w:asciiTheme="minorHAnsi" w:eastAsia="Calibri" w:hAnsiTheme="minorHAnsi" w:cs="Calibri"/>
      <w:sz w:val="16"/>
      <w:lang w:eastAsia="en-US"/>
    </w:rPr>
  </w:style>
  <w:style w:type="paragraph" w:customStyle="1" w:styleId="Bullet12">
    <w:name w:val="Bullet+12"/>
    <w:basedOn w:val="Normal"/>
    <w:next w:val="BodyText"/>
    <w:uiPriority w:val="2"/>
    <w:qFormat/>
    <w:rsid w:val="00594F3A"/>
    <w:pPr>
      <w:keepLines/>
      <w:numPr>
        <w:numId w:val="9"/>
      </w:numPr>
      <w:tabs>
        <w:tab w:val="left" w:pos="765"/>
      </w:tabs>
      <w:spacing w:after="120" w:line="288" w:lineRule="auto"/>
      <w:jc w:val="left"/>
    </w:pPr>
    <w:rPr>
      <w:rFonts w:ascii="Arial" w:eastAsia="Calibri" w:hAnsi="Arial" w:cs="Calibri"/>
      <w:sz w:val="22"/>
      <w:szCs w:val="20"/>
      <w:lang w:eastAsia="en-US"/>
    </w:rPr>
  </w:style>
  <w:style w:type="character" w:customStyle="1" w:styleId="eop">
    <w:name w:val="eop"/>
    <w:basedOn w:val="DefaultParagraphFont"/>
    <w:rsid w:val="00E6206D"/>
  </w:style>
  <w:style w:type="paragraph" w:customStyle="1" w:styleId="paragraph">
    <w:name w:val="paragraph"/>
    <w:basedOn w:val="Normal"/>
    <w:rsid w:val="00E6206D"/>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9F14F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F14FF"/>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EE27EC"/>
    <w:rPr>
      <w:color w:val="2B579A"/>
      <w:shd w:val="clear" w:color="auto" w:fill="E1DFDD"/>
    </w:rPr>
  </w:style>
  <w:style w:type="paragraph" w:customStyle="1" w:styleId="pf1">
    <w:name w:val="pf1"/>
    <w:basedOn w:val="Normal"/>
    <w:rsid w:val="002B518A"/>
    <w:pPr>
      <w:spacing w:before="100" w:beforeAutospacing="1" w:after="100" w:afterAutospacing="1"/>
      <w:jc w:val="left"/>
    </w:pPr>
    <w:rPr>
      <w:rFonts w:ascii="Times New Roman" w:hAnsi="Times New Roman" w:cs="Times New Roman"/>
    </w:rPr>
  </w:style>
  <w:style w:type="paragraph" w:customStyle="1" w:styleId="pf0">
    <w:name w:val="pf0"/>
    <w:basedOn w:val="Normal"/>
    <w:rsid w:val="002B518A"/>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2B51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2462735">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6821267">
      <w:bodyDiv w:val="1"/>
      <w:marLeft w:val="0"/>
      <w:marRight w:val="0"/>
      <w:marTop w:val="0"/>
      <w:marBottom w:val="0"/>
      <w:divBdr>
        <w:top w:val="none" w:sz="0" w:space="0" w:color="auto"/>
        <w:left w:val="none" w:sz="0" w:space="0" w:color="auto"/>
        <w:bottom w:val="none" w:sz="0" w:space="0" w:color="auto"/>
        <w:right w:val="none" w:sz="0" w:space="0" w:color="auto"/>
      </w:divBdr>
    </w:div>
    <w:div w:id="183592436">
      <w:bodyDiv w:val="1"/>
      <w:marLeft w:val="0"/>
      <w:marRight w:val="0"/>
      <w:marTop w:val="0"/>
      <w:marBottom w:val="0"/>
      <w:divBdr>
        <w:top w:val="none" w:sz="0" w:space="0" w:color="auto"/>
        <w:left w:val="none" w:sz="0" w:space="0" w:color="auto"/>
        <w:bottom w:val="none" w:sz="0" w:space="0" w:color="auto"/>
        <w:right w:val="none" w:sz="0" w:space="0" w:color="auto"/>
      </w:divBdr>
    </w:div>
    <w:div w:id="194537119">
      <w:bodyDiv w:val="1"/>
      <w:marLeft w:val="0"/>
      <w:marRight w:val="0"/>
      <w:marTop w:val="0"/>
      <w:marBottom w:val="0"/>
      <w:divBdr>
        <w:top w:val="none" w:sz="0" w:space="0" w:color="auto"/>
        <w:left w:val="none" w:sz="0" w:space="0" w:color="auto"/>
        <w:bottom w:val="none" w:sz="0" w:space="0" w:color="auto"/>
        <w:right w:val="none" w:sz="0" w:space="0" w:color="auto"/>
      </w:divBdr>
    </w:div>
    <w:div w:id="205413853">
      <w:bodyDiv w:val="1"/>
      <w:marLeft w:val="0"/>
      <w:marRight w:val="0"/>
      <w:marTop w:val="0"/>
      <w:marBottom w:val="0"/>
      <w:divBdr>
        <w:top w:val="none" w:sz="0" w:space="0" w:color="auto"/>
        <w:left w:val="none" w:sz="0" w:space="0" w:color="auto"/>
        <w:bottom w:val="none" w:sz="0" w:space="0" w:color="auto"/>
        <w:right w:val="none" w:sz="0" w:space="0" w:color="auto"/>
      </w:divBdr>
    </w:div>
    <w:div w:id="22402620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7911763">
      <w:bodyDiv w:val="1"/>
      <w:marLeft w:val="0"/>
      <w:marRight w:val="0"/>
      <w:marTop w:val="0"/>
      <w:marBottom w:val="0"/>
      <w:divBdr>
        <w:top w:val="none" w:sz="0" w:space="0" w:color="auto"/>
        <w:left w:val="none" w:sz="0" w:space="0" w:color="auto"/>
        <w:bottom w:val="none" w:sz="0" w:space="0" w:color="auto"/>
        <w:right w:val="none" w:sz="0" w:space="0" w:color="auto"/>
      </w:divBdr>
    </w:div>
    <w:div w:id="479882773">
      <w:bodyDiv w:val="1"/>
      <w:marLeft w:val="0"/>
      <w:marRight w:val="0"/>
      <w:marTop w:val="0"/>
      <w:marBottom w:val="0"/>
      <w:divBdr>
        <w:top w:val="none" w:sz="0" w:space="0" w:color="auto"/>
        <w:left w:val="none" w:sz="0" w:space="0" w:color="auto"/>
        <w:bottom w:val="none" w:sz="0" w:space="0" w:color="auto"/>
        <w:right w:val="none" w:sz="0" w:space="0" w:color="auto"/>
      </w:divBdr>
    </w:div>
    <w:div w:id="524830112">
      <w:bodyDiv w:val="1"/>
      <w:marLeft w:val="0"/>
      <w:marRight w:val="0"/>
      <w:marTop w:val="0"/>
      <w:marBottom w:val="0"/>
      <w:divBdr>
        <w:top w:val="none" w:sz="0" w:space="0" w:color="auto"/>
        <w:left w:val="none" w:sz="0" w:space="0" w:color="auto"/>
        <w:bottom w:val="none" w:sz="0" w:space="0" w:color="auto"/>
        <w:right w:val="none" w:sz="0" w:space="0" w:color="auto"/>
      </w:divBdr>
    </w:div>
    <w:div w:id="617681108">
      <w:bodyDiv w:val="1"/>
      <w:marLeft w:val="0"/>
      <w:marRight w:val="0"/>
      <w:marTop w:val="0"/>
      <w:marBottom w:val="0"/>
      <w:divBdr>
        <w:top w:val="none" w:sz="0" w:space="0" w:color="auto"/>
        <w:left w:val="none" w:sz="0" w:space="0" w:color="auto"/>
        <w:bottom w:val="none" w:sz="0" w:space="0" w:color="auto"/>
        <w:right w:val="none" w:sz="0" w:space="0" w:color="auto"/>
      </w:divBdr>
    </w:div>
    <w:div w:id="677929485">
      <w:bodyDiv w:val="1"/>
      <w:marLeft w:val="0"/>
      <w:marRight w:val="0"/>
      <w:marTop w:val="0"/>
      <w:marBottom w:val="0"/>
      <w:divBdr>
        <w:top w:val="none" w:sz="0" w:space="0" w:color="auto"/>
        <w:left w:val="none" w:sz="0" w:space="0" w:color="auto"/>
        <w:bottom w:val="none" w:sz="0" w:space="0" w:color="auto"/>
        <w:right w:val="none" w:sz="0" w:space="0" w:color="auto"/>
      </w:divBdr>
    </w:div>
    <w:div w:id="783117159">
      <w:bodyDiv w:val="1"/>
      <w:marLeft w:val="0"/>
      <w:marRight w:val="0"/>
      <w:marTop w:val="0"/>
      <w:marBottom w:val="0"/>
      <w:divBdr>
        <w:top w:val="none" w:sz="0" w:space="0" w:color="auto"/>
        <w:left w:val="none" w:sz="0" w:space="0" w:color="auto"/>
        <w:bottom w:val="none" w:sz="0" w:space="0" w:color="auto"/>
        <w:right w:val="none" w:sz="0" w:space="0" w:color="auto"/>
      </w:divBdr>
    </w:div>
    <w:div w:id="788738464">
      <w:bodyDiv w:val="1"/>
      <w:marLeft w:val="0"/>
      <w:marRight w:val="0"/>
      <w:marTop w:val="0"/>
      <w:marBottom w:val="0"/>
      <w:divBdr>
        <w:top w:val="none" w:sz="0" w:space="0" w:color="auto"/>
        <w:left w:val="none" w:sz="0" w:space="0" w:color="auto"/>
        <w:bottom w:val="none" w:sz="0" w:space="0" w:color="auto"/>
        <w:right w:val="none" w:sz="0" w:space="0" w:color="auto"/>
      </w:divBdr>
    </w:div>
    <w:div w:id="80716388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1048393">
      <w:bodyDiv w:val="1"/>
      <w:marLeft w:val="0"/>
      <w:marRight w:val="0"/>
      <w:marTop w:val="0"/>
      <w:marBottom w:val="0"/>
      <w:divBdr>
        <w:top w:val="none" w:sz="0" w:space="0" w:color="auto"/>
        <w:left w:val="none" w:sz="0" w:space="0" w:color="auto"/>
        <w:bottom w:val="none" w:sz="0" w:space="0" w:color="auto"/>
        <w:right w:val="none" w:sz="0" w:space="0" w:color="auto"/>
      </w:divBdr>
    </w:div>
    <w:div w:id="841628103">
      <w:bodyDiv w:val="1"/>
      <w:marLeft w:val="0"/>
      <w:marRight w:val="0"/>
      <w:marTop w:val="0"/>
      <w:marBottom w:val="0"/>
      <w:divBdr>
        <w:top w:val="none" w:sz="0" w:space="0" w:color="auto"/>
        <w:left w:val="none" w:sz="0" w:space="0" w:color="auto"/>
        <w:bottom w:val="none" w:sz="0" w:space="0" w:color="auto"/>
        <w:right w:val="none" w:sz="0" w:space="0" w:color="auto"/>
      </w:divBdr>
    </w:div>
    <w:div w:id="845365579">
      <w:bodyDiv w:val="1"/>
      <w:marLeft w:val="0"/>
      <w:marRight w:val="0"/>
      <w:marTop w:val="0"/>
      <w:marBottom w:val="0"/>
      <w:divBdr>
        <w:top w:val="none" w:sz="0" w:space="0" w:color="auto"/>
        <w:left w:val="none" w:sz="0" w:space="0" w:color="auto"/>
        <w:bottom w:val="none" w:sz="0" w:space="0" w:color="auto"/>
        <w:right w:val="none" w:sz="0" w:space="0" w:color="auto"/>
      </w:divBdr>
    </w:div>
    <w:div w:id="1026171348">
      <w:bodyDiv w:val="1"/>
      <w:marLeft w:val="0"/>
      <w:marRight w:val="0"/>
      <w:marTop w:val="0"/>
      <w:marBottom w:val="0"/>
      <w:divBdr>
        <w:top w:val="none" w:sz="0" w:space="0" w:color="auto"/>
        <w:left w:val="none" w:sz="0" w:space="0" w:color="auto"/>
        <w:bottom w:val="none" w:sz="0" w:space="0" w:color="auto"/>
        <w:right w:val="none" w:sz="0" w:space="0" w:color="auto"/>
      </w:divBdr>
    </w:div>
    <w:div w:id="1095630998">
      <w:bodyDiv w:val="1"/>
      <w:marLeft w:val="0"/>
      <w:marRight w:val="0"/>
      <w:marTop w:val="0"/>
      <w:marBottom w:val="0"/>
      <w:divBdr>
        <w:top w:val="none" w:sz="0" w:space="0" w:color="auto"/>
        <w:left w:val="none" w:sz="0" w:space="0" w:color="auto"/>
        <w:bottom w:val="none" w:sz="0" w:space="0" w:color="auto"/>
        <w:right w:val="none" w:sz="0" w:space="0" w:color="auto"/>
      </w:divBdr>
    </w:div>
    <w:div w:id="1102845024">
      <w:bodyDiv w:val="1"/>
      <w:marLeft w:val="0"/>
      <w:marRight w:val="0"/>
      <w:marTop w:val="0"/>
      <w:marBottom w:val="0"/>
      <w:divBdr>
        <w:top w:val="none" w:sz="0" w:space="0" w:color="auto"/>
        <w:left w:val="none" w:sz="0" w:space="0" w:color="auto"/>
        <w:bottom w:val="none" w:sz="0" w:space="0" w:color="auto"/>
        <w:right w:val="none" w:sz="0" w:space="0" w:color="auto"/>
      </w:divBdr>
    </w:div>
    <w:div w:id="1103888528">
      <w:bodyDiv w:val="1"/>
      <w:marLeft w:val="0"/>
      <w:marRight w:val="0"/>
      <w:marTop w:val="0"/>
      <w:marBottom w:val="0"/>
      <w:divBdr>
        <w:top w:val="none" w:sz="0" w:space="0" w:color="auto"/>
        <w:left w:val="none" w:sz="0" w:space="0" w:color="auto"/>
        <w:bottom w:val="none" w:sz="0" w:space="0" w:color="auto"/>
        <w:right w:val="none" w:sz="0" w:space="0" w:color="auto"/>
      </w:divBdr>
    </w:div>
    <w:div w:id="1115171825">
      <w:bodyDiv w:val="1"/>
      <w:marLeft w:val="0"/>
      <w:marRight w:val="0"/>
      <w:marTop w:val="0"/>
      <w:marBottom w:val="0"/>
      <w:divBdr>
        <w:top w:val="none" w:sz="0" w:space="0" w:color="auto"/>
        <w:left w:val="none" w:sz="0" w:space="0" w:color="auto"/>
        <w:bottom w:val="none" w:sz="0" w:space="0" w:color="auto"/>
        <w:right w:val="none" w:sz="0" w:space="0" w:color="auto"/>
      </w:divBdr>
    </w:div>
    <w:div w:id="113175299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3468687">
      <w:bodyDiv w:val="1"/>
      <w:marLeft w:val="0"/>
      <w:marRight w:val="0"/>
      <w:marTop w:val="0"/>
      <w:marBottom w:val="0"/>
      <w:divBdr>
        <w:top w:val="none" w:sz="0" w:space="0" w:color="auto"/>
        <w:left w:val="none" w:sz="0" w:space="0" w:color="auto"/>
        <w:bottom w:val="none" w:sz="0" w:space="0" w:color="auto"/>
        <w:right w:val="none" w:sz="0" w:space="0" w:color="auto"/>
      </w:divBdr>
    </w:div>
    <w:div w:id="1216510487">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2102395">
      <w:bodyDiv w:val="1"/>
      <w:marLeft w:val="0"/>
      <w:marRight w:val="0"/>
      <w:marTop w:val="0"/>
      <w:marBottom w:val="0"/>
      <w:divBdr>
        <w:top w:val="none" w:sz="0" w:space="0" w:color="auto"/>
        <w:left w:val="none" w:sz="0" w:space="0" w:color="auto"/>
        <w:bottom w:val="none" w:sz="0" w:space="0" w:color="auto"/>
        <w:right w:val="none" w:sz="0" w:space="0" w:color="auto"/>
      </w:divBdr>
    </w:div>
    <w:div w:id="1397045141">
      <w:bodyDiv w:val="1"/>
      <w:marLeft w:val="0"/>
      <w:marRight w:val="0"/>
      <w:marTop w:val="0"/>
      <w:marBottom w:val="0"/>
      <w:divBdr>
        <w:top w:val="none" w:sz="0" w:space="0" w:color="auto"/>
        <w:left w:val="none" w:sz="0" w:space="0" w:color="auto"/>
        <w:bottom w:val="none" w:sz="0" w:space="0" w:color="auto"/>
        <w:right w:val="none" w:sz="0" w:space="0" w:color="auto"/>
      </w:divBdr>
    </w:div>
    <w:div w:id="1404328712">
      <w:bodyDiv w:val="1"/>
      <w:marLeft w:val="0"/>
      <w:marRight w:val="0"/>
      <w:marTop w:val="0"/>
      <w:marBottom w:val="0"/>
      <w:divBdr>
        <w:top w:val="none" w:sz="0" w:space="0" w:color="auto"/>
        <w:left w:val="none" w:sz="0" w:space="0" w:color="auto"/>
        <w:bottom w:val="none" w:sz="0" w:space="0" w:color="auto"/>
        <w:right w:val="none" w:sz="0" w:space="0" w:color="auto"/>
      </w:divBdr>
    </w:div>
    <w:div w:id="1464618905">
      <w:bodyDiv w:val="1"/>
      <w:marLeft w:val="0"/>
      <w:marRight w:val="0"/>
      <w:marTop w:val="0"/>
      <w:marBottom w:val="0"/>
      <w:divBdr>
        <w:top w:val="none" w:sz="0" w:space="0" w:color="auto"/>
        <w:left w:val="none" w:sz="0" w:space="0" w:color="auto"/>
        <w:bottom w:val="none" w:sz="0" w:space="0" w:color="auto"/>
        <w:right w:val="none" w:sz="0" w:space="0" w:color="auto"/>
      </w:divBdr>
    </w:div>
    <w:div w:id="1479961119">
      <w:bodyDiv w:val="1"/>
      <w:marLeft w:val="0"/>
      <w:marRight w:val="0"/>
      <w:marTop w:val="0"/>
      <w:marBottom w:val="0"/>
      <w:divBdr>
        <w:top w:val="none" w:sz="0" w:space="0" w:color="auto"/>
        <w:left w:val="none" w:sz="0" w:space="0" w:color="auto"/>
        <w:bottom w:val="none" w:sz="0" w:space="0" w:color="auto"/>
        <w:right w:val="none" w:sz="0" w:space="0" w:color="auto"/>
      </w:divBdr>
    </w:div>
    <w:div w:id="1492603184">
      <w:bodyDiv w:val="1"/>
      <w:marLeft w:val="0"/>
      <w:marRight w:val="0"/>
      <w:marTop w:val="0"/>
      <w:marBottom w:val="0"/>
      <w:divBdr>
        <w:top w:val="none" w:sz="0" w:space="0" w:color="auto"/>
        <w:left w:val="none" w:sz="0" w:space="0" w:color="auto"/>
        <w:bottom w:val="none" w:sz="0" w:space="0" w:color="auto"/>
        <w:right w:val="none" w:sz="0" w:space="0" w:color="auto"/>
      </w:divBdr>
    </w:div>
    <w:div w:id="1519807681">
      <w:bodyDiv w:val="1"/>
      <w:marLeft w:val="0"/>
      <w:marRight w:val="0"/>
      <w:marTop w:val="0"/>
      <w:marBottom w:val="0"/>
      <w:divBdr>
        <w:top w:val="none" w:sz="0" w:space="0" w:color="auto"/>
        <w:left w:val="none" w:sz="0" w:space="0" w:color="auto"/>
        <w:bottom w:val="none" w:sz="0" w:space="0" w:color="auto"/>
        <w:right w:val="none" w:sz="0" w:space="0" w:color="auto"/>
      </w:divBdr>
    </w:div>
    <w:div w:id="1556432054">
      <w:bodyDiv w:val="1"/>
      <w:marLeft w:val="0"/>
      <w:marRight w:val="0"/>
      <w:marTop w:val="0"/>
      <w:marBottom w:val="0"/>
      <w:divBdr>
        <w:top w:val="none" w:sz="0" w:space="0" w:color="auto"/>
        <w:left w:val="none" w:sz="0" w:space="0" w:color="auto"/>
        <w:bottom w:val="none" w:sz="0" w:space="0" w:color="auto"/>
        <w:right w:val="none" w:sz="0" w:space="0" w:color="auto"/>
      </w:divBdr>
    </w:div>
    <w:div w:id="1561478766">
      <w:bodyDiv w:val="1"/>
      <w:marLeft w:val="0"/>
      <w:marRight w:val="0"/>
      <w:marTop w:val="0"/>
      <w:marBottom w:val="0"/>
      <w:divBdr>
        <w:top w:val="none" w:sz="0" w:space="0" w:color="auto"/>
        <w:left w:val="none" w:sz="0" w:space="0" w:color="auto"/>
        <w:bottom w:val="none" w:sz="0" w:space="0" w:color="auto"/>
        <w:right w:val="none" w:sz="0" w:space="0" w:color="auto"/>
      </w:divBdr>
    </w:div>
    <w:div w:id="1584299269">
      <w:bodyDiv w:val="1"/>
      <w:marLeft w:val="0"/>
      <w:marRight w:val="0"/>
      <w:marTop w:val="0"/>
      <w:marBottom w:val="0"/>
      <w:divBdr>
        <w:top w:val="none" w:sz="0" w:space="0" w:color="auto"/>
        <w:left w:val="none" w:sz="0" w:space="0" w:color="auto"/>
        <w:bottom w:val="none" w:sz="0" w:space="0" w:color="auto"/>
        <w:right w:val="none" w:sz="0" w:space="0" w:color="auto"/>
      </w:divBdr>
    </w:div>
    <w:div w:id="1593976037">
      <w:bodyDiv w:val="1"/>
      <w:marLeft w:val="0"/>
      <w:marRight w:val="0"/>
      <w:marTop w:val="0"/>
      <w:marBottom w:val="0"/>
      <w:divBdr>
        <w:top w:val="none" w:sz="0" w:space="0" w:color="auto"/>
        <w:left w:val="none" w:sz="0" w:space="0" w:color="auto"/>
        <w:bottom w:val="none" w:sz="0" w:space="0" w:color="auto"/>
        <w:right w:val="none" w:sz="0" w:space="0" w:color="auto"/>
      </w:divBdr>
    </w:div>
    <w:div w:id="1681741377">
      <w:bodyDiv w:val="1"/>
      <w:marLeft w:val="0"/>
      <w:marRight w:val="0"/>
      <w:marTop w:val="0"/>
      <w:marBottom w:val="0"/>
      <w:divBdr>
        <w:top w:val="none" w:sz="0" w:space="0" w:color="auto"/>
        <w:left w:val="none" w:sz="0" w:space="0" w:color="auto"/>
        <w:bottom w:val="none" w:sz="0" w:space="0" w:color="auto"/>
        <w:right w:val="none" w:sz="0" w:space="0" w:color="auto"/>
      </w:divBdr>
    </w:div>
    <w:div w:id="1709526728">
      <w:bodyDiv w:val="1"/>
      <w:marLeft w:val="0"/>
      <w:marRight w:val="0"/>
      <w:marTop w:val="0"/>
      <w:marBottom w:val="0"/>
      <w:divBdr>
        <w:top w:val="none" w:sz="0" w:space="0" w:color="auto"/>
        <w:left w:val="none" w:sz="0" w:space="0" w:color="auto"/>
        <w:bottom w:val="none" w:sz="0" w:space="0" w:color="auto"/>
        <w:right w:val="none" w:sz="0" w:space="0" w:color="auto"/>
      </w:divBdr>
    </w:div>
    <w:div w:id="1728840608">
      <w:bodyDiv w:val="1"/>
      <w:marLeft w:val="0"/>
      <w:marRight w:val="0"/>
      <w:marTop w:val="0"/>
      <w:marBottom w:val="0"/>
      <w:divBdr>
        <w:top w:val="none" w:sz="0" w:space="0" w:color="auto"/>
        <w:left w:val="none" w:sz="0" w:space="0" w:color="auto"/>
        <w:bottom w:val="none" w:sz="0" w:space="0" w:color="auto"/>
        <w:right w:val="none" w:sz="0" w:space="0" w:color="auto"/>
      </w:divBdr>
    </w:div>
    <w:div w:id="1752267297">
      <w:bodyDiv w:val="1"/>
      <w:marLeft w:val="0"/>
      <w:marRight w:val="0"/>
      <w:marTop w:val="0"/>
      <w:marBottom w:val="0"/>
      <w:divBdr>
        <w:top w:val="none" w:sz="0" w:space="0" w:color="auto"/>
        <w:left w:val="none" w:sz="0" w:space="0" w:color="auto"/>
        <w:bottom w:val="none" w:sz="0" w:space="0" w:color="auto"/>
        <w:right w:val="none" w:sz="0" w:space="0" w:color="auto"/>
      </w:divBdr>
    </w:div>
    <w:div w:id="1785462829">
      <w:bodyDiv w:val="1"/>
      <w:marLeft w:val="0"/>
      <w:marRight w:val="0"/>
      <w:marTop w:val="0"/>
      <w:marBottom w:val="0"/>
      <w:divBdr>
        <w:top w:val="none" w:sz="0" w:space="0" w:color="auto"/>
        <w:left w:val="none" w:sz="0" w:space="0" w:color="auto"/>
        <w:bottom w:val="none" w:sz="0" w:space="0" w:color="auto"/>
        <w:right w:val="none" w:sz="0" w:space="0" w:color="auto"/>
      </w:divBdr>
    </w:div>
    <w:div w:id="1788088033">
      <w:bodyDiv w:val="1"/>
      <w:marLeft w:val="0"/>
      <w:marRight w:val="0"/>
      <w:marTop w:val="0"/>
      <w:marBottom w:val="0"/>
      <w:divBdr>
        <w:top w:val="none" w:sz="0" w:space="0" w:color="auto"/>
        <w:left w:val="none" w:sz="0" w:space="0" w:color="auto"/>
        <w:bottom w:val="none" w:sz="0" w:space="0" w:color="auto"/>
        <w:right w:val="none" w:sz="0" w:space="0" w:color="auto"/>
      </w:divBdr>
    </w:div>
    <w:div w:id="1794254318">
      <w:bodyDiv w:val="1"/>
      <w:marLeft w:val="0"/>
      <w:marRight w:val="0"/>
      <w:marTop w:val="0"/>
      <w:marBottom w:val="0"/>
      <w:divBdr>
        <w:top w:val="none" w:sz="0" w:space="0" w:color="auto"/>
        <w:left w:val="none" w:sz="0" w:space="0" w:color="auto"/>
        <w:bottom w:val="none" w:sz="0" w:space="0" w:color="auto"/>
        <w:right w:val="none" w:sz="0" w:space="0" w:color="auto"/>
      </w:divBdr>
    </w:div>
    <w:div w:id="1845977639">
      <w:bodyDiv w:val="1"/>
      <w:marLeft w:val="0"/>
      <w:marRight w:val="0"/>
      <w:marTop w:val="0"/>
      <w:marBottom w:val="0"/>
      <w:divBdr>
        <w:top w:val="none" w:sz="0" w:space="0" w:color="auto"/>
        <w:left w:val="none" w:sz="0" w:space="0" w:color="auto"/>
        <w:bottom w:val="none" w:sz="0" w:space="0" w:color="auto"/>
        <w:right w:val="none" w:sz="0" w:space="0" w:color="auto"/>
      </w:divBdr>
    </w:div>
    <w:div w:id="19029063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1305184">
      <w:bodyDiv w:val="1"/>
      <w:marLeft w:val="0"/>
      <w:marRight w:val="0"/>
      <w:marTop w:val="0"/>
      <w:marBottom w:val="0"/>
      <w:divBdr>
        <w:top w:val="none" w:sz="0" w:space="0" w:color="auto"/>
        <w:left w:val="none" w:sz="0" w:space="0" w:color="auto"/>
        <w:bottom w:val="none" w:sz="0" w:space="0" w:color="auto"/>
        <w:right w:val="none" w:sz="0" w:space="0" w:color="auto"/>
      </w:divBdr>
    </w:div>
    <w:div w:id="1985773031">
      <w:bodyDiv w:val="1"/>
      <w:marLeft w:val="0"/>
      <w:marRight w:val="0"/>
      <w:marTop w:val="0"/>
      <w:marBottom w:val="0"/>
      <w:divBdr>
        <w:top w:val="none" w:sz="0" w:space="0" w:color="auto"/>
        <w:left w:val="none" w:sz="0" w:space="0" w:color="auto"/>
        <w:bottom w:val="none" w:sz="0" w:space="0" w:color="auto"/>
        <w:right w:val="none" w:sz="0" w:space="0" w:color="auto"/>
      </w:divBdr>
    </w:div>
    <w:div w:id="1989354510">
      <w:bodyDiv w:val="1"/>
      <w:marLeft w:val="0"/>
      <w:marRight w:val="0"/>
      <w:marTop w:val="0"/>
      <w:marBottom w:val="0"/>
      <w:divBdr>
        <w:top w:val="none" w:sz="0" w:space="0" w:color="auto"/>
        <w:left w:val="none" w:sz="0" w:space="0" w:color="auto"/>
        <w:bottom w:val="none" w:sz="0" w:space="0" w:color="auto"/>
        <w:right w:val="none" w:sz="0" w:space="0" w:color="auto"/>
      </w:divBdr>
    </w:div>
    <w:div w:id="20784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dustry/listing/elements/pbac-meetings/agenda/pdf/2025/March-2025-PBAC-Meeting.pdf" TargetMode="External"/><Relationship Id="rId2" Type="http://schemas.openxmlformats.org/officeDocument/2006/relationships/hyperlink" Target="https://www.pbs.gov.au/industry/listing/elements/pbac-meetings/psd/2024-11/files/tislelizumab-psd-nov-2024.pdf" TargetMode="External"/><Relationship Id="rId1" Type="http://schemas.openxmlformats.org/officeDocument/2006/relationships/hyperlink" Target="https://www.tga.gov.au/resources/artg/343262" TargetMode="External"/><Relationship Id="rId4" Type="http://schemas.openxmlformats.org/officeDocument/2006/relationships/hyperlink" Target="https://doi.org/10.1093/ije/dyy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58390CAB-BBDC-447E-958C-A02BA3BFF370}"/>
</file>

<file path=customXml/itemProps3.xml><?xml version="1.0" encoding="utf-8"?>
<ds:datastoreItem xmlns:ds="http://schemas.openxmlformats.org/officeDocument/2006/customXml" ds:itemID="{0325F659-7AE6-485A-8A54-018FCFE980AB}"/>
</file>

<file path=customXml/itemProps4.xml><?xml version="1.0" encoding="utf-8"?>
<ds:datastoreItem xmlns:ds="http://schemas.openxmlformats.org/officeDocument/2006/customXml" ds:itemID="{3084F4D5-C95C-493E-B9BA-C226A857DBAA}"/>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41</Pages>
  <Words>16014</Words>
  <Characters>91283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107083</CharactersWithSpaces>
  <SharedDoc>false</SharedDoc>
  <HLinks>
    <vt:vector size="24" baseType="variant">
      <vt:variant>
        <vt:i4>2424953</vt:i4>
      </vt:variant>
      <vt:variant>
        <vt:i4>3</vt:i4>
      </vt:variant>
      <vt:variant>
        <vt:i4>0</vt:i4>
      </vt:variant>
      <vt:variant>
        <vt:i4>5</vt:i4>
      </vt:variant>
      <vt:variant>
        <vt:lpwstr>https://doi.org/10.1093/ije/dyy013</vt:lpwstr>
      </vt:variant>
      <vt:variant>
        <vt:lpwstr/>
      </vt:variant>
      <vt:variant>
        <vt:i4>6225947</vt:i4>
      </vt:variant>
      <vt:variant>
        <vt:i4>0</vt:i4>
      </vt:variant>
      <vt:variant>
        <vt:i4>0</vt:i4>
      </vt:variant>
      <vt:variant>
        <vt:i4>5</vt:i4>
      </vt:variant>
      <vt:variant>
        <vt:lpwstr>https://www.tga.gov.au/resources/artg/343262</vt:lpwstr>
      </vt:variant>
      <vt:variant>
        <vt:lpwstr/>
      </vt:variant>
      <vt:variant>
        <vt:i4>6553688</vt:i4>
      </vt:variant>
      <vt:variant>
        <vt:i4>3</vt:i4>
      </vt:variant>
      <vt:variant>
        <vt:i4>0</vt:i4>
      </vt:variant>
      <vt:variant>
        <vt:i4>5</vt:i4>
      </vt:variant>
      <vt:variant>
        <vt:lpwstr>mailto:Soumya.Sudarshan@health.gov.au</vt:lpwstr>
      </vt:variant>
      <vt:variant>
        <vt:lpwstr/>
      </vt:variant>
      <vt:variant>
        <vt:i4>6553688</vt:i4>
      </vt:variant>
      <vt:variant>
        <vt:i4>0</vt:i4>
      </vt:variant>
      <vt:variant>
        <vt:i4>0</vt:i4>
      </vt:variant>
      <vt:variant>
        <vt:i4>5</vt:i4>
      </vt:variant>
      <vt:variant>
        <vt:lpwstr>mailto:Soumya.Sudarshan@health.gov.au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2025-08-27T04:32:00Z</dcterms:created>
  <dcterms:modified xsi:type="dcterms:W3CDTF">2025-08-27T04:34:00Z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b3bf21b,7656215,7c6225ca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7f1616d,5d8e959a,1f83ebd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2025-08-27T04:33:32Z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eb7dbc02-38ba-4918-886a-22f507f9aa32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